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项目管理 质控标准开发测试文档</w:t>
      </w:r>
    </w:p>
    <w:p>
      <w:pPr/>
      <w:r>
        <w:rPr/>
        <w:t>质控标准按药企、产品、质控项目和类别维护合格上下限，供后续湿实验与生信质控判定使用。当前配置 CRUD 已存在，自动判定链尚未在本地实现；本稿先补配置正确性，再明确判定联调及历史结果保护的开发目标。</w:t>
      </w:r>
    </w:p>
    <w:p>
      <w:pPr/>
      <w:r>
        <w:rPr/>
        <w:t>本文用于需求评审、开发拆分和测试验收。基于现有实现补齐可落地的开发内容；“代码基线”只表示静态核对，“开发目标”表示建议改造后的行为，均不代表已通过业务验收。</w:t>
      </w:r>
    </w:p>
    <w:p>
      <w:pPr>
        <w:pStyle w:val="Heading1"/>
        <w:keepNext/>
      </w:pPr>
      <w:r>
        <w:rPr/>
        <w:t>1 范围与实现基线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7903"/>
      </w:tblGrid>
      <w:tr>
        <w:trPr>
          <w:cantSplit/>
          <w:tblHeader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版本与日期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V1.0 评审稿，2026-10-03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读取提交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74b9a6d0a69b09d3f5300b8a5ffd66ec2764c2fa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用户范围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项目管理目录下两个菜单：质控标准、产品配置。本文只覆盖当前模块及必要的跨模块契约。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菜单依据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00-project-menu.sql、qc.sql、project.sql 及中文语言包一致；脚本排序为质控标准在前、产品配置在后。实际开发联调先准备产品，再配置标准。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工作区与环境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读取时已有药企管理文档的未提交修改及 Word 锁文件。本稿不修改这些文件；未登录在线系统、未执行数据库写入或业务用例。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评审口径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权限与数据归属按当前代码列出；补强方案待评审。角色名称不是硬编码授权依据，实际接口使用权限点与药企数据范围校验。</w:t>
            </w:r>
          </w:p>
        </w:tc>
      </w:tr>
    </w:tbl>
    <w:p>
      <w:pPr>
        <w:spacing w:after="0" w:before="0" w:line="60" w:lineRule="exact"/>
      </w:pPr>
    </w:p>
    <w:p>
      <w:pPr/>
      <w:r>
        <w:rPr/>
        <w:t>菜单与接口已存在，不采用旧资料“尚无业务实现”的笼统结论。历史设计中的 React/Nest、UUID、/api 路径和 read:ProductConfig 等权限格式与本仓不同；当前为 Vue、Java、MySQL 自增 ID 及冒号三段权限。后续开发按已查证代码落位。</w:t>
      </w:r>
    </w:p>
    <w:p>
      <w:pPr/>
      <w:r>
        <w:rPr/>
        <w:t>当前菜单路由 /project/qc-standard，接口 /qc/qcStandard，后端位于 ruoyi-qc。列表按产品、质控项目、类别和状态查询，类别为 wet_lab/bioinfo，状态为 active/inactive；范围显示 min ~ max，null 显示无穷边界。新增编辑读取启用产品选项，默认湿实验、启用状态。</w:t>
      </w:r>
    </w:p>
    <w:p>
      <w:pPr/>
      <w:r>
        <w:rPr/>
        <w:t>标准唯一键为 (tenant_id, product_id, qc_item, qc_category)，字段上下限仍是字符串。服务层只做组合查重和 ID 存在检查，没有产品归属、数值比较或类别枚举校验；删除中的 assertNotReferenced 是空方法。字段注解在默认校验组，Controller 使用独立 AddGroup/EditGroup，不能因有注解便宣称必填长度已生效。</w:t>
      </w:r>
    </w:p>
    <w:p>
      <w:pPr/>
      <w:r>
        <w:rPr/>
        <w:t>QcRecordServiceImpl 当前只有记录 CRUD，QcRecordMapper.xml 明确将产品桥接判定留待未来实现。旧 spec.md 中的 sample_file 名称桥接、qc-judge-helper.ts 和 passed/failed/non_numeric/no_standard 为历史设计，不能当作本仓已运行能力。标准配置保存成功不代表质控结论已自动产生。</w:t>
      </w:r>
    </w:p>
    <w:p>
      <w:pPr>
        <w:pStyle w:val="Heading1"/>
      </w:pPr>
      <w:r>
        <w:rPr/>
        <w:t>2 字段接口与数据关系</w:t>
      </w:r>
    </w:p>
    <w:p>
      <w:pPr>
        <w:pStyle w:val="Heading2"/>
        <w:keepNext/>
      </w:pPr>
      <w:r>
        <w:rPr/>
        <w:t>2 1 主要字段和约束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06"/>
        <w:gridCol w:w="7132"/>
      </w:tblGrid>
      <w:tr>
        <w:trPr>
          <w:cantSplit/>
          <w:tblHeader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字段或关系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当前实现与目标差异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id / tenant_id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id 为 bigint 自增，药企列在 DDL；实体继承 BaseEntity，超管绕过过滤时需明确写入归属。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productId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必选产品 ID；当前只检查 Bo 非空注解，Service 未核验产品存在、启用及同药企，DDL 未声明物理外键。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qcItem / qcCategory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质控项目最多 100 字符；类别最多 20，页面限定 wet_lab/bioinfo，服务端尚需枚举校验及名称规范化。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minValue / maxValue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varchar(50) 可空，无数值及大小关系校验；页面甚至提示可写 &lt;0.5。建议第一版仅接受纯数值闭区间，表达式另评审。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unit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最多 30 字符，可选；当前自由文本。目标为数值与单位独立，判定前核对单位，禁止隐式换算。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status / remark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状态 active/inactive，备注 500 字符；需修复分组校验并补状态枚举。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逻辑删除与唯一键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del_flag 逻辑删除；唯一键不含 del_flag，删除后新建相同组合可能数据库冲突，恢复或禁复用策略待评审。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产品回显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当前页面产品名称映射、搜索选项、编辑选项均来自 activeList；停用产品可能回退显示裸 ID 或不能正常选择。</w:t>
            </w:r>
          </w:p>
        </w:tc>
      </w:tr>
    </w:tbl>
    <w:p>
      <w:pPr>
        <w:spacing w:after="0" w:before="0" w:line="60" w:lineRule="exact"/>
      </w:pPr>
    </w:p>
    <w:p>
      <w:pPr>
        <w:pStyle w:val="Heading2"/>
      </w:pPr>
      <w:r>
        <w:rPr/>
        <w:t>2 2 当前接口与权限</w:t>
      </w:r>
    </w:p>
    <w:p>
      <w:pPr>
        <w:keepNext/>
      </w:pPr>
      <w:r>
        <w:rPr/>
        <w:t>列表接口为分页 rows/total；activeList 及其他对象接口使用统一 R 响应。下表均为现有接口；拟新增契约在开发任务中标注，不将其当作已部署接口。业务拒绝需断言响应与数据状态，不预设未运行确认的 HTTP 状态码。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30"/>
        <w:gridCol w:w="5108"/>
      </w:tblGrid>
      <w:tr>
        <w:trPr>
          <w:cantSplit/>
          <w:tblHeader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方法与路径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权限及用途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GET /qc/qcStandard/list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qc:qcStandard:list；按 productId/qcItem/qcCategory/status 分页。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GET /qc/qcStandard/activeList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qc:qcStandard:list；启用标准数组，仅按标准状态过滤，不等于产品也启用。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GET /qc/qcStandard/{id}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qc:qcStandard:query；详情，未知 ID 抛业务异常。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POST /qc/qcStandard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qc:qcStandard:add；JSON 新增，日志及防重复提交。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PUT /qc/qcStandard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qc:qcStandard:edit；JSON 修改，日志及防重复提交。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DELETE /qc/qcStandard/{ids}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qc:qcStandard:remove；批量逻辑删除，当前引用检查为空。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GET /project/productConfig/activeList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project:productConfig:list；前端产品选项和名称映射的跨模块依赖。</w:t>
            </w:r>
          </w:p>
        </w:tc>
      </w:tr>
    </w:tbl>
    <w:p>
      <w:pPr>
        <w:spacing w:after="0" w:before="0" w:line="60" w:lineRule="exact"/>
      </w:pPr>
    </w:p>
    <w:p>
      <w:pPr>
        <w:pStyle w:val="Heading1"/>
        <w:keepNext/>
      </w:pPr>
      <w:r>
        <w:rPr/>
        <w:t>3 需求与验收标准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7"/>
        <w:gridCol w:w="5879"/>
        <w:gridCol w:w="1542"/>
      </w:tblGrid>
      <w:tr>
        <w:trPr>
          <w:cantSplit/>
          <w:tblHeader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需求编号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规则及可观察结果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REQ-QCS-001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按产品、项目、类别和状态筛选分页，重置、空态及范围展示准确；湿实验与生信不能混为一项标准。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代码基线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REQ-QCS-002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目标为普通用户仅维护本药企标准；超管明确目标药企，标准与产品归属一致，批量跨药企请求整批拒绝。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基线及建议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REQ-QCS-003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目标为新标准只关联同药企启用产品；停用产品既有标准仍能显示名称编码并识别其状态。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基线及建议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REQ-QCS-004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同药企同产品、项目、类别组合唯一；目标为空白规范化、并发及软删再建规则一致可解释。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DDL及建议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REQ-QCS-005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目标为上下限按十进制数精确比较，允许单侧范围，至少一侧有值，min≤max；0 是有效值而非空。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建议待评审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REQ-QCS-006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目标为必填、长度、类别、状态和单位规则在服务端生效；表达式、非数值和混合单位明确拒绝。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建议待评审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REQ-QCS-007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新增编辑持久化一致；目标为清空边界真正生效、未知记录拒绝、并发编辑不静默覆盖。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基线及建议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REQ-QCS-008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启用标准可供后续判定，停用停止新判定使用但保留历史；目标为启用状态与产品状态联动校验。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基线及建议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REQ-QCS-009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目标为未使用标准可删除，已被历史判定使用的标准保留引用并禁删；批量含非法或被引用项全量拒绝。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建议待评审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REQ-QCS-010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目标为判定按稳定产品标识、项目和类别匹配，记录所用标准快照；未匹配或非数值明确返回，不改人工确认状态。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历史设计及建议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REQ-QCS-011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查看、维护及产品选项权限分别明确，直接越权请求拒绝；维护审计可追踪归属、对象和结果。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代码基线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REQ-QCS-012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目标为失败保留表单、加载和保存可恢复，产品选项错误明确提示；停用、删除及跨页操作不留下错误显示。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基线及建议</w:t>
            </w:r>
          </w:p>
        </w:tc>
      </w:tr>
    </w:tbl>
    <w:p>
      <w:pPr>
        <w:spacing w:after="0" w:before="0" w:line="60" w:lineRule="exact"/>
      </w:pPr>
    </w:p>
    <w:p>
      <w:pPr>
        <w:pStyle w:val="Heading1"/>
      </w:pPr>
      <w:r>
        <w:rPr/>
        <w:t>4 开发内容与实施顺序</w:t>
      </w:r>
    </w:p>
    <w:p>
      <w:pPr/>
      <w:r>
        <w:rPr/>
        <w:t>所有开发任务当前均为“待评审、未开发”。P0 先处理药企归属、输入有效性及数据一致性，P1 完成交互和异常反馈，P2 为依赖其他模块的联调。路径简称：F 为 template-frontend/src；P 为 template-backend/ruoyi-modules/ruoyi-project/src/main；Q 为 template-backend/ruoyi-modules/ruoyi-qc/src/main。完整源码路径见第 8 节。</w:t>
      </w:r>
    </w:p>
    <w:p>
      <w:pPr>
        <w:pStyle w:val="Heading2"/>
      </w:pPr>
      <w:r>
        <w:rPr/>
        <w:t>DEV QCS 001 修复校验分组与数值规则</w:t>
      </w:r>
    </w:p>
    <w:p>
      <w:pPr>
        <w:keepNext/>
      </w:pPr>
      <w:r>
        <w:rPr/>
        <w:t>优先级 P0；关联 REQ-QCS-005、REQ-QCS-006、REQ-QCS-007。</w:t>
      </w:r>
    </w:p>
    <w:p>
      <w:pPr/>
      <w:r>
        <w:rPr/>
        <w:t>现状依据：Q/java/org/dromara/qc/domain/bo/QcStandardBo.java 使用默认组约束，Controller 调用 AddGroup/EditGroup。上下限仅校验字符长度；抽屉提示下限可写 &lt;0.5，尚无配套解释器。</w:t>
      </w:r>
    </w:p>
    <w:p>
      <w:pPr/>
      <w:r>
        <w:rPr/>
        <w:t>开发内容：显式配置新增编辑约束及编辑 ID 必填，新增不允许自带主键。先按待评审的纯数值闭区间规则实现：空白归一为无边界、至少一边有效、BigDecimal 比较 min≤max，0 不当空；精度与最大位数和字段容量匹配。禁止 NaN、Infinity、单位拼接或未经定义的比较表达式。类别和状态严格枚举，单位与数值分列。同步前端提示和校验。</w:t>
      </w:r>
    </w:p>
    <w:p>
      <w:pPr/>
      <w:r>
        <w:rPr/>
        <w:t>完成标准：直接 API 也拒绝非法数据；测试 10/20 闭区间、单侧界、0、相等上下限、反向范围及非数值，TC-QCS-009 至 012。</w:t>
      </w:r>
    </w:p>
    <w:p>
      <w:pPr>
        <w:pStyle w:val="Heading2"/>
      </w:pPr>
      <w:r>
        <w:rPr/>
        <w:t>DEV QCS 002 校验产品归属并补全历史展示</w:t>
      </w:r>
    </w:p>
    <w:p>
      <w:pPr>
        <w:keepNext/>
      </w:pPr>
      <w:r>
        <w:rPr/>
        <w:t>优先级 P0；关联 REQ-QCS-002、REQ-QCS-003、REQ-QCS-008。</w:t>
      </w:r>
    </w:p>
    <w:p>
      <w:pPr/>
      <w:r>
        <w:rPr/>
        <w:t>现状依据：QcStandardServiceImpl 没有查询关联产品，页面 index.vue、search.vue 和 operate-drawer.vue 全部只取启用产品。超管绕过租户且实体未提供显式目标药企。</w:t>
      </w:r>
    </w:p>
    <w:p>
      <w:pPr/>
      <w:r>
        <w:rPr/>
        <w:t>开发内容：服务层读取真实产品，检查存在、未删、药企一致和新关联可用状态；标准药企由受信产品及上下文共同确定，超管明确范围。新增选择只用启用产品，历史回显和查询需包含已引用停用产品；可通过详情 VO 返回产品名称编码和状态，复杂查询置 Q/resources/mapper/qc/QcStandardMapper.xml。清楚区分无产品与无选项权限。</w:t>
      </w:r>
    </w:p>
    <w:p>
      <w:pPr/>
      <w:r>
        <w:rPr/>
        <w:t>完成标准：跨药企或不存在产品不能引用；停用产品历史显示可理解，直接新建关联被拒绝；超管写入不落默认药企，TC-QCS-003 至 006、015、016。</w:t>
      </w:r>
    </w:p>
    <w:p>
      <w:pPr>
        <w:pStyle w:val="Heading2"/>
      </w:pPr>
      <w:r>
        <w:rPr/>
        <w:t>DEV QCS 003 统一组合唯一和删除后处理</w:t>
      </w:r>
    </w:p>
    <w:p>
      <w:pPr>
        <w:keepNext/>
      </w:pPr>
      <w:r>
        <w:rPr/>
        <w:t>优先级 P0；关联 REQ-QCS-004、REQ-QCS-007、REQ-QCS-009。</w:t>
      </w:r>
    </w:p>
    <w:p>
      <w:pPr/>
      <w:r>
        <w:rPr/>
        <w:t>现状依据：组合唯一有应用查询和数据库索引，但删除行仍占唯一键；查重依赖租户插件，超管与实际目标药企的范围需对齐。deleteByIds 不验证逐条存在，assertNotReferenced 是空方法。</w:t>
      </w:r>
    </w:p>
    <w:p>
      <w:pPr/>
      <w:r>
        <w:rPr/>
        <w:t>开发内容：项目名去空白及大小写策略需与 MySQL 比较规则一致；查询明确目标药企，捕获并发冲突。软删重建建议先提供明确占用错误，恢复流程经评审后单独实现，禁止绕过唯一键复制。批量删除先校验所有 ID、药企及使用情况再事务删除；标准与产品删除的并发使用同一一致性机制。历史使用关系尚未建立时明确前置依赖，不伪造引用表。</w:t>
      </w:r>
    </w:p>
    <w:p>
      <w:pPr/>
      <w:r>
        <w:rPr/>
        <w:t>完成标准：组合边界、并发、删除后重建均有可解释结果；混合批次无部分删除，未知 ID 不返回假成功。TC-QCS-007、008、013、014、017、018。</w:t>
      </w:r>
    </w:p>
    <w:p>
      <w:pPr>
        <w:pStyle w:val="Heading2"/>
      </w:pPr>
      <w:r>
        <w:rPr/>
        <w:t>DEV QCS 004 明确标准生效和历史快照</w:t>
      </w:r>
    </w:p>
    <w:p>
      <w:pPr>
        <w:keepNext/>
      </w:pPr>
      <w:r>
        <w:rPr/>
        <w:t>优先级 P0 与 P2 分阶段；关联 REQ-QCS-008、REQ-QCS-009、REQ-QCS-010。</w:t>
      </w:r>
    </w:p>
    <w:p>
      <w:pPr/>
      <w:r>
        <w:rPr/>
        <w:t>现状依据：当前标准可直接改上下限和停用，未见判定使用记录或版本快照。qc_record 的现有 CRUD 尚未联接标准，不能据此实施真实“已使用”引用判断。</w:t>
      </w:r>
    </w:p>
    <w:p>
      <w:pPr/>
      <w:r>
        <w:rPr/>
        <w:t>开发内容：P0 先定义并验收新关联与启停规则，保存审计摘要；P2 在判定模块落地时记录使用的标准 ID、阈值、单位、类别及生效依据快照，或评审版本模型。已使用标准禁删，修改影响未来判定，不静默重算历史；人工确认与自动判定独立。任何新增快照字段或表必须先给出契约与增量迁移，不把该模型写成现有结构。</w:t>
      </w:r>
    </w:p>
    <w:p>
      <w:pPr/>
      <w:r>
        <w:rPr/>
        <w:t>完成标准：停用不抹历史，恢复启用符合产品状态；对已有判定改标准后历史结果保持可复核，删除被使用标准拒绝。TC-QCS-015 至 020；下游未就绪的用例标待联调。</w:t>
      </w:r>
    </w:p>
    <w:p>
      <w:pPr>
        <w:pStyle w:val="Heading2"/>
      </w:pPr>
      <w:r>
        <w:rPr/>
        <w:t>DEV QCS 005 落地判定关联契约和边界测试</w:t>
      </w:r>
    </w:p>
    <w:p>
      <w:pPr>
        <w:keepNext/>
      </w:pPr>
      <w:r>
        <w:rPr/>
        <w:t>优先级 P2；关联 REQ-QCS-005、REQ-QCS-010。</w:t>
      </w:r>
    </w:p>
    <w:p>
      <w:pPr/>
      <w:r>
        <w:rPr/>
        <w:t>现状依据：旧 spec.md 通过 subbarcode→sample_file.product_name→product_config→qc_standard 判定，存在同名及改名歧义。现有 QcRecordServiceImpl 和 Mapper XML 未实现此链，也没有当前已验证的判定接口。</w:t>
      </w:r>
    </w:p>
    <w:p>
      <w:pPr/>
      <w:r>
        <w:rPr/>
        <w:t>开发内容：先确认样本与产品的稳定 ID 关联及药企边界；建议避免仅凭产品名跨药企匹配。服务层基于启用产品与启用标准按产品、项目、类别精确匹配，用统一数值规则比较，批量读取避免逐条查询。passed/failed/non_numeric/no_standard 作为待确认结果契约；缺产品、缺标准、多候选和单位不符均不应默认为通过。接口及性能目标在联调评审时确定。</w:t>
      </w:r>
    </w:p>
    <w:p>
      <w:pPr/>
      <w:r>
        <w:rPr/>
        <w:t>完成标准：纯测试范围 10–20：9.99 失败、10 和 20 通过、20.01 失败；无标准与非数字分别可识别。类别、药企及产品名冲突不串用标准，TC-QCS-019、020；不宣称现已自动判定。</w:t>
      </w:r>
    </w:p>
    <w:p>
      <w:pPr>
        <w:pStyle w:val="Heading2"/>
      </w:pPr>
      <w:r>
        <w:rPr/>
        <w:t>DEV QCS 006 完善权限和保存交互</w:t>
      </w:r>
    </w:p>
    <w:p>
      <w:pPr>
        <w:keepNext/>
      </w:pPr>
      <w:r>
        <w:rPr/>
        <w:t>优先级 P1；关联 REQ-QCS-001、REQ-QCS-011、REQ-QCS-012。</w:t>
      </w:r>
    </w:p>
    <w:p>
      <w:pPr/>
      <w:r>
        <w:rPr/>
        <w:t>现状依据：页面已有操作按钮鉴权及 saving/finally；产品选项请求失败直接 return，可能继续显示旧选项。抽屉 closable，保存时只禁用取消按钮；编辑使用列表行，需覆盖数据过期。</w:t>
      </w:r>
    </w:p>
    <w:p>
      <w:pPr/>
      <w:r>
        <w:rPr/>
        <w:t>开发内容：明确 qc:qcStandard:list/query/add/edit/remove 与 productConfig:list 依赖，按最小授权评审选项权限拆分。产品数据使用受控加载与错误状态，失败禁止误选旧产品；保存中控制关闭图标、遮罩和 Esc，成功重取当前有效列表，失败保留输入。修改可选边界为空需显式持久化，单独验证 ORM 的 null 更新语义。批量删除显示确认范围。</w:t>
      </w:r>
    </w:p>
    <w:p>
      <w:pPr/>
      <w:r>
        <w:rPr/>
        <w:t>完成标准：查询、回显和按钮权限一致，失败可重试，关闭与重复点击不产生模糊结果；TC-QCS-001、002、013、021 至 024。</w:t>
      </w:r>
    </w:p>
    <w:p>
      <w:pPr>
        <w:pStyle w:val="Heading2"/>
      </w:pPr>
      <w:r>
        <w:rPr/>
        <w:t>数据库与交付要求</w:t>
      </w:r>
    </w:p>
    <w:p>
      <w:pPr/>
      <w:r>
        <w:rPr/>
        <w:t>现有业务表带 tenant_id、审计字段和 del_flag。先检查部署库及异常存量，再决定迁移。新增字段、索引或约束需在 template-backend/script/sql/update 提供增量迁移、回滚或恢复步骤；不要仅修改初始化建表文件。简单查询用 MyBatis-Plus，复杂跨表查询放所属 Mapper XML，值参数绑定且验证药企隔离。</w:t>
      </w:r>
    </w:p>
    <w:p>
      <w:pPr/>
      <w:r>
        <w:rPr/>
        <w:t>新增测试优先覆盖服务层规则与真实请求校验，再在隔离 MySQL 环境验证唯一键、逻辑删除、事务和租户 SQL 改写。涉及标准判定或历史结果的改造需要保留旧数据，不能在页面刷新时无提示重算历史结论。</w:t>
      </w:r>
    </w:p>
    <w:p>
      <w:pPr>
        <w:pStyle w:val="Heading1"/>
      </w:pPr>
      <w:r>
        <w:rPr/>
        <w:t>5 测试准备与验收用例</w:t>
      </w:r>
    </w:p>
    <w:p>
      <w:pPr/>
      <w:r>
        <w:rPr/>
        <w:t>隔离环境准备启用药企 A、B，平台超级管理员 S，各药企有管理权限用户 A1/B1，以及仅有查询权限的 A0。准备产品 PA/PB、启用及停用产品、启用及停用标准，以及无引用、已引用两类记录。名称和编码以 DOC_TEST_ 标记，边界测试另构造指定长度。凭据由测试环境提供，不写入文档。</w:t>
      </w:r>
    </w:p>
    <w:p>
      <w:pPr/>
      <w:r>
        <w:rPr/>
        <w:t>产品与基因联调需准备只读 nkb.ncbi_gene 测试数据，包含人类唯一符号、重复符号、其他物种及不存在符号；不依赖真实生产库当前行数。标准阈值示例仅用于软件测试，不代表生产实验判定标准。执行前记录应用版本、数据库结构、药企上下文与权限，备份自建数据；执行后仅清理本次创建的数据。</w:t>
      </w:r>
    </w:p>
    <w:p>
      <w:pPr/>
      <w:r>
        <w:rPr/>
        <w:t>每条用例默认操作者拥有对应权限，越权用例除外。对直接请求记录脱敏参数、业务响应、数据库前后状态及日志；未实现的目标标为未实现或失败并关联任务。缺少下游模块时记录阻塞原因，不把接口能保存当作判定链已验收。</w:t>
      </w:r>
    </w:p>
    <w:p>
      <w:pPr>
        <w:pStyle w:val="Heading2"/>
      </w:pPr>
      <w:r>
        <w:rPr/>
        <w:t>TC QCS 001 组合筛选与类别</w:t>
      </w:r>
    </w:p>
    <w:p>
      <w:pPr>
        <w:keepNext/>
      </w:pPr>
      <w:r>
        <w:rPr/>
        <w:t>用例编号 TC-QCS-001；关联 REQ-QCS-001；优先级 P1；口径：基线。</w:t>
      </w:r>
    </w:p>
    <w:p>
      <w:pPr>
        <w:keepNext/>
        <w:keepLines/>
      </w:pPr>
      <w:r>
        <w:rPr/>
        <w:t>前置与数据：PA 有 wet_lab/bioinfo 标准，另有 PB 标准和停用记录。</w:t>
      </w:r>
    </w:p>
    <w:p>
      <w:pPr>
        <w:keepLines/>
      </w:pPr>
      <w:r>
        <w:rPr/>
        <w:t>步骤：按产品、项目关键字、类别和状态组合查询并翻页。</w:t>
      </w:r>
    </w:p>
    <w:p>
      <w:pPr>
        <w:keepLines/>
      </w:pPr>
      <w:r>
        <w:rPr/>
        <w:t>预期：结果和 total 正确，只显示匹配类别，不把相同项目的不同类别合并。</w:t>
      </w:r>
    </w:p>
    <w:p>
      <w:pPr>
        <w:pStyle w:val="Heading2"/>
      </w:pPr>
      <w:r>
        <w:rPr/>
        <w:t>TC QCS 002 重置空态和边界展示</w:t>
      </w:r>
    </w:p>
    <w:p>
      <w:pPr>
        <w:keepNext/>
      </w:pPr>
      <w:r>
        <w:rPr/>
        <w:t>用例编号 TC-QCS-002；关联 REQ-QCS-001；优先级 P1；口径：基线及目标。</w:t>
      </w:r>
    </w:p>
    <w:p>
      <w:pPr>
        <w:keepNext/>
        <w:keepLines/>
      </w:pPr>
      <w:r>
        <w:rPr/>
        <w:t>前置与数据：准备无下限、无上限、0 边界及空字符串存量。</w:t>
      </w:r>
    </w:p>
    <w:p>
      <w:pPr>
        <w:keepLines/>
      </w:pPr>
      <w:r>
        <w:rPr/>
        <w:t>步骤：查询不存在项目后重置，检查范围列。</w:t>
      </w:r>
    </w:p>
    <w:p>
      <w:pPr>
        <w:keepLines/>
      </w:pPr>
      <w:r>
        <w:rPr/>
        <w:t>预期：空态无残留；null 用无界表达，0 明确显示；空字符串规范化后不显示含糊的空范围。</w:t>
      </w:r>
    </w:p>
    <w:p>
      <w:pPr>
        <w:pStyle w:val="Heading2"/>
      </w:pPr>
      <w:r>
        <w:rPr/>
        <w:t>TC QCS 003 跨药企标准访问</w:t>
      </w:r>
    </w:p>
    <w:p>
      <w:pPr>
        <w:keepNext/>
      </w:pPr>
      <w:r>
        <w:rPr/>
        <w:t>用例编号 TC-QCS-003；关联 REQ-QCS-002；优先级 P0；口径：开发目标。</w:t>
      </w:r>
    </w:p>
    <w:p>
      <w:pPr>
        <w:keepNext/>
        <w:keepLines/>
      </w:pPr>
      <w:r>
        <w:rPr/>
        <w:t>前置与数据：标准 SA 属 A、SB 属 B，A1 有维护权限。</w:t>
      </w:r>
    </w:p>
    <w:p>
      <w:pPr>
        <w:keepLines/>
      </w:pPr>
      <w:r>
        <w:rPr/>
        <w:t>步骤：A1 请求 SB 详情、修改和混合删除 SA/SB。</w:t>
      </w:r>
    </w:p>
    <w:p>
      <w:pPr>
        <w:keepLines/>
      </w:pPr>
      <w:r>
        <w:rPr/>
        <w:t>预期：B 记录不可访问或请求拒绝；混合写入整体拒绝，SA 不被部分删除。</w:t>
      </w:r>
    </w:p>
    <w:p>
      <w:pPr>
        <w:pStyle w:val="Heading2"/>
      </w:pPr>
      <w:r>
        <w:rPr/>
        <w:t>TC QCS 004 超管归属与伪造药企</w:t>
      </w:r>
    </w:p>
    <w:p>
      <w:pPr>
        <w:keepNext/>
      </w:pPr>
      <w:r>
        <w:rPr/>
        <w:t>用例编号 TC-QCS-004；关联 REQ-QCS-002；优先级 P0；口径：开发目标。</w:t>
      </w:r>
    </w:p>
    <w:p>
      <w:pPr>
        <w:keepNext/>
        <w:keepLines/>
      </w:pPr>
      <w:r>
        <w:rPr/>
        <w:t>前置与数据：S 管理 A 的 PA；普通 A1 可以提交请求。</w:t>
      </w:r>
    </w:p>
    <w:p>
      <w:pPr>
        <w:keepLines/>
      </w:pPr>
      <w:r>
        <w:rPr/>
        <w:t>步骤：S 为 PA 建标准，A1 尝试传入 B 的药企和产品。</w:t>
      </w:r>
    </w:p>
    <w:p>
      <w:pPr>
        <w:keepLines/>
      </w:pPr>
      <w:r>
        <w:rPr/>
        <w:t>预期：S 新标准归 A；A1 伪造不能跨药企建标准或改变既有标准归属。</w:t>
      </w:r>
    </w:p>
    <w:p>
      <w:pPr>
        <w:pStyle w:val="Heading2"/>
      </w:pPr>
      <w:r>
        <w:rPr/>
        <w:t>TC QCS 005 产品存在性与可用状态</w:t>
      </w:r>
    </w:p>
    <w:p>
      <w:pPr>
        <w:keepNext/>
      </w:pPr>
      <w:r>
        <w:rPr/>
        <w:t>用例编号 TC-QCS-005；关联 REQ-QCS-003；优先级 P0；口径：开发目标。</w:t>
      </w:r>
    </w:p>
    <w:p>
      <w:pPr>
        <w:keepNext/>
        <w:keepLines/>
      </w:pPr>
      <w:r>
        <w:rPr/>
        <w:t>前置与数据：合法 PA、不存在 ID、B 的 PB、停用和已删产品。</w:t>
      </w:r>
    </w:p>
    <w:p>
      <w:pPr>
        <w:keepLines/>
      </w:pPr>
      <w:r>
        <w:rPr/>
        <w:t>步骤：逐个直接提交新标准。</w:t>
      </w:r>
    </w:p>
    <w:p>
      <w:pPr>
        <w:keepLines/>
      </w:pPr>
      <w:r>
        <w:rPr/>
        <w:t>预期：仅同药企启用产品可以新关联，其他拒绝且无标准记录落库。</w:t>
      </w:r>
    </w:p>
    <w:p>
      <w:pPr>
        <w:pStyle w:val="Heading2"/>
      </w:pPr>
      <w:r>
        <w:rPr/>
        <w:t>TC QCS 006 停用产品回显</w:t>
      </w:r>
    </w:p>
    <w:p>
      <w:pPr>
        <w:keepNext/>
      </w:pPr>
      <w:r>
        <w:rPr/>
        <w:t>用例编号 TC-QCS-006；关联 REQ-QCS-003；优先级 P1；口径：开发目标。</w:t>
      </w:r>
    </w:p>
    <w:p>
      <w:pPr>
        <w:keepNext/>
        <w:keepLines/>
      </w:pPr>
      <w:r>
        <w:rPr/>
        <w:t>前置与数据：PA 原有标准后停用。</w:t>
      </w:r>
    </w:p>
    <w:p>
      <w:pPr>
        <w:keepLines/>
      </w:pPr>
      <w:r>
        <w:rPr/>
        <w:t>步骤：打开列表、搜索和编辑既有标准。</w:t>
      </w:r>
    </w:p>
    <w:p>
      <w:pPr>
        <w:keepLines/>
      </w:pPr>
      <w:r>
        <w:rPr/>
        <w:t>预期：显示产品名称编码与停用标识，历史不回退为裸 ID；不把失效选项自动换成另一产品。</w:t>
      </w:r>
    </w:p>
    <w:p>
      <w:pPr>
        <w:pStyle w:val="Heading2"/>
      </w:pPr>
      <w:r>
        <w:rPr/>
        <w:t>TC QCS 007 组合唯一与排除自身</w:t>
      </w:r>
    </w:p>
    <w:p>
      <w:pPr>
        <w:keepNext/>
      </w:pPr>
      <w:r>
        <w:rPr/>
        <w:t>用例编号 TC-QCS-007；关联 REQ-QCS-004；优先级 P0；口径：基线及目标。</w:t>
      </w:r>
    </w:p>
    <w:p>
      <w:pPr>
        <w:keepNext/>
        <w:keepLines/>
      </w:pPr>
      <w:r>
        <w:rPr/>
        <w:t>前置与数据：A 下 PA 已有项目 X/wet_lab。</w:t>
      </w:r>
    </w:p>
    <w:p>
      <w:pPr>
        <w:keepLines/>
      </w:pPr>
      <w:r>
        <w:rPr/>
        <w:t>步骤：重复创建 X/wet_lab；创建 X/bioinfo、PB 的 X，再编辑原标准备注。</w:t>
      </w:r>
    </w:p>
    <w:p>
      <w:pPr>
        <w:keepLines/>
      </w:pPr>
      <w:r>
        <w:rPr/>
        <w:t>预期：重复组合拒绝，不同产品或类别可建；自身编辑不误判冲突。</w:t>
      </w:r>
    </w:p>
    <w:p>
      <w:pPr>
        <w:pStyle w:val="Heading2"/>
      </w:pPr>
      <w:r>
        <w:rPr/>
        <w:t>TC QCS 008 空白并发和软删再建</w:t>
      </w:r>
    </w:p>
    <w:p>
      <w:pPr>
        <w:keepNext/>
      </w:pPr>
      <w:r>
        <w:rPr/>
        <w:t>用例编号 TC-QCS-008；关联 REQ-QCS-004；优先级 P0；口径：开发目标。</w:t>
      </w:r>
    </w:p>
    <w:p>
      <w:pPr>
        <w:keepNext/>
        <w:keepLines/>
      </w:pPr>
      <w:r>
        <w:rPr/>
        <w:t>前置与数据：准备项目前后空白、同组合并发及已软删组合。</w:t>
      </w:r>
    </w:p>
    <w:p>
      <w:pPr>
        <w:keepLines/>
      </w:pPr>
      <w:r>
        <w:rPr/>
        <w:t>步骤：分别创建并核对最终记录和提示。</w:t>
      </w:r>
    </w:p>
    <w:p>
      <w:pPr>
        <w:keepLines/>
      </w:pPr>
      <w:r>
        <w:rPr/>
        <w:t>预期：按确认规范化一致查重；并发最多一条，软删占用给明确提示，不暴露数据库堆栈。</w:t>
      </w:r>
    </w:p>
    <w:p>
      <w:pPr>
        <w:pStyle w:val="Heading2"/>
      </w:pPr>
      <w:r>
        <w:rPr/>
        <w:t>TC QCS 009 数值范围与单侧边界</w:t>
      </w:r>
    </w:p>
    <w:p>
      <w:pPr>
        <w:keepNext/>
      </w:pPr>
      <w:r>
        <w:rPr/>
        <w:t>用例编号 TC-QCS-009；关联 REQ-QCS-005；优先级 P0；口径：开发目标。</w:t>
      </w:r>
    </w:p>
    <w:p>
      <w:pPr>
        <w:keepNext/>
        <w:keepLines/>
      </w:pPr>
      <w:r>
        <w:rPr/>
        <w:t>前置与数据：纯测试数据：10/20、10/null、null/20、0/0。</w:t>
      </w:r>
    </w:p>
    <w:p>
      <w:pPr>
        <w:keepLines/>
      </w:pPr>
      <w:r>
        <w:rPr/>
        <w:t>步骤：新增并编辑这些范围，再提交 20/10 和 null/null。</w:t>
      </w:r>
    </w:p>
    <w:p>
      <w:pPr>
        <w:keepLines/>
      </w:pPr>
      <w:r>
        <w:rPr/>
        <w:t>预期：前三种及 0/0 合法；反向和双空拒绝，0 不能被清洗为空，数据库保留规范数值。</w:t>
      </w:r>
    </w:p>
    <w:p>
      <w:pPr>
        <w:pStyle w:val="Heading2"/>
      </w:pPr>
      <w:r>
        <w:rPr/>
        <w:t>TC QCS 010 精度和表达式</w:t>
      </w:r>
    </w:p>
    <w:p>
      <w:pPr>
        <w:keepNext/>
      </w:pPr>
      <w:r>
        <w:rPr/>
        <w:t>用例编号 TC-QCS-010；关联 REQ-QCS-005；优先级 P0；口径：开发目标。</w:t>
      </w:r>
    </w:p>
    <w:p>
      <w:pPr>
        <w:keepNext/>
        <w:keepLines/>
      </w:pPr>
      <w:r>
        <w:rPr/>
        <w:t>前置与数据：准备小数、超长精度、&lt;0.5、NaN、Infinity 及 20% 文本。</w:t>
      </w:r>
    </w:p>
    <w:p>
      <w:pPr>
        <w:keepLines/>
      </w:pPr>
      <w:r>
        <w:rPr/>
        <w:t>步骤：绕过前端逐一保存上下限。</w:t>
      </w:r>
    </w:p>
    <w:p>
      <w:pPr>
        <w:keepLines/>
      </w:pPr>
      <w:r>
        <w:rPr/>
        <w:t>预期：允许精度内纯十进制数准确保存；未经定义表达式和混合单位拒绝，不按部分字符串解析。</w:t>
      </w:r>
    </w:p>
    <w:p>
      <w:pPr>
        <w:pStyle w:val="Heading2"/>
      </w:pPr>
      <w:r>
        <w:rPr/>
        <w:t>TC QCS 011 字段长度与必填</w:t>
      </w:r>
    </w:p>
    <w:p>
      <w:pPr>
        <w:keepNext/>
      </w:pPr>
      <w:r>
        <w:rPr/>
        <w:t>用例编号 TC-QCS-011；关联 REQ-QCS-006；优先级 P0；口径：开发目标。</w:t>
      </w:r>
    </w:p>
    <w:p>
      <w:pPr>
        <w:keepNext/>
        <w:keepLines/>
      </w:pPr>
      <w:r>
        <w:rPr/>
        <w:t>前置与数据：项目 100/101、单位 30/31、备注 500/501 字符，空 productId。</w:t>
      </w:r>
    </w:p>
    <w:p>
      <w:pPr>
        <w:keepLines/>
      </w:pPr>
      <w:r>
        <w:rPr/>
        <w:t>步骤：分别直接提交新增与编辑请求。</w:t>
      </w:r>
    </w:p>
    <w:p>
      <w:pPr>
        <w:keepLines/>
      </w:pPr>
      <w:r>
        <w:rPr/>
        <w:t>预期：合法长度通过；超长、空产品、空项目由服务端拒绝，校验分组真实生效。</w:t>
      </w:r>
    </w:p>
    <w:p>
      <w:pPr>
        <w:pStyle w:val="Heading2"/>
      </w:pPr>
      <w:r>
        <w:rPr/>
        <w:t>TC QCS 012 枚举与单位契约</w:t>
      </w:r>
    </w:p>
    <w:p>
      <w:pPr>
        <w:keepNext/>
      </w:pPr>
      <w:r>
        <w:rPr/>
        <w:t>用例编号 TC-QCS-012；关联 REQ-QCS-006；优先级 P0；口径：开发目标。</w:t>
      </w:r>
    </w:p>
    <w:p>
      <w:pPr>
        <w:keepNext/>
        <w:keepLines/>
      </w:pPr>
      <w:r>
        <w:rPr/>
        <w:t>前置与数据：准备非法类别、非法状态、不同单位约定。</w:t>
      </w:r>
    </w:p>
    <w:p>
      <w:pPr>
        <w:keepLines/>
      </w:pPr>
      <w:r>
        <w:rPr/>
        <w:t>步骤：保存非法枚举；按已确认单位规则录入数值。</w:t>
      </w:r>
    </w:p>
    <w:p>
      <w:pPr>
        <w:keepLines/>
      </w:pPr>
      <w:r>
        <w:rPr/>
        <w:t>预期：只接受 wet_lab/bioinfo 与 active/inactive；单位与数值独立，不静默转换不兼容单位。</w:t>
      </w:r>
    </w:p>
    <w:p>
      <w:pPr>
        <w:pStyle w:val="Heading2"/>
      </w:pPr>
      <w:r>
        <w:rPr/>
        <w:t>TC QCS 013 编辑清空一个边界</w:t>
      </w:r>
    </w:p>
    <w:p>
      <w:pPr>
        <w:keepNext/>
      </w:pPr>
      <w:r>
        <w:rPr/>
        <w:t>用例编号 TC-QCS-013；关联 REQ-QCS-007；优先级 P0；口径：开发目标。</w:t>
      </w:r>
    </w:p>
    <w:p>
      <w:pPr>
        <w:keepNext/>
        <w:keepLines/>
      </w:pPr>
      <w:r>
        <w:rPr/>
        <w:t>前置与数据：SA 原范围 10–20。</w:t>
      </w:r>
    </w:p>
    <w:p>
      <w:pPr>
        <w:keepLines/>
      </w:pPr>
      <w:r>
        <w:rPr/>
        <w:t>步骤：清空下限保留 20，保存、关闭并重新读取详情。</w:t>
      </w:r>
    </w:p>
    <w:p>
      <w:pPr>
        <w:keepLines/>
      </w:pPr>
      <w:r>
        <w:rPr/>
        <w:t>预期：数据库下限确实为空、上限为 20；不能因忽略 null 更新保留旧下限 10。</w:t>
      </w:r>
    </w:p>
    <w:p>
      <w:pPr>
        <w:pStyle w:val="Heading2"/>
      </w:pPr>
      <w:r>
        <w:rPr/>
        <w:t>TC QCS 014 未知记录和编辑冲突</w:t>
      </w:r>
    </w:p>
    <w:p>
      <w:pPr>
        <w:keepNext/>
      </w:pPr>
      <w:r>
        <w:rPr/>
        <w:t>用例编号 TC-QCS-014；关联 REQ-QCS-007；优先级 P0；口径：开发目标。</w:t>
      </w:r>
    </w:p>
    <w:p>
      <w:pPr>
        <w:keepNext/>
        <w:keepLines/>
      </w:pPr>
      <w:r>
        <w:rPr/>
        <w:t>前置与数据：两会话打开 SA；另有不存在 ID。</w:t>
      </w:r>
    </w:p>
    <w:p>
      <w:pPr>
        <w:keepLines/>
      </w:pPr>
      <w:r>
        <w:rPr/>
        <w:t>步骤：更新未知 ID，再由两会话先后改上下限。</w:t>
      </w:r>
    </w:p>
    <w:p>
      <w:pPr>
        <w:keepLines/>
      </w:pPr>
      <w:r>
        <w:rPr/>
        <w:t>预期：未知记录拒绝；过期编辑依确认策略提示冲突，无无感覆盖阈值。</w:t>
      </w:r>
    </w:p>
    <w:p>
      <w:pPr>
        <w:pStyle w:val="Heading2"/>
      </w:pPr>
      <w:r>
        <w:rPr/>
        <w:t>TC QCS 015 启用停用列表</w:t>
      </w:r>
    </w:p>
    <w:p>
      <w:pPr>
        <w:keepNext/>
      </w:pPr>
      <w:r>
        <w:rPr/>
        <w:t>用例编号 TC-QCS-015；关联 REQ-QCS-008；优先级 P0；口径：基线及目标。</w:t>
      </w:r>
    </w:p>
    <w:p>
      <w:pPr>
        <w:keepNext/>
        <w:keepLines/>
      </w:pPr>
      <w:r>
        <w:rPr/>
        <w:t>前置与数据：SA 启用，另一标准停用。</w:t>
      </w:r>
    </w:p>
    <w:p>
      <w:pPr>
        <w:keepLines/>
      </w:pPr>
      <w:r>
        <w:rPr/>
        <w:t>步骤：读取 activeList，停用 SA 后再次读取。</w:t>
      </w:r>
    </w:p>
    <w:p>
      <w:pPr>
        <w:keepLines/>
      </w:pPr>
      <w:r>
        <w:rPr/>
        <w:t>预期：列表只含启用标准；目标判定不再使用停用 SA，历史使用记录不删除。</w:t>
      </w:r>
    </w:p>
    <w:p>
      <w:pPr>
        <w:pStyle w:val="Heading2"/>
      </w:pPr>
      <w:r>
        <w:rPr/>
        <w:t>TC QCS 016 产品停用和标准启用</w:t>
      </w:r>
    </w:p>
    <w:p>
      <w:pPr>
        <w:keepNext/>
      </w:pPr>
      <w:r>
        <w:rPr/>
        <w:t>用例编号 TC-QCS-016；关联 REQ-QCS-008；优先级 P0；口径：开发目标。</w:t>
      </w:r>
    </w:p>
    <w:p>
      <w:pPr>
        <w:keepNext/>
        <w:keepLines/>
      </w:pPr>
      <w:r>
        <w:rPr/>
        <w:t>前置与数据：PA 停用，SA 原属于 PA。</w:t>
      </w:r>
    </w:p>
    <w:p>
      <w:pPr>
        <w:keepLines/>
      </w:pPr>
      <w:r>
        <w:rPr/>
        <w:t>步骤：尝试启用 SA 或调用判定候选读取；再恢复 PA。</w:t>
      </w:r>
    </w:p>
    <w:p>
      <w:pPr>
        <w:keepLines/>
      </w:pPr>
      <w:r>
        <w:rPr/>
        <w:t>预期：停用产品标准不用于新判定；恢复 PA 后按明确生效规则恢复可选范围，不自动改历史结果。</w:t>
      </w:r>
    </w:p>
    <w:p>
      <w:pPr>
        <w:pStyle w:val="Heading2"/>
      </w:pPr>
      <w:r>
        <w:rPr/>
        <w:t>TC QCS 017 未使用标准删除</w:t>
      </w:r>
    </w:p>
    <w:p>
      <w:pPr>
        <w:keepNext/>
      </w:pPr>
      <w:r>
        <w:rPr/>
        <w:t>用例编号 TC-QCS-017；关联 REQ-QCS-009；优先级 P0；口径：基线及目标。</w:t>
      </w:r>
    </w:p>
    <w:p>
      <w:pPr>
        <w:keepNext/>
        <w:keepLines/>
      </w:pPr>
      <w:r>
        <w:rPr/>
        <w:t>前置与数据：自建 SA 未使用且无下游引用。</w:t>
      </w:r>
    </w:p>
    <w:p>
      <w:pPr>
        <w:keepLines/>
      </w:pPr>
      <w:r>
        <w:rPr/>
        <w:t>步骤：确认单删，再查询详情和唯一组合。</w:t>
      </w:r>
    </w:p>
    <w:p>
      <w:pPr>
        <w:keepLines/>
      </w:pPr>
      <w:r>
        <w:rPr/>
        <w:t>预期：SA 逻辑删除，详情不可用；占用或恢复策略与已确认规则一致，不物理清空审计。</w:t>
      </w:r>
    </w:p>
    <w:p>
      <w:pPr>
        <w:pStyle w:val="Heading2"/>
      </w:pPr>
      <w:r>
        <w:rPr/>
        <w:t>TC QCS 018 引用及批量原子性</w:t>
      </w:r>
    </w:p>
    <w:p>
      <w:pPr>
        <w:keepNext/>
      </w:pPr>
      <w:r>
        <w:rPr/>
        <w:t>用例编号 TC-QCS-018；关联 REQ-QCS-009；优先级 P0；口径：开发目标 待下游联调。</w:t>
      </w:r>
    </w:p>
    <w:p>
      <w:pPr>
        <w:keepNext/>
        <w:keepLines/>
      </w:pPr>
      <w:r>
        <w:rPr/>
        <w:t>前置与数据：已建立使用快照或引用契约，SA 已使用，SB 未使用。</w:t>
      </w:r>
    </w:p>
    <w:p>
      <w:pPr>
        <w:keepLines/>
      </w:pPr>
      <w:r>
        <w:rPr/>
        <w:t>步骤：混合删除 SA/SB，再混入不存在 ID 和其他药企 ID。</w:t>
      </w:r>
    </w:p>
    <w:p>
      <w:pPr>
        <w:keepLines/>
      </w:pPr>
      <w:r>
        <w:rPr/>
        <w:t>预期：所有非法批次整体拒绝，无部分删除；SA 历史可追踪。引用契约未落地时本例不得标通过。</w:t>
      </w:r>
    </w:p>
    <w:p>
      <w:pPr>
        <w:pStyle w:val="Heading2"/>
      </w:pPr>
      <w:r>
        <w:rPr/>
        <w:t>TC QCS 019 闭区间判定契约</w:t>
      </w:r>
    </w:p>
    <w:p>
      <w:pPr>
        <w:keepNext/>
      </w:pPr>
      <w:r>
        <w:rPr/>
        <w:t>用例编号 TC-QCS-019；关联 REQ-QCS-010；优先级 P0；口径：开发目标 待下游联调。</w:t>
      </w:r>
    </w:p>
    <w:p>
      <w:pPr>
        <w:keepNext/>
        <w:keepLines/>
      </w:pPr>
      <w:r>
        <w:rPr/>
        <w:t>前置与数据：唯一启用标准范围 10–20，单位相同，数据仅用于软件测试。</w:t>
      </w:r>
    </w:p>
    <w:p>
      <w:pPr>
        <w:keepLines/>
      </w:pPr>
      <w:r>
        <w:rPr/>
        <w:t>步骤：用 9.99、10、20、20.01、空值及非数字判定。</w:t>
      </w:r>
    </w:p>
    <w:p>
      <w:pPr>
        <w:keepLines/>
      </w:pPr>
      <w:r>
        <w:rPr/>
        <w:t>预期：前四项依次失败、通过、通过、失败；空值和非数字按契约返回 non_numeric，人工状态不被覆盖。</w:t>
      </w:r>
    </w:p>
    <w:p>
      <w:pPr>
        <w:pStyle w:val="Heading2"/>
      </w:pPr>
      <w:r>
        <w:rPr/>
        <w:t>TC QCS 020 匹配隔离和历史快照</w:t>
      </w:r>
    </w:p>
    <w:p>
      <w:pPr>
        <w:keepNext/>
      </w:pPr>
      <w:r>
        <w:rPr/>
        <w:t>用例编号 TC-QCS-020；关联 REQ-QCS-010；优先级 P0；口径：开发目标 待下游联调。</w:t>
      </w:r>
    </w:p>
    <w:p>
      <w:pPr>
        <w:keepNext/>
        <w:keepLines/>
      </w:pPr>
      <w:r>
        <w:rPr/>
        <w:t>前置与数据：A/B 同名产品、两类别项目、无标准样本及已有判定记录。</w:t>
      </w:r>
    </w:p>
    <w:p>
      <w:pPr>
        <w:keepLines/>
      </w:pPr>
      <w:r>
        <w:rPr/>
        <w:t>步骤：按稳定产品 ID 判定；改标准后查看旧记录。</w:t>
      </w:r>
    </w:p>
    <w:p>
      <w:pPr>
        <w:keepLines/>
      </w:pPr>
      <w:r>
        <w:rPr/>
        <w:t>预期：不跨药企或类别借用阈值；缺标准返回 no_standard，多候选明确异常；旧结果保留当时阈值与单位。</w:t>
      </w:r>
    </w:p>
    <w:p>
      <w:pPr>
        <w:pStyle w:val="Heading2"/>
      </w:pPr>
      <w:r>
        <w:rPr/>
        <w:t>TC QCS 021 操作权限直接请求</w:t>
      </w:r>
    </w:p>
    <w:p>
      <w:pPr>
        <w:keepNext/>
      </w:pPr>
      <w:r>
        <w:rPr/>
        <w:t>用例编号 TC-QCS-021；关联 REQ-QCS-011；优先级 P0；口径：基线。</w:t>
      </w:r>
    </w:p>
    <w:p>
      <w:pPr>
        <w:keepNext/>
        <w:keepLines/>
      </w:pPr>
      <w:r>
        <w:rPr/>
        <w:t>前置与数据：A0 仅 qc:qcStandard:list/query。</w:t>
      </w:r>
    </w:p>
    <w:p>
      <w:pPr>
        <w:keepLines/>
      </w:pPr>
      <w:r>
        <w:rPr/>
        <w:t>步骤：检查按钮并直接调用新增、编辑、删除。</w:t>
      </w:r>
    </w:p>
    <w:p>
      <w:pPr>
        <w:keepLines/>
      </w:pPr>
      <w:r>
        <w:rPr/>
        <w:t>预期：只读用户不能写入，服务端拒绝；查询范围仍受药企过滤。</w:t>
      </w:r>
    </w:p>
    <w:p>
      <w:pPr>
        <w:pStyle w:val="Heading2"/>
      </w:pPr>
      <w:r>
        <w:rPr/>
        <w:t>TC QCS 022 产品选项权限与日志</w:t>
      </w:r>
    </w:p>
    <w:p>
      <w:pPr>
        <w:keepNext/>
      </w:pPr>
      <w:r>
        <w:rPr/>
        <w:t>用例编号 TC-QCS-022；关联 REQ-QCS-011；优先级 P0；口径：基线及目标。</w:t>
      </w:r>
    </w:p>
    <w:p>
      <w:pPr>
        <w:keepNext/>
        <w:keepLines/>
      </w:pPr>
      <w:r>
        <w:rPr/>
        <w:t>前置与数据：有标准维护权限但无 productConfig:list 的账号。</w:t>
      </w:r>
    </w:p>
    <w:p>
      <w:pPr>
        <w:keepLines/>
      </w:pPr>
      <w:r>
        <w:rPr/>
        <w:t>步骤：打开新增；补齐确认权限后保存并检查日志。</w:t>
      </w:r>
    </w:p>
    <w:p>
      <w:pPr>
        <w:keepLines/>
      </w:pPr>
      <w:r>
        <w:rPr/>
        <w:t>预期：缺依赖权限有明确反馈，不用旧选项继续提交；日志含操作者、标准和结果。</w:t>
      </w:r>
    </w:p>
    <w:p>
      <w:pPr>
        <w:pStyle w:val="Heading2"/>
      </w:pPr>
      <w:r>
        <w:rPr/>
        <w:t>TC QCS 023 加载失败和再次打开</w:t>
      </w:r>
    </w:p>
    <w:p>
      <w:pPr>
        <w:keepNext/>
      </w:pPr>
      <w:r>
        <w:rPr/>
        <w:t>用例编号 TC-QCS-023；关联 REQ-QCS-012；优先级 P1；口径：开发目标。</w:t>
      </w:r>
    </w:p>
    <w:p>
      <w:pPr>
        <w:keepNext/>
        <w:keepLines/>
      </w:pPr>
      <w:r>
        <w:rPr/>
        <w:t>前置与数据：产品选项请求首次成功、第二次失败。</w:t>
      </w:r>
    </w:p>
    <w:p>
      <w:pPr>
        <w:keepLines/>
      </w:pPr>
      <w:r>
        <w:rPr/>
        <w:t>步骤：更换上下文后打开抽屉并模拟失败，再恢复重试。</w:t>
      </w:r>
    </w:p>
    <w:p>
      <w:pPr>
        <w:keepLines/>
      </w:pPr>
      <w:r>
        <w:rPr/>
        <w:t>预期：旧产品选项不冒充当前数据；失败可见、可重试，恢复后名称映射准确。</w:t>
      </w:r>
    </w:p>
    <w:p>
      <w:pPr>
        <w:pStyle w:val="Heading2"/>
      </w:pPr>
      <w:r>
        <w:rPr/>
        <w:t>TC QCS 024 保存防重和删除取消</w:t>
      </w:r>
    </w:p>
    <w:p>
      <w:pPr>
        <w:keepNext/>
      </w:pPr>
      <w:r>
        <w:rPr/>
        <w:t>用例编号 TC-QCS-024；关联 REQ-QCS-012；优先级 P1；口径：开发目标。</w:t>
      </w:r>
    </w:p>
    <w:p>
      <w:pPr>
        <w:keepNext/>
        <w:keepLines/>
      </w:pPr>
      <w:r>
        <w:rPr/>
        <w:t>前置与数据：合法表单，模拟慢请求。</w:t>
      </w:r>
    </w:p>
    <w:p>
      <w:pPr>
        <w:keepLines/>
      </w:pPr>
      <w:r>
        <w:rPr/>
        <w:t>步骤：重复点保存，尝试遮罩/Esc/关闭；勾选批删后取消。</w:t>
      </w:r>
    </w:p>
    <w:p>
      <w:pPr>
        <w:keepLines/>
      </w:pPr>
      <w:r>
        <w:rPr/>
        <w:t>预期：保存状态受控且最多一次有效写入；失败保留输入；取消删除无数据变化。</w:t>
      </w:r>
    </w:p>
    <w:p>
      <w:pPr>
        <w:pStyle w:val="Heading1"/>
      </w:pPr>
      <w:r>
        <w:rPr/>
        <w:t>6 执行与验收记录</w:t>
      </w:r>
    </w:p>
    <w:p>
      <w:pPr>
        <w:keepNext/>
      </w:pPr>
      <w:r>
        <w:rPr/>
        <w:t>本稿共 12 项需求、6 项开发任务、24 条测试用例。全部业务用例状态为“待执行”，业务用例通过数为 0。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7903"/>
      </w:tblGrid>
      <w:tr>
        <w:trPr>
          <w:cantSplit/>
          <w:tblHeader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记录项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本次记录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已核对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相关页面、API、Controller、Service、Bo、实体、Mapper XML、建表和菜单脚本、历史设计。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未执行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未做在线 CRUD、基因导入、数据库回归、自动判定或性能测试；没有本次业务通过证据。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已有测试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本次定位范围内未发现这两个模块的专用业务测试文件；已有药企隔离测试不能替代产品关系、标准数值和基因导入测试。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文档验证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Markdown 为唯一内容源，Word 同步转换；实际内容校验与逐页渲染结果见交付报告。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执行补录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逐例记录环境、日期、执行者、实际结果、状态、截图或请求证据和缺陷编号；保留首次失败及复测记录。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验收建议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P0 全部验证且关键缺陷关闭；P1 遗留需评审接受；P2 下游未就绪时单独列出，不混入已完成范围。</w:t>
            </w:r>
          </w:p>
        </w:tc>
      </w:tr>
    </w:tbl>
    <w:p>
      <w:pPr>
        <w:spacing w:after="0" w:before="0" w:line="60" w:lineRule="exact"/>
      </w:pPr>
    </w:p>
    <w:p>
      <w:pPr>
        <w:pStyle w:val="Heading1"/>
      </w:pPr>
      <w:r>
        <w:rPr/>
        <w:t>7 待确认事项与实现差异</w:t>
      </w:r>
    </w:p>
    <w:p>
      <w:pPr>
        <w:pStyle w:val="ListNumber"/>
      </w:pPr>
      <w:r>
        <w:rPr/>
        <w:t>数值规则建议采用十进制闭区间，单侧可空但双侧不可都空，允许 min=max；0 有效。&lt;0.5 等表达式当前没有解释器，建议第一版拒绝并修改占位提示。精度、最大位数、负值是否可用按具体指标评审。</w:t>
      </w:r>
    </w:p>
    <w:p>
      <w:pPr>
        <w:pStyle w:val="ListNumber"/>
      </w:pPr>
      <w:r>
        <w:rPr/>
        <w:t>单位建议按指标统一并在判定前核对，百分数值采用 0–100 还是 0–1 需明确；本文不设生产阈值，不隐式换算。</w:t>
      </w:r>
    </w:p>
    <w:p>
      <w:pPr>
        <w:pStyle w:val="ListNumber"/>
      </w:pPr>
      <w:r>
        <w:rPr/>
        <w:t>产品和标准建议同药企；超管明确目标药企，新建仅选择启用产品。停用产品既有标准保留可读信息，标准变更是否允许修改 productId 需决定。</w:t>
      </w:r>
    </w:p>
    <w:p>
      <w:pPr>
        <w:pStyle w:val="ListNumber"/>
      </w:pPr>
      <w:r>
        <w:rPr/>
        <w:t>已使用标准建议禁删、保留使用快照。当前引用检查为空，且判定使用契约未建立，不能仅补一个虚构表查询；应分阶段落地。</w:t>
      </w:r>
    </w:p>
    <w:p>
      <w:pPr>
        <w:pStyle w:val="ListNumber"/>
      </w:pPr>
      <w:r>
        <w:rPr/>
        <w:t>自动判定、样本产品稳定关联、历史快照及版本模型属于 P2 联调，当前未实现。旧设计的 5,000 条内存过滤上限不能直接继承为本项目性能承诺。软删同组合恢复和阈值并发修改策略也需评审。</w:t>
      </w:r>
    </w:p>
    <w:p>
      <w:pPr/>
      <w:r>
        <w:rPr/>
        <w:t>评审后保持需求与用例编号稳定，同步更新任务、接口契约和预期结果。本文不自动授权修改业务代码、生产配置或数据。</w:t>
      </w:r>
    </w:p>
    <w:p>
      <w:pPr>
        <w:pStyle w:val="Heading1"/>
      </w:pPr>
      <w:r>
        <w:rPr/>
        <w:t>8 源码依据与变更记录</w:t>
      </w:r>
    </w:p>
    <w:p>
      <w:pPr/>
      <w:r>
        <w:rPr/>
        <w:t>以下路径相对仓库根目录 D:/workspace/enterprise/admin，均以当前文件实际内容为依据；代码注释中的历史结论需与实现并列核对。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template-frontend/src/views/project/qc-standard/index.vue</w:t>
      </w:r>
      <w:r>
        <w:rPr/>
        <w:t>：标准列表、范围显示、产品名称映射。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template-frontend/src/views/project/qc-standard/modules/qc-standard-search.vue</w:t>
      </w:r>
      <w:r>
        <w:rPr/>
        <w:t>：组合查询及启用产品选项。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template-frontend/src/views/project/qc-standard/modules/qc-standard-operate-drawer.vue</w:t>
      </w:r>
      <w:r>
        <w:rPr/>
        <w:t>：表单、范围提示、保存状态。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template-frontend/src/service/api/qc/qc-standard.ts</w:t>
      </w:r>
      <w:r>
        <w:rPr/>
        <w:t>：标准 API 封装。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template-frontend/src/service/api/project/product-config.ts</w:t>
      </w:r>
      <w:r>
        <w:rPr/>
        <w:t>：启用产品查询依赖。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template-backend/ruoyi-modules/ruoyi-qc/src/main/java/org/dromara/qc/controller/QcStandardController.java</w:t>
      </w:r>
      <w:r>
        <w:rPr/>
        <w:t>：接口、权限及校验分组。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template-backend/ruoyi-modules/ruoyi-qc/src/main/java/org/dromara/qc/service/impl/QcStandardServiceImpl.java</w:t>
      </w:r>
      <w:r>
        <w:rPr/>
        <w:t>：组合查重、CRUD 及空引用检查。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template-backend/ruoyi-modules/ruoyi-qc/src/main/java/org/dromara/qc/domain/bo/QcStandardBo.java</w:t>
      </w:r>
      <w:r>
        <w:rPr/>
        <w:t>：字段长度与默认组校验。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template-backend/ruoyi-modules/ruoyi-qc/src/main/java/org/dromara/qc/domain/QcStandard.java</w:t>
      </w:r>
      <w:r>
        <w:rPr/>
        <w:t>：实体、逻辑删除与字符串边界。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template-backend/ruoyi-modules/ruoyi-qc/src/main/resources/mapper/qc/QcStandardMapper.xml</w:t>
      </w:r>
      <w:r>
        <w:rPr/>
        <w:t>：现有 Mapper XML 落位。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template-backend/ruoyi-modules/ruoyi-qc/src/main/java/org/dromara/qc/service/impl/QcRecordServiceImpl.java</w:t>
      </w:r>
      <w:r>
        <w:rPr/>
        <w:t>：当前记录 CRUD，未接自动判定。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template-backend/ruoyi-modules/ruoyi-qc/src/main/resources/mapper/qc/QcRecordMapper.xml</w:t>
      </w:r>
      <w:r>
        <w:rPr/>
        <w:t>：判定关联待实现说明。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template-backend/script/sql/business/qc.sql</w:t>
      </w:r>
      <w:r>
        <w:rPr/>
        <w:t>：标准表、组合唯一键和菜单权限。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template-backend/script/sql/business/project.sql</w:t>
      </w:r>
      <w:r>
        <w:rPr/>
        <w:t>：关联产品结构。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template-backend/script/sql/business/00-project-menu.sql</w:t>
      </w:r>
      <w:r>
        <w:rPr/>
        <w:t>：项目管理父目录。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template-frontend/src/locales/langs/zh-cn.ts</w:t>
      </w:r>
      <w:r>
        <w:rPr/>
        <w:t>：两个菜单的中文名称。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docs/context/设计文档/spec.md</w:t>
      </w:r>
      <w:r>
        <w:rPr/>
        <w:t>：历史数值判定与标准业务意图。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docs/context/设计文档/product-config.md</w:t>
      </w:r>
      <w:r>
        <w:rPr/>
        <w:t>：产品状态与引用保护意图。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template-backend/ruoyi-common/ruoyi-common-mybatis/src/main/java/org/dromara/common/mybatis/handler/TenantLineHandlerImpl.java</w:t>
      </w:r>
      <w:r>
        <w:rPr/>
        <w:t>：普通药企隔离、超级管理员绕过及基因库共享表。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template-backend/ruoyi-common/ruoyi-common-core/src/main/java/org/dromara/common/core/validate/AddGroup.java</w:t>
      </w:r>
      <w:r>
        <w:rPr/>
        <w:t>、</w:t>
      </w:r>
      <w:r>
        <w:rPr>
          <w:rFonts w:ascii="Consolas" w:hAnsi="Consolas" w:eastAsia="Microsoft YaHei"/>
          <w:sz w:val="18"/>
        </w:rPr>
        <w:t>template-backend/ruoyi-common/ruoyi-common-core/src/main/java/org/dromara/common/core/validate/EditGroup.java</w:t>
      </w:r>
      <w:r>
        <w:rPr/>
        <w:t>：校验分组定义，未继承默认分组。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.agents/skills/module-dev-test-docs/SKILL.md</w:t>
      </w:r>
      <w:r>
        <w:rPr/>
        <w:t>：模块文档、证据分类与双格式交付规范。</w:t>
      </w:r>
    </w:p>
    <w:p>
      <w:pPr/>
      <w:r>
        <w:rPr/>
        <w:t>2026-10-03 V1.0：补齐当前功能说明、开发差距、实施任务、可追踪测试及跨模块边界。本文为评审稿，未宣称完成业务验收。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6"/>
      </w:rPr>
      <w:t xml:space="preserve">第 </w:t>
    </w:r>
    <w:fldSimple w:instr="PAGE"/>
    <w:r>
      <w:rPr>
        <w:rFonts w:ascii="Microsoft YaHei" w:hAnsi="Microsoft YaHei" w:eastAsia="Microsoft YaHei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76" w:lineRule="auto"/>
      <w:outlineLvl w:val="0"/>
    </w:pPr>
    <w:rPr>
      <w:rFonts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outlineLvl w:val="1"/>
    </w:pPr>
    <w:rPr>
      <w:rFonts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276" w:lineRule="auto"/>
      <w:outlineLvl w:val="2"/>
    </w:pPr>
    <w:rPr>
      <w:rFonts w:ascii="Microsoft YaHei" w:hAnsi="Microsoft YaHei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76" w:lineRule="auto"/>
      <w:contextualSpacing/>
    </w:pPr>
    <w:rPr>
      <w:rFonts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2" w:lineRule="auto"/>
      <w:contextualSpacing/>
    </w:pPr>
    <w:rPr>
      <w:rFonts w:ascii="Microsoft YaHei" w:hAnsi="Microsoft YaHei" w:eastAsia="Microsoft YaHei"/>
      <w:b w:val="0"/>
      <w:color w:val="000000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2" w:lineRule="auto"/>
      <w:contextualSpacing/>
    </w:pPr>
    <w:rPr>
      <w:rFonts w:ascii="Microsoft YaHei" w:hAnsi="Microsoft YaHei" w:eastAsia="Microsoft YaHei"/>
      <w:b w:val="0"/>
      <w:color w:val="000000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项目管理 质控标准开发测试文档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