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系统管理 用户管理开发测试文档</w:t>
      </w:r>
    </w:p>
    <w:p>
      <w:pPr/>
      <w:r>
        <w:rPr/>
        <w:t>用户管理负责建立药企人员账号、维护账号状态及分配角色。开发重点是让用户归属、角色授权和账号生命周期在页面与直接接口请求中保持一致，并补齐导入失败后的可追踪结果。</w:t>
      </w:r>
    </w:p>
    <w:p>
      <w:pPr/>
      <w:r>
        <w:rPr/>
        <w:t>本文件供需求评审、开发实施和测试验收使用。请先确认第 4 节的开发任务及第 7 节的业务决策，再按用例执行验收。当前代码存在对应模块，本次补充可实施的开发内容，不将代码存在等同于功能已验收。</w:t>
      </w:r>
    </w:p>
    <w:p>
      <w:pPr>
        <w:pStyle w:val="Heading1"/>
        <w:keepNext/>
      </w:pPr>
      <w:r>
        <w:rPr/>
        <w:t>1 范围与依据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版本与日期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V1.0 评审稿，2026-10-03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读取基线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c2da35a74456d96232e6d6fc3360c389f6d6d485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工作区说明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读取时已有药企管理文档的未提交修改及 Word 临时锁文件；本次仅新增本模块文档，提交号不代表完整工作区状态。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用户确认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按用户管理、角色管理、菜单管理顺序补齐文档。共享角色和菜单由平台超级管理员维护；普通管理员仅管理本药企用户；菜单批量删除清理角色关联。补强方案先写入文档待评审。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证据分类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已确认：本次明确答复；代码基线：静态读取，待运行核验；建议：开发方案待评审，不代表已经实现。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系统与范围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目标系统 http://172.20.1.150:9527/。本稿依据本地代码及用户提供的菜单截图；截图仅证明入口名称，不能证明在线行为。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验证状态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本次未执行在线业务用例。前次访问目标环境超时是历史排障记录，不作为本次测试结果。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角色约定：平台超级管理员按现有服务端 userId=1 识别，保留角色标识为 superadmin；药企管理员指具有相应操作权限的本药企用户，并非新增角色编码。所有接口仍须校验登录、操作权限和数据归属。菜单部分接口还检查 superadmin 角色，详见权限说明。</w:t>
      </w:r>
    </w:p>
    <w:p>
      <w:pPr/>
      <w:r>
        <w:rPr/>
        <w:t>本次不扩展部门、岗位、审批、套餐或计费。旧设计资料中的 React、Nest、/api/role_manager 和 authz_permissions 与当前 Vue、Spring、/system 及 sys_* 实现存在差异，旧资料仅作背景，开发应以本稿列出的已查证路径为起点。</w:t>
      </w:r>
    </w:p>
    <w:p>
      <w:pPr>
        <w:pStyle w:val="Heading1"/>
      </w:pPr>
      <w:r>
        <w:rPr/>
        <w:t>2 当前实现与数据约束</w:t>
      </w:r>
    </w:p>
    <w:p>
      <w:pPr/>
      <w:r>
        <w:rPr/>
        <w:t>当前页面已接入真实 /system/user 接口，支持筛选分页、新增编辑、状态切换、重置密码、删除和 Excel 导入导出。新增及编辑抽屉会读取可选角色；新增显示账号与密码，编辑不显示这两个输入项。平台超级管理员可选择药企，普通用户使用当前药企，编辑时药企不可在页面修改。</w:t>
      </w:r>
    </w:p>
    <w:p>
      <w:pPr/>
      <w:r>
        <w:rPr/>
        <w:t>服务端查询受药企隔离约束，账号、手机号、邮箱重复检查跨药企进行；删除为逻辑删除并清理用户角色关系。userId=1 受保护，批量删除包含当前登录用户会被拒绝。页面中隐藏操作按钮不代替服务端检查。角色信息与菜单权限涉及登录态，当前用户编辑、密码重置和状态修改路径未见统一会话失效处理，需专项补齐。</w:t>
      </w:r>
    </w:p>
    <w:p>
      <w:pPr>
        <w:pStyle w:val="Heading2"/>
        <w:keepNext/>
      </w:pPr>
      <w:r>
        <w:rPr/>
        <w:t>2 1 主要字段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当前约束与开发关注点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userId / tenantId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ID 为身份标识；tenantId 在 Bo 中必填。服务端校验药企存在、启用及归属；编辑不允许迁移药企。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userName / nickName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账号服务端 2–30 字符、必填并校验 XSS；昵称必填、最多 30 字符。页面账号仅必填，需对齐。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email / phonenumber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邮箱格式及最多 50 字符已校验；手机号 Bo 缺少格式约束，前端存在手机号正则。非空值做全局重复检查。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password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新增与重置控制器使用 BCrypt；普通编辑 Bo 仍包含 password 字段，应使用字段白名单防止绕过专用入口。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sex / status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页面使用字典，状态 0 正常、1 停用；直接请求缺少统一枚举校验。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roleIds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页面要求至少一个角色；服务端 @Size(min=1) 不拒绝 null，关系写入辅助方法遇空集合提前返回。</w:t>
            </w:r>
          </w:p>
        </w:tc>
      </w:tr>
      <w:tr>
        <w:trPr>
          <w:cantSplit/>
        </w:trPr>
        <w:tc>
          <w:tcPr>
            <w:tcW w:type="dxa" w:w="2506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delFlag / remark</w:t>
            </w:r>
          </w:p>
        </w:tc>
        <w:tc>
          <w:tcPr>
            <w:tcW w:type="dxa" w:w="713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用户采用逻辑删除；备注与业务长度约束需与数据库及页面共同核对。</w:t>
            </w:r>
          </w:p>
        </w:tc>
      </w:tr>
    </w:tbl>
    <w:p>
      <w:pPr>
        <w:spacing w:after="0" w:before="0" w:line="60" w:lineRule="exact"/>
      </w:pPr>
    </w:p>
    <w:p>
      <w:pPr>
        <w:pStyle w:val="Heading2"/>
      </w:pPr>
      <w:r>
        <w:rPr/>
        <w:t>2 2 接口与权限</w:t>
      </w:r>
    </w:p>
    <w:p>
      <w:pPr>
        <w:keepNext/>
      </w:pPr>
      <w:r>
        <w:rPr/>
        <w:t>以下为现有接口。路径参数用花括号表示；用户或角色主列表返回分页 rows/total，其他业务接口使用项目统一响应。拒绝场景以业务响应与数据无变化为断言，不预设尚未运行确认的 HTTP 状态码。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0"/>
        <w:gridCol w:w="5108"/>
      </w:tblGrid>
      <w:tr>
        <w:trPr>
          <w:cantSplit/>
          <w:tblHeader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方法与路径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用途及权限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/system/user/list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列表与筛选，system:user:list。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/system/user/ 或 /{userId}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新增元数据或用户角色详情，system:user:query。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/system/user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新增 JSON 用户，system:user:add，重复提交控制。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/system/user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编辑 JSON 用户，system:user:edit，重复提交控制。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DELETE /system/user/{userIds}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单个或多个 ID 删除，system:user:remove。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/system/user/changeStatus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状态变更，system:user:edit。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/system/user/resetPwd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密码重置，system:user:resetPwd；前端启用加密请求头。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/system/user/export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按条件导出，system:user:export。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/system/user/importData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multipart 文件与 updateSupport，system:user:import。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POST /system/user/importTemplate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模板下载；方法未声明操作权限，仍受全局认证保护。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/system/user/authRole/{userId}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查询用户角色，system:user:query。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PUT /system/user/authRole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分配角色，system:user:edit；控制器接收 userId、roleIds 参数，现有前端封装使用 JSON，需要联调对齐。</w:t>
            </w:r>
          </w:p>
        </w:tc>
      </w:tr>
      <w:tr>
        <w:trPr>
          <w:cantSplit/>
        </w:trPr>
        <w:tc>
          <w:tcPr>
            <w:tcW w:type="dxa" w:w="4530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GET /system/user/optionselect</w:t>
            </w:r>
          </w:p>
        </w:tc>
        <w:tc>
          <w:tcPr>
            <w:tcW w:type="dxa" w:w="5108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可选正常用户，system:user:query。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3 需求与验收标准</w:t>
      </w:r>
    </w:p>
    <w:p>
      <w:pPr>
        <w:keepNext/>
      </w:pPr>
      <w:r>
        <w:rPr/>
        <w:t>“基线”表示当前实现待运行核验；“目标”表示建议开发后应达到的结果。已确认的权限方向仍需要直接请求服务端验证。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5879"/>
        <w:gridCol w:w="1542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规则与可观察验收结果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REQ-USR-001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已授权管理员按账号、昵称、手机、状态及创建时间筛选分页；重置恢复默认条件，结果与总数一致。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REQ-USR-002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普通管理员查询或修改其他药企用户必须拒绝；新增不得伪造归属，停用药企不得创建用户，编辑不得迁移药企。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用户确认及基线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REQ-USR-003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合法账号创建后只产生一条用户及角色关系；账号、手机号、邮箱冲突时给出可理解提示，无部分写入。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REQ-USR-004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编辑只允许约定资料字段；目标为禁止普通编辑写密码及越权字段，角色与资料原子更新。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REQ-USR-005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目标为新增及重置密码的必填、长度和强度在服务端一致校验；日志及列表不得暴露明文或散列。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REQ-USR-006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保留超级管理员不可经普通管理入口修改、停用或删除；删除自己及包含自己的批量删除拒绝。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REQ-USR-007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目标为停用、删除、重置密码及角色变更后按确认策略收回旧会话权限；重新登录获取新权限。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REQ-USR-008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角色必须存在且允许分配，普通用户不可取得保留超级管理员角色；目标为 null、空及停用角色有明确处理。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REQ-USR-009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导入使用模板和 updateSupport 控制覆盖；目标为逐行结果准确，部分成功可追踪且页面刷新。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REQ-USR-010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导出沿用当前筛选与药企隔离，仅有导出权限者可操作，文件不包含密码。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代码基线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REQ-USR-011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目标为重复点击、网络错误、无操作权限、受保护行选择均有一致反馈；服务端拒绝不改变界面最终状态。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建议待评审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REQ-USR-012</w:t>
            </w:r>
          </w:p>
        </w:tc>
        <w:tc>
          <w:tcPr>
            <w:tcW w:type="dxa" w:w="5879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目标为删除账号名称复用策略明确，数据库冲突可解释；操作审计记录操作者与目标而不泄露敏感字段。</w:t>
            </w:r>
          </w:p>
        </w:tc>
        <w:tc>
          <w:tcPr>
            <w:tcW w:type="dxa" w:w="1542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基线及目标</w:t>
            </w:r>
          </w:p>
        </w:tc>
      </w:tr>
    </w:tbl>
    <w:p>
      <w:pPr>
        <w:spacing w:after="0" w:before="0" w:line="60" w:lineRule="exact"/>
      </w:pPr>
    </w:p>
    <w:p>
      <w:pPr>
        <w:pStyle w:val="Heading1"/>
      </w:pPr>
      <w:r>
        <w:rPr/>
        <w:t>4 开发内容与实施顺序</w:t>
      </w:r>
    </w:p>
    <w:p>
      <w:pPr/>
      <w:r>
        <w:rPr/>
        <w:t>以下任务均为计划开发、待评审，尚未修改业务代码。P0 优先处理权限、数据正确性和事务问题；P1 补齐交互与异常。按任务顺序实施，接口或数据库方案评审通过后再编码。路径别名见第 8 节。</w:t>
      </w:r>
    </w:p>
    <w:p>
      <w:pPr>
        <w:pStyle w:val="Heading2"/>
      </w:pPr>
      <w:r>
        <w:rPr/>
        <w:t>DEV USR 001 统一输入校验与更新白名单</w:t>
      </w:r>
    </w:p>
    <w:p>
      <w:pPr>
        <w:keepNext/>
      </w:pPr>
      <w:r>
        <w:rPr/>
        <w:t>优先级 P0；关联 REQ-USR-003、REQ-USR-004、REQ-USR-005。</w:t>
      </w:r>
    </w:p>
    <w:p>
      <w:pPr/>
      <w:r>
        <w:rPr/>
        <w:t>现状依据：B/java/org/dromara/system/domain/bo/SysUserBo.java 的密码与状态缺少专用约束；SysUserController 的 resetPwd、changeStatus 未对完整 Bo 使用分组校验。普通 updateUser 仍接收含 password 的对象。</w:t>
      </w:r>
    </w:p>
    <w:p>
      <w:pPr/>
      <w:r>
        <w:rPr/>
        <w:t>开发方案：在现有 Bo 或新增专用请求对象中区分新增、编辑、状态、重置校验；新增必须提供密码，重置必须提供目标 ID 和合规密码。普通编辑显式排除 password、delFlag 等非资料字段。统一账号、昵称、手机、邮箱边界；同步 F/views/system/user/modules/user-operate-drawer.vue 和 user-password-drawer.vue。沿用加密及 BCrypt，不新增明文存储。</w:t>
      </w:r>
    </w:p>
    <w:p>
      <w:pPr/>
      <w:r>
        <w:rPr/>
        <w:t>完成标准：直接提交空密码、非法状态、超长昵称和编辑夹带 password 均被拒绝或明确忽略白名单外字段；正常编辑保持原密码可用。覆盖 TC-USR-005 至 010，失败无部分数据更新。</w:t>
      </w:r>
    </w:p>
    <w:p>
      <w:pPr>
        <w:pStyle w:val="Heading2"/>
      </w:pPr>
      <w:r>
        <w:rPr/>
        <w:t>DEV USR 002 收紧角色分配与药企边界</w:t>
      </w:r>
    </w:p>
    <w:p>
      <w:pPr>
        <w:keepNext/>
      </w:pPr>
      <w:r>
        <w:rPr/>
        <w:t>优先级 P0；关联 REQ-USR-002、REQ-USR-008。</w:t>
      </w:r>
    </w:p>
    <w:p>
      <w:pPr/>
      <w:r>
        <w:rPr/>
        <w:t>现状依据：SysUserServiceImpl.insertUserRole 对 null 或空角色集合提前返回；Bo 的 @Size 不能拦截 null。角色存在性检查与保留角色过滤已有实现，但仍需明确停用及可委派范围。</w:t>
      </w:r>
    </w:p>
    <w:p>
      <w:pPr/>
      <w:r>
        <w:rPr/>
        <w:t>开发方案：新增及授权入口显式要求非空角色；是否允许无角色账号先按第 7 节评审。对角色 ID 去重并校验存在、状态及操作者可分配范围；统一普通编辑与 authRole 的服务层校验。修正 F/service/api/system/user.ts 中 authRole 的参数绑定，使其与控制器一致。归属校验保留在服务层，批量操作先校验全部目标。</w:t>
      </w:r>
    </w:p>
    <w:p>
      <w:pPr/>
      <w:r>
        <w:rPr/>
        <w:t>完成标准：null、空、重复、不存在、停用及保留角色分别有稳定结果；伪造药企和跨药企 ID 拒绝。新增失败不留下用户孤立记录，TC-USR-003、004、015、016 覆盖。</w:t>
      </w:r>
    </w:p>
    <w:p>
      <w:pPr>
        <w:pStyle w:val="Heading2"/>
      </w:pPr>
      <w:r>
        <w:rPr/>
        <w:t>DEV USR 003 统一账号变更后的会话处理</w:t>
      </w:r>
    </w:p>
    <w:p>
      <w:pPr>
        <w:keepNext/>
      </w:pPr>
      <w:r>
        <w:rPr/>
        <w:t>优先级 P0；关联 REQ-USR-006、REQ-USR-007。</w:t>
      </w:r>
    </w:p>
    <w:p>
      <w:pPr/>
      <w:r>
        <w:rPr/>
        <w:t>现状依据：SysUserServiceImpl 的 updateUserStatus、resetUserPwd、updateUser 等路径未见统一注销旧会话调用；角色模块已有 cleanOnlineUser 的处理，可评估复用。</w:t>
      </w:r>
    </w:p>
    <w:p>
      <w:pPr/>
      <w:r>
        <w:rPr/>
        <w:t>开发方案：提取共享账号权限变更处理，事务提交后清除受影响用户全部有效会话或使权限版本失效。建议停用、删除及重置密码立即失效，启用不恢复旧会话；角色变更要求重新认证或可靠刷新权限。前端明确提示影响范围，异常记录可追踪。该行为细节待评审。</w:t>
      </w:r>
    </w:p>
    <w:p>
      <w:pPr/>
      <w:r>
        <w:rPr/>
        <w:t>完成标准：用两个浏览器会话和直接 API 验证旧令牌不能继续调用已收回权限；不只检查登录页面。会话失效失败有记录并可重试，TC-USR-011 至 014 覆盖。</w:t>
      </w:r>
    </w:p>
    <w:p>
      <w:pPr>
        <w:pStyle w:val="Heading2"/>
      </w:pPr>
      <w:r>
        <w:rPr/>
        <w:t>DEV USR 004 完善导入结果与错误展示</w:t>
      </w:r>
    </w:p>
    <w:p>
      <w:pPr>
        <w:keepNext/>
      </w:pPr>
      <w:r>
        <w:rPr/>
        <w:t>优先级 P0；关联 REQ-USR-008、REQ-USR-009。</w:t>
      </w:r>
    </w:p>
    <w:p>
      <w:pPr/>
      <w:r>
        <w:rPr/>
        <w:t>现状依据：B/java/org/dromara/system/listener/SysUserImportListener.java 逐行调用服务，累积失败后抛异常，可能已保存部分成功行；模板没有 roleIds。user-import-modal.vue 使用 HTML 展示返回消息，失败后可能不刷新列表。</w:t>
      </w:r>
    </w:p>
    <w:p>
      <w:pPr/>
      <w:r>
        <w:rPr/>
        <w:t>开发方案：优先保留逐行导入，返回可追踪的成功、失败及原因，不伪称整批回滚；如业务选择全量事务须另评估文件规模。评审默认角色来源，禁止静默生成无角色账号。服务端校验文件及每行归属；前端以纯文本或受控结构展示错误，不直接插入包含输入数据的 HTML；只要存在成功行就刷新。限制与提示须前后端一致。</w:t>
      </w:r>
    </w:p>
    <w:p>
      <w:pPr/>
      <w:r>
        <w:rPr/>
        <w:t>完成标准：一好一坏两行、覆盖开关、跨药企账号及恶意 HTML 文本均有准确结果，无未授权写入或脚本执行。TC-USR-017、018 记录每行证据与角色关系。</w:t>
      </w:r>
    </w:p>
    <w:p>
      <w:pPr>
        <w:pStyle w:val="Heading2"/>
      </w:pPr>
      <w:r>
        <w:rPr/>
        <w:t>DEV USR 005 补齐列表和表单交互</w:t>
      </w:r>
    </w:p>
    <w:p>
      <w:pPr>
        <w:keepNext/>
      </w:pPr>
      <w:r>
        <w:rPr/>
        <w:t>优先级 P1；关联 REQ-USR-001、REQ-USR-010、REQ-USR-011。</w:t>
      </w:r>
    </w:p>
    <w:p>
      <w:pPr/>
      <w:r>
        <w:rPr/>
        <w:t>现状依据：F/views/system/user/index.vue 的状态控件未显式按 edit 权限限制；超级管理员行操作隐藏但选择列仍可选。多个抽屉提交未见统一保存锁。</w:t>
      </w:r>
    </w:p>
    <w:p>
      <w:pPr/>
      <w:r>
        <w:rPr/>
        <w:t>开发方案：状态按钮按权限禁用并在失败后恢复真实值；受保护行禁止勾选；保存、重置和导入处理中防止重复操作，finally 释放状态。按平台使用需要评审药企筛选项，普通用户不提供跨药企选择。用户名长度与动态密码必填规则和后端保持一致；导出复用当前查询条件。</w:t>
      </w:r>
    </w:p>
    <w:p>
      <w:pPr/>
      <w:r>
        <w:rPr/>
        <w:t>完成标准：无 edit 权限仅可查看；连续点击只产生一次有效写入；失败保留输入并可重试，筛选及导出结果一致。TC-USR-001、002、019 至 022 覆盖。</w:t>
      </w:r>
    </w:p>
    <w:p>
      <w:pPr>
        <w:pStyle w:val="Heading2"/>
      </w:pPr>
      <w:r>
        <w:rPr/>
        <w:t>DEV USR 006 确定唯一性与审计策略</w:t>
      </w:r>
    </w:p>
    <w:p>
      <w:pPr>
        <w:keepNext/>
      </w:pPr>
      <w:r>
        <w:rPr/>
        <w:t>优先级 P1；关联 REQ-USR-003、REQ-USR-012。</w:t>
      </w:r>
    </w:p>
    <w:p>
      <w:pPr/>
      <w:r>
        <w:rPr/>
        <w:t>现状依据：账号全局唯一数据库索引与逻辑删除并存；应用重复检查可能排除已删除记录。手机号和邮箱的应用层检查还需验证并发行为。</w:t>
      </w:r>
    </w:p>
    <w:p>
      <w:pPr/>
      <w:r>
        <w:rPr/>
        <w:t>开发方案：建议账号一经使用不复用，以保留审计可追踪性；应用查询应包含已删除账号并返回明确占用提示。若选择允许复用，须另写迁移及历史关联方案。手机号、邮箱的空值语义和删除后复用另评审，再决定是否加索引。并发唯一冲突转为业务错误，操作日志对密码字段脱敏。</w:t>
      </w:r>
    </w:p>
    <w:p>
      <w:pPr/>
      <w:r>
        <w:rPr/>
        <w:t>完成标准：并发同账号最多一条有效记录；删除后重建按已确认策略提示；日志含目标与结果，无凭据。TC-USR-023、024 覆盖，数据库变更另交迁移及回滚。</w:t>
      </w:r>
    </w:p>
    <w:p>
      <w:pPr>
        <w:pStyle w:val="Heading2"/>
      </w:pPr>
      <w:r>
        <w:rPr/>
        <w:t>4 7 数据变更与联调要求</w:t>
      </w:r>
    </w:p>
    <w:p>
      <w:pPr/>
      <w:r>
        <w:rPr/>
        <w:t>先沿用现有表和逻辑删除约定，不直接改初始化 SQL 充当已部署环境升级。若任务确需新增索引或字段，在 script/sql/update 下新增经评审的增量迁移；先检查存量异常，给出兼容及回滚方案。简单查询使用 MyBatis-Plus，复杂多表查询按项目约定放 Mapper XML。</w:t>
      </w:r>
    </w:p>
    <w:p>
      <w:pPr/>
      <w:r>
        <w:rPr/>
        <w:t>每次改动同步前端 API 类型、参数绑定、服务端校验与测试。涉及数据库关系的写入在同一事务中完成；会话失效和缓存处理属于事务外效果，应在提交后执行并记录失败，不以数据库回滚假装撤销已失效的会话。</w:t>
      </w:r>
    </w:p>
    <w:p>
      <w:pPr/>
      <w:r>
        <w:rPr/>
        <w:t>联调顺序：先补用户身份与药企归属校验，再处理角色及用户关系，最后联调菜单授权、路由与按钮权限。用户管理中的角色选择可先使用隔离环境预置角色，最终必须执行三模块联动验收。</w:t>
      </w:r>
    </w:p>
    <w:p>
      <w:pPr>
        <w:pStyle w:val="Heading1"/>
      </w:pPr>
      <w:r>
        <w:rPr/>
        <w:t>5 测试准备与测试用例</w:t>
      </w:r>
    </w:p>
    <w:p>
      <w:pPr/>
      <w:r>
        <w:rPr/>
        <w:t>使用隔离测试环境，准备启用药企 A、B 和停用药企 C；账号 S 为平台超级管理员，A1、B1 为有管理权限的药企管理员，A0 为无操作权限用户，U1、U2 为测试成员。角色 R1、R2、停用角色 R3，目录 D1、页面 M1、按钮 F1 均使用测试专属数据。名称以 DOC_TEST_ 开头，字段长度测试另行构造合法值。</w:t>
      </w:r>
    </w:p>
    <w:p>
      <w:pPr/>
      <w:r>
        <w:rPr/>
        <w:t>测试前记录数据库与 Redis 配置、应用提交号、前端构建号及开关，备份测试数据。凭据从测试环境保密渠道取得，不写入本文。删除、停用和授权回收仅针对自建测试数据；禁止修改保留超级管理员或真实业务记录。</w:t>
      </w:r>
    </w:p>
    <w:p>
      <w:pPr/>
      <w:r>
        <w:rPr/>
        <w:t>每例前置角色须具有接口所需权限；权限不足用例除外。涉及“直接请求”的用例使用隔离环境已有接口测试工具，保留脱敏请求、响应、前后数据及操作日志。建议目标尚未开发时记录为“未实现”或“失败并关联缺陷”，不得调整预期以掩盖差异。</w:t>
      </w:r>
    </w:p>
    <w:p>
      <w:pPr>
        <w:pStyle w:val="Heading2"/>
      </w:pPr>
      <w:r>
        <w:rPr/>
        <w:t>TC USR 001 组合查询与分页</w:t>
      </w:r>
    </w:p>
    <w:p>
      <w:pPr>
        <w:keepNext/>
      </w:pPr>
      <w:r>
        <w:rPr/>
        <w:t>用例编号 TC-USR-001；关联 REQ-USR-001；优先级 P1；口径：基线。</w:t>
      </w:r>
    </w:p>
    <w:p>
      <w:pPr>
        <w:keepNext/>
        <w:keepLines/>
      </w:pPr>
      <w:r>
        <w:rPr/>
        <w:t>前置与数据：A 下至少 21 名测试用户，包含不同状态和日期。</w:t>
      </w:r>
    </w:p>
    <w:p>
      <w:pPr>
        <w:keepLines/>
      </w:pPr>
      <w:r>
        <w:rPr/>
        <w:t>步骤：A1 组合账号、昵称、手机及日期查询；切换第 2 页。</w:t>
      </w:r>
    </w:p>
    <w:p>
      <w:pPr>
        <w:keepLines/>
      </w:pPr>
      <w:r>
        <w:rPr/>
        <w:t>预期：各条件共同生效，总数正确，跨页不重复，不出现 B 的用户。</w:t>
      </w:r>
    </w:p>
    <w:p>
      <w:pPr>
        <w:pStyle w:val="Heading2"/>
      </w:pPr>
      <w:r>
        <w:rPr/>
        <w:t>TC USR 002 空结果与重置</w:t>
      </w:r>
    </w:p>
    <w:p>
      <w:pPr>
        <w:keepNext/>
      </w:pPr>
      <w:r>
        <w:rPr/>
        <w:t>用例编号 TC-USR-002；关联 REQ-USR-001；优先级 P1；口径：基线。</w:t>
      </w:r>
    </w:p>
    <w:p>
      <w:pPr>
        <w:keepNext/>
        <w:keepLines/>
      </w:pPr>
      <w:r>
        <w:rPr/>
        <w:t>前置与数据：已定位有结果的筛选条件。</w:t>
      </w:r>
    </w:p>
    <w:p>
      <w:pPr>
        <w:keepLines/>
      </w:pPr>
      <w:r>
        <w:rPr/>
        <w:t>步骤：改为不存在的账号查询，再重置。</w:t>
      </w:r>
    </w:p>
    <w:p>
      <w:pPr>
        <w:keepLines/>
      </w:pPr>
      <w:r>
        <w:rPr/>
        <w:t>预期：显示空状态和 0 总数；重置回默认条件及首页，旧条件不残留。</w:t>
      </w:r>
    </w:p>
    <w:p>
      <w:pPr>
        <w:pStyle w:val="Heading2"/>
      </w:pPr>
      <w:r>
        <w:rPr/>
        <w:t>TC USR 003 伪造药企及越权读取</w:t>
      </w:r>
    </w:p>
    <w:p>
      <w:pPr>
        <w:keepNext/>
      </w:pPr>
      <w:r>
        <w:rPr/>
        <w:t>用例编号 TC-USR-003；关联 REQ-USR-002；优先级 P0；口径：基线。</w:t>
      </w:r>
    </w:p>
    <w:p>
      <w:pPr>
        <w:keepNext/>
        <w:keepLines/>
      </w:pPr>
      <w:r>
        <w:rPr/>
        <w:t>前置与数据：A1 与 B 的 U2，均为有效测试账号。</w:t>
      </w:r>
    </w:p>
    <w:p>
      <w:pPr>
        <w:keepLines/>
      </w:pPr>
      <w:r>
        <w:rPr/>
        <w:t>步骤：A1 在新增请求传入 B 的 tenantId，并请求 U2 详情和按 B 筛选的列表。</w:t>
      </w:r>
    </w:p>
    <w:p>
      <w:pPr>
        <w:keepLines/>
      </w:pPr>
      <w:r>
        <w:rPr/>
        <w:t>预期：新增及越权详情明确拒绝；列表不得返回 B 用户数据，不能因传入 tenantId 绕过隔离；无新增记录。</w:t>
      </w:r>
    </w:p>
    <w:p>
      <w:pPr>
        <w:pStyle w:val="Heading2"/>
      </w:pPr>
      <w:r>
        <w:rPr/>
        <w:t>TC USR 004 停用药企及归属迁移</w:t>
      </w:r>
    </w:p>
    <w:p>
      <w:pPr>
        <w:keepNext/>
      </w:pPr>
      <w:r>
        <w:rPr/>
        <w:t>用例编号 TC-USR-004；关联 REQ-USR-002；优先级 P0；口径：基线。</w:t>
      </w:r>
    </w:p>
    <w:p>
      <w:pPr>
        <w:keepNext/>
        <w:keepLines/>
      </w:pPr>
      <w:r>
        <w:rPr/>
        <w:t>前置与数据：S、停用 C、A 的 U1。</w:t>
      </w:r>
    </w:p>
    <w:p>
      <w:pPr>
        <w:keepLines/>
      </w:pPr>
      <w:r>
        <w:rPr/>
        <w:t>步骤：S 向 C 新增用户，再把 U1 的 tenantId 改成 B。</w:t>
      </w:r>
    </w:p>
    <w:p>
      <w:pPr>
        <w:keepLines/>
      </w:pPr>
      <w:r>
        <w:rPr/>
        <w:t>预期：两项均拒绝，U1 仍属于 A，C 无新增用户。</w:t>
      </w:r>
    </w:p>
    <w:p>
      <w:pPr>
        <w:pStyle w:val="Heading2"/>
      </w:pPr>
      <w:r>
        <w:rPr/>
        <w:t>TC USR 005 合法创建与重复账号</w:t>
      </w:r>
    </w:p>
    <w:p>
      <w:pPr>
        <w:keepNext/>
      </w:pPr>
      <w:r>
        <w:rPr/>
        <w:t>用例编号 TC-USR-005；关联 REQ-USR-003；优先级 P0；口径：基线。</w:t>
      </w:r>
    </w:p>
    <w:p>
      <w:pPr>
        <w:keepNext/>
        <w:keepLines/>
      </w:pPr>
      <w:r>
        <w:rPr/>
        <w:t>前置与数据：A 启用，R1 可分配，账号名未使用。</w:t>
      </w:r>
    </w:p>
    <w:p>
      <w:pPr>
        <w:keepLines/>
      </w:pPr>
      <w:r>
        <w:rPr/>
        <w:t>步骤：新增用户并选择 R1；再次提交相同账号。</w:t>
      </w:r>
    </w:p>
    <w:p>
      <w:pPr>
        <w:keepLines/>
      </w:pPr>
      <w:r>
        <w:rPr/>
        <w:t>预期：第一次保存用户和角色关系，第二次提示重复，不多出用户或关系。</w:t>
      </w:r>
    </w:p>
    <w:p>
      <w:pPr>
        <w:pStyle w:val="Heading2"/>
      </w:pPr>
      <w:r>
        <w:rPr/>
        <w:t>TC USR 006 字段边界与唯一冲突</w:t>
      </w:r>
    </w:p>
    <w:p>
      <w:pPr>
        <w:keepNext/>
      </w:pPr>
      <w:r>
        <w:rPr/>
        <w:t>用例编号 TC-USR-006；关联 REQ-USR-003；优先级 P0；口径：基线及开发目标。</w:t>
      </w:r>
    </w:p>
    <w:p>
      <w:pPr>
        <w:keepNext/>
        <w:keepLines/>
      </w:pPr>
      <w:r>
        <w:rPr/>
        <w:t>前置与数据：准备 1、2、30、31 字符账号与已占用手机邮箱。</w:t>
      </w:r>
    </w:p>
    <w:p>
      <w:pPr>
        <w:keepLines/>
      </w:pPr>
      <w:r>
        <w:rPr/>
        <w:t>步骤：逐项提交边界账号、31 字符昵称、非法邮箱及重复联系方式。</w:t>
      </w:r>
    </w:p>
    <w:p>
      <w:pPr>
        <w:keepLines/>
      </w:pPr>
      <w:r>
        <w:rPr/>
        <w:t>预期：账号 2 和 30 字符可通过长度校验；其余不合法字段拒绝，合法但重复联系方式拒绝，无部分保存。</w:t>
      </w:r>
    </w:p>
    <w:p>
      <w:pPr>
        <w:pStyle w:val="Heading2"/>
      </w:pPr>
      <w:r>
        <w:rPr/>
        <w:t>TC USR 007 资料编辑与角色同步</w:t>
      </w:r>
    </w:p>
    <w:p>
      <w:pPr>
        <w:keepNext/>
      </w:pPr>
      <w:r>
        <w:rPr/>
        <w:t>用例编号 TC-USR-007；关联 REQ-USR-004；优先级 P0；口径：开发目标。</w:t>
      </w:r>
    </w:p>
    <w:p>
      <w:pPr>
        <w:keepNext/>
        <w:keepLines/>
      </w:pPr>
      <w:r>
        <w:rPr/>
        <w:t>前置与数据：U1 原角色 R1，已有登录密码。</w:t>
      </w:r>
    </w:p>
    <w:p>
      <w:pPr>
        <w:keepLines/>
      </w:pPr>
      <w:r>
        <w:rPr/>
        <w:t>步骤：修改昵称及角色为 R2 后刷新详情并重新登录。</w:t>
      </w:r>
    </w:p>
    <w:p>
      <w:pPr>
        <w:keepLines/>
      </w:pPr>
      <w:r>
        <w:rPr/>
        <w:t>预期：资料和关系同时更新；密码保持可用，旧角色关系移除。</w:t>
      </w:r>
    </w:p>
    <w:p>
      <w:pPr>
        <w:pStyle w:val="Heading2"/>
      </w:pPr>
      <w:r>
        <w:rPr/>
        <w:t>TC USR 008 编辑夹带敏感字段</w:t>
      </w:r>
    </w:p>
    <w:p>
      <w:pPr>
        <w:keepNext/>
      </w:pPr>
      <w:r>
        <w:rPr/>
        <w:t>用例编号 TC-USR-008；关联 REQ-USR-004；优先级 P0；口径：开发目标。</w:t>
      </w:r>
    </w:p>
    <w:p>
      <w:pPr>
        <w:keepNext/>
        <w:keepLines/>
      </w:pPr>
      <w:r>
        <w:rPr/>
        <w:t>前置与数据：U1 可编辑。</w:t>
      </w:r>
    </w:p>
    <w:p>
      <w:pPr>
        <w:keepLines/>
      </w:pPr>
      <w:r>
        <w:rPr/>
        <w:t>步骤：普通编辑请求额外携带 password、delFlag 和其他药企 tenantId。</w:t>
      </w:r>
    </w:p>
    <w:p>
      <w:pPr>
        <w:keepLines/>
      </w:pPr>
      <w:r>
        <w:rPr/>
        <w:t>预期：非法字段拒绝或按明确白名单忽略；不得直接写入密码、逻辑删除或迁移药企。</w:t>
      </w:r>
    </w:p>
    <w:p>
      <w:pPr>
        <w:pStyle w:val="Heading2"/>
      </w:pPr>
      <w:r>
        <w:rPr/>
        <w:t>TC USR 009 密码重置与旧密码</w:t>
      </w:r>
    </w:p>
    <w:p>
      <w:pPr>
        <w:keepNext/>
      </w:pPr>
      <w:r>
        <w:rPr/>
        <w:t>用例编号 TC-USR-009；关联 REQ-USR-005；优先级 P0；口径：基线及开发目标。</w:t>
      </w:r>
    </w:p>
    <w:p>
      <w:pPr>
        <w:keepNext/>
        <w:keepLines/>
      </w:pPr>
      <w:r>
        <w:rPr/>
        <w:t>前置与数据：U1 有已知测试密码，操作者有 resetPwd 权限。</w:t>
      </w:r>
    </w:p>
    <w:p>
      <w:pPr>
        <w:keepLines/>
      </w:pPr>
      <w:r>
        <w:rPr/>
        <w:t>步骤：通过加密请求重置合规密码，再使用旧、新密码登录。</w:t>
      </w:r>
    </w:p>
    <w:p>
      <w:pPr>
        <w:keepLines/>
      </w:pPr>
      <w:r>
        <w:rPr/>
        <w:t>预期：新密码可用、旧密码失败；持久化为 BCrypt；响应与日志无明文或散列泄露。</w:t>
      </w:r>
    </w:p>
    <w:p>
      <w:pPr>
        <w:pStyle w:val="Heading2"/>
      </w:pPr>
      <w:r>
        <w:rPr/>
        <w:t>TC USR 010 空密码和强度边界</w:t>
      </w:r>
    </w:p>
    <w:p>
      <w:pPr>
        <w:keepNext/>
      </w:pPr>
      <w:r>
        <w:rPr/>
        <w:t>用例编号 TC-USR-010；关联 REQ-USR-005；优先级 P0；口径：开发目标。</w:t>
      </w:r>
    </w:p>
    <w:p>
      <w:pPr>
        <w:keepNext/>
        <w:keepLines/>
      </w:pPr>
      <w:r>
        <w:rPr/>
        <w:t>前置与数据：已确定统一密码规则；前端当前长度为 6–18 并使用混合字符正则。</w:t>
      </w:r>
    </w:p>
    <w:p>
      <w:pPr>
        <w:keepLines/>
      </w:pPr>
      <w:r>
        <w:rPr/>
        <w:t>步骤：直接提交空、5 位、19 位、纯数字及合规边界密码到新增和重置入口。</w:t>
      </w:r>
    </w:p>
    <w:p>
      <w:pPr>
        <w:keepLines/>
      </w:pPr>
      <w:r>
        <w:rPr/>
        <w:t>预期：空值和不合规值均由服务端拒绝；合规边界可保存，前后端提示一致。</w:t>
      </w:r>
    </w:p>
    <w:p>
      <w:pPr>
        <w:pStyle w:val="Heading2"/>
      </w:pPr>
      <w:r>
        <w:rPr/>
        <w:t>TC USR 011 超级管理员保护</w:t>
      </w:r>
    </w:p>
    <w:p>
      <w:pPr>
        <w:keepNext/>
      </w:pPr>
      <w:r>
        <w:rPr/>
        <w:t>用例编号 TC-USR-011；关联 REQ-USR-006；优先级 P0；口径：基线。</w:t>
      </w:r>
    </w:p>
    <w:p>
      <w:pPr>
        <w:keepNext/>
        <w:keepLines/>
      </w:pPr>
      <w:r>
        <w:rPr/>
        <w:t>前置与数据：只读记录保留管理员 ID，不实际改其数据。</w:t>
      </w:r>
    </w:p>
    <w:p>
      <w:pPr>
        <w:keepLines/>
      </w:pPr>
      <w:r>
        <w:rPr/>
        <w:t>步骤：在隔离副本测试普通编辑、重置、停用及删除 userId=1。</w:t>
      </w:r>
    </w:p>
    <w:p>
      <w:pPr>
        <w:keepLines/>
      </w:pPr>
      <w:r>
        <w:rPr/>
        <w:t>预期：受保护操作拒绝，数据与角色不变；页面不提供这些操作。</w:t>
      </w:r>
    </w:p>
    <w:p>
      <w:pPr>
        <w:pStyle w:val="Heading2"/>
      </w:pPr>
      <w:r>
        <w:rPr/>
        <w:t>TC USR 012 批量删除包含自己</w:t>
      </w:r>
    </w:p>
    <w:p>
      <w:pPr>
        <w:keepNext/>
      </w:pPr>
      <w:r>
        <w:rPr/>
        <w:t>用例编号 TC-USR-012；关联 REQ-USR-006；优先级 P0；口径：基线。</w:t>
      </w:r>
    </w:p>
    <w:p>
      <w:pPr>
        <w:keepNext/>
        <w:keepLines/>
      </w:pPr>
      <w:r>
        <w:rPr/>
        <w:t>前置与数据：A1 和可删 U1。</w:t>
      </w:r>
    </w:p>
    <w:p>
      <w:pPr>
        <w:keepLines/>
      </w:pPr>
      <w:r>
        <w:rPr/>
        <w:t>步骤：请求同时删除 A1 与 U1，再单独删除 U1。</w:t>
      </w:r>
    </w:p>
    <w:p>
      <w:pPr>
        <w:keepLines/>
      </w:pPr>
      <w:r>
        <w:rPr/>
        <w:t>预期：混合请求整体拒绝且 U1 保留；单删成功后用户逻辑删除，用户角色关系清理。</w:t>
      </w:r>
    </w:p>
    <w:p>
      <w:pPr>
        <w:pStyle w:val="Heading2"/>
      </w:pPr>
      <w:r>
        <w:rPr/>
        <w:t>TC USR 013 停用和恢复登录</w:t>
      </w:r>
    </w:p>
    <w:p>
      <w:pPr>
        <w:keepNext/>
      </w:pPr>
      <w:r>
        <w:rPr/>
        <w:t>用例编号 TC-USR-013；关联 REQ-USR-007；优先级 P0；口径：开发目标。</w:t>
      </w:r>
    </w:p>
    <w:p>
      <w:pPr>
        <w:keepNext/>
        <w:keepLines/>
      </w:pPr>
      <w:r>
        <w:rPr/>
        <w:t>前置与数据：U1 已在两个会话登录。</w:t>
      </w:r>
    </w:p>
    <w:p>
      <w:pPr>
        <w:keepLines/>
      </w:pPr>
      <w:r>
        <w:rPr/>
        <w:t>步骤：停用 U1，两个旧令牌调用受保护接口；再启用。</w:t>
      </w:r>
    </w:p>
    <w:p>
      <w:pPr>
        <w:keepLines/>
      </w:pPr>
      <w:r>
        <w:rPr/>
        <w:t>预期：停用后旧会话不能继续访问；启用后需重新登录，旧会话不自动恢复。</w:t>
      </w:r>
    </w:p>
    <w:p>
      <w:pPr>
        <w:pStyle w:val="Heading2"/>
      </w:pPr>
      <w:r>
        <w:rPr/>
        <w:t>TC USR 014 授权回收及删除会话</w:t>
      </w:r>
    </w:p>
    <w:p>
      <w:pPr>
        <w:keepNext/>
      </w:pPr>
      <w:r>
        <w:rPr/>
        <w:t>用例编号 TC-USR-014；关联 REQ-USR-007；优先级 P0；口径：开发目标。</w:t>
      </w:r>
    </w:p>
    <w:p>
      <w:pPr>
        <w:keepNext/>
        <w:keepLines/>
      </w:pPr>
      <w:r>
        <w:rPr/>
        <w:t>前置与数据：U1 已登录且 R1 提供测试权限。</w:t>
      </w:r>
    </w:p>
    <w:p>
      <w:pPr>
        <w:keepLines/>
      </w:pPr>
      <w:r>
        <w:rPr/>
        <w:t>步骤：撤回 R1 后用旧令牌调用该操作；另一个用户删除后重复调用。</w:t>
      </w:r>
    </w:p>
    <w:p>
      <w:pPr>
        <w:keepLines/>
      </w:pPr>
      <w:r>
        <w:rPr/>
        <w:t>预期：收回权限或已删除账号的旧令牌均无法继续操作，错误有明确反馈。</w:t>
      </w:r>
    </w:p>
    <w:p>
      <w:pPr>
        <w:pStyle w:val="Heading2"/>
      </w:pPr>
      <w:r>
        <w:rPr/>
        <w:t>TC USR 015 空角色与非法角色</w:t>
      </w:r>
    </w:p>
    <w:p>
      <w:pPr>
        <w:keepNext/>
      </w:pPr>
      <w:r>
        <w:rPr/>
        <w:t>用例编号 TC-USR-015；关联 REQ-USR-008；优先级 P0；口径：开发目标。</w:t>
      </w:r>
    </w:p>
    <w:p>
      <w:pPr>
        <w:keepNext/>
        <w:keepLines/>
      </w:pPr>
      <w:r>
        <w:rPr/>
        <w:t>前置与数据：新增或编辑 U1，准备 null、空、重复及不存在的角色 ID。</w:t>
      </w:r>
    </w:p>
    <w:p>
      <w:pPr>
        <w:keepLines/>
      </w:pPr>
      <w:r>
        <w:rPr/>
        <w:t>步骤：逐一提交 roleIds；再提交停用 R3。</w:t>
      </w:r>
    </w:p>
    <w:p>
      <w:pPr>
        <w:keepLines/>
      </w:pPr>
      <w:r>
        <w:rPr/>
        <w:t>预期：按评审规则拒绝空与不允许的角色，重复项去重；失败不改变原角色或遗留新用户。</w:t>
      </w:r>
    </w:p>
    <w:p>
      <w:pPr>
        <w:pStyle w:val="Heading2"/>
      </w:pPr>
      <w:r>
        <w:rPr/>
        <w:t>TC USR 016 保留角色与接口绑定</w:t>
      </w:r>
    </w:p>
    <w:p>
      <w:pPr>
        <w:keepNext/>
      </w:pPr>
      <w:r>
        <w:rPr/>
        <w:t>用例编号 TC-USR-016；关联 REQ-USR-008；优先级 P0；口径：基线及开发目标。</w:t>
      </w:r>
    </w:p>
    <w:p>
      <w:pPr>
        <w:keepNext/>
        <w:keepLines/>
      </w:pPr>
      <w:r>
        <w:rPr/>
        <w:t>前置与数据：A1 有普通授权权限，U1 为普通用户。</w:t>
      </w:r>
    </w:p>
    <w:p>
      <w:pPr>
        <w:keepLines/>
      </w:pPr>
      <w:r>
        <w:rPr/>
        <w:t>步骤：尝试分配保留角色；用前端 authRole 封装分配 R1 并回查。</w:t>
      </w:r>
    </w:p>
    <w:p>
      <w:pPr>
        <w:keepLines/>
      </w:pPr>
      <w:r>
        <w:rPr/>
        <w:t>预期：保留角色不能授予普通用户；合规授权正确绑定参数且回查一致，不出现空参数成功。</w:t>
      </w:r>
    </w:p>
    <w:p>
      <w:pPr>
        <w:pStyle w:val="Heading2"/>
      </w:pPr>
      <w:r>
        <w:rPr/>
        <w:t>TC USR 017 导入新增与覆盖开关</w:t>
      </w:r>
    </w:p>
    <w:p>
      <w:pPr>
        <w:keepNext/>
      </w:pPr>
      <w:r>
        <w:rPr/>
        <w:t>用例编号 TC-USR-017；关联 REQ-USR-009；优先级 P0；口径：基线及开发目标。</w:t>
      </w:r>
    </w:p>
    <w:p>
      <w:pPr>
        <w:keepNext/>
        <w:keepLines/>
      </w:pPr>
      <w:r>
        <w:rPr/>
        <w:t>前置与数据：下载模板，含新用户行和已存在 U1，已确定默认角色策略。</w:t>
      </w:r>
    </w:p>
    <w:p>
      <w:pPr>
        <w:keepLines/>
      </w:pPr>
      <w:r>
        <w:rPr/>
        <w:t>步骤：分别在 updateSupport=false、true 时导入。</w:t>
      </w:r>
    </w:p>
    <w:p>
      <w:pPr>
        <w:keepLines/>
      </w:pPr>
      <w:r>
        <w:rPr/>
        <w:t>预期：结果明确区分新增、拒绝覆盖和覆盖；归属不变，角色按确认策略处理，页面刷新。</w:t>
      </w:r>
    </w:p>
    <w:p>
      <w:pPr>
        <w:pStyle w:val="Heading2"/>
      </w:pPr>
      <w:r>
        <w:rPr/>
        <w:t>TC USR 018 混合失败和错误文本</w:t>
      </w:r>
    </w:p>
    <w:p>
      <w:pPr>
        <w:keepNext/>
      </w:pPr>
      <w:r>
        <w:rPr/>
        <w:t>用例编号 TC-USR-018；关联 REQ-USR-009；优先级 P0；口径：开发目标。</w:t>
      </w:r>
    </w:p>
    <w:p>
      <w:pPr>
        <w:keepNext/>
        <w:keepLines/>
      </w:pPr>
      <w:r>
        <w:rPr/>
        <w:t>前置与数据：文件含正常行、非法邮箱行、B 用户及含 HTML 标签的账号文本。</w:t>
      </w:r>
    </w:p>
    <w:p>
      <w:pPr>
        <w:keepLines/>
      </w:pPr>
      <w:r>
        <w:rPr/>
        <w:t>步骤：A1 导入并检查结果、用户表、角色表及页面。</w:t>
      </w:r>
    </w:p>
    <w:p>
      <w:pPr>
        <w:keepLines/>
      </w:pPr>
      <w:r>
        <w:rPr/>
        <w:t>预期：逐行报告真实结果，不伪称全部回滚；B 无改动，文本不执行脚本，成功行可见。</w:t>
      </w:r>
    </w:p>
    <w:p>
      <w:pPr>
        <w:pStyle w:val="Heading2"/>
      </w:pPr>
      <w:r>
        <w:rPr/>
        <w:t>TC USR 019 筛选导出与字段</w:t>
      </w:r>
    </w:p>
    <w:p>
      <w:pPr>
        <w:keepNext/>
      </w:pPr>
      <w:r>
        <w:rPr/>
        <w:t>用例编号 TC-USR-019；关联 REQ-USR-010；优先级 P1；口径：基线。</w:t>
      </w:r>
    </w:p>
    <w:p>
      <w:pPr>
        <w:keepNext/>
        <w:keepLines/>
      </w:pPr>
      <w:r>
        <w:rPr/>
        <w:t>前置与数据：A1 有导出权限，筛选状态及日期。</w:t>
      </w:r>
    </w:p>
    <w:p>
      <w:pPr>
        <w:keepLines/>
      </w:pPr>
      <w:r>
        <w:rPr/>
        <w:t>步骤：导出并核对记录、列及总数。</w:t>
      </w:r>
    </w:p>
    <w:p>
      <w:pPr>
        <w:keepLines/>
      </w:pPr>
      <w:r>
        <w:rPr/>
        <w:t>预期：仅包含授权范围内且符合条件的用户，无密码字段，无 B 记录。</w:t>
      </w:r>
    </w:p>
    <w:p>
      <w:pPr>
        <w:pStyle w:val="Heading2"/>
      </w:pPr>
      <w:r>
        <w:rPr/>
        <w:t>TC USR 020 无导出权限直接调用</w:t>
      </w:r>
    </w:p>
    <w:p>
      <w:pPr>
        <w:keepNext/>
      </w:pPr>
      <w:r>
        <w:rPr/>
        <w:t>用例编号 TC-USR-020；关联 REQ-USR-010；优先级 P0；口径：基线。</w:t>
      </w:r>
    </w:p>
    <w:p>
      <w:pPr>
        <w:keepNext/>
        <w:keepLines/>
      </w:pPr>
      <w:r>
        <w:rPr/>
        <w:t>前置与数据：A0 登录但无 export 权限。</w:t>
      </w:r>
    </w:p>
    <w:p>
      <w:pPr>
        <w:keepLines/>
      </w:pPr>
      <w:r>
        <w:rPr/>
        <w:t>步骤：直接请求导出接口。</w:t>
      </w:r>
    </w:p>
    <w:p>
      <w:pPr>
        <w:keepLines/>
      </w:pPr>
      <w:r>
        <w:rPr/>
        <w:t>预期：服务端拒绝，不返回可用导出文件，也不泄露列表数据。</w:t>
      </w:r>
    </w:p>
    <w:p>
      <w:pPr>
        <w:pStyle w:val="Heading2"/>
      </w:pPr>
      <w:r>
        <w:rPr/>
        <w:t>TC USR 021 提交防重与失败恢复</w:t>
      </w:r>
    </w:p>
    <w:p>
      <w:pPr>
        <w:keepNext/>
      </w:pPr>
      <w:r>
        <w:rPr/>
        <w:t>用例编号 TC-USR-021；关联 REQ-USR-011；优先级 P1；口径：开发目标。</w:t>
      </w:r>
    </w:p>
    <w:p>
      <w:pPr>
        <w:keepNext/>
        <w:keepLines/>
      </w:pPr>
      <w:r>
        <w:rPr/>
        <w:t>前置与数据：表单合法，准备一次模拟网络失败。</w:t>
      </w:r>
    </w:p>
    <w:p>
      <w:pPr>
        <w:keepLines/>
      </w:pPr>
      <w:r>
        <w:rPr/>
        <w:t>步骤：连续点击保存；失败后恢复网络重试。</w:t>
      </w:r>
    </w:p>
    <w:p>
      <w:pPr>
        <w:keepLines/>
      </w:pPr>
      <w:r>
        <w:rPr/>
        <w:t>预期：处理中按钮受控，最多一次有效写入；失败保留输入，重试可用。</w:t>
      </w:r>
    </w:p>
    <w:p>
      <w:pPr>
        <w:pStyle w:val="Heading2"/>
      </w:pPr>
      <w:r>
        <w:rPr/>
        <w:t>TC USR 022 只读权限与受保护行</w:t>
      </w:r>
    </w:p>
    <w:p>
      <w:pPr>
        <w:keepNext/>
      </w:pPr>
      <w:r>
        <w:rPr/>
        <w:t>用例编号 TC-USR-022；关联 REQ-USR-011；优先级 P1；口径：开发目标。</w:t>
      </w:r>
    </w:p>
    <w:p>
      <w:pPr>
        <w:keepNext/>
        <w:keepLines/>
      </w:pPr>
      <w:r>
        <w:rPr/>
        <w:t>前置与数据：用户有 list/query，无 edit/remove；列表含受保护行。</w:t>
      </w:r>
    </w:p>
    <w:p>
      <w:pPr>
        <w:keepLines/>
      </w:pPr>
      <w:r>
        <w:rPr/>
        <w:t>步骤：检查状态开关及选择列，并直接请求变更接口。</w:t>
      </w:r>
    </w:p>
    <w:p>
      <w:pPr>
        <w:keepLines/>
      </w:pPr>
      <w:r>
        <w:rPr/>
        <w:t>预期：页面无可用越权操作，保护行不可批量选中，服务端仍拒绝变更。</w:t>
      </w:r>
    </w:p>
    <w:p>
      <w:pPr>
        <w:pStyle w:val="Heading2"/>
      </w:pPr>
      <w:r>
        <w:rPr/>
        <w:t>TC USR 023 删除后重建同名</w:t>
      </w:r>
    </w:p>
    <w:p>
      <w:pPr>
        <w:keepNext/>
      </w:pPr>
      <w:r>
        <w:rPr/>
        <w:t>用例编号 TC-USR-023；关联 REQ-USR-012；优先级 P1；口径：开发目标。</w:t>
      </w:r>
    </w:p>
    <w:p>
      <w:pPr>
        <w:keepNext/>
        <w:keepLines/>
      </w:pPr>
      <w:r>
        <w:rPr/>
        <w:t>前置与数据：自建测试账号已逻辑删除。</w:t>
      </w:r>
    </w:p>
    <w:p>
      <w:pPr>
        <w:keepLines/>
      </w:pPr>
      <w:r>
        <w:rPr/>
        <w:t>步骤：使用同账号再次新增，核对提示和历史记录。</w:t>
      </w:r>
    </w:p>
    <w:p>
      <w:pPr>
        <w:keepLines/>
      </w:pPr>
      <w:r>
        <w:rPr/>
        <w:t>预期：按建议不复用策略提示曾被占用，避免数据库异常直接暴露；历史记录可追踪。</w:t>
      </w:r>
    </w:p>
    <w:p>
      <w:pPr>
        <w:pStyle w:val="Heading2"/>
      </w:pPr>
      <w:r>
        <w:rPr/>
        <w:t>TC USR 024 并发唯一与审计脱敏</w:t>
      </w:r>
    </w:p>
    <w:p>
      <w:pPr>
        <w:keepNext/>
      </w:pPr>
      <w:r>
        <w:rPr/>
        <w:t>用例编号 TC-USR-024；关联 REQ-USR-012；优先级 P0；口径：开发目标。</w:t>
      </w:r>
    </w:p>
    <w:p>
      <w:pPr>
        <w:keepNext/>
        <w:keepLines/>
      </w:pPr>
      <w:r>
        <w:rPr/>
        <w:t>前置与数据：两个管理员同时创建相同未使用账号。</w:t>
      </w:r>
    </w:p>
    <w:p>
      <w:pPr>
        <w:keepLines/>
      </w:pPr>
      <w:r>
        <w:rPr/>
        <w:t>步骤：并发提交后查用户、关系与操作日志。</w:t>
      </w:r>
    </w:p>
    <w:p>
      <w:pPr>
        <w:keepLines/>
      </w:pPr>
      <w:r>
        <w:rPr/>
        <w:t>预期：最多一条账号记录，无孤立关系；失败可解释，日志含操作者与结果且无密码。</w:t>
      </w:r>
    </w:p>
    <w:p>
      <w:pPr>
        <w:pStyle w:val="Heading1"/>
      </w:pPr>
      <w:r>
        <w:rPr/>
        <w:t>6 执行与验收记录</w:t>
      </w:r>
    </w:p>
    <w:p>
      <w:pPr>
        <w:keepNext/>
      </w:pPr>
      <w:r>
        <w:rPr/>
        <w:t>本稿共 12 项需求、6 项开发任务、24 条测试用例。全部业务用例状态为“待执行”，业务用例通过数为 0。静态代码核对和文档格式检查不计入业务测试通过数。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35"/>
        <w:gridCol w:w="7903"/>
      </w:tblGrid>
      <w:tr>
        <w:trPr>
          <w:cantSplit/>
          <w:tblHeader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记录项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  <w:shd w:fill="DFEAF2"/>
          </w:tcPr>
          <w:p>
            <w:pPr>
              <w:keepNext/>
              <w:spacing w:after="0" w:line="264" w:lineRule="auto"/>
            </w:pPr>
            <w:r>
              <w:rPr>
                <w:b/>
                <w:sz w:val="18"/>
              </w:rPr>
              <w:t>当前记录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本次完成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核对相关前后端、实体、接口与历史设计；生成 Markdown 和 Word，格式验证结果以本次交付报告为准。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本次未完成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未登录目标系统，未截图，未执行 CRUD、授权、导入或数据库回归。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已有测试依据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TenantIsolationTest、TenantOwnershipTest 涉及药企隔离和归属校验；属于已有测试源码，本次未运行，不覆盖全部本模块需求。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执行补录要求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逐例记录用例编号、执行日期、环境版本、执行者、实际结果、状态、证据路径及缺陷编号；复测不得覆盖首次失败记录。</w:t>
            </w:r>
          </w:p>
        </w:tc>
      </w:tr>
      <w:tr>
        <w:trPr>
          <w:cantSplit/>
        </w:trPr>
        <w:tc>
          <w:tcPr>
            <w:tcW w:type="dxa" w:w="1735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验收门槛建议</w:t>
            </w:r>
          </w:p>
        </w:tc>
        <w:tc>
          <w:tcPr>
            <w:tcW w:type="dxa" w:w="7903"/>
            <w:vAlign w:val="center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after="0" w:line="264" w:lineRule="auto"/>
            </w:pPr>
            <w:r>
              <w:rPr>
                <w:sz w:val="18"/>
              </w:rPr>
              <w:t>P0 用例通过，权限及跨药企问题关闭；P1 未解决项由业务评审接受。当前不作上线结论。</w:t>
            </w:r>
          </w:p>
        </w:tc>
      </w:tr>
    </w:tbl>
    <w:p>
      <w:pPr>
        <w:spacing w:after="0" w:before="0" w:line="60" w:lineRule="exact"/>
      </w:pPr>
    </w:p>
    <w:p>
      <w:pPr/>
      <w:r>
        <w:rPr/>
        <w:t>建议新增服务层与接口集成测试覆盖本稿 P0 场景；现有数据库回归脚本会写入数据，执行前应确认隔离环境与清理范围。本次没有运行这些脚本。</w:t>
      </w:r>
    </w:p>
    <w:p>
      <w:pPr>
        <w:pStyle w:val="Heading1"/>
      </w:pPr>
      <w:r>
        <w:rPr/>
        <w:t>7 待确认事项与实现差异</w:t>
      </w:r>
    </w:p>
    <w:p>
      <w:pPr>
        <w:pStyle w:val="ListNumber"/>
      </w:pPr>
      <w:r>
        <w:rPr/>
        <w:t>密码规则：建议统一为现有前端 6–18 位及混合字符校验，再由业务确定是否强化；不能仅依赖前端，默认重置密码不得写入文档。</w:t>
      </w:r>
    </w:p>
    <w:p>
      <w:pPr>
        <w:pStyle w:val="ListNumber"/>
      </w:pPr>
      <w:r>
        <w:rPr/>
        <w:t>无角色账号：建议普通新增必须有角色；导入需明确默认角色或增加受控映射，不应静默产生无法正常使用的账号。</w:t>
      </w:r>
    </w:p>
    <w:p>
      <w:pPr>
        <w:pStyle w:val="ListNumber"/>
      </w:pPr>
      <w:r>
        <w:rPr/>
        <w:t>会话生效：建议停用、删除、重置密码立即使旧会话失效，角色变更重新认证；需确认用户提示及并发影响。</w:t>
      </w:r>
    </w:p>
    <w:p>
      <w:pPr>
        <w:pStyle w:val="ListNumber"/>
      </w:pPr>
      <w:r>
        <w:rPr/>
        <w:t>导入部分成功：当前可能逐行落库后返回失败。建议保留逐行模式并给出准确报告；若选择整批原子性，开发及测试需同步调整。</w:t>
      </w:r>
    </w:p>
    <w:p>
      <w:pPr>
        <w:pStyle w:val="ListNumber"/>
      </w:pPr>
      <w:r>
        <w:rPr/>
        <w:t>账号名建议永久不复用；手机号、邮箱删除后能否复用以及普通管理员可委派哪些角色，仍需评审。</w:t>
      </w:r>
    </w:p>
    <w:p>
      <w:pPr/>
      <w:r>
        <w:rPr/>
        <w:t>权限与菜单批量删除方向已由用户确认；本节补强细节仍为待评审。评审后保留既有需求及用例编号，调整规则、开发任务和预期结果，避免测试按不同版本验收。</w:t>
      </w:r>
    </w:p>
    <w:p>
      <w:pPr>
        <w:pStyle w:val="Heading1"/>
      </w:pPr>
      <w:r>
        <w:rPr/>
        <w:t>8 源码依据与变更记录</w:t>
      </w:r>
    </w:p>
    <w:p>
      <w:pPr/>
      <w:r>
        <w:rPr/>
        <w:t>下列路径相对项目根目录 D:/workspace/enterprise/admin。前端简称 F = template-frontend/src；后端简称 B = template-backend/ruoyi-modules/ruoyi-system/src/main。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template-frontend/src/views/system/user/index.vue</w:t>
      </w:r>
      <w:r>
        <w:rPr/>
        <w:t>：列表、状态、权限按钮、导入导出入口。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template-frontend/src/views/system/user/modules/user-operate-drawer.vue</w:t>
      </w:r>
      <w:r>
        <w:rPr/>
        <w:t>：新增编辑及角色选择。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template-frontend/src/views/system/user/modules/user-password-drawer.vue</w:t>
      </w:r>
      <w:r>
        <w:rPr/>
        <w:t>：密码重置。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template-frontend/src/views/system/user/modules/user-import-modal.vue</w:t>
      </w:r>
      <w:r>
        <w:rPr/>
        <w:t>：导入结果与刷新。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template-frontend/src/service/api/system/user.ts</w:t>
      </w:r>
      <w:r>
        <w:rPr/>
        <w:t>：用户接口与参数绑定。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template-frontend/src/constants/reg.ts</w:t>
      </w:r>
      <w:r>
        <w:rPr/>
        <w:t>：前端账号、手机、密码规则。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template-backend/ruoyi-modules/ruoyi-system/src/main/java/org/dromara/system/controller/system/SysUserController.java</w:t>
      </w:r>
      <w:r>
        <w:rPr/>
        <w:t>：接口、权限、日志和密码散列入口。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template-backend/ruoyi-modules/ruoyi-system/src/main/java/org/dromara/system/service/impl/SysUserServiceImpl.java</w:t>
      </w:r>
      <w:r>
        <w:rPr/>
        <w:t>：归属、唯一性、角色关系与事务。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template-backend/ruoyi-modules/ruoyi-system/src/main/java/org/dromara/system/domain/bo/SysUserBo.java</w:t>
      </w:r>
      <w:r>
        <w:rPr/>
        <w:t>：请求字段校验。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template-backend/ruoyi-modules/ruoyi-system/src/main/java/org/dromara/system/domain/vo/SysUserImportVo.java</w:t>
      </w:r>
      <w:r>
        <w:rPr/>
        <w:t>：Excel 导入列。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template-backend/ruoyi-modules/ruoyi-system/src/main/java/org/dromara/system/listener/SysUserImportListener.java</w:t>
      </w:r>
      <w:r>
        <w:rPr/>
        <w:t>：逐行导入及累积错误。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template-backend/ruoyi-modules/ruoyi-system/src/main/java/org/dromara/system/config/TenantWebConfig.java</w:t>
      </w:r>
      <w:r>
        <w:rPr/>
        <w:t>：平台共享配置写入拦截及 authUser 例外。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template-backend/script/sql/ry_vue_5.X.sql</w:t>
      </w:r>
      <w:r>
        <w:rPr/>
        <w:t>：基础 sys_* 表结构；实际部署结构需联调时核对。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template-backend/script/sql/update/update_5.6.2-tenant-version.sql</w:t>
      </w:r>
      <w:r>
        <w:rPr/>
        <w:t>：药企字段与账号全局唯一约束迁移。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template-backend/ruoyi-admin/src/test/java/org/dromara/test/TenantIsolationTest.java</w:t>
      </w:r>
      <w:r>
        <w:rPr/>
        <w:t>、</w:t>
      </w:r>
      <w:r>
        <w:rPr>
          <w:rFonts w:ascii="Consolas" w:hAnsi="Consolas" w:eastAsia="Microsoft YaHei"/>
          <w:sz w:val="18"/>
        </w:rPr>
        <w:t>template-backend/ruoyi-admin/src/test/java/org/dromara/test/TenantOwnershipTest.java</w:t>
      </w:r>
      <w:r>
        <w:rPr/>
        <w:t>：已有隔离测试源文件。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docs/context/设计文档/system-management.md</w:t>
      </w:r>
      <w:r>
        <w:rPr/>
        <w:t>：历史设计背景，技术栈及接口与当前实现不同。</w:t>
      </w:r>
    </w:p>
    <w:p>
      <w:pPr>
        <w:pStyle w:val="ListBullet"/>
      </w:pPr>
      <w:r>
        <w:rPr>
          <w:rFonts w:ascii="Consolas" w:hAnsi="Consolas" w:eastAsia="Microsoft YaHei"/>
          <w:sz w:val="18"/>
        </w:rPr>
        <w:t>.agents/skills/module-dev-test-docs/SKILL.md</w:t>
      </w:r>
      <w:r>
        <w:rPr/>
        <w:t>：模块文档编写、需求追踪和双格式交付规范。</w:t>
      </w:r>
    </w:p>
    <w:p>
      <w:pPr/>
      <w:r>
        <w:rPr/>
        <w:t>2026-10-03 V1.0：依据当前代码补齐实现基线，增加待评审开发方案和可执行验收用例；按用户确认记录共享权限与删除方向。Markdown 为唯一内容源，Word 由同版内容转换。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sz w:val="16"/>
      </w:rPr>
      <w:t xml:space="preserve">第 </w:t>
    </w:r>
    <w:fldSimple w:instr="PAGE"/>
    <w:r>
      <w:rPr>
        <w:rFonts w:ascii="Microsoft YaHei" w:hAnsi="Microsoft YaHei" w:eastAsia="Microsoft YaHei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="Microsoft YaHei" w:hAnsi="Microsoft YaHe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="Microsoft YaHei" w:hAnsi="Microsoft YaHei" w:eastAsia="Microsoft Ya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76" w:lineRule="auto"/>
      <w:contextualSpacing/>
    </w:pPr>
    <w:rPr>
      <w:rFonts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2" w:lineRule="auto"/>
      <w:contextualSpacing/>
    </w:pPr>
    <w:rPr>
      <w:rFonts w:ascii="Microsoft YaHei" w:hAnsi="Microsoft YaHei" w:eastAsia="Microsoft YaHei"/>
      <w:b w:val="0"/>
      <w:color w:val="000000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系统管理 用户管理开发测试文档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