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质控管理 湿实验质控开发测试文档</w:t>
      </w:r>
    </w:p>
    <w:p>
      <w:pPr/>
      <w:r>
        <w:rPr/>
        <w:t>湿实验质控用于维护样本实验阶段的质控原始记录、人工状态及后续判定依据。本稿供湿实验、运营、开发与测试人员评审，重点补齐类别隔离、实验失败追踪和样本指标导入，保留重测与修订历史。</w:t>
      </w:r>
    </w:p>
    <w:p>
      <w:pPr/>
      <w:r>
        <w:rPr/>
        <w:t>面向需求评审、开发拆分与测试验收。当前记录维护已经存在；自动判定、完整证据链及业务闭环未在本模块落地。本稿把当前实现与建议开发分开，不能将静态代码核对视为业务测试通过。</w:t>
      </w:r>
    </w:p>
    <w:p>
      <w:pPr>
        <w:pStyle w:val="Heading1"/>
        <w:keepNext/>
      </w:pPr>
      <w:r>
        <w:rPr/>
        <w:t>1 范围与实现基线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版本与日期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V1.0 评审稿，2026-10-04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读取提交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87c6ed6cfc6665e92e413fc2a633b36911a8b5af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菜单及类别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质控管理 &gt; 湿实验质控；/qc/wet-lab；qcCategory=wet_lab。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角色口径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历史设计角色为 wet_lab 与 operation_admin；当前接口按 qc:qcRecord:* 授权，不区分岗位类别。角色范围和删除补强方案待评审。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证据状态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已读取实际 Vue/Java/MySQL 实现及设计资料；未登录在线系统，未执行 CRUD、导入、数据库或判定测试。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工作区说明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读取时已有药企管理文档未提交修改及 Word 锁文件；不属于本稿修改范围，提交号不代表这些工作区文件状态。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当前 湿实验质控 与另一质控菜单共用 QcRecordPage、QcRecordController、QcRecordServiceImpl 和 qc_record。列表有条码、质控项目、人工状态过滤，默认每页 10 条，服务端按 ID 倒序。新增默认 pending，当前允许表单选择通过/未通过；单条和批量删除已有确认提示。类别由包装页面固定为 wet_lab，不是服务端授权边界。</w:t>
      </w:r>
    </w:p>
    <w:p>
      <w:pPr/>
      <w:r>
        <w:rPr/>
        <w:t>现有接口没有 judgeResult 查询参数或返回字段；没有质控导入、导出、电子签署和失败说明接口。历史 spec.md、bioinfo-qc.md 的 /api/qc/records/page、React/Nest、UUID、内存过滤和 sample_qc_info 不能当作本仓已实现。当前实际为 Vue 3、Java、MySQL，自增 ID；本稿不新增第三方集成或生产阈值。</w:t>
      </w:r>
    </w:p>
    <w:p>
      <w:pPr/>
      <w:r>
        <w:rPr/>
        <w:t>当前人工状态只是可编辑数据，业务确认流程尚未建立。代码新增/修改/删除有 @Log，新改有 @RepeatSubmit；列表/详情未见对应查询日志注解。不能因此宣称审计、签署、报告放行或全部租户场景已验收。</w:t>
      </w:r>
    </w:p>
    <w:p>
      <w:pPr>
        <w:pStyle w:val="Heading1"/>
      </w:pPr>
      <w:r>
        <w:rPr/>
        <w:t>2 字段接口与跨模块契约</w:t>
      </w:r>
    </w:p>
    <w:p>
      <w:pPr>
        <w:pStyle w:val="Heading2"/>
        <w:keepNext/>
      </w:pPr>
      <w:r>
        <w:rPr/>
        <w:t>2 1 数据字段与约束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字段或关系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当前实现及开发差距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 / tenant_id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qc_record.id 为 bigint 自增。表有 tenant_id，实体/Bo/Vo 未声明；普通访问依赖租户插件，超管写入目标待补强。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subbarcode / qcItem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varchar(80)/varchar(100)，数据库非空，Bo 有默认组 NotBlank/Size；当前分组可能跳过约束。条码未在本服务核验样本存在。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qcResult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varchar(50) 可空，原始结果字符串；现有实体注释允许 &lt;0.5。严格数值解析和自动判定尚未实现。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status / qcCategory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varchar(20)，状态 pending/passed/failed；当前页面类别固定 wet_lab。服务端尚无枚举或岗位类别范围规则。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operator / testedAt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来源操作员 varchar(80)，检测时间 datetime。前端及 Vo 格式 yyyy-MM-dd HH:mm:ss；统一时区、来源可信度和非法日期处理需验证。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remark / 审计字段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备注 varchar(500)。表含 create_by/create_time/update_by/update_time、del_flag；通用操作日志不能替代确认记录、版本或电子签名。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索引与删除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主键 id；索引 tenant_id 及 (tenant_id, subbarcode)。无条码项目唯一键、样本外键或版本字段；删除为逻辑删除。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拟新增判定信息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判定结果及原因、样本/产品/标准稳定关联、判定时阈值单位快照、确认/修订信息均为待评审模型，不是现有字段。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模块扩展数据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拟补实验批次/重测关联、失败环节与编码、责任角色、原因、证据引用和导入批次。具体模型、表名与列清单待评审；历史 30+ 详细指标未给完整契约。</w:t>
            </w:r>
          </w:p>
        </w:tc>
      </w:tr>
    </w:tbl>
    <w:p>
      <w:pPr>
        <w:spacing w:after="0" w:before="0" w:line="60" w:lineRule="exact"/>
      </w:pPr>
    </w:p>
    <w:p>
      <w:pPr>
        <w:pStyle w:val="Heading2"/>
        <w:keepNext/>
      </w:pPr>
      <w:r>
        <w:rPr/>
        <w:t>2 2 当前接口与权限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0"/>
        <w:gridCol w:w="5108"/>
      </w:tblGrid>
      <w:tr>
        <w:trPr>
          <w:cantSplit/>
          <w:tblHeader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权限及行为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/qc/qcRecord/list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qc:qcRecord:list；pageNum/pageSize、subbarcode/qcItem 模糊、status/qcCategory 等值，页面传 wet_lab，返回 rows/total。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/qc/qcRecord/{id}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qc:qcRecord:query；R 包装详情，不存在抛业务异常。页面编辑目前直接使用列表行数据。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/qc/qcRecord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qc:qcRecord:add；AddGroup、INSERT 日志、RepeatSubmit；当前不检查样本关联或自动判定。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PUT /qc/qcRecord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qc:qcRecord:edit；EditGroup、UPDATE 日志、RepeatSubmit；人工状态当前通过本接口修改。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DELETE /qc/qcRecord/{ids}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qc:qcRecord:remove；逗号 ID、DELETE 日志；当前只检查集合非空，未检验引用/确认状态或影响行数。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上表是现有接口。新增判定、确认、导入及证据流程先评审契约，再确定路径和响应类型；不照抄历史接口。业务拒绝需核对响应与数据前后状态，不预设未经运行确认的 HTTP 状态码。分页 rows/total 与普通 R 返回需分别断言。</w:t>
      </w:r>
    </w:p>
    <w:p>
      <w:pPr>
        <w:pStyle w:val="Heading2"/>
      </w:pPr>
      <w:r>
        <w:rPr/>
        <w:t>2 3 开发边界与目标流程</w:t>
      </w:r>
    </w:p>
    <w:p>
      <w:pPr/>
      <w:r>
        <w:rPr/>
        <w:t>记录来源 → 确认药企、样本及 wet_lab 类别 → 校验原始结果 → 保存 pending → 匹配本类别标准并生成独立判定 → 有权人员确认 → 保留历史版本及下游引用。当前仅记录 CRUD 和人工状态字段存在，其余步骤为待评审开发目标。</w:t>
      </w:r>
    </w:p>
    <w:p>
      <w:pPr/>
      <w:r>
        <w:rPr/>
        <w:t>湿实验失败目标分支：固化失败环节、失败编码和原始证据 → 按实验室或病理责任角色补原因 → 依已评审签署流程签署 → 运营审核、交付及归档。架构图给出上述业务方向，当前模块没有失败说明、签名回调或审核状态机；不得仅将人工状态改成 failed 就宣称流程完成。</w:t>
      </w:r>
    </w:p>
    <w:p>
      <w:pPr/>
      <w:r>
        <w:rPr/>
        <w:t>样本关联是前置依赖：QcRecord 的 subbarcode 与现有 SampleInfo.barcode 是否等价尚待确认；录单产品 erpTestName、sampleProductCode 到产品配置的映射也需验证。不得使用不存在的 sample_file.subbarcode/product_name 字段写 SQL，不能按同名产品跨药企猜测。优先通过稳定 ID 建立可追溯关系。</w:t>
      </w:r>
    </w:p>
    <w:p>
      <w:pPr/>
      <w:r>
        <w:rPr/>
        <w:t>判定建议先验证样本、产品及唯一启用标准，再严格解析结果并比较；缺关联或缺标准为 no_standard，存在有效标准但结果不可解析为 non_numeric，闭区间内 passed、外 failed。单位冲突、多候选、非法阈值另给明确不可判定原因，具体返回枚举待评审。只有原始结果可保留 &lt;0.5 等文本，标准阈值仍遵守质控标准文档的纯数值目标；不得对表达式作部分数字解析。</w:t>
      </w:r>
    </w:p>
    <w:p>
      <w:pPr>
        <w:pStyle w:val="Heading1"/>
        <w:keepNext/>
      </w:pPr>
      <w:r>
        <w:rPr/>
        <w:t>3 需求与验收标准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5879"/>
        <w:gridCol w:w="1542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规则及可观察结果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REQ-WET-001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有查询权限的用户按条码、项目、人工状态组合查询；分页、重置和空态正确，只展示当前类别。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代码基线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REQ-WET-002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目标为用户仅访问本药企记录；超管新增显式指定目标药企，关联样本、产品、标准归属一致。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REQ-WET-003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 wet_lab 仅维护授权类别 wet_lab；列表、详情、写入与批量删除在服务端校验类别，不能靠隐藏菜单隔离。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建议待评审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REQ-WET-004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条码及项目必填、全部长度和枚举在服务端生效；新增不接受外部主键，编辑必须携带合法 ID。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REQ-WET-005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允许保存原始字符串结果及空结果；目标为检测时间、来源操作员、可选字段清空和重复实验的含义明确。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REQ-WET-006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人工状态可展示 pending/passed/failed；目标为确认动作记录确认者、时间和理由，与自动判定独立。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REQ-WET-007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目标为已确认或用于下游的记录不可静默改写；修订保留前后值、原因和版本关联，过期编辑提示冲突。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建议待评审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REQ-WET-008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目标为按样本稳定关联到产品，再按药企、项目和 wet_lab 匹配启用标准；返回独立自动判定与依据。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历史设计及建议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REQ-WET-009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目标为自动判定筛选分页总数完整，标准变化不改写已确认历史；缺标准、非数值和单位冲突可解释。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历史设计及建议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REQ-WET-010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目标为实验失败记录失败环节、编码、原始证据和责任角色，原因补录后再进入签署与运营审核；未完成依赖不提前标闭环。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架构图及建议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REQ-WET-011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目标为湿实验记录或详细指标导入具有已确认模板、列映射和行级错误；不得混淆通用 qc_record 与历史 sample_qc_info 模型。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历史设计及建议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REQ-WET-012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目标为导入批次和实验重测可追踪；重复文件/来源记录幂等，修订不覆盖已确认数据，证据与记录药企一致。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建议待评审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REQ-WET-013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删除为逻辑删除；目标为先核验全部 ID、药企、类别、状态和引用，再原子删除，未知 ID 不假报成功。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REQ-WET-014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权限按钮与服务端一致，保存失败保留输入，保存中防重和关闭受控；切换菜单、快速查询不出现旧响应覆盖。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基线及建议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4 开发任务与实施顺序</w:t>
      </w:r>
    </w:p>
    <w:p>
      <w:pPr/>
      <w:r>
        <w:rPr/>
        <w:t>以下任务均为“待评审、未开发”。P0 完成隔离、有效性和记录保护；P1 完成判定与交互，判定依赖样本关联和标准契约；P2 完成导入、失败证据及跨模块闭环。共享代码统一修改并回归两个菜单，不复制两套 Service。简称 Q=template-backend/ruoyi-modules/ruoyi-qc/src/main，F=template-frontend/src；具体文件列于第 8 节。</w:t>
      </w:r>
    </w:p>
    <w:p>
      <w:pPr>
        <w:pStyle w:val="Heading2"/>
      </w:pPr>
      <w:r>
        <w:rPr/>
        <w:t>DEV WET 001 补齐药企归属和类别授权</w:t>
      </w:r>
    </w:p>
    <w:p>
      <w:pPr>
        <w:keepNext/>
      </w:pPr>
      <w:r>
        <w:rPr/>
        <w:t>优先级 P0；关联 REQ-WET-002、REQ-WET-003、REQ-WET-013。</w:t>
      </w:r>
    </w:p>
    <w:p>
      <w:pPr/>
      <w:r>
        <w:rPr/>
        <w:t>现状依据：QcRecord 继承 BaseEntity，Bo/实体/Vo 未声明 tenantId；表有 tenant_id 默认值。租户拦截器对超管跳过过滤。两个菜单共享相同权限字符串，Service 列表只在收到 qcCategory 时过滤，详情和删除没有类别规则。</w:t>
      </w:r>
    </w:p>
    <w:p>
      <w:pPr/>
      <w:r>
        <w:rPr/>
        <w:t>开发内容：在 Q 的 QcRecordController、QcRecordServiceImpl、domain/bo/vo 补充可信目标药企与类别授权。普通用户归属来自上下文，超管显式选药企；读写记录时逐项检查。评审采用独立类别权限或服务端授权类别集合，具体权限名待定；不得仅将 role 名或客户端参数当授权依据。未传类别只能返回已授权集合，非法值拒绝，编辑不能将 wet_lab 静默改成 bioinfo。前端继续复用 QcRecordPage，新增明确归属提示。</w:t>
      </w:r>
    </w:p>
    <w:p>
      <w:pPr/>
      <w:r>
        <w:rPr/>
        <w:t>完成标准：同药企不同类别和不同药企分别覆盖列表、详情、增改删；超管新增不落默认药企。混合非法批次全部拒绝。</w:t>
      </w:r>
    </w:p>
    <w:p>
      <w:pPr>
        <w:pStyle w:val="Heading2"/>
      </w:pPr>
      <w:r>
        <w:rPr/>
        <w:t>DEV WET 002 修复字段校验和录入规则</w:t>
      </w:r>
    </w:p>
    <w:p>
      <w:pPr>
        <w:keepNext/>
      </w:pPr>
      <w:r>
        <w:rPr/>
        <w:t>优先级 P0；关联 REQ-WET-004、REQ-WET-005。</w:t>
      </w:r>
    </w:p>
    <w:p>
      <w:pPr/>
      <w:r>
        <w:rPr/>
        <w:t>现状依据：QcRecordBo 的 NotBlank/Size 在默认组，Controller 分别校验 AddGroup/EditGroup，分组未继承 Default。Service 新增直接映射插入，更新只检查 ID 存在；前端仅校验条码、项目、状态必填。</w:t>
      </w:r>
    </w:p>
    <w:p>
      <w:pPr/>
      <w:r>
        <w:rPr/>
        <w:t>开发内容：显式设置新增编辑的校验组，服务端限制状态和类别枚举；条码 80、项目 100、结果 50、操作员 80、备注 500 字符。统一首尾空白处理；结果保留原文，不把 &lt;0.5 或 20% 强转数字。检测时间约定时区和格式，拒绝非法日期；operator 作为来源文本与登录操作者分开。清空可选字段采用显式更新语义。真实重复实验允许多次记录，重复请求另设幂等依据，不能直接加“条码+项目唯一”。</w:t>
      </w:r>
    </w:p>
    <w:p>
      <w:pPr/>
      <w:r>
        <w:rPr/>
        <w:t>完成标准：绕过页面提交也受约束；合法空结果和数值 0 不混淆；清空后回查无旧值，时间跨日显示一致。</w:t>
      </w:r>
    </w:p>
    <w:p>
      <w:pPr>
        <w:pStyle w:val="Heading2"/>
      </w:pPr>
      <w:r>
        <w:rPr/>
        <w:t>DEV WET 003 建立人工确认与修订规则</w:t>
      </w:r>
    </w:p>
    <w:p>
      <w:pPr>
        <w:keepNext/>
      </w:pPr>
      <w:r>
        <w:rPr/>
        <w:t>优先级 P0；关联 REQ-WET-006、REQ-WET-007。</w:t>
      </w:r>
    </w:p>
    <w:p>
      <w:pPr/>
      <w:r>
        <w:rPr/>
        <w:t>现状依据：人工状态目前就是通用编辑表单中的 NSelect，新增也能选择 passed/failed；无专用确认权限或状态迁移检查。operator 是自由文本，日志注解仅说明 CRUD 留痕，不能当作电子签名或完整变更历史。</w:t>
      </w:r>
    </w:p>
    <w:p>
      <w:pPr/>
      <w:r>
        <w:rPr/>
        <w:t>开发内容：建议普通新增固定 pending，确认单独校验权限和状态，记录确认者、时间及原因；是否要求复核人不同于录入人由业务评审。已确认记录修改走修订，保留旧结果、标准快照和关联；结果变动后的新版本回 pending，禁止无感保留旧确认。补乐观并发检查或等效机制，确认与修改竞争由事务拒绝过期操作。新增确认、版本字段及接口均为拟定契约，评审后确定名称及迁移。</w:t>
      </w:r>
    </w:p>
    <w:p>
      <w:pPr/>
      <w:r>
        <w:rPr/>
        <w:t>完成标准：直接请求绕过确认仍拒绝；修改结果不会沿用过期人工结论；旧版本、理由和真实操作者可追溯。</w:t>
      </w:r>
    </w:p>
    <w:p>
      <w:pPr>
        <w:pStyle w:val="Heading2"/>
      </w:pPr>
      <w:r>
        <w:rPr/>
        <w:t>DEV WET 004 实现样本关联和独立自动判定</w:t>
      </w:r>
    </w:p>
    <w:p>
      <w:pPr>
        <w:keepNext/>
      </w:pPr>
      <w:r>
        <w:rPr/>
        <w:t>优先级 P1；关联 REQ-WET-008、REQ-WET-009。</w:t>
      </w:r>
    </w:p>
    <w:p>
      <w:pPr/>
      <w:r>
        <w:rPr/>
        <w:t>现状依据：QcRecordServiceImpl 只有单表 CRUD；Vo、前端类型和列表均无 judgeResult。Mapper XML 为空占位。历史设计依赖 sample_file.subbarcode/product_name，现有 SampleInfo 提供 barcode、erpTestName、sampleProductCode，不能照抄旧关联 SQL。</w:t>
      </w:r>
    </w:p>
    <w:p>
      <w:pPr/>
      <w:r>
        <w:rPr/>
        <w:t>开发内容：先与录单、产品配置确认 subbarcode 对 barcode 的映射及重复条码处理，优先保存可信样本/产品 ID；样本产品编码仅为待验证候选，禁止猜测名称或跨药企匹配。复杂关联放 Q/resources/mapper/qc/QcRecordMapper.xml。按 wet_lab 及启用产品、标准匹配，BigDecimal 严格解析，采用已评审闭区间和单位规则。拟新增独立判定结果、原因、标准 ID/阈值/单位/版本快照；现有 status 不复用。界面新增判定列和筛选，接口/类型同步。筛选应全量正确计算 total，不能复制旧 5,000 条截断方案。</w:t>
      </w:r>
    </w:p>
    <w:p>
      <w:pPr/>
      <w:r>
        <w:rPr/>
        <w:t>完成标准：数值 10–20 的软件测试中 10、20 通过，9.99、20.01 失败；分类及药企不串标准。标准修订不重算已确认历史；超过 5,000 条仍分页完整。</w:t>
      </w:r>
    </w:p>
    <w:p>
      <w:pPr>
        <w:pStyle w:val="Heading2"/>
      </w:pPr>
      <w:r>
        <w:rPr/>
        <w:t>DEV WET 005 补齐湿实验失败处理契约</w:t>
      </w:r>
    </w:p>
    <w:p>
      <w:pPr>
        <w:keepNext/>
      </w:pPr>
      <w:r>
        <w:rPr/>
        <w:t>优先级 P2；关联 REQ-WET-010。</w:t>
      </w:r>
    </w:p>
    <w:p>
      <w:pPr/>
      <w:r>
        <w:rPr/>
        <w:t>现状依据：架构图区分实验室员工和病理医师责任分支，再进入电子签署与运营审核。qc_record 当前只有通用结果、状态和备注，缺失败环节、责任分工和证据模型。</w:t>
      </w:r>
    </w:p>
    <w:p>
      <w:pPr/>
      <w:r>
        <w:rPr/>
        <w:t>开发内容：先定义失败记录与质控记录、实验批次的稳定关联，明确失败编码字典、责任选择、原因必填和证据引用。未明确责任或原因不得进入目标签署状态。实验失败说明采用受控版本；签署与运营审核为跨模块依赖，签署失败保留可重试状态，回调按已确认服务契约鉴权并幂等。外部上上签仅为架构意图，本次不确定供应商参数、不实现自动发送。</w:t>
      </w:r>
    </w:p>
    <w:p>
      <w:pPr/>
      <w:r>
        <w:rPr/>
        <w:t>完成标准：失败环节、责任角色、原因、证据、签署与审核状态可逐项追溯；任一前置缺失不能宣称已签署或已归档。重测保留原失败记录。</w:t>
      </w:r>
    </w:p>
    <w:p>
      <w:pPr>
        <w:pStyle w:val="Heading2"/>
      </w:pPr>
      <w:r>
        <w:rPr/>
        <w:t>DEV WET 006 设计湿实验导入和重测追溯</w:t>
      </w:r>
    </w:p>
    <w:p>
      <w:pPr>
        <w:keepNext/>
      </w:pPr>
      <w:r>
        <w:rPr/>
        <w:t>优先级 P2；关联 REQ-WET-011、REQ-WET-012。</w:t>
      </w:r>
    </w:p>
    <w:p>
      <w:pPr/>
      <w:r>
        <w:rPr/>
        <w:t>现状依据：本菜单没有导入按钮和 Controller 接口。历史 spec.md 提到 sample_qc_info 的 30+ 指标，字段未穷举；旧导入依 sample_date+sample_code，与现有 SampleInfo 字段和关系未核准。</w:t>
      </w:r>
    </w:p>
    <w:p>
      <w:pPr/>
      <w:r>
        <w:rPr/>
        <w:t>开发内容：先决定首期导入对象是逐项目质控记录，还是独立样本详细指标，分别给出完整模板、类型、单位、必填和版本；不能把旧 30+ 指标挤入 qcResult/remark。基于已确认样本键在同药企匹配，限定 wet_lab；未知或多匹配逐行报告。解析前校验文件格式、大小、表头、行数与公式策略，沿用 ruoyi-common-excel；阈值待评审。建议有效行可导入、错误行报告，系统异常事务回滚；返回总行数、新增、跳过、失败及行号原因。定义来源记录键和文件摘要幂等，重测产生新记录，已确认结果不自动覆盖。证据走现有存储能力并检查访问权限。</w:t>
      </w:r>
    </w:p>
    <w:p>
      <w:pPr/>
      <w:r>
        <w:rPr/>
        <w:t>完成标准：模板无遗漏列和静默首行丢失；错误行可定位，重放不重复，真实重测可区分；无跨药企匹配和已确认结果无痕覆盖。</w:t>
      </w:r>
    </w:p>
    <w:p>
      <w:pPr>
        <w:pStyle w:val="Heading2"/>
      </w:pPr>
      <w:r>
        <w:rPr/>
        <w:t>DEV WET 007 落实引用保护和审计留存</w:t>
      </w:r>
    </w:p>
    <w:p>
      <w:pPr>
        <w:keepNext/>
      </w:pPr>
      <w:r>
        <w:rPr/>
        <w:t>优先级 P0 与 P2 分阶段；关联 REQ-WET-007、REQ-WET-013。</w:t>
      </w:r>
    </w:p>
    <w:p>
      <w:pPr/>
      <w:r>
        <w:rPr/>
        <w:t>现状依据：deleteByIds 只拒绝空集合，随后逻辑删除并返回 TRUE，不校验实际影响数、确认状态或下游引用。DDL 没有样本外键或业务唯一键；现有通用日志不等于结果版本、原始证据或报告引用模型。</w:t>
      </w:r>
    </w:p>
    <w:p>
      <w:pPr/>
      <w:r>
        <w:rPr/>
        <w:t>开发内容：P0 校验整批记录存在、药企、类别和可删除状态，任一无权、未知或已确认项整批失败；未确认且无引用的自建记录才允许逻辑删除。P2 与报告、失败说明和签署模块建立真实引用契约；没有引用模型时应记录依赖，不能虚构表查询。用同一事务或并发控制避免确认/下游引用与删除竞态。保留结果前后值、操作者和原因，源文件仅记录可授权访问的引用与摘要。</w:t>
      </w:r>
    </w:p>
    <w:p>
      <w:pPr/>
      <w:r>
        <w:rPr/>
        <w:t>完成标准：批次无部分删除，取消无变化；已引用记录及审计证据保留。没有下游契约的相关用例标阻塞。</w:t>
      </w:r>
    </w:p>
    <w:p>
      <w:pPr>
        <w:pStyle w:val="Heading2"/>
      </w:pPr>
      <w:r>
        <w:rPr/>
        <w:t>DEV WET 008 完善共享页面与异常交互</w:t>
      </w:r>
    </w:p>
    <w:p>
      <w:pPr>
        <w:keepNext/>
      </w:pPr>
      <w:r>
        <w:rPr/>
        <w:t>优先级 P1；关联 REQ-WET-001、REQ-WET-014。</w:t>
      </w:r>
    </w:p>
    <w:p>
      <w:pPr/>
      <w:r>
        <w:rPr/>
        <w:t>现状依据：两个路由的包装页面共用 QcRecordPage。列表按 ID 倒序，编辑取列表行，不先取详情。saving 控制确认加载和取消按钮，但抽屉仍 closable。单删和批删已有确认框；导出明确隐藏，未见导入入口。</w:t>
      </w:r>
    </w:p>
    <w:p>
      <w:pPr/>
      <w:r>
        <w:rPr/>
        <w:t>开发内容：F/views/qc/modules 下统一修复保存防重、关闭图标/遮罩/Esc 控制和失败保留输入；编辑加载当前版本。分类切换时清理选择与抽屉、固定请求类别，快速查询丢弃旧响应。保留包装页面单根结构，回归连续切换和窄屏滚动。查询/重置回有效页，删除末页回退有效页；权限不足、空数据、网络失败分别给出明确反馈。导出未纳入默认实现范围，若需要先补权限和字段契约。</w:t>
      </w:r>
    </w:p>
    <w:p>
      <w:pPr/>
      <w:r>
        <w:rPr/>
        <w:t>完成标准：连续切换两菜单不空白、不串行；慢请求最多一次有效写入；失败可重试，批删取消无请求。</w:t>
      </w:r>
    </w:p>
    <w:p>
      <w:pPr>
        <w:pStyle w:val="Heading2"/>
      </w:pPr>
      <w:r>
        <w:rPr/>
        <w:t>数据迁移与开发交付</w:t>
      </w:r>
    </w:p>
    <w:p>
      <w:pPr/>
      <w:r>
        <w:rPr/>
        <w:t>先盘点部署库及存量非法类别、状态、空白条码和关联歧义，生成待处理清单；不得批量猜测并回填已确认结果。新增列、索引、关联或版本模型在 template-backend/script/sql/update 提供增量迁移、备份恢复与兼容步骤。字段名、精度、唯一键和索引在评审后确定，不仅修改初始化 DDL。简单 CRUD 使用 MyBatis-Plus，复杂关联写 Mapper XML并绑定值参数，验证租户改写和执行计划。</w:t>
      </w:r>
    </w:p>
    <w:p>
      <w:pPr/>
      <w:r>
        <w:rPr/>
        <w:t>增加校验分组、类别授权、状态迁移、严格数值解析的单元测试；在隔离 MySQL 中验证逻辑删除、事务、并发和租户 SQL。共享接口同时回归两个入口。导入与外部失败回调的凭据来自环境配置，日志不写口令、患者资料或原始大文件内容。界面只展示使用者需要的信息。</w:t>
      </w:r>
    </w:p>
    <w:p>
      <w:pPr>
        <w:pStyle w:val="Heading1"/>
      </w:pPr>
      <w:r>
        <w:rPr/>
        <w:t>5 测试准备与验收用例</w:t>
      </w:r>
    </w:p>
    <w:p>
      <w:pPr/>
      <w:r>
        <w:rPr/>
        <w:t>在隔离环境准备药企 A/B、平台超管 S、A 的 wet_lab 用户 A1、另一类别用户 A3、有确认权限的 A2 及只读账号 A0。当前没有独立确认/类别权限时先按开发目标配置测试桩或等待实现，不能当作现成角色能力。准备两类别同条码同项目、不同药企同名产品、启停标准、pending/passed/failed、无引用/已引用记录。</w:t>
      </w:r>
    </w:p>
    <w:p>
      <w:pPr/>
      <w:r>
        <w:rPr/>
        <w:t>所有记录以 DOC_TEST_ 标识；使用合成样本和测试文件，不复制患者信息或账号凭据。10–20、9.99 等数值仅验证软件边界，不代表实验室或临床生产阈值。记录应用提交、数据库版本、药企、权限、时区、请求和实际结果；清理仅限本轮自建数据，历史证据按评审策略保留。</w:t>
      </w:r>
    </w:p>
    <w:p>
      <w:pPr/>
      <w:r>
        <w:rPr/>
        <w:t>默认每条用例操作者具备对应功能权限，越权场景除外。每例独立记录执行日期、实际结果、通过/失败/阻塞及脱敏证据。当前代码与目标不同的用例按目标验收，未实现就记未实现或阻塞，不因旧行为存在而标通过。</w:t>
      </w:r>
    </w:p>
    <w:p>
      <w:pPr>
        <w:pStyle w:val="Heading2"/>
      </w:pPr>
      <w:r>
        <w:rPr/>
        <w:t>TC WET 001 组合查询和分页</w:t>
      </w:r>
    </w:p>
    <w:p>
      <w:pPr>
        <w:keepNext/>
      </w:pPr>
      <w:r>
        <w:rPr/>
        <w:t>用例编号 TC-WET-001；关联 REQ-WET-001；优先级 P1；口径：基线。</w:t>
      </w:r>
    </w:p>
    <w:p>
      <w:pPr>
        <w:keepNext/>
        <w:keepLines/>
      </w:pPr>
      <w:r>
        <w:rPr/>
        <w:t>前置与数据：A 下准备 23 条 wet_lab 记录及另一类别、B 药企记录。</w:t>
      </w:r>
    </w:p>
    <w:p>
      <w:pPr>
        <w:keepNext/>
        <w:keepLines/>
      </w:pPr>
      <w:r>
        <w:rPr/>
        <w:t>步骤：按条码、项目、状态组合搜索并翻页。</w:t>
      </w:r>
    </w:p>
    <w:p>
      <w:pPr>
        <w:keepLines/>
      </w:pPr>
      <w:r>
        <w:rPr/>
        <w:t>预期：结果与 total 一致，仅当前类别和药企；按 ID 倒序，非检测时间排序。</w:t>
      </w:r>
    </w:p>
    <w:p>
      <w:pPr>
        <w:pStyle w:val="Heading2"/>
      </w:pPr>
      <w:r>
        <w:rPr/>
        <w:t>TC WET 002 重置与空结果</w:t>
      </w:r>
    </w:p>
    <w:p>
      <w:pPr>
        <w:keepNext/>
      </w:pPr>
      <w:r>
        <w:rPr/>
        <w:t>用例编号 TC-WET-002；关联 REQ-WET-001；优先级 P1；口径：基线。</w:t>
      </w:r>
    </w:p>
    <w:p>
      <w:pPr>
        <w:keepNext/>
        <w:keepLines/>
      </w:pPr>
      <w:r>
        <w:rPr/>
        <w:t>前置与数据：在 wet_lab 页第二页设置多个条件。</w:t>
      </w:r>
    </w:p>
    <w:p>
      <w:pPr>
        <w:keepNext/>
        <w:keepLines/>
      </w:pPr>
      <w:r>
        <w:rPr/>
        <w:t>步骤：搜索不存在条码，再重置及刷新。</w:t>
      </w:r>
    </w:p>
    <w:p>
      <w:pPr>
        <w:keepLines/>
      </w:pPr>
      <w:r>
        <w:rPr/>
        <w:t>预期：空结果不显示旧行；重置保留当前类别并回有效页，默认每页 10 条。</w:t>
      </w:r>
    </w:p>
    <w:p>
      <w:pPr>
        <w:pStyle w:val="Heading2"/>
      </w:pPr>
      <w:r>
        <w:rPr/>
        <w:t>TC WET 003 跨药企直接访问</w:t>
      </w:r>
    </w:p>
    <w:p>
      <w:pPr>
        <w:keepNext/>
      </w:pPr>
      <w:r>
        <w:rPr/>
        <w:t>用例编号 TC-WET-003；关联 REQ-WET-002；优先级 P0；口径：基线及目标。</w:t>
      </w:r>
    </w:p>
    <w:p>
      <w:pPr>
        <w:keepNext/>
        <w:keepLines/>
      </w:pPr>
      <w:r>
        <w:rPr/>
        <w:t>前置与数据：A1 有对应 CRUD 权限，知道 B 记录 ID。</w:t>
      </w:r>
    </w:p>
    <w:p>
      <w:pPr>
        <w:keepNext/>
        <w:keepLines/>
      </w:pPr>
      <w:r>
        <w:rPr/>
        <w:t>步骤：直接请求 B 详情、修改和删除，尝试传 B 药企参数新增。</w:t>
      </w:r>
    </w:p>
    <w:p>
      <w:pPr>
        <w:keepLines/>
      </w:pPr>
      <w:r>
        <w:rPr/>
        <w:t>预期：B 数据不可读写，伪造归属拒绝；A 不生成归属 B 的记录。</w:t>
      </w:r>
    </w:p>
    <w:p>
      <w:pPr>
        <w:pStyle w:val="Heading2"/>
      </w:pPr>
      <w:r>
        <w:rPr/>
        <w:t>TC WET 004 超管新增归属</w:t>
      </w:r>
    </w:p>
    <w:p>
      <w:pPr>
        <w:keepNext/>
      </w:pPr>
      <w:r>
        <w:rPr/>
        <w:t>用例编号 TC-WET-004；关联 REQ-WET-002；优先级 P0；口径：开发目标。</w:t>
      </w:r>
    </w:p>
    <w:p>
      <w:pPr>
        <w:keepNext/>
        <w:keepLines/>
      </w:pPr>
      <w:r>
        <w:rPr/>
        <w:t>前置与数据：S 已选择药企 A；另准备不选择药企请求。</w:t>
      </w:r>
    </w:p>
    <w:p>
      <w:pPr>
        <w:keepNext/>
        <w:keepLines/>
      </w:pPr>
      <w:r>
        <w:rPr/>
        <w:t>步骤：新增记录，再用 A1/B1 查询；无归属直接提交。</w:t>
      </w:r>
    </w:p>
    <w:p>
      <w:pPr>
        <w:keepLines/>
      </w:pPr>
      <w:r>
        <w:rPr/>
        <w:t>预期：仅 A 可见，来源样本及产品同属 A；缺目标药企拒绝，不默认写入 000000。</w:t>
      </w:r>
    </w:p>
    <w:p>
      <w:pPr>
        <w:pStyle w:val="Heading2"/>
      </w:pPr>
      <w:r>
        <w:rPr/>
        <w:t>TC WET 005 仅本类别授权</w:t>
      </w:r>
    </w:p>
    <w:p>
      <w:pPr>
        <w:keepNext/>
      </w:pPr>
      <w:r>
        <w:rPr/>
        <w:t>用例编号 TC-WET-005；关联 REQ-WET-003；优先级 P0；口径：开发目标。</w:t>
      </w:r>
    </w:p>
    <w:p>
      <w:pPr>
        <w:keepNext/>
        <w:keepLines/>
      </w:pPr>
      <w:r>
        <w:rPr/>
        <w:t>前置与数据：A1 仅授权 wet_lab，同药企还有 bioinfo 记录。</w:t>
      </w:r>
    </w:p>
    <w:p>
      <w:pPr>
        <w:keepNext/>
        <w:keepLines/>
      </w:pPr>
      <w:r>
        <w:rPr/>
        <w:t>步骤：删除列表 qcCategory 参数，再改为另一类别；访问另一类别详情和写接口。</w:t>
      </w:r>
    </w:p>
    <w:p>
      <w:pPr>
        <w:keepLines/>
      </w:pPr>
      <w:r>
        <w:rPr/>
        <w:t>预期：只返回授权类别或拒绝；详情及增改删不能越权，隐藏菜单不能作为通过证据。</w:t>
      </w:r>
    </w:p>
    <w:p>
      <w:pPr>
        <w:pStyle w:val="Heading2"/>
      </w:pPr>
      <w:r>
        <w:rPr/>
        <w:t>TC WET 006 修改类别与混合批次</w:t>
      </w:r>
    </w:p>
    <w:p>
      <w:pPr>
        <w:keepNext/>
      </w:pPr>
      <w:r>
        <w:rPr/>
        <w:t>用例编号 TC-WET-006；关联 REQ-WET-003；优先级 P0；口径：开发目标。</w:t>
      </w:r>
    </w:p>
    <w:p>
      <w:pPr>
        <w:keepNext/>
        <w:keepLines/>
      </w:pPr>
      <w:r>
        <w:rPr/>
        <w:t>前置与数据：存在 wet_lab 与 bioinfo 两类记录，A1 只授权本类别。</w:t>
      </w:r>
    </w:p>
    <w:p>
      <w:pPr>
        <w:keepNext/>
        <w:keepLines/>
      </w:pPr>
      <w:r>
        <w:rPr/>
        <w:t>步骤：提交未知类别、编辑改类别；混合两类 ID 批删。</w:t>
      </w:r>
    </w:p>
    <w:p>
      <w:pPr>
        <w:keepLines/>
      </w:pPr>
      <w:r>
        <w:rPr/>
        <w:t>预期：非法/未授权类别拒绝；原记录类别未改变，整批无部分删除。</w:t>
      </w:r>
    </w:p>
    <w:p>
      <w:pPr>
        <w:pStyle w:val="Heading2"/>
      </w:pPr>
      <w:r>
        <w:rPr/>
        <w:t>TC WET 007 必填长度边界</w:t>
      </w:r>
    </w:p>
    <w:p>
      <w:pPr>
        <w:keepNext/>
      </w:pPr>
      <w:r>
        <w:rPr/>
        <w:t>用例编号 TC-WET-007；关联 REQ-WET-004；优先级 P0；口径：开发目标。</w:t>
      </w:r>
    </w:p>
    <w:p>
      <w:pPr>
        <w:keepNext/>
        <w:keepLines/>
      </w:pPr>
      <w:r>
        <w:rPr/>
        <w:t>前置与数据：条码 80/81、项目 100/101、结果 50/51、操作员 80/81、备注 500/501 字符。</w:t>
      </w:r>
    </w:p>
    <w:p>
      <w:pPr>
        <w:keepNext/>
        <w:keepLines/>
      </w:pPr>
      <w:r>
        <w:rPr/>
        <w:t>步骤：直接请求新增和编辑，并提交空条码及空项目。</w:t>
      </w:r>
    </w:p>
    <w:p>
      <w:pPr>
        <w:keepLines/>
      </w:pPr>
      <w:r>
        <w:rPr/>
        <w:t>预期：合法边界可保存；超长和必填空值由服务端拒绝，不依赖数据库截断。</w:t>
      </w:r>
    </w:p>
    <w:p>
      <w:pPr>
        <w:pStyle w:val="Heading2"/>
      </w:pPr>
      <w:r>
        <w:rPr/>
        <w:t>TC WET 008 主键与枚举校验</w:t>
      </w:r>
    </w:p>
    <w:p>
      <w:pPr>
        <w:keepNext/>
      </w:pPr>
      <w:r>
        <w:rPr/>
        <w:t>用例编号 TC-WET-008；关联 REQ-WET-004；优先级 P0；口径：开发目标。</w:t>
      </w:r>
    </w:p>
    <w:p>
      <w:pPr>
        <w:keepNext/>
        <w:keepLines/>
      </w:pPr>
      <w:r>
        <w:rPr/>
        <w:t>前置与数据：已有记录及不存在 ID，构造非法 status。</w:t>
      </w:r>
    </w:p>
    <w:p>
      <w:pPr>
        <w:keepNext/>
        <w:keepLines/>
      </w:pPr>
      <w:r>
        <w:rPr/>
        <w:t>步骤：新增自带已有 ID；编辑缺 ID/未知 ID；提交未知人工状态。</w:t>
      </w:r>
    </w:p>
    <w:p>
      <w:pPr>
        <w:keepLines/>
      </w:pPr>
      <w:r>
        <w:rPr/>
        <w:t>预期：无覆盖或意外插入；缺失与非法值明确拒绝，新增默认 pending 的目标规则生效。</w:t>
      </w:r>
    </w:p>
    <w:p>
      <w:pPr>
        <w:pStyle w:val="Heading2"/>
      </w:pPr>
      <w:r>
        <w:rPr/>
        <w:t>TC WET 009 原始结果与空值</w:t>
      </w:r>
    </w:p>
    <w:p>
      <w:pPr>
        <w:keepNext/>
      </w:pPr>
      <w:r>
        <w:rPr/>
        <w:t>用例编号 TC-WET-009；关联 REQ-WET-005；优先级 P1；口径：基线及目标。</w:t>
      </w:r>
    </w:p>
    <w:p>
      <w:pPr>
        <w:keepNext/>
        <w:keepLines/>
      </w:pPr>
      <w:r>
        <w:rPr/>
        <w:t>前置与数据：准备结果 0、空、&lt;0.5、20%、普通文字，字段在长度内。</w:t>
      </w:r>
    </w:p>
    <w:p>
      <w:pPr>
        <w:keepNext/>
        <w:keepLines/>
      </w:pPr>
      <w:r>
        <w:rPr/>
        <w:t>步骤：保存并读取；清空原操作员、检测时间和备注后再读。</w:t>
      </w:r>
    </w:p>
    <w:p>
      <w:pPr>
        <w:keepLines/>
      </w:pPr>
      <w:r>
        <w:rPr/>
        <w:t>预期：原始字符串按约定保留，0 不变空；清空确实持久化。保存成功不等于自动通过。</w:t>
      </w:r>
    </w:p>
    <w:p>
      <w:pPr>
        <w:pStyle w:val="Heading2"/>
      </w:pPr>
      <w:r>
        <w:rPr/>
        <w:t>TC WET 010 检测时间和重复实验</w:t>
      </w:r>
    </w:p>
    <w:p>
      <w:pPr>
        <w:keepNext/>
      </w:pPr>
      <w:r>
        <w:rPr/>
        <w:t>用例编号 TC-WET-010；关联 REQ-WET-005；优先级 P1；口径：开发目标。</w:t>
      </w:r>
    </w:p>
    <w:p>
      <w:pPr>
        <w:keepNext/>
        <w:keepLines/>
      </w:pPr>
      <w:r>
        <w:rPr/>
        <w:t>前置与数据：约定 Asia/Shanghai；同一条码项目有两次真实实验。</w:t>
      </w:r>
    </w:p>
    <w:p>
      <w:pPr>
        <w:keepNext/>
        <w:keepLines/>
      </w:pPr>
      <w:r>
        <w:rPr/>
        <w:t>步骤：录入跨日时间、非法日期；录入两次实验并重放同一提交。</w:t>
      </w:r>
    </w:p>
    <w:p>
      <w:pPr>
        <w:keepLines/>
      </w:pPr>
      <w:r>
        <w:rPr/>
        <w:t>预期：合法时间无时区偏移，非法时间拒绝；真实重复实验各自留存，同一请求不重复写。</w:t>
      </w:r>
    </w:p>
    <w:p>
      <w:pPr>
        <w:pStyle w:val="Heading2"/>
      </w:pPr>
      <w:r>
        <w:rPr/>
        <w:t>TC WET 011 人工确认及权限</w:t>
      </w:r>
    </w:p>
    <w:p>
      <w:pPr>
        <w:keepNext/>
      </w:pPr>
      <w:r>
        <w:rPr/>
        <w:t>用例编号 TC-WET-011；关联 REQ-WET-006；优先级 P0；口径：开发目标。</w:t>
      </w:r>
    </w:p>
    <w:p>
      <w:pPr>
        <w:keepNext/>
        <w:keepLines/>
      </w:pPr>
      <w:r>
        <w:rPr/>
        <w:t>前置与数据：A1 可录入但无确认权限，A2 有确认权限，记录 pending。</w:t>
      </w:r>
    </w:p>
    <w:p>
      <w:pPr>
        <w:keepNext/>
        <w:keepLines/>
      </w:pPr>
      <w:r>
        <w:rPr/>
        <w:t>步骤：A1 直接提交 passed；A2 分别确认通过、失败并填写原因。</w:t>
      </w:r>
    </w:p>
    <w:p>
      <w:pPr>
        <w:keepLines/>
      </w:pPr>
      <w:r>
        <w:rPr/>
        <w:t>预期：越权确认拒绝；合法迁移保留真实确认者和时间，operator 文本不能冒充确认身份。</w:t>
      </w:r>
    </w:p>
    <w:p>
      <w:pPr>
        <w:pStyle w:val="Heading2"/>
      </w:pPr>
      <w:r>
        <w:rPr/>
        <w:t>TC WET 012 人工结论与自动结果独立</w:t>
      </w:r>
    </w:p>
    <w:p>
      <w:pPr>
        <w:keepNext/>
      </w:pPr>
      <w:r>
        <w:rPr/>
        <w:t>用例编号 TC-WET-012；关联 REQ-WET-006；优先级 P0；口径：开发目标。</w:t>
      </w:r>
    </w:p>
    <w:p>
      <w:pPr>
        <w:keepNext/>
        <w:keepLines/>
      </w:pPr>
      <w:r>
        <w:rPr/>
        <w:t>前置与数据：自动判定接入后，一条自动 failed 但人工仍 pending。</w:t>
      </w:r>
    </w:p>
    <w:p>
      <w:pPr>
        <w:keepNext/>
        <w:keepLines/>
      </w:pPr>
      <w:r>
        <w:rPr/>
        <w:t>步骤：查询与人工确认；尝试不说明原因将失败结果标通过。</w:t>
      </w:r>
    </w:p>
    <w:p>
      <w:pPr>
        <w:keepLines/>
      </w:pPr>
      <w:r>
        <w:rPr/>
        <w:t>预期：两个状态独立展示；按评审规则处理差异和理由，不自动覆盖人工状态或绕过确认。</w:t>
      </w:r>
    </w:p>
    <w:p>
      <w:pPr>
        <w:pStyle w:val="Heading2"/>
      </w:pPr>
      <w:r>
        <w:rPr/>
        <w:t>TC WET 013 已确认记录修订</w:t>
      </w:r>
    </w:p>
    <w:p>
      <w:pPr>
        <w:keepNext/>
      </w:pPr>
      <w:r>
        <w:rPr/>
        <w:t>用例编号 TC-WET-013；关联 REQ-WET-007；优先级 P0；口径：开发目标。</w:t>
      </w:r>
    </w:p>
    <w:p>
      <w:pPr>
        <w:keepNext/>
        <w:keepLines/>
      </w:pPr>
      <w:r>
        <w:rPr/>
        <w:t>前置与数据：记录已确认并保存旧结果和标准快照。</w:t>
      </w:r>
    </w:p>
    <w:p>
      <w:pPr>
        <w:keepNext/>
        <w:keepLines/>
      </w:pPr>
      <w:r>
        <w:rPr/>
        <w:t>步骤：直接改结果，再通过已评审修订流程修改。</w:t>
      </w:r>
    </w:p>
    <w:p>
      <w:pPr>
        <w:keepLines/>
      </w:pPr>
      <w:r>
        <w:rPr/>
        <w:t>预期：直接静默改写拒绝；修订产生可追溯版本，旧证据保留，新版本重新待确认。</w:t>
      </w:r>
    </w:p>
    <w:p>
      <w:pPr>
        <w:pStyle w:val="Heading2"/>
      </w:pPr>
      <w:r>
        <w:rPr/>
        <w:t>TC WET 014 并发确认与修改</w:t>
      </w:r>
    </w:p>
    <w:p>
      <w:pPr>
        <w:keepNext/>
      </w:pPr>
      <w:r>
        <w:rPr/>
        <w:t>用例编号 TC-WET-014；关联 REQ-WET-007；优先级 P0；口径：开发目标。</w:t>
      </w:r>
    </w:p>
    <w:p>
      <w:pPr>
        <w:keepNext/>
        <w:keepLines/>
      </w:pPr>
      <w:r>
        <w:rPr/>
        <w:t>前置与数据：两会话打开同一待确认记录版本。</w:t>
      </w:r>
    </w:p>
    <w:p>
      <w:pPr>
        <w:keepNext/>
        <w:keepLines/>
      </w:pPr>
      <w:r>
        <w:rPr/>
        <w:t>步骤：一方确认，另一方提交旧版本修改；交换顺序重试。</w:t>
      </w:r>
    </w:p>
    <w:p>
      <w:pPr>
        <w:keepLines/>
      </w:pPr>
      <w:r>
        <w:rPr/>
        <w:t>预期：仅合法顺序成功，过期操作提示冲突；没有已确认状态配新结果的无痕组合。</w:t>
      </w:r>
    </w:p>
    <w:p>
      <w:pPr>
        <w:pStyle w:val="Heading2"/>
      </w:pPr>
      <w:r>
        <w:rPr/>
        <w:t>TC WET 015 样本产品与类别匹配</w:t>
      </w:r>
    </w:p>
    <w:p>
      <w:pPr>
        <w:keepNext/>
      </w:pPr>
      <w:r>
        <w:rPr/>
        <w:t>用例编号 TC-WET-015；关联 REQ-WET-008；优先级 P0；口径：开发目标 待联调。</w:t>
      </w:r>
    </w:p>
    <w:p>
      <w:pPr>
        <w:keepNext/>
        <w:keepLines/>
      </w:pPr>
      <w:r>
        <w:rPr/>
        <w:t>前置与数据：A/B 同条码、同名产品和 wet_lab/bioinfo 同名项目分别有不同标准。</w:t>
      </w:r>
    </w:p>
    <w:p>
      <w:pPr>
        <w:keepNext/>
        <w:keepLines/>
      </w:pPr>
      <w:r>
        <w:rPr/>
        <w:t>步骤：按已确认稳定关联生成判定；尝试提供歧义条码及错误产品。</w:t>
      </w:r>
    </w:p>
    <w:p>
      <w:pPr>
        <w:keepLines/>
      </w:pPr>
      <w:r>
        <w:rPr/>
        <w:t>预期：仅同药企产品和 wet_lab 标准参与；歧义明确异常，不任取第一条或借用另一类别标准。</w:t>
      </w:r>
    </w:p>
    <w:p>
      <w:pPr>
        <w:pStyle w:val="Heading2"/>
      </w:pPr>
      <w:r>
        <w:rPr/>
        <w:t>TC WET 016 闭区间与无标准</w:t>
      </w:r>
    </w:p>
    <w:p>
      <w:pPr>
        <w:keepNext/>
      </w:pPr>
      <w:r>
        <w:rPr/>
        <w:t>用例编号 TC-WET-016；关联 REQ-WET-008；优先级 P0；口径：开发目标 待联调。</w:t>
      </w:r>
    </w:p>
    <w:p>
      <w:pPr>
        <w:keepNext/>
        <w:keepLines/>
      </w:pPr>
      <w:r>
        <w:rPr/>
        <w:t>前置与数据：测试标准范围 10–20；另有无产品、无标准、停用标准。</w:t>
      </w:r>
    </w:p>
    <w:p>
      <w:pPr>
        <w:keepNext/>
        <w:keepLines/>
      </w:pPr>
      <w:r>
        <w:rPr/>
        <w:t>步骤：判定 9.99、10、20、20.01，之后测试缺失和停用情形。</w:t>
      </w:r>
    </w:p>
    <w:p>
      <w:pPr>
        <w:keepLines/>
      </w:pPr>
      <w:r>
        <w:rPr/>
        <w:t>预期：四个数值依次 failed/passed/passed/failed；缺失或停用按确认契约返回 no_standard，不默认通过。</w:t>
      </w:r>
    </w:p>
    <w:p>
      <w:pPr>
        <w:pStyle w:val="Heading2"/>
      </w:pPr>
      <w:r>
        <w:rPr/>
        <w:t>TC WET 017 非数值及单位</w:t>
      </w:r>
    </w:p>
    <w:p>
      <w:pPr>
        <w:keepNext/>
      </w:pPr>
      <w:r>
        <w:rPr/>
        <w:t>用例编号 TC-WET-017；关联 REQ-WET-009；优先级 P0；口径：开发目标 待联调。</w:t>
      </w:r>
    </w:p>
    <w:p>
      <w:pPr>
        <w:keepNext/>
        <w:keepLines/>
      </w:pPr>
      <w:r>
        <w:rPr/>
        <w:t>前置与数据：存在有效标准，准备空值、&lt;0.5、NaN、20%、单位不一致及双空上下限。</w:t>
      </w:r>
    </w:p>
    <w:p>
      <w:pPr>
        <w:keepNext/>
        <w:keepLines/>
      </w:pPr>
      <w:r>
        <w:rPr/>
        <w:t>步骤：执行判定并检查原因。</w:t>
      </w:r>
    </w:p>
    <w:p>
      <w:pPr>
        <w:keepLines/>
      </w:pPr>
      <w:r>
        <w:rPr/>
        <w:t>预期：未定义表达式不部分解析，空值/非数字为 non_numeric；单位冲突和非法标准明确不可判定，不自动通过。</w:t>
      </w:r>
    </w:p>
    <w:p>
      <w:pPr>
        <w:pStyle w:val="Heading2"/>
      </w:pPr>
      <w:r>
        <w:rPr/>
        <w:t>TC WET 018 完整分页与历史快照</w:t>
      </w:r>
    </w:p>
    <w:p>
      <w:pPr>
        <w:keepNext/>
      </w:pPr>
      <w:r>
        <w:rPr/>
        <w:t>用例编号 TC-WET-018；关联 REQ-WET-009；优先级 P0；口径：开发目标 待联调。</w:t>
      </w:r>
    </w:p>
    <w:p>
      <w:pPr>
        <w:keepNext/>
        <w:keepLines/>
      </w:pPr>
      <w:r>
        <w:rPr/>
        <w:t>前置与数据：超过 5,000 条记录，目标判定命中最后一条；另有已确认旧记录。</w:t>
      </w:r>
    </w:p>
    <w:p>
      <w:pPr>
        <w:keepNext/>
        <w:keepLines/>
      </w:pPr>
      <w:r>
        <w:rPr/>
        <w:t>步骤：按自动结果筛选并翻页，修改标准后再查历史。</w:t>
      </w:r>
    </w:p>
    <w:p>
      <w:pPr>
        <w:keepLines/>
      </w:pPr>
      <w:r>
        <w:rPr/>
        <w:t>预期：total 与全量符合条件数一致，无静默截断；历史保留原阈值版本，新标准按生效规则使用。</w:t>
      </w:r>
    </w:p>
    <w:p>
      <w:pPr>
        <w:pStyle w:val="Heading2"/>
      </w:pPr>
      <w:r>
        <w:rPr/>
        <w:t>TC WET 019 失败原因和责任完整性</w:t>
      </w:r>
    </w:p>
    <w:p>
      <w:pPr>
        <w:keepNext/>
      </w:pPr>
      <w:r>
        <w:rPr/>
        <w:t>用例编号 TC-WET-019；关联 REQ-WET-010；优先级 P0；口径：开发目标 待联调。</w:t>
      </w:r>
    </w:p>
    <w:p>
      <w:pPr>
        <w:keepNext/>
        <w:keepLines/>
      </w:pPr>
      <w:r>
        <w:rPr/>
        <w:t>前置与数据：一条湿实验失败记录，分别缺环节、编码、责任人或原因。</w:t>
      </w:r>
    </w:p>
    <w:p>
      <w:pPr>
        <w:keepNext/>
        <w:keepLines/>
      </w:pPr>
      <w:r>
        <w:rPr/>
        <w:t>步骤：保存失败信息并尝试提交签署；补全后由有权角色提交。</w:t>
      </w:r>
    </w:p>
    <w:p>
      <w:pPr>
        <w:keepLines/>
      </w:pPr>
      <w:r>
        <w:rPr/>
        <w:t>预期：缺必要信息拒绝推进；实验室/病理责任分支明确，非责任人不得无权补因。</w:t>
      </w:r>
    </w:p>
    <w:p>
      <w:pPr>
        <w:pStyle w:val="Heading2"/>
      </w:pPr>
      <w:r>
        <w:rPr/>
        <w:t>TC WET 020 失败签署和重测保留</w:t>
      </w:r>
    </w:p>
    <w:p>
      <w:pPr>
        <w:keepNext/>
      </w:pPr>
      <w:r>
        <w:rPr/>
        <w:t>用例编号 TC-WET-020；关联 REQ-WET-010；优先级 P0；口径：开发目标 待联调。</w:t>
      </w:r>
    </w:p>
    <w:p>
      <w:pPr>
        <w:keepNext/>
        <w:keepLines/>
      </w:pPr>
      <w:r>
        <w:rPr/>
        <w:t>前置与数据：已固化原证据，模拟签署失败、重复回调及后续重测成功。</w:t>
      </w:r>
    </w:p>
    <w:p>
      <w:pPr>
        <w:keepNext/>
        <w:keepLines/>
      </w:pPr>
      <w:r>
        <w:rPr/>
        <w:t>步骤：重试签署、重放回调，再创建重测记录并运营审核。</w:t>
      </w:r>
    </w:p>
    <w:p>
      <w:pPr>
        <w:keepLines/>
      </w:pPr>
      <w:r>
        <w:rPr/>
        <w:t>预期：失败可恢复、回调不重复推进；审核前不标归档，重测成功不覆盖原失败和签署证据。</w:t>
      </w:r>
    </w:p>
    <w:p>
      <w:pPr>
        <w:pStyle w:val="Heading2"/>
      </w:pPr>
      <w:r>
        <w:rPr/>
        <w:t>TC WET 021 导入模板与边界</w:t>
      </w:r>
    </w:p>
    <w:p>
      <w:pPr>
        <w:keepNext/>
      </w:pPr>
      <w:r>
        <w:rPr/>
        <w:t>用例编号 TC-WET-021；关联 REQ-WET-011；优先级 P1；口径：开发目标 待联调。</w:t>
      </w:r>
    </w:p>
    <w:p>
      <w:pPr>
        <w:keepNext/>
        <w:keepLines/>
      </w:pPr>
      <w:r>
        <w:rPr/>
        <w:t>前置与数据：已确认导入模型和上限 N；准备空文件、缺表头、重复列、N/N+1 行和公式单元格。</w:t>
      </w:r>
    </w:p>
    <w:p>
      <w:pPr>
        <w:keepNext/>
        <w:keepLines/>
      </w:pPr>
      <w:r>
        <w:rPr/>
        <w:t>步骤：通过拟定导入入口提交上述文件。</w:t>
      </w:r>
    </w:p>
    <w:p>
      <w:pPr>
        <w:keepLines/>
      </w:pPr>
      <w:r>
        <w:rPr/>
        <w:t>预期：合法模板识别准确；非法或超限明确拒绝，无静默截断、公式执行或首行丢失；未确认完整列清单时阻塞。</w:t>
      </w:r>
    </w:p>
    <w:p>
      <w:pPr>
        <w:pStyle w:val="Heading2"/>
      </w:pPr>
      <w:r>
        <w:rPr/>
        <w:t>TC WET 022 导入样本匹配与错误行</w:t>
      </w:r>
    </w:p>
    <w:p>
      <w:pPr>
        <w:keepNext/>
      </w:pPr>
      <w:r>
        <w:rPr/>
        <w:t>用例编号 TC-WET-022；关联 REQ-WET-011；优先级 P0；口径：开发目标 待联调。</w:t>
      </w:r>
    </w:p>
    <w:p>
      <w:pPr>
        <w:keepNext/>
        <w:keepLines/>
      </w:pPr>
      <w:r>
        <w:rPr/>
        <w:t>前置与数据：文件含 A 唯一样本、B 同条码、未知样本、多匹配及非法结果长度。</w:t>
      </w:r>
    </w:p>
    <w:p>
      <w:pPr>
        <w:keepNext/>
        <w:keepLines/>
      </w:pPr>
      <w:r>
        <w:rPr/>
        <w:t>步骤：导入并比对每行结果与库中新增记录。</w:t>
      </w:r>
    </w:p>
    <w:p>
      <w:pPr>
        <w:keepLines/>
      </w:pPr>
      <w:r>
        <w:rPr/>
        <w:t>预期：只关联 A 唯一匹配；错误行返回行号原因；新增/跳过/失败按定义可对账，不能跨药企取样本。</w:t>
      </w:r>
    </w:p>
    <w:p>
      <w:pPr>
        <w:pStyle w:val="Heading2"/>
      </w:pPr>
      <w:r>
        <w:rPr/>
        <w:t>TC WET 023 文件重放与实验重测</w:t>
      </w:r>
    </w:p>
    <w:p>
      <w:pPr>
        <w:keepNext/>
      </w:pPr>
      <w:r>
        <w:rPr/>
        <w:t>用例编号 TC-WET-023；关联 REQ-WET-012；优先级 P0；口径：开发目标 待联调。</w:t>
      </w:r>
    </w:p>
    <w:p>
      <w:pPr>
        <w:keepNext/>
        <w:keepLines/>
      </w:pPr>
      <w:r>
        <w:rPr/>
        <w:t>前置与数据：同一来源记录重复文件；同条码项目另有真实重测批次。</w:t>
      </w:r>
    </w:p>
    <w:p>
      <w:pPr>
        <w:keepNext/>
        <w:keepLines/>
      </w:pPr>
      <w:r>
        <w:rPr/>
        <w:t>步骤：重放文件，再导入重测并尝试覆盖已确认记录。</w:t>
      </w:r>
    </w:p>
    <w:p>
      <w:pPr>
        <w:keepLines/>
      </w:pPr>
      <w:r>
        <w:rPr/>
        <w:t>预期：同来源幂等，重测单独留存且关联原记录；已确认记录不自动覆盖。</w:t>
      </w:r>
    </w:p>
    <w:p>
      <w:pPr>
        <w:pStyle w:val="Heading2"/>
      </w:pPr>
      <w:r>
        <w:rPr/>
        <w:t>TC WET 024 导入回滚与证据隔离</w:t>
      </w:r>
    </w:p>
    <w:p>
      <w:pPr>
        <w:keepNext/>
      </w:pPr>
      <w:r>
        <w:rPr/>
        <w:t>用例编号 TC-WET-024；关联 REQ-WET-012；优先级 P0；口径：开发目标 待联调。</w:t>
      </w:r>
    </w:p>
    <w:p>
      <w:pPr>
        <w:keepNext/>
        <w:keepLines/>
      </w:pPr>
      <w:r>
        <w:rPr/>
        <w:t>前置与数据：导入中模拟数据库失败，原证据属于 A。</w:t>
      </w:r>
    </w:p>
    <w:p>
      <w:pPr>
        <w:keepNext/>
        <w:keepLines/>
      </w:pPr>
      <w:r>
        <w:rPr/>
        <w:t>步骤：触发系统异常后重试；用 B 账号直接访问证据。</w:t>
      </w:r>
    </w:p>
    <w:p>
      <w:pPr>
        <w:keepLines/>
      </w:pPr>
      <w:r>
        <w:rPr/>
        <w:t>预期：系统异常按契约回滚且不虚报成功；重试不重复，B 无权读取，日志无原始患者资料。</w:t>
      </w:r>
    </w:p>
    <w:p>
      <w:pPr>
        <w:pStyle w:val="Heading2"/>
      </w:pPr>
      <w:r>
        <w:rPr/>
        <w:t>TC WET 025 删除确认及逻辑留存</w:t>
      </w:r>
    </w:p>
    <w:p>
      <w:pPr>
        <w:keepNext/>
      </w:pPr>
      <w:r>
        <w:rPr/>
        <w:t>用例编号 TC-WET-025；关联 REQ-WET-013；优先级 P0；口径：基线及目标。</w:t>
      </w:r>
    </w:p>
    <w:p>
      <w:pPr>
        <w:keepNext/>
        <w:keepLines/>
      </w:pPr>
      <w:r>
        <w:rPr/>
        <w:t>前置与数据：自建 pending、无引用记录，一条位于末页。</w:t>
      </w:r>
    </w:p>
    <w:p>
      <w:pPr>
        <w:keepNext/>
        <w:keepLines/>
      </w:pPr>
      <w:r>
        <w:rPr/>
        <w:t>步骤：分别取消单删/批删，再确认合法删除。</w:t>
      </w:r>
    </w:p>
    <w:p>
      <w:pPr>
        <w:keepLines/>
      </w:pPr>
      <w:r>
        <w:rPr/>
        <w:t>预期：取消不写入；确认后不再可见且逻辑删除留存，列表回有效页，不删除其他类别。</w:t>
      </w:r>
    </w:p>
    <w:p>
      <w:pPr>
        <w:pStyle w:val="Heading2"/>
      </w:pPr>
      <w:r>
        <w:rPr/>
        <w:t>TC WET 026 保护记录与整批拒绝</w:t>
      </w:r>
    </w:p>
    <w:p>
      <w:pPr>
        <w:keepNext/>
      </w:pPr>
      <w:r>
        <w:rPr/>
        <w:t>用例编号 TC-WET-026；关联 REQ-WET-013；优先级 P0；口径：开发目标。</w:t>
      </w:r>
    </w:p>
    <w:p>
      <w:pPr>
        <w:keepNext/>
        <w:keepLines/>
      </w:pPr>
      <w:r>
        <w:rPr/>
        <w:t>前置与数据：混入已确认、下游已引用、未知 ID、跨药企记录。</w:t>
      </w:r>
    </w:p>
    <w:p>
      <w:pPr>
        <w:keepNext/>
        <w:keepLines/>
      </w:pPr>
      <w:r>
        <w:rPr/>
        <w:t>步骤：分别及混合批删，并与确认或建立引用并发执行。</w:t>
      </w:r>
    </w:p>
    <w:p>
      <w:pPr>
        <w:keepLines/>
      </w:pPr>
      <w:r>
        <w:rPr/>
        <w:t>预期：不合法批次整体拒绝，未确认项也不被部分删除；引用模型未就绪则相关场景标阻塞。</w:t>
      </w:r>
    </w:p>
    <w:p>
      <w:pPr>
        <w:pStyle w:val="Heading2"/>
      </w:pPr>
      <w:r>
        <w:rPr/>
        <w:t>TC WET 027 操作权限与保存失败</w:t>
      </w:r>
    </w:p>
    <w:p>
      <w:pPr>
        <w:keepNext/>
      </w:pPr>
      <w:r>
        <w:rPr/>
        <w:t>用例编号 TC-WET-027；关联 REQ-WET-014；优先级 P0；口径：基线及目标。</w:t>
      </w:r>
    </w:p>
    <w:p>
      <w:pPr>
        <w:keepNext/>
        <w:keepLines/>
      </w:pPr>
      <w:r>
        <w:rPr/>
        <w:t>前置与数据：只读账号及有维护权账号，模拟慢保存和服务失败。</w:t>
      </w:r>
    </w:p>
    <w:p>
      <w:pPr>
        <w:keepNext/>
        <w:keepLines/>
      </w:pPr>
      <w:r>
        <w:rPr/>
        <w:t>步骤：直接请求未授权写接口；重复保存并尝试关闭，再恢复重试。</w:t>
      </w:r>
    </w:p>
    <w:p>
      <w:pPr>
        <w:keepLines/>
      </w:pPr>
      <w:r>
        <w:rPr/>
        <w:t>预期：服务端拒绝越权；保存中关闭受控，无重复有效写入；失败解除 loading 且保留输入。</w:t>
      </w:r>
    </w:p>
    <w:p>
      <w:pPr>
        <w:pStyle w:val="Heading2"/>
      </w:pPr>
      <w:r>
        <w:rPr/>
        <w:t>TC WET 028 菜单切换与过期响应</w:t>
      </w:r>
    </w:p>
    <w:p>
      <w:pPr>
        <w:keepNext/>
      </w:pPr>
      <w:r>
        <w:rPr/>
        <w:t>用例编号 TC-WET-028；关联 REQ-WET-014；优先级 P1；口径：开发目标。</w:t>
      </w:r>
    </w:p>
    <w:p>
      <w:pPr>
        <w:keepNext/>
        <w:keepLines/>
      </w:pPr>
      <w:r>
        <w:rPr/>
        <w:t>前置与数据：两菜单数据不同，在窄屏及桌面打开，网络前慢后快。</w:t>
      </w:r>
    </w:p>
    <w:p>
      <w:pPr>
        <w:keepNext/>
        <w:keepLines/>
      </w:pPr>
      <w:r>
        <w:rPr/>
        <w:t>步骤：连续切换 10 次；快速搜索；编辑后切换再新增，检查勾选项。</w:t>
      </w:r>
    </w:p>
    <w:p>
      <w:pPr>
        <w:keepLines/>
      </w:pPr>
      <w:r>
        <w:rPr/>
        <w:t>预期：页面不空白，不串类别、旧抽屉或勾选；最终显示最新请求，表格与操作按钮可访问。</w:t>
      </w:r>
    </w:p>
    <w:p>
      <w:pPr>
        <w:pStyle w:val="Heading1"/>
      </w:pPr>
      <w:r>
        <w:rPr/>
        <w:t>6 执行与验收记录</w:t>
      </w:r>
    </w:p>
    <w:p>
      <w:pPr>
        <w:keepNext/>
      </w:pPr>
      <w:r>
        <w:rPr/>
        <w:t>本稿共 14 项需求、8 项开发任务、28 条测试用例。全部业务用例状态为“待执行”，业务用例通过数为 0。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记录项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本次记录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已核对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菜单包装页、共享页面、API、Bo/Vo/实体、Controller/Service/Mapper、DDL、租户拦截器及历史资料。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未执行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未运行在线录入、修改、删除、导入、自动判定、签署、数据库或性能测试。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测试现状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已定位测试目录未见专门质控记录业务用例；已有租户底座测试不能替代类别、确认、判定及失败闭环验证。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文档验证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Markdown 为唯一内容源；Word 转换后校验文本、表格、需求覆盖和引用文件，并逐页检查渲染；真实命令结果见交付报告。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验收建议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P0 验证完成且关键缺陷关闭；P1/P2 按实际交付范围单列。下游未就绪不得宣称完整闭环已通过。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7 待评审事项</w:t>
      </w:r>
    </w:p>
    <w:p>
      <w:pPr>
        <w:pStyle w:val="ListNumber"/>
      </w:pPr>
      <w:r>
        <w:rPr/>
        <w:t>类别权限方案、超管目标药企、确认权限及是否双人复核待评审；当前共享权限不能提供岗位类别隔离。用户确认的系统管理规则不自动等于质控确认授权。</w:t>
      </w:r>
    </w:p>
    <w:p>
      <w:pPr>
        <w:pStyle w:val="ListNumber"/>
      </w:pPr>
      <w:r>
        <w:rPr/>
        <w:t>建议新增固定 pending，已确认或已引用记录禁止直接修改/删除，修订保留历史；现有状态可自由编辑。确认与修订接口、版本模型、保留期限及历史迁移须业务确定。</w:t>
      </w:r>
    </w:p>
    <w:p>
      <w:pPr>
        <w:pStyle w:val="ListNumber"/>
      </w:pPr>
      <w:r>
        <w:rPr/>
        <w:t>样本条码映射、产品稳定关联、重测唯一性、结果单位、标准版本和缺失优先级需统一。与质控标准文档对齐；自动判定不是人工确认、签署或报告放行。旧设计 5,000 条截断不得作为新系统完整查询方案。</w:t>
      </w:r>
    </w:p>
    <w:p>
      <w:pPr>
        <w:pStyle w:val="ListNumber"/>
      </w:pPr>
      <w:r>
        <w:rPr/>
        <w:t>湿实验导入对象、完整指标清单、单位及样本匹配键待评审；部分成功策略、文件/行数上限和重复行处理须确定。失败责任划分、实验室/病理补因与运营审核规则、电子签署接入及证据保存期限属于 P2 依赖。</w:t>
      </w:r>
    </w:p>
    <w:p>
      <w:pPr>
        <w:pStyle w:val="ListNumber"/>
      </w:pPr>
      <w:r>
        <w:rPr/>
        <w:t>导出、自动推送消息以及生产电子签名服务不在本次默认实现范围。P2 先评审提供方、接口、失败恢复及权限；本稿不替代业务验收或授权生产写入。</w:t>
      </w:r>
    </w:p>
    <w:p>
      <w:pPr>
        <w:pStyle w:val="Heading1"/>
      </w:pPr>
      <w:r>
        <w:rPr/>
        <w:t>8 源码依据与变更记录</w:t>
      </w:r>
    </w:p>
    <w:p>
      <w:pPr/>
      <w:r>
        <w:rPr/>
        <w:t>下列路径相对仓库根目录，均以实际文件为依据。历史设计与架构图只提供需求意图，不代表当前技术栈或已部署功能。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template-frontend/src/views/qc/wet-lab/index.vue</w:t>
      </w:r>
      <w:r>
        <w:rPr/>
        <w:t>：本菜单入口与固定类别。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template-frontend/src/views/qc/modules/qc-record-page.vue</w:t>
      </w:r>
      <w:r>
        <w:rPr/>
        <w:t>：共享列表、查询参数、按钮权限及编辑行来源。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template-frontend/src/views/qc/modules/qc-record-search.vue</w:t>
      </w:r>
      <w:r>
        <w:rPr/>
        <w:t>：组合筛选、重置与默认类别。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template-frontend/src/views/qc/modules/qc-record-operate-drawer.vue</w:t>
      </w:r>
      <w:r>
        <w:rPr/>
        <w:t>：录入字段、状态选项、时间及保存状态。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template-frontend/src/service/api/qc/qc-record.ts</w:t>
      </w:r>
      <w:r>
        <w:rPr/>
        <w:t>：当前五个接口。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template-frontend/src/typings/api/qc.api.d.ts</w:t>
      </w:r>
      <w:r>
        <w:rPr/>
        <w:t>：记录、查询、表单类型，无自动判定字段。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template-frontend/src/components/advanced/table-header-operation.vue</w:t>
      </w:r>
      <w:r>
        <w:rPr/>
        <w:t>：批量删除确认提示。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template-backend/ruoyi-modules/ruoyi-qc/src/main/java/org/dromara/qc/controller/QcRecordController.java</w:t>
      </w:r>
      <w:r>
        <w:rPr/>
        <w:t>：权限、校验组、操作日志、防重复提交。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template-backend/ruoyi-modules/ruoyi-qc/src/main/java/org/dromara/qc/service/impl/QcRecordServiceImpl.java</w:t>
      </w:r>
      <w:r>
        <w:rPr/>
        <w:t>：CRUD、查询条件、ID 倒序与删除行为。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template-backend/ruoyi-modules/ruoyi-qc/src/main/java/org/dromara/qc/domain/bo/QcRecordBo.java</w:t>
      </w:r>
      <w:r>
        <w:rPr/>
        <w:t>：请求字段、默认组校验与长度。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template-backend/ruoyi-modules/ruoyi-qc/src/main/java/org/dromara/qc/domain/vo/QcRecordVo.java</w:t>
      </w:r>
      <w:r>
        <w:rPr/>
        <w:t>：返回字段及时间格式。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template-backend/ruoyi-modules/ruoyi-qc/src/main/java/org/dromara/qc/domain/QcRecord.java</w:t>
      </w:r>
      <w:r>
        <w:rPr/>
        <w:t>：实体、原始结果和逻辑删除。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template-backend/ruoyi-modules/ruoyi-qc/src/main/resources/mapper/qc/QcRecordMapper.xml</w:t>
      </w:r>
      <w:r>
        <w:rPr/>
        <w:t>：当前无 SQL 语句，未来复杂关联落位。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template-backend/script/sql/business/qc-record.sql</w:t>
      </w:r>
      <w:r>
        <w:rPr/>
        <w:t>：表、索引、菜单迁移与共享权限。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template-backend/ruoyi-modules/ruoyi-report/src/main/java/org/dromara/report/domain/SampleInfo.java</w:t>
      </w:r>
      <w:r>
        <w:rPr/>
        <w:t>：现有样本 barcode、erpTestName、sampleProductCode。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template-backend/ruoyi-common/ruoyi-common-mybatis/src/main/java/org/dromara/common/mybatis/handler/TenantLineHandlerImpl.java</w:t>
      </w:r>
      <w:r>
        <w:rPr/>
        <w:t>：普通业务表隔离及超管跳过规则。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template-backend/ruoyi-common/ruoyi-common-core/src/main/java/org/dromara/common/core/validate/AddGroup.java</w:t>
      </w:r>
      <w:r>
        <w:rPr/>
        <w:t>：新增分组不继承 Default。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template-backend/ruoyi-common/ruoyi-common-core/src/main/java/org/dromara/common/core/validate/EditGroup.java</w:t>
      </w:r>
      <w:r>
        <w:rPr/>
        <w:t>：编辑分组不继承 Default。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docs/context/设计文档/spec.md</w:t>
      </w:r>
      <w:r>
        <w:rPr/>
        <w:t>：历史判定、导入和湿实验角色意图。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docs/context/设计文档/bioinfo-qc.md</w:t>
      </w:r>
      <w:r>
        <w:rPr/>
        <w:t>：生信类别、角色与复用意图。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docs/context/流程图/wetlab-qc-flow.md</w:t>
      </w:r>
      <w:r>
        <w:rPr/>
        <w:t>：历史查询和 Excel 流程，非本仓运行证据。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docs/context/Project Workflow.png</w:t>
      </w:r>
      <w:r>
        <w:rPr/>
        <w:t>：湿实验失败分工、生信失败证据及签署交付闭环意图。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docs/modules/qc-standard/质控标准开发测试文档.md</w:t>
      </w:r>
      <w:r>
        <w:rPr/>
        <w:t>：既有标准配置开发目标，当前为评审稿。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docs/modules/product-config/产品配置开发测试文档.md</w:t>
      </w:r>
      <w:r>
        <w:rPr/>
        <w:t>：既有产品归属与引用保护开发目标，当前为评审稿。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.agents/skills/module-dev-test-docs/SKILL.md</w:t>
      </w:r>
      <w:r>
        <w:rPr/>
        <w:t>：本次文档结构、双格式与证据要求。</w:t>
      </w:r>
    </w:p>
    <w:p>
      <w:pPr/>
      <w:r>
        <w:rPr/>
        <w:t>2026-10-04 V1.0：根据当前实现与设计意图编写开发测试评审稿，补齐共享能力、模块差异、开发任务和验收用例；未开发业务代码，未宣称业务通过。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 xml:space="preserve">第 </w:t>
    </w:r>
    <w:fldSimple w:instr="PAGE"/>
    <w:r>
      <w:rPr>
        <w:rFonts w:ascii="Microsoft YaHei" w:hAnsi="Microsoft YaHei" w:eastAsia="Microsoft YaHei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/>
      <w:contextualSpacing/>
    </w:pPr>
    <w:rPr>
      <w:rFonts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质控管理 湿实验质控开发测试文档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