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F54946E">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037D8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EBE22DD">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351E291">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0DB71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72034047">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C0ED226">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3D672FDD">
      <w:pPr>
        <w:jc w:val="center"/>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w:t>
            </w:r>
            <w:r>
              <w:rPr>
                <w:rFonts w:hint="eastAsia" w:ascii="微软雅黑" w:hAnsi="微软雅黑" w:eastAsia="微软雅黑" w:cs="微软雅黑"/>
                <w:sz w:val="21"/>
                <w:szCs w:val="21"/>
                <w:highlight w:val="none"/>
                <w:lang w:val="en-US" w:eastAsia="zh-CN"/>
              </w:rPr>
              <w:t>实体瘤多</w:t>
            </w:r>
            <w:r>
              <w:rPr>
                <w:rFonts w:hint="eastAsia" w:ascii="微软雅黑" w:hAnsi="微软雅黑" w:eastAsia="微软雅黑" w:cs="微软雅黑"/>
                <w:color w:val="auto"/>
                <w:sz w:val="21"/>
                <w:szCs w:val="21"/>
                <w:highlight w:val="none"/>
                <w:lang w:val="en-US" w:eastAsia="zh-CN"/>
              </w:rPr>
              <w:t>基因</w:t>
            </w:r>
            <w:r>
              <w:rPr>
                <w:rFonts w:hint="eastAsia" w:ascii="微软雅黑" w:hAnsi="微软雅黑" w:eastAsia="微软雅黑" w:cs="微软雅黑"/>
                <w:i w:val="0"/>
                <w:iCs w:val="0"/>
                <w:caps w:val="0"/>
                <w:color w:val="auto"/>
                <w:spacing w:val="0"/>
                <w:sz w:val="19"/>
                <w:szCs w:val="19"/>
                <w:highlight w:val="none"/>
                <w:shd w:val="clear" w:fill="FFFFFF"/>
              </w:rPr>
              <w:t>panel</w:t>
            </w:r>
            <w:r>
              <w:rPr>
                <w:rFonts w:hint="eastAsia" w:ascii="微软雅黑" w:hAnsi="微软雅黑" w:eastAsia="微软雅黑" w:cs="微软雅黑"/>
                <w:color w:val="auto"/>
                <w:sz w:val="21"/>
                <w:szCs w:val="21"/>
                <w:highlight w:val="none"/>
                <w:lang w:val="en-US" w:eastAsia="zh-CN"/>
              </w:rPr>
              <w:t>检</w:t>
            </w:r>
            <w:r>
              <w:rPr>
                <w:rFonts w:hint="eastAsia" w:ascii="微软雅黑" w:hAnsi="微软雅黑" w:eastAsia="微软雅黑" w:cs="微软雅黑"/>
                <w:sz w:val="21"/>
                <w:szCs w:val="21"/>
                <w:highlight w:val="none"/>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w:t>
            </w:r>
            <w:r>
              <w:rPr>
                <w:rFonts w:hint="eastAsia" w:ascii="微软雅黑" w:hAnsi="微软雅黑" w:eastAsia="微软雅黑" w:cs="微软雅黑"/>
                <w:bCs/>
                <w:strike w:val="0"/>
                <w:dstrike w:val="0"/>
                <w:sz w:val="21"/>
                <w:szCs w:val="21"/>
                <w:highlight w:val="none"/>
                <w:lang w:eastAsia="zh-CN"/>
              </w:rPr>
              <w:t>基于肿瘤组织先验（tumor-informed）策略检测血液中的循环肿瘤DNA（ctDNA）片段，采用分子残留病灶（MRD）监测产品监测患者血液中肿瘤来源的残留病灶情况，通过对ctDNA进行超高深度测序评估患者外周血中MRD状态（“阳性”或“阴性”）。</w:t>
            </w:r>
          </w:p>
        </w:tc>
      </w:tr>
    </w:tbl>
    <w:p w14:paraId="32F24811">
      <w:pPr>
        <w:rPr>
          <w:rFonts w:ascii="Times New Roman" w:hAnsi="Times New Roman" w:eastAsia="微软雅黑" w:cs="Times New Roman"/>
        </w:rPr>
      </w:pPr>
    </w:p>
    <w:p w14:paraId="3E3A737F">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3C8AFA5B">
      <w:pPr>
        <w:pStyle w:val="2"/>
        <w:rPr>
          <w:rFonts w:hint="eastAsia" w:ascii="微软雅黑" w:hAnsi="微软雅黑" w:eastAsia="微软雅黑" w:cs="微软雅黑"/>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71D82270">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24" w:hRule="atLeast"/>
          <w:jc w:val="center"/>
        </w:trPr>
        <w:tc>
          <w:tcPr>
            <w:tcW w:w="4620" w:type="dxa"/>
            <w:tcBorders>
              <w:top w:val="single" w:color="244061" w:sz="18" w:space="0"/>
              <w:left w:val="nil"/>
              <w:bottom w:val="dashed" w:color="244061" w:sz="4" w:space="0"/>
              <w:right w:val="dashed" w:color="244061" w:sz="4" w:space="0"/>
            </w:tcBorders>
            <w:shd w:val="clear" w:color="auto" w:fill="auto"/>
            <w:vAlign w:val="center"/>
          </w:tcPr>
          <w:p w14:paraId="49CC819D">
            <w:pPr>
              <w:jc w:val="center"/>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311" w:type="dxa"/>
            <w:tcBorders>
              <w:top w:val="single" w:color="244061" w:sz="18" w:space="0"/>
              <w:left w:val="dashed" w:color="244061" w:sz="4" w:space="0"/>
              <w:bottom w:val="dashed" w:color="244061" w:sz="4" w:space="0"/>
              <w:right w:val="nil"/>
            </w:tcBorders>
            <w:shd w:val="clear" w:color="auto" w:fill="auto"/>
            <w:vAlign w:val="center"/>
          </w:tcPr>
          <w:p w14:paraId="2B23BDA8">
            <w:pPr>
              <w:jc w:val="center"/>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dashed" w:color="244061" w:sz="4" w:space="0"/>
              <w:left w:val="nil"/>
              <w:bottom w:val="dashed" w:color="244061" w:sz="4" w:space="0"/>
              <w:right w:val="dashed" w:color="244061" w:sz="4" w:space="0"/>
            </w:tcBorders>
            <w:shd w:val="clear" w:color="auto" w:fill="auto"/>
            <w:vAlign w:val="center"/>
          </w:tcPr>
          <w:p w14:paraId="3A9BFF71">
            <w:pPr>
              <w:pStyle w:val="33"/>
              <w:ind w:left="119"/>
              <w:jc w:val="center"/>
              <w:rPr>
                <w:rFonts w:hint="eastAsia" w:ascii="微软雅黑" w:hAnsi="微软雅黑" w:eastAsia="微软雅黑" w:cs="微软雅黑"/>
                <w:b/>
                <w:bCs/>
                <w:sz w:val="21"/>
                <w:szCs w:val="21"/>
                <w:lang w:val="en-US"/>
              </w:rPr>
            </w:pPr>
            <w:r>
              <w:rPr>
                <w:rFonts w:hint="eastAsia" w:ascii="微软雅黑" w:hAnsi="微软雅黑" w:eastAsia="微软雅黑" w:cs="微软雅黑"/>
                <w:b/>
                <w:sz w:val="21"/>
                <w:szCs w:val="21"/>
                <w:lang w:eastAsia="zh-CN"/>
              </w:rPr>
              <w:t>分子残留病灶（MRD）</w:t>
            </w:r>
            <w:r>
              <w:rPr>
                <w:rFonts w:hint="eastAsia" w:ascii="微软雅黑" w:hAnsi="微软雅黑" w:eastAsia="微软雅黑" w:cs="微软雅黑"/>
                <w:b/>
                <w:sz w:val="21"/>
                <w:szCs w:val="21"/>
                <w:lang w:val="en-US" w:eastAsia="zh-CN"/>
              </w:rPr>
              <w:t>状态</w:t>
            </w:r>
          </w:p>
        </w:tc>
        <w:tc>
          <w:tcPr>
            <w:tcW w:w="5311" w:type="dxa"/>
            <w:tcBorders>
              <w:top w:val="dashed" w:color="244061" w:sz="4" w:space="0"/>
              <w:left w:val="dashed" w:color="244061" w:sz="4" w:space="0"/>
              <w:bottom w:val="dashed" w:color="244061" w:sz="4" w:space="0"/>
              <w:right w:val="nil"/>
            </w:tcBorders>
            <w:shd w:val="clear" w:color="auto" w:fill="auto"/>
            <w:vAlign w:val="center"/>
          </w:tcPr>
          <w:p w14:paraId="2560A869">
            <w:pPr>
              <w:pStyle w:val="33"/>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if mrd.mrd_status == “阳性”%}</w:t>
            </w:r>
            <w:r>
              <w:rPr>
                <w:rFonts w:hint="eastAsia" w:ascii="微软雅黑" w:hAnsi="微软雅黑" w:eastAsia="微软雅黑" w:cs="微软雅黑"/>
                <w:color w:val="FF0000"/>
                <w:sz w:val="21"/>
                <w:szCs w:val="21"/>
                <w:lang w:val="en-US" w:eastAsia="zh-CN"/>
              </w:rPr>
              <w:t>阳性</w:t>
            </w:r>
            <w:r>
              <w:rPr>
                <w:rFonts w:hint="eastAsia" w:ascii="微软雅黑" w:hAnsi="微软雅黑" w:eastAsia="微软雅黑" w:cs="微软雅黑"/>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dashed" w:color="244061" w:sz="4" w:space="0"/>
              <w:left w:val="nil"/>
              <w:bottom w:val="dashed" w:color="244061" w:sz="4" w:space="0"/>
              <w:right w:val="dashed" w:color="244061" w:sz="4" w:space="0"/>
              <w:tl2br w:val="nil"/>
              <w:tr2bl w:val="nil"/>
            </w:tcBorders>
            <w:shd w:val="clear" w:color="auto" w:fill="auto"/>
            <w:vAlign w:val="center"/>
          </w:tcPr>
          <w:p w14:paraId="7A2B33DA">
            <w:pPr>
              <w:pStyle w:val="33"/>
              <w:ind w:left="119"/>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ctDNA含量（MTM/mL）</w:t>
            </w:r>
          </w:p>
        </w:tc>
        <w:tc>
          <w:tcPr>
            <w:tcW w:w="5311" w:type="dxa"/>
            <w:tcBorders>
              <w:top w:val="dashed" w:color="244061" w:sz="4" w:space="0"/>
              <w:left w:val="dashed" w:color="244061" w:sz="4" w:space="0"/>
              <w:bottom w:val="dashed" w:color="244061" w:sz="4" w:space="0"/>
              <w:right w:val="nil"/>
              <w:tl2br w:val="nil"/>
              <w:tr2bl w:val="nil"/>
            </w:tcBorders>
            <w:shd w:val="clear" w:color="auto" w:fill="auto"/>
            <w:vAlign w:val="center"/>
          </w:tcPr>
          <w:p w14:paraId="689067F5">
            <w:pPr>
              <w:pStyle w:val="33"/>
              <w:spacing w:before="77"/>
              <w:ind w:left="119" w:right="119"/>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dashed" w:color="244061" w:sz="4" w:space="0"/>
              <w:left w:val="nil"/>
              <w:bottom w:val="dashed" w:color="244061" w:sz="4" w:space="0"/>
              <w:right w:val="dashed" w:color="244061" w:sz="4" w:space="0"/>
              <w:tl2br w:val="nil"/>
              <w:tr2bl w:val="nil"/>
            </w:tcBorders>
            <w:shd w:val="clear" w:color="auto" w:fill="auto"/>
            <w:vAlign w:val="center"/>
          </w:tcPr>
          <w:p w14:paraId="3C322225">
            <w:pPr>
              <w:pStyle w:val="33"/>
              <w:ind w:left="119"/>
              <w:jc w:val="center"/>
              <w:rPr>
                <w:rFonts w:hint="eastAsia" w:ascii="微软雅黑" w:hAnsi="微软雅黑" w:eastAsia="微软雅黑" w:cs="微软雅黑"/>
                <w:sz w:val="21"/>
                <w:szCs w:val="21"/>
              </w:rPr>
            </w:pPr>
            <w:r>
              <w:rPr>
                <w:rFonts w:hint="eastAsia" w:ascii="微软雅黑" w:hAnsi="微软雅黑" w:eastAsia="微软雅黑" w:cs="微软雅黑"/>
                <w:b/>
                <w:bCs/>
                <w:sz w:val="21"/>
                <w:szCs w:val="21"/>
              </w:rPr>
              <w:t>样品总体质量评估</w:t>
            </w:r>
          </w:p>
        </w:tc>
        <w:tc>
          <w:tcPr>
            <w:tcW w:w="5311" w:type="dxa"/>
            <w:tcBorders>
              <w:top w:val="dashed" w:color="244061" w:sz="4" w:space="0"/>
              <w:left w:val="dashed" w:color="244061" w:sz="4" w:space="0"/>
              <w:bottom w:val="dashed" w:color="244061" w:sz="4" w:space="0"/>
              <w:right w:val="nil"/>
              <w:tl2br w:val="nil"/>
              <w:tr2bl w:val="nil"/>
            </w:tcBorders>
            <w:shd w:val="clear" w:color="auto" w:fill="auto"/>
            <w:vAlign w:val="center"/>
          </w:tcPr>
          <w:p w14:paraId="110E9E5A">
            <w:pPr>
              <w:pStyle w:val="33"/>
              <w:ind w:left="119" w:right="119"/>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 if mrd.mrd_status == “阳性”%}</w:t>
      </w:r>
    </w:p>
    <w:p w14:paraId="551ADD0C">
      <w:pPr>
        <w:numPr>
          <w:ilvl w:val="0"/>
          <w:numId w:val="3"/>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highlight w:val="none"/>
          <w:lang w:eastAsia="zh-CN"/>
        </w:rPr>
        <w:t>分子残留病灶（MRD）状态</w:t>
      </w:r>
      <w:r>
        <w:rPr>
          <w:rFonts w:hint="eastAsia" w:ascii="微软雅黑" w:hAnsi="微软雅黑" w:eastAsia="微软雅黑" w:cs="微软雅黑"/>
          <w:sz w:val="18"/>
          <w:highlight w:val="none"/>
          <w:lang w:val="en-US" w:eastAsia="zh-CN"/>
        </w:rPr>
        <w:t>阳性</w:t>
      </w:r>
      <w:r>
        <w:rPr>
          <w:rFonts w:hint="eastAsia" w:ascii="微软雅黑" w:hAnsi="微软雅黑" w:eastAsia="微软雅黑" w:cs="微软雅黑"/>
          <w:sz w:val="18"/>
          <w:highlight w:val="none"/>
          <w:lang w:eastAsia="zh-CN"/>
        </w:rPr>
        <w:t>：提示存在分子残留病灶（MRD）</w:t>
      </w:r>
      <w:r>
        <w:rPr>
          <w:rFonts w:hint="eastAsia" w:ascii="微软雅黑" w:hAnsi="微软雅黑" w:eastAsia="微软雅黑" w:cs="微软雅黑"/>
          <w:sz w:val="18"/>
          <w:highlight w:val="none"/>
          <w:lang w:val="en-US" w:eastAsia="zh-CN"/>
        </w:rPr>
        <w:t>阳性</w:t>
      </w:r>
      <w:r>
        <w:rPr>
          <w:rFonts w:hint="eastAsia" w:ascii="微软雅黑" w:hAnsi="微软雅黑" w:eastAsia="微软雅黑" w:cs="微软雅黑"/>
          <w:sz w:val="18"/>
          <w:highlight w:val="none"/>
          <w:lang w:eastAsia="zh-CN"/>
        </w:rPr>
        <w:t>，复发风险可能较高。</w:t>
      </w:r>
    </w:p>
    <w:p w14:paraId="3C8FB998">
      <w:pPr>
        <w:numPr>
          <w:ilvl w:val="0"/>
          <w:numId w:val="3"/>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lang w:eastAsia="zh-CN"/>
        </w:rPr>
        <w:t>本报告的检测结果需结合临床因素、影像学检查及其他实验室检查综合分析考虑，不应单独作为指导临床决策的依据，具体治疗方案请咨询主治医生。</w:t>
      </w:r>
    </w:p>
    <w:p w14:paraId="1BF56ABA">
      <w:pPr>
        <w:numPr>
          <w:ilvl w:val="0"/>
          <w:numId w:val="3"/>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lang w:eastAsia="zh-CN"/>
        </w:rPr>
        <w:t>本报告只对本次送检样本负责。</w:t>
      </w:r>
      <w:r>
        <w:rPr>
          <w:rFonts w:hint="eastAsia" w:ascii="微软雅黑" w:hAnsi="微软雅黑" w:eastAsia="微软雅黑" w:cs="微软雅黑"/>
          <w:sz w:val="18"/>
          <w:lang w:val="en-US" w:eastAsia="zh-CN"/>
        </w:rPr>
        <w:t xml:space="preserve">{% </w:t>
      </w:r>
      <w:r>
        <w:rPr>
          <w:rFonts w:hint="eastAsia" w:ascii="微软雅黑" w:hAnsi="微软雅黑" w:eastAsia="微软雅黑" w:cs="微软雅黑"/>
          <w:sz w:val="21"/>
          <w:szCs w:val="21"/>
          <w:lang w:val="en-US" w:eastAsia="zh-CN"/>
        </w:rPr>
        <w:t>else</w:t>
      </w:r>
      <w:r>
        <w:rPr>
          <w:rFonts w:hint="eastAsia" w:ascii="微软雅黑" w:hAnsi="微软雅黑" w:eastAsia="微软雅黑" w:cs="微软雅黑"/>
          <w:sz w:val="18"/>
          <w:lang w:val="en-US" w:eastAsia="zh-CN"/>
        </w:rPr>
        <w:t xml:space="preserve"> %}</w:t>
      </w:r>
    </w:p>
    <w:p w14:paraId="06F9C028">
      <w:pPr>
        <w:numPr>
          <w:ilvl w:val="0"/>
          <w:numId w:val="3"/>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highlight w:val="none"/>
          <w:lang w:eastAsia="zh-CN"/>
        </w:rPr>
        <w:t>分子残留病灶（MRD）状态</w:t>
      </w:r>
      <w:r>
        <w:rPr>
          <w:rFonts w:hint="eastAsia" w:ascii="微软雅黑" w:hAnsi="微软雅黑" w:eastAsia="微软雅黑" w:cs="微软雅黑"/>
          <w:sz w:val="18"/>
          <w:highlight w:val="none"/>
          <w:lang w:val="en-US" w:eastAsia="zh-CN"/>
        </w:rPr>
        <w:t>阴性</w:t>
      </w:r>
      <w:r>
        <w:rPr>
          <w:rFonts w:hint="eastAsia" w:ascii="微软雅黑" w:hAnsi="微软雅黑" w:eastAsia="微软雅黑" w:cs="微软雅黑"/>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25A10F69">
      <w:pPr>
        <w:numPr>
          <w:ilvl w:val="0"/>
          <w:numId w:val="3"/>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lang w:eastAsia="zh-CN"/>
        </w:rPr>
        <w:t>本报告的检测结果需结合临床因素、影像学检查及其他实验室检查综合分析考虑，不应单独作为指导临床决策的依据，具体治疗方案请咨询主治医生。</w:t>
      </w:r>
    </w:p>
    <w:p w14:paraId="1E9DCE39">
      <w:pPr>
        <w:numPr>
          <w:ilvl w:val="0"/>
          <w:numId w:val="3"/>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lang w:eastAsia="zh-CN"/>
        </w:rPr>
        <w:t>本报告只对本次送检样本负责。</w:t>
      </w:r>
      <w:r>
        <w:rPr>
          <w:rFonts w:hint="eastAsia" w:ascii="微软雅黑" w:hAnsi="微软雅黑" w:eastAsia="微软雅黑" w:cs="微软雅黑"/>
          <w:sz w:val="18"/>
          <w:highlight w:val="none"/>
          <w:lang w:val="en-US" w:eastAsia="zh-CN"/>
        </w:rPr>
        <w:t>{% endif %}</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71E7124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0DFAC97D">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499"/>
      <w:bookmarkStart w:id="5" w:name="_Toc20136_WPSOffice_Level1"/>
      <w:bookmarkStart w:id="6" w:name="_Toc2781"/>
      <w:bookmarkStart w:id="7" w:name="_Toc2819"/>
      <w:bookmarkStart w:id="8" w:name="_Toc19898_WPSOffice_Level1"/>
      <w:bookmarkStart w:id="9" w:name="_Toc22132"/>
      <w:r>
        <w:rPr>
          <w:rFonts w:hint="eastAsia" w:ascii="Times New Roman" w:hAnsi="Times New Roman" w:eastAsia="微软雅黑" w:cs="黑体"/>
          <w:b/>
          <w:bCs/>
          <w:color w:val="254061" w:themeColor="accent1" w:themeShade="80"/>
          <w:sz w:val="32"/>
          <w:szCs w:val="32"/>
          <w:lang w:val="en-US" w:eastAsia="zh-CN" w:bidi="ar-SA"/>
        </w:rPr>
        <w:t>二 本次检测结果及解析</w:t>
      </w:r>
    </w:p>
    <w:bookmarkEnd w:id="3"/>
    <w:bookmarkEnd w:id="4"/>
    <w:bookmarkEnd w:id="5"/>
    <w:bookmarkEnd w:id="6"/>
    <w:bookmarkEnd w:id="7"/>
    <w:bookmarkEnd w:id="8"/>
    <w:bookmarkEnd w:id="9"/>
    <w:tbl>
      <w:tblPr>
        <w:tblStyle w:val="19"/>
        <w:tblpPr w:leftFromText="180" w:rightFromText="180" w:vertAnchor="text" w:tblpXSpec="center" w:tblpY="1"/>
        <w:tblOverlap w:val="never"/>
        <w:tblW w:w="0" w:type="auto"/>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680"/>
        <w:gridCol w:w="7190"/>
      </w:tblGrid>
      <w:tr w14:paraId="69CD65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2680" w:type="dxa"/>
            <w:shd w:val="clear" w:color="auto" w:fill="auto"/>
            <w:vAlign w:val="center"/>
          </w:tcPr>
          <w:p w14:paraId="51E1680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分子残留病灶（MRD）状态</w:t>
            </w:r>
          </w:p>
        </w:tc>
        <w:tc>
          <w:tcPr>
            <w:tcW w:w="7190" w:type="dxa"/>
            <w:vAlign w:val="center"/>
          </w:tcPr>
          <w:p w14:paraId="41E83177">
            <w:pPr>
              <w:keepNext/>
              <w:spacing w:before="26"/>
              <w:jc w:val="center"/>
              <w:rPr>
                <w:rFonts w:hint="eastAsia" w:ascii="微软雅黑" w:hAnsi="微软雅黑" w:eastAsia="微软雅黑" w:cs="微软雅黑"/>
                <w:bCs/>
                <w:sz w:val="18"/>
                <w:szCs w:val="18"/>
                <w:lang w:val="en-US" w:eastAsia="zh-CN"/>
              </w:rPr>
            </w:pPr>
            <w:r>
              <w:rPr>
                <w:rFonts w:hint="eastAsia" w:ascii="微软雅黑" w:hAnsi="微软雅黑" w:eastAsia="微软雅黑" w:cs="微软雅黑"/>
                <w:sz w:val="21"/>
                <w:szCs w:val="21"/>
                <w:lang w:val="en-US" w:eastAsia="zh-CN"/>
              </w:rPr>
              <w:t>{% if mrd.mrd_status == “阳性”%}</w:t>
            </w:r>
            <w:r>
              <w:rPr>
                <w:rFonts w:hint="eastAsia" w:ascii="微软雅黑" w:hAnsi="微软雅黑" w:eastAsia="微软雅黑" w:cs="微软雅黑"/>
                <w:color w:val="FF0000"/>
                <w:sz w:val="21"/>
                <w:szCs w:val="21"/>
                <w:lang w:val="en-US" w:eastAsia="zh-CN"/>
              </w:rPr>
              <w:t>阳性</w:t>
            </w:r>
            <w:r>
              <w:rPr>
                <w:rFonts w:hint="eastAsia" w:ascii="微软雅黑" w:hAnsi="微软雅黑" w:eastAsia="微软雅黑" w:cs="微软雅黑"/>
                <w:color w:val="auto"/>
                <w:sz w:val="21"/>
                <w:szCs w:val="21"/>
                <w:lang w:val="en-US" w:eastAsia="zh-CN"/>
              </w:rPr>
              <w:t>{% else%}阴性{% endif %}</w:t>
            </w:r>
          </w:p>
        </w:tc>
      </w:tr>
      <w:tr w14:paraId="576556C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2680" w:type="dxa"/>
            <w:shd w:val="clear" w:color="auto" w:fill="auto"/>
            <w:vAlign w:val="center"/>
          </w:tcPr>
          <w:p w14:paraId="1BBD089E">
            <w:pPr>
              <w:keepNext/>
              <w:spacing w:before="26"/>
              <w:jc w:val="center"/>
              <w:rPr>
                <w:rFonts w:hint="eastAsia" w:ascii="微软雅黑" w:hAnsi="微软雅黑" w:eastAsia="微软雅黑" w:cs="微软雅黑"/>
                <w:b/>
                <w:color w:val="244061"/>
                <w:sz w:val="18"/>
                <w:szCs w:val="18"/>
                <w:lang w:val="en-US" w:eastAsia="zh-CN"/>
              </w:rPr>
            </w:pPr>
            <w:r>
              <w:rPr>
                <w:rFonts w:hint="eastAsia" w:ascii="微软雅黑" w:hAnsi="微软雅黑" w:eastAsia="微软雅黑" w:cs="微软雅黑"/>
                <w:b/>
                <w:color w:val="244061"/>
                <w:sz w:val="18"/>
                <w:szCs w:val="18"/>
                <w:lang w:val="en-US" w:eastAsia="zh-CN"/>
              </w:rPr>
              <w:t>指标解析</w:t>
            </w:r>
          </w:p>
        </w:tc>
        <w:tc>
          <w:tcPr>
            <w:tcW w:w="7190" w:type="dxa"/>
            <w:vAlign w:val="top"/>
          </w:tcPr>
          <w:p w14:paraId="48127B49">
            <w:pPr>
              <w:keepNext/>
              <w:spacing w:before="26" w:beforeLines="0" w:afterLines="0"/>
              <w:jc w:val="left"/>
              <w:rPr>
                <w:rFonts w:hint="eastAsia" w:ascii="微软雅黑" w:hAnsi="微软雅黑" w:eastAsia="微软雅黑" w:cs="微软雅黑"/>
                <w:sz w:val="18"/>
                <w:szCs w:val="18"/>
                <w:lang w:eastAsia="zh-CN"/>
              </w:rPr>
            </w:pPr>
            <w:r>
              <w:rPr>
                <w:rFonts w:hint="eastAsia" w:ascii="微软雅黑" w:hAnsi="微软雅黑" w:eastAsia="微软雅黑" w:cs="微软雅黑"/>
                <w:sz w:val="21"/>
                <w:szCs w:val="21"/>
                <w:lang w:val="en-US" w:eastAsia="zh-CN"/>
              </w:rPr>
              <w:t>{% if mrd.mrd_status == “阳性”%}</w:t>
            </w:r>
            <w:r>
              <w:rPr>
                <w:rFonts w:hint="eastAsia" w:ascii="微软雅黑" w:hAnsi="微软雅黑" w:eastAsia="微软雅黑" w:cs="微软雅黑"/>
                <w:b/>
                <w:bCs/>
                <w:sz w:val="18"/>
                <w:szCs w:val="18"/>
                <w:lang w:eastAsia="zh-CN"/>
              </w:rPr>
              <w:t>阳性：</w:t>
            </w:r>
            <w:r>
              <w:rPr>
                <w:rFonts w:hint="eastAsia" w:ascii="微软雅黑" w:hAnsi="微软雅黑" w:eastAsia="微软雅黑" w:cs="微软雅黑"/>
                <w:sz w:val="18"/>
                <w:szCs w:val="18"/>
                <w:lang w:eastAsia="zh-CN"/>
              </w:rPr>
              <w:t>本次样本检测</w:t>
            </w:r>
            <w:r>
              <w:rPr>
                <w:rFonts w:hint="eastAsia" w:ascii="微软雅黑" w:hAnsi="微软雅黑" w:eastAsia="微软雅黑" w:cs="微软雅黑"/>
                <w:sz w:val="18"/>
                <w:szCs w:val="18"/>
                <w:lang w:val="en-US" w:eastAsia="zh-CN"/>
              </w:rPr>
              <w:t>出</w:t>
            </w:r>
            <w:r>
              <w:rPr>
                <w:rFonts w:hint="eastAsia" w:ascii="微软雅黑" w:hAnsi="微软雅黑" w:eastAsia="微软雅黑" w:cs="微软雅黑"/>
                <w:sz w:val="18"/>
                <w:szCs w:val="18"/>
                <w:lang w:eastAsia="zh-CN"/>
              </w:rPr>
              <w:t>与初次肿瘤组织样本相关的突变残存，提示存在分子残留病灶，复发风险可能较高。</w:t>
            </w:r>
            <w:r>
              <w:rPr>
                <w:rFonts w:hint="eastAsia" w:ascii="微软雅黑" w:hAnsi="微软雅黑" w:eastAsia="微软雅黑" w:cs="微软雅黑"/>
                <w:color w:val="auto"/>
                <w:sz w:val="21"/>
                <w:szCs w:val="21"/>
                <w:lang w:val="en-US" w:eastAsia="zh-CN"/>
              </w:rPr>
              <w:t>{% else%}</w:t>
            </w:r>
            <w:r>
              <w:rPr>
                <w:rFonts w:hint="eastAsia" w:ascii="微软雅黑" w:hAnsi="微软雅黑" w:eastAsia="微软雅黑" w:cs="微软雅黑"/>
                <w:b/>
                <w:sz w:val="18"/>
                <w:szCs w:val="18"/>
                <w:lang w:eastAsia="zh-CN"/>
              </w:rPr>
              <w:t>阴性：</w:t>
            </w:r>
            <w:r>
              <w:rPr>
                <w:rFonts w:hint="eastAsia" w:ascii="微软雅黑" w:hAnsi="微软雅黑" w:eastAsia="微软雅黑" w:cs="微软雅黑"/>
                <w:sz w:val="18"/>
                <w:szCs w:val="18"/>
                <w:lang w:eastAsia="zh-CN"/>
              </w:rPr>
              <w:t>本次样本未检测出与初次肿瘤组织样本相关的突变残存，提示复发风险可能较低。</w:t>
            </w:r>
          </w:p>
          <w:p w14:paraId="5CC8660C">
            <w:pPr>
              <w:keepNext/>
              <w:spacing w:before="26"/>
              <w:jc w:val="lef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(由于肿瘤生物学行为的复杂性，不排除有些肿瘤因释放 ctDNA 极少而导致 MRD 检测结果呈阴性。)</w:t>
            </w:r>
            <w:r>
              <w:rPr>
                <w:rFonts w:hint="eastAsia" w:ascii="微软雅黑" w:hAnsi="微软雅黑" w:eastAsia="微软雅黑" w:cs="微软雅黑"/>
                <w:color w:val="auto"/>
                <w:sz w:val="21"/>
                <w:szCs w:val="21"/>
                <w:lang w:val="en-US" w:eastAsia="zh-CN"/>
              </w:rPr>
              <w:t>{% endif %}</w:t>
            </w:r>
          </w:p>
        </w:tc>
      </w:tr>
      <w:tr w14:paraId="21F516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386" w:hRule="atLeast"/>
          <w:jc w:val="center"/>
        </w:trPr>
        <w:tc>
          <w:tcPr>
            <w:tcW w:w="2680" w:type="dxa"/>
            <w:shd w:val="clear" w:color="auto" w:fill="auto"/>
            <w:vAlign w:val="center"/>
          </w:tcPr>
          <w:p w14:paraId="6869239D">
            <w:pPr>
              <w:keepNext/>
              <w:spacing w:before="26"/>
              <w:jc w:val="center"/>
              <w:rPr>
                <w:rFonts w:hint="eastAsia" w:ascii="微软雅黑" w:hAnsi="微软雅黑" w:eastAsia="微软雅黑" w:cs="微软雅黑"/>
                <w:b/>
                <w:color w:val="244061"/>
                <w:sz w:val="18"/>
                <w:szCs w:val="18"/>
                <w:lang w:val="en-US" w:eastAsia="zh-CN"/>
              </w:rPr>
            </w:pPr>
            <w:r>
              <w:rPr>
                <w:rFonts w:hint="eastAsia" w:ascii="微软雅黑" w:hAnsi="微软雅黑" w:eastAsia="微软雅黑" w:cs="微软雅黑"/>
                <w:b/>
                <w:color w:val="244061"/>
                <w:sz w:val="18"/>
                <w:szCs w:val="18"/>
                <w:lang w:val="en-US" w:eastAsia="zh-CN"/>
              </w:rPr>
              <w:t>临床意义及文献报道</w:t>
            </w:r>
          </w:p>
        </w:tc>
        <w:tc>
          <w:tcPr>
            <w:tcW w:w="7190" w:type="dxa"/>
            <w:vAlign w:val="center"/>
          </w:tcPr>
          <w:p w14:paraId="5533F1BA">
            <w:pPr>
              <w:keepNext/>
              <w:spacing w:before="26"/>
              <w:rPr>
                <w:rFonts w:hint="eastAsia" w:ascii="微软雅黑" w:hAnsi="微软雅黑" w:eastAsia="微软雅黑" w:cs="微软雅黑"/>
                <w:b w:val="0"/>
                <w:bCs w:val="0"/>
                <w:sz w:val="18"/>
                <w:szCs w:val="18"/>
                <w:lang w:eastAsia="zh-CN"/>
              </w:rPr>
            </w:pPr>
            <w:r>
              <w:rPr>
                <w:rFonts w:hint="eastAsia" w:ascii="微软雅黑" w:hAnsi="微软雅黑" w:eastAsia="微软雅黑" w:cs="微软雅黑"/>
                <w:b w:val="0"/>
                <w:bCs w:val="0"/>
                <w:sz w:val="18"/>
                <w:szCs w:val="18"/>
                <w:lang w:val="en-US" w:eastAsia="zh-CN"/>
              </w:rPr>
              <w:t>在实体瘤中，MRD通常指分子残留病灶（molecular residual disease）也称微小残留病灶（minimal residual disease），</w:t>
            </w:r>
            <w:r>
              <w:rPr>
                <w:rFonts w:hint="eastAsia" w:ascii="微软雅黑" w:hAnsi="微软雅黑" w:eastAsia="微软雅黑" w:cs="微软雅黑"/>
                <w:b w:val="0"/>
                <w:bCs w:val="0"/>
                <w:sz w:val="18"/>
                <w:szCs w:val="18"/>
                <w:lang w:eastAsia="zh-CN"/>
              </w:rPr>
              <w:t>即通过循环肿瘤DNA（circulating tumor DNA，ctDNA）等</w:t>
            </w:r>
            <w:bookmarkStart w:id="17" w:name="_GoBack"/>
            <w:bookmarkEnd w:id="17"/>
            <w:r>
              <w:rPr>
                <w:rFonts w:hint="eastAsia" w:ascii="微软雅黑" w:hAnsi="微软雅黑" w:eastAsia="微软雅黑" w:cs="微软雅黑"/>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微软雅黑" w:hAnsi="微软雅黑" w:eastAsia="微软雅黑" w:cs="微软雅黑"/>
                <w:b w:val="0"/>
                <w:bCs w:val="0"/>
                <w:sz w:val="18"/>
                <w:szCs w:val="18"/>
                <w:lang w:eastAsia="zh-CN"/>
              </w:rPr>
            </w:pPr>
            <w:r>
              <w:rPr>
                <w:rFonts w:hint="eastAsia" w:ascii="微软雅黑" w:hAnsi="微软雅黑" w:eastAsia="微软雅黑" w:cs="微软雅黑"/>
                <w:b w:val="0"/>
                <w:bCs w:val="0"/>
                <w:sz w:val="18"/>
                <w:szCs w:val="18"/>
                <w:lang w:val="en-US" w:eastAsia="zh-CN"/>
              </w:rPr>
              <w:t>基于NGS的MRD检测</w:t>
            </w:r>
            <w:r>
              <w:rPr>
                <w:rFonts w:hint="eastAsia" w:ascii="微软雅黑" w:hAnsi="微软雅黑" w:eastAsia="微软雅黑" w:cs="微软雅黑"/>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微软雅黑" w:hAnsi="微软雅黑" w:eastAsia="微软雅黑" w:cs="微软雅黑"/>
                <w:b w:val="0"/>
                <w:bCs w:val="0"/>
                <w:sz w:val="18"/>
                <w:szCs w:val="18"/>
                <w:highlight w:val="none"/>
                <w:lang w:eastAsia="zh-CN"/>
              </w:rPr>
              <w:t>肺癌、乳腺癌等多种实体瘤中积累了大量证据，表明MRD检测可有效区分复发风险，可作为预后分层的重要指标</w:t>
            </w:r>
            <w:r>
              <w:rPr>
                <w:rFonts w:hint="eastAsia" w:ascii="微软雅黑" w:hAnsi="微软雅黑" w:eastAsia="微软雅黑" w:cs="微软雅黑"/>
                <w:b w:val="0"/>
                <w:bCs w:val="0"/>
                <w:sz w:val="18"/>
                <w:szCs w:val="18"/>
                <w:highlight w:val="none"/>
                <w:lang w:val="en-US" w:eastAsia="zh-CN"/>
              </w:rPr>
              <w:t xml:space="preserve"> </w:t>
            </w:r>
            <w:r>
              <w:rPr>
                <w:rFonts w:hint="eastAsia" w:ascii="微软雅黑" w:hAnsi="微软雅黑" w:eastAsia="微软雅黑" w:cs="微软雅黑"/>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微软雅黑" w:hAnsi="微软雅黑" w:eastAsia="微软雅黑" w:cs="微软雅黑"/>
                <w:b w:val="0"/>
                <w:bCs w:val="0"/>
                <w:sz w:val="18"/>
                <w:szCs w:val="18"/>
                <w:highlight w:val="none"/>
                <w:lang w:val="en-US" w:eastAsia="zh-CN"/>
              </w:rPr>
              <w:t>~</w:t>
            </w:r>
            <w:r>
              <w:rPr>
                <w:rFonts w:hint="eastAsia" w:ascii="微软雅黑" w:hAnsi="微软雅黑" w:eastAsia="微软雅黑" w:cs="微软雅黑"/>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微软雅黑" w:hAnsi="微软雅黑" w:eastAsia="微软雅黑" w:cs="微软雅黑"/>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微软雅黑" w:hAnsi="微软雅黑" w:eastAsia="微软雅黑" w:cs="微软雅黑"/>
                <w:b w:val="0"/>
                <w:bCs w:val="0"/>
                <w:sz w:val="18"/>
                <w:szCs w:val="18"/>
                <w:highlight w:val="none"/>
                <w:lang w:eastAsia="zh-CN"/>
              </w:rPr>
              <w:t>中国《非小细胞肺癌分子残留病灶专家共识》建议</w:t>
            </w:r>
            <w:r>
              <w:rPr>
                <w:rFonts w:hint="eastAsia" w:ascii="微软雅黑" w:hAnsi="微软雅黑" w:eastAsia="微软雅黑" w:cs="微软雅黑"/>
                <w:b w:val="0"/>
                <w:bCs w:val="0"/>
                <w:sz w:val="18"/>
                <w:szCs w:val="18"/>
                <w:lang w:eastAsia="zh-CN"/>
              </w:rPr>
              <w:t>对术后患者MRD进行密切随访管理，每3</w:t>
            </w:r>
            <w:r>
              <w:rPr>
                <w:rFonts w:hint="eastAsia" w:ascii="微软雅黑" w:hAnsi="微软雅黑" w:eastAsia="微软雅黑" w:cs="微软雅黑"/>
                <w:b w:val="0"/>
                <w:bCs w:val="0"/>
                <w:sz w:val="18"/>
                <w:szCs w:val="18"/>
                <w:lang w:val="en-US" w:eastAsia="zh-CN"/>
              </w:rPr>
              <w:t>~</w:t>
            </w:r>
            <w:r>
              <w:rPr>
                <w:rFonts w:hint="eastAsia" w:ascii="微软雅黑" w:hAnsi="微软雅黑" w:eastAsia="微软雅黑" w:cs="微软雅黑"/>
                <w:b w:val="0"/>
                <w:bCs w:val="0"/>
                <w:sz w:val="18"/>
                <w:szCs w:val="18"/>
                <w:lang w:eastAsia="zh-CN"/>
              </w:rPr>
              <w:t>6个月进行一次MRD检测。</w:t>
            </w:r>
          </w:p>
        </w:tc>
      </w:tr>
    </w:tbl>
    <w:p w14:paraId="4264F018">
      <w:pPr>
        <w:rPr>
          <w:rFonts w:hint="eastAsia" w:ascii="微软雅黑" w:hAnsi="微软雅黑" w:eastAsia="微软雅黑" w:cs="微软雅黑"/>
          <w:b w:val="0"/>
          <w:bCs w:val="0"/>
          <w:sz w:val="18"/>
          <w:szCs w:val="18"/>
        </w:rPr>
      </w:pPr>
      <w:r>
        <w:rPr>
          <w:rFonts w:hint="eastAsia" w:ascii="微软雅黑" w:hAnsi="微软雅黑" w:eastAsia="微软雅黑" w:cs="微软雅黑"/>
          <w:b w:val="0"/>
          <w:bCs w:val="0"/>
          <w:sz w:val="18"/>
          <w:szCs w:val="18"/>
          <w:lang w:eastAsia="zh-CN" w:bidi="ar"/>
        </w:rPr>
        <w:t>注：</w:t>
      </w:r>
    </w:p>
    <w:p w14:paraId="36DE4E64">
      <w:pPr>
        <w:pStyle w:val="10"/>
        <w:rPr>
          <w:rFonts w:hint="eastAsia" w:ascii="微软雅黑" w:hAnsi="微软雅黑" w:eastAsia="微软雅黑" w:cs="微软雅黑"/>
          <w:b/>
          <w:sz w:val="20"/>
          <w:lang w:eastAsia="zh-CN"/>
        </w:rPr>
      </w:pPr>
      <w:r>
        <w:rPr>
          <w:rFonts w:hint="eastAsia" w:ascii="微软雅黑" w:hAnsi="微软雅黑" w:eastAsia="微软雅黑" w:cs="微软雅黑"/>
          <w:sz w:val="18"/>
          <w:lang w:eastAsia="zh-CN"/>
        </w:rPr>
        <w:t>MRD预后提示基于现有临床研究报道，MRD的检测结果结合患者具体临床情况综合分析考虑，不应单独作为指导临床决策的依据。</w:t>
      </w:r>
    </w:p>
    <w:p w14:paraId="06989AB1">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9084504">
      <w:pPr>
        <w:outlineLvl w:val="1"/>
        <w:rPr>
          <w:rFonts w:hint="eastAsia" w:ascii="Times New Roman" w:hAnsi="Times New Roman" w:eastAsia="微软雅黑" w:cs="黑体"/>
          <w:b/>
          <w:bCs/>
          <w:color w:val="254061" w:themeColor="accent1" w:themeShade="80"/>
          <w:sz w:val="32"/>
          <w:szCs w:val="32"/>
          <w:lang w:val="en-US" w:eastAsia="zh-CN" w:bidi="ar-SA"/>
        </w:rPr>
      </w:pPr>
      <w:bookmarkStart w:id="10" w:name="_Toc527112385"/>
      <w:bookmarkStart w:id="11" w:name="_Toc534637498"/>
      <w:bookmarkStart w:id="12" w:name="_Toc25428"/>
      <w:bookmarkStart w:id="13" w:name="_Toc526855037"/>
      <w:r>
        <w:rPr>
          <w:rFonts w:hint="eastAsia" w:ascii="Times New Roman" w:hAnsi="Times New Roman" w:eastAsia="微软雅黑" w:cs="黑体"/>
          <w:b/>
          <w:bCs/>
          <w:color w:val="254061" w:themeColor="accent1" w:themeShade="80"/>
          <w:sz w:val="32"/>
          <w:szCs w:val="32"/>
          <w:lang w:val="en-US" w:eastAsia="zh-CN" w:bidi="ar-SA"/>
        </w:rPr>
        <w:t>三 历史检测结果汇总</w:t>
      </w:r>
    </w:p>
    <w:bookmarkEnd w:id="10"/>
    <w:bookmarkEnd w:id="11"/>
    <w:bookmarkEnd w:id="12"/>
    <w:bookmarkEnd w:id="13"/>
    <w:tbl>
      <w:tblPr>
        <w:tblStyle w:val="49"/>
        <w:tblW w:w="10233"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0" w:hRule="atLeast"/>
          <w:jc w:val="center"/>
        </w:trPr>
        <w:tc>
          <w:tcPr>
            <w:tcW w:w="2522" w:type="dxa"/>
            <w:shd w:val="clear" w:color="auto" w:fill="auto"/>
            <w:vAlign w:val="center"/>
          </w:tcPr>
          <w:p w14:paraId="66827E51">
            <w:pPr>
              <w:pStyle w:val="33"/>
              <w:jc w:val="center"/>
              <w:rPr>
                <w:rFonts w:hint="eastAsia" w:ascii="微软雅黑" w:hAnsi="微软雅黑" w:eastAsia="微软雅黑" w:cs="微软雅黑"/>
                <w:b/>
                <w:bCs/>
                <w:color w:val="244061"/>
                <w:sz w:val="21"/>
                <w:szCs w:val="21"/>
                <w:lang w:val="en-US" w:eastAsia="zh-CN"/>
              </w:rPr>
            </w:pPr>
            <w:bookmarkStart w:id="14" w:name="_Toc526855038"/>
            <w:bookmarkStart w:id="15" w:name="_Toc527112386"/>
            <w:bookmarkStart w:id="16" w:name="_Toc534637499"/>
            <w:r>
              <w:rPr>
                <w:rFonts w:hint="eastAsia" w:ascii="微软雅黑" w:hAnsi="微软雅黑" w:eastAsia="微软雅黑" w:cs="微软雅黑"/>
                <w:b/>
                <w:bCs/>
                <w:color w:val="244061"/>
                <w:sz w:val="21"/>
                <w:szCs w:val="21"/>
                <w:lang w:val="en-US" w:eastAsia="zh-CN"/>
              </w:rPr>
              <w:t>{%tc for th in mrd.mrdJson.mrd_th%}</w:t>
            </w:r>
          </w:p>
        </w:tc>
        <w:tc>
          <w:tcPr>
            <w:tcW w:w="4850" w:type="dxa"/>
            <w:shd w:val="clear" w:color="auto" w:fill="auto"/>
            <w:vAlign w:val="center"/>
          </w:tcPr>
          <w:p w14:paraId="7DD96A74">
            <w:pPr>
              <w:pStyle w:val="33"/>
              <w:jc w:val="center"/>
              <w:rPr>
                <w:rFonts w:hint="eastAsia" w:ascii="微软雅黑" w:hAnsi="微软雅黑" w:eastAsia="微软雅黑" w:cs="微软雅黑"/>
                <w:b/>
                <w:bCs/>
                <w:color w:val="244061"/>
                <w:sz w:val="21"/>
                <w:szCs w:val="21"/>
                <w:lang w:val="en-US" w:eastAsia="zh-CN"/>
              </w:rPr>
            </w:pPr>
            <w:r>
              <w:rPr>
                <w:rFonts w:hint="eastAsia" w:ascii="微软雅黑" w:hAnsi="微软雅黑" w:eastAsia="微软雅黑" w:cs="微软雅黑"/>
                <w:b/>
                <w:bCs/>
                <w:color w:val="244061"/>
                <w:sz w:val="21"/>
                <w:szCs w:val="21"/>
                <w:lang w:val="en-US" w:eastAsia="zh-CN"/>
              </w:rPr>
              <w:t>{% set items = th.split(",") %}{% if items[0] == "组织" %}{% for t in items[:2] %}{{ t }}{% if not loop.last %}</w:t>
            </w:r>
          </w:p>
          <w:p w14:paraId="1FA84A24">
            <w:pPr>
              <w:pStyle w:val="33"/>
              <w:jc w:val="center"/>
              <w:rPr>
                <w:rFonts w:hint="eastAsia" w:ascii="微软雅黑" w:hAnsi="微软雅黑" w:eastAsia="微软雅黑" w:cs="微软雅黑"/>
                <w:b/>
                <w:bCs/>
                <w:color w:val="244061"/>
                <w:sz w:val="21"/>
                <w:szCs w:val="21"/>
                <w:lang w:val="en-US" w:eastAsia="zh-CN"/>
              </w:rPr>
            </w:pPr>
            <w:r>
              <w:rPr>
                <w:rFonts w:hint="eastAsia" w:ascii="微软雅黑" w:hAnsi="微软雅黑" w:eastAsia="微软雅黑" w:cs="微软雅黑"/>
                <w:b/>
                <w:bCs/>
                <w:color w:val="244061"/>
                <w:sz w:val="21"/>
                <w:szCs w:val="21"/>
                <w:lang w:val="en-US" w:eastAsia="zh-CN"/>
              </w:rPr>
              <w:t>{% endif %}{% endfor %}{% else %}{% for t in items %}{{ t }}{% if not loop.last %}</w:t>
            </w:r>
          </w:p>
          <w:p w14:paraId="0E0C489E">
            <w:pPr>
              <w:pStyle w:val="33"/>
              <w:jc w:val="center"/>
              <w:rPr>
                <w:rFonts w:hint="eastAsia" w:ascii="微软雅黑" w:hAnsi="微软雅黑" w:eastAsia="微软雅黑" w:cs="微软雅黑"/>
                <w:b/>
                <w:bCs/>
                <w:color w:val="244061"/>
                <w:sz w:val="21"/>
                <w:szCs w:val="21"/>
                <w:lang w:val="en-US" w:eastAsia="zh-CN"/>
              </w:rPr>
            </w:pPr>
            <w:r>
              <w:rPr>
                <w:rFonts w:hint="eastAsia" w:ascii="微软雅黑" w:hAnsi="微软雅黑" w:eastAsia="微软雅黑" w:cs="微软雅黑"/>
                <w:b/>
                <w:bCs/>
                <w:color w:val="244061"/>
                <w:sz w:val="21"/>
                <w:szCs w:val="21"/>
                <w:lang w:val="en-US" w:eastAsia="zh-CN"/>
              </w:rPr>
              <w:t>{% endif %}{% endfor %}{% endif %}</w:t>
            </w:r>
          </w:p>
        </w:tc>
        <w:tc>
          <w:tcPr>
            <w:tcW w:w="2861" w:type="dxa"/>
            <w:shd w:val="clear" w:color="auto" w:fill="auto"/>
            <w:vAlign w:val="center"/>
          </w:tcPr>
          <w:p w14:paraId="7F13BDF3">
            <w:pPr>
              <w:pStyle w:val="33"/>
              <w:jc w:val="center"/>
              <w:rPr>
                <w:rFonts w:hint="eastAsia" w:ascii="微软雅黑" w:hAnsi="微软雅黑" w:eastAsia="微软雅黑" w:cs="微软雅黑"/>
                <w:b/>
                <w:bCs/>
                <w:color w:val="244061"/>
                <w:sz w:val="21"/>
                <w:szCs w:val="21"/>
                <w:lang w:val="en-US" w:eastAsia="zh-CN"/>
              </w:rPr>
            </w:pPr>
            <w:r>
              <w:rPr>
                <w:rFonts w:hint="eastAsia" w:ascii="微软雅黑" w:hAnsi="微软雅黑" w:eastAsia="微软雅黑" w:cs="微软雅黑"/>
                <w:b/>
                <w:bCs/>
                <w:color w:val="244061"/>
                <w:sz w:val="21"/>
                <w:szCs w:val="21"/>
                <w:lang w:val="en-US" w:eastAsia="zh-CN"/>
              </w:rPr>
              <w:t>{%tc endfor %}</w:t>
            </w:r>
          </w:p>
        </w:tc>
      </w:tr>
      <w:tr w14:paraId="6EC2D5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0233" w:type="dxa"/>
            <w:gridSpan w:val="3"/>
            <w:shd w:val="clear" w:color="auto" w:fill="auto"/>
            <w:vAlign w:val="center"/>
          </w:tcPr>
          <w:p w14:paraId="7812739C">
            <w:pPr>
              <w:spacing w:before="20"/>
              <w:jc w:val="center"/>
              <w:rPr>
                <w:rFonts w:hint="eastAsia" w:ascii="微软雅黑" w:hAnsi="微软雅黑" w:eastAsia="微软雅黑" w:cs="微软雅黑"/>
                <w:b w:val="0"/>
                <w:bCs w:val="0"/>
                <w:sz w:val="21"/>
                <w:szCs w:val="21"/>
                <w:lang w:val="en-US" w:eastAsia="zh-CN"/>
              </w:rPr>
            </w:pPr>
            <w:r>
              <w:rPr>
                <w:rFonts w:hint="eastAsia" w:ascii="微软雅黑" w:hAnsi="微软雅黑" w:eastAsia="微软雅黑" w:cs="微软雅黑"/>
                <w:b w:val="0"/>
                <w:bCs w:val="0"/>
                <w:sz w:val="21"/>
                <w:szCs w:val="21"/>
                <w:lang w:val="en-US" w:eastAsia="zh-CN"/>
              </w:rPr>
              <w:t>{%tr for tds in mrd.mrdJson.mrd_tds %}</w:t>
            </w:r>
          </w:p>
        </w:tc>
      </w:tr>
      <w:tr w14:paraId="6B4BE2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2522" w:type="dxa"/>
            <w:shd w:val="clear" w:color="auto" w:fill="auto"/>
            <w:vAlign w:val="center"/>
          </w:tcPr>
          <w:p w14:paraId="2ACA92E0">
            <w:pPr>
              <w:spacing w:before="20"/>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{%tc for td in tds%}</w:t>
            </w:r>
          </w:p>
        </w:tc>
        <w:tc>
          <w:tcPr>
            <w:tcW w:w="4850" w:type="dxa"/>
            <w:shd w:val="clear" w:color="auto" w:fill="auto"/>
            <w:vAlign w:val="center"/>
          </w:tcPr>
          <w:p w14:paraId="3E632BF5">
            <w:pPr>
              <w:spacing w:before="20"/>
              <w:jc w:val="center"/>
              <w:rPr>
                <w:rFonts w:hint="eastAsia" w:ascii="微软雅黑" w:hAnsi="微软雅黑" w:eastAsia="微软雅黑" w:cs="微软雅黑"/>
                <w:b w:val="0"/>
                <w:bCs w:val="0"/>
                <w:sz w:val="21"/>
                <w:szCs w:val="21"/>
                <w:lang w:val="en-US" w:eastAsia="zh-CN"/>
              </w:rPr>
            </w:pPr>
            <w:r>
              <w:rPr>
                <w:rFonts w:hint="eastAsia" w:ascii="微软雅黑" w:hAnsi="微软雅黑" w:eastAsia="微软雅黑" w:cs="微软雅黑"/>
                <w:b w:val="0"/>
                <w:bCs w:val="0"/>
                <w:sz w:val="21"/>
                <w:szCs w:val="21"/>
                <w:lang w:val="en-US" w:eastAsia="zh-CN"/>
              </w:rPr>
              <w:t>{{td}}</w:t>
            </w:r>
          </w:p>
        </w:tc>
        <w:tc>
          <w:tcPr>
            <w:tcW w:w="2861" w:type="dxa"/>
            <w:shd w:val="clear" w:color="auto" w:fill="auto"/>
            <w:vAlign w:val="center"/>
          </w:tcPr>
          <w:p w14:paraId="27950F4A">
            <w:pPr>
              <w:spacing w:before="20"/>
              <w:jc w:val="center"/>
              <w:rPr>
                <w:rFonts w:hint="eastAsia" w:ascii="微软雅黑" w:hAnsi="微软雅黑" w:eastAsia="微软雅黑" w:cs="微软雅黑"/>
                <w:b w:val="0"/>
                <w:bCs w:val="0"/>
                <w:sz w:val="21"/>
                <w:szCs w:val="21"/>
                <w:lang w:val="en-US" w:eastAsia="zh-CN"/>
              </w:rPr>
            </w:pPr>
            <w:r>
              <w:rPr>
                <w:rFonts w:hint="eastAsia" w:ascii="微软雅黑" w:hAnsi="微软雅黑" w:eastAsia="微软雅黑" w:cs="微软雅黑"/>
                <w:b w:val="0"/>
                <w:bCs w:val="0"/>
                <w:sz w:val="21"/>
                <w:szCs w:val="21"/>
                <w:lang w:val="en-US" w:eastAsia="zh-CN"/>
              </w:rPr>
              <w:t>{%tc endfor %}</w:t>
            </w:r>
          </w:p>
        </w:tc>
      </w:tr>
      <w:tr w14:paraId="6F58720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0233" w:type="dxa"/>
            <w:gridSpan w:val="3"/>
            <w:shd w:val="clear" w:color="auto" w:fill="auto"/>
            <w:vAlign w:val="center"/>
          </w:tcPr>
          <w:p w14:paraId="003E9389">
            <w:pPr>
              <w:spacing w:before="20"/>
              <w:jc w:val="center"/>
              <w:rPr>
                <w:rFonts w:hint="eastAsia" w:ascii="微软雅黑" w:hAnsi="微软雅黑" w:eastAsia="微软雅黑" w:cs="微软雅黑"/>
                <w:sz w:val="21"/>
                <w:szCs w:val="21"/>
                <w:lang w:val="en-US" w:eastAsia="zh-CN" w:bidi="ar-SA"/>
              </w:rPr>
            </w:pPr>
            <w:r>
              <w:rPr>
                <w:rFonts w:hint="eastAsia" w:ascii="微软雅黑" w:hAnsi="微软雅黑" w:eastAsia="微软雅黑" w:cs="微软雅黑"/>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ascii="微软雅黑" w:hAnsi="微软雅黑" w:eastAsia="微软雅黑" w:cs="微软雅黑"/>
          <w:b w:val="0"/>
          <w:bCs w:val="0"/>
          <w:color w:val="auto"/>
          <w:lang w:val="en-US" w:eastAsia="zh-CN"/>
        </w:rPr>
      </w:pPr>
      <w:r>
        <w:rPr>
          <w:rFonts w:hint="eastAsia" w:ascii="微软雅黑" w:hAnsi="微软雅黑" w:eastAsia="微软雅黑" w:cs="微软雅黑"/>
          <w:b w:val="0"/>
          <w:bCs w:val="0"/>
          <w:sz w:val="18"/>
          <w:szCs w:val="18"/>
          <w:lang w:eastAsia="zh-CN" w:bidi="ar"/>
        </w:rPr>
        <w:t>注：</w:t>
      </w:r>
    </w:p>
    <w:p w14:paraId="107E7CAF">
      <w:pPr>
        <w:numPr>
          <w:ilvl w:val="0"/>
          <w:numId w:val="4"/>
        </w:numPr>
        <w:ind w:left="425" w:leftChars="0" w:hanging="425" w:firstLineChars="0"/>
        <w:rPr>
          <w:rFonts w:hint="eastAsia" w:ascii="微软雅黑" w:hAnsi="微软雅黑" w:eastAsia="微软雅黑" w:cs="微软雅黑"/>
          <w:sz w:val="18"/>
          <w:highlight w:val="none"/>
          <w:lang w:eastAsia="zh-CN"/>
        </w:rPr>
      </w:pPr>
      <w:r>
        <w:rPr>
          <w:rFonts w:hint="eastAsia" w:ascii="微软雅黑" w:hAnsi="微软雅黑" w:eastAsia="微软雅黑" w:cs="微软雅黑"/>
          <w:sz w:val="18"/>
          <w:highlight w:val="none"/>
          <w:lang w:eastAsia="zh-CN"/>
        </w:rPr>
        <w:t>ctDNA浓度：指每毫升血浆中的平均肿瘤分子含量（mean tumor molecule per milliliter，MTM/mL）。</w:t>
      </w:r>
    </w:p>
    <w:p w14:paraId="17D17CF8">
      <w:pPr>
        <w:numPr>
          <w:ilvl w:val="0"/>
          <w:numId w:val="4"/>
        </w:numPr>
        <w:ind w:left="425" w:leftChars="0" w:hanging="425" w:firstLineChars="0"/>
        <w:rPr>
          <w:rFonts w:hint="eastAsia" w:ascii="微软雅黑" w:hAnsi="微软雅黑" w:eastAsia="微软雅黑" w:cs="微软雅黑"/>
          <w:sz w:val="18"/>
          <w:highlight w:val="none"/>
          <w:lang w:eastAsia="zh-CN"/>
        </w:rPr>
      </w:pPr>
      <w:r>
        <w:rPr>
          <w:rFonts w:hint="eastAsia" w:ascii="微软雅黑" w:hAnsi="微软雅黑" w:eastAsia="微软雅黑" w:cs="微软雅黑"/>
          <w:sz w:val="18"/>
          <w:highlight w:val="none"/>
          <w:lang w:eastAsia="zh-CN"/>
        </w:rPr>
        <w:t>历史检测结果汇总展示突变为分子残留病灶（MRD）监测产品追踪的特异性突变（仅体细胞变异）。</w:t>
      </w:r>
    </w:p>
    <w:p w14:paraId="7D5F16EE">
      <w:pPr>
        <w:numPr>
          <w:ilvl w:val="0"/>
          <w:numId w:val="4"/>
        </w:numPr>
        <w:ind w:left="425" w:leftChars="0" w:hanging="425" w:firstLineChars="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"-"表示本次检测未发现</w:t>
      </w:r>
      <w:r>
        <w:rPr>
          <w:rFonts w:hint="eastAsia" w:ascii="微软雅黑" w:hAnsi="微软雅黑" w:eastAsia="微软雅黑" w:cs="微软雅黑"/>
          <w:sz w:val="18"/>
          <w:lang w:val="en-US" w:eastAsia="zh-CN"/>
        </w:rPr>
        <w:t>该</w:t>
      </w:r>
      <w:r>
        <w:rPr>
          <w:rFonts w:hint="eastAsia" w:ascii="微软雅黑" w:hAnsi="微软雅黑" w:eastAsia="微软雅黑" w:cs="微软雅黑"/>
          <w:sz w:val="18"/>
          <w:lang w:eastAsia="zh-CN"/>
        </w:rPr>
        <w:t>变异。</w:t>
      </w:r>
    </w:p>
    <w:p w14:paraId="4E1113EE">
      <w:pPr>
        <w:numPr>
          <w:ilvl w:val="0"/>
          <w:numId w:val="4"/>
        </w:numPr>
        <w:ind w:left="425" w:leftChars="0" w:hanging="425" w:firstLineChars="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变异丰度：在某位点产生突变的等位基因在该位点全部等位基因中所占比率。</w:t>
      </w:r>
    </w:p>
    <w:p w14:paraId="72B9E853">
      <w:pPr>
        <w:numPr>
          <w:ilvl w:val="0"/>
          <w:numId w:val="4"/>
        </w:numPr>
        <w:ind w:left="425" w:leftChars="0" w:hanging="425" w:firstLineChars="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基因变异检测结果：“c”为DNA序列，“p”为蛋白质。在DNA水平对某一突变位点的描述方式包括：碱基位点，正常碱基，“&gt;”符号，突变碱基。</w:t>
      </w:r>
    </w:p>
    <w:p w14:paraId="374FD75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E6CE6A4">
      <w:pPr>
        <w:keepNext w:val="0"/>
        <w:keepLines w:val="0"/>
        <w:pageBreakBefore w:val="0"/>
        <w:widowControl w:val="0"/>
        <w:kinsoku/>
        <w:wordWrap/>
        <w:overflowPunct/>
        <w:topLinePunct w:val="0"/>
        <w:autoSpaceDE/>
        <w:autoSpaceDN/>
        <w:bidi w:val="0"/>
        <w:adjustRightInd/>
        <w:snapToGrid/>
        <w:spacing w:after="0" w:afterLines="100"/>
        <w:textAlignment w:val="auto"/>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样本质控情况</w:t>
      </w:r>
    </w:p>
    <w:tbl>
      <w:tblPr>
        <w:tblStyle w:val="19"/>
        <w:tblW w:w="981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shd w:val="clear" w:color="auto" w:fill="auto"/>
            <w:vAlign w:val="center"/>
          </w:tcPr>
          <w:p w14:paraId="45C59F73">
            <w:pPr>
              <w:ind w:left="119"/>
              <w:jc w:val="center"/>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shd w:val="clear" w:color="auto" w:fill="auto"/>
            <w:vAlign w:val="center"/>
          </w:tcPr>
          <w:p w14:paraId="70F008D0">
            <w:pPr>
              <w:ind w:left="119"/>
              <w:jc w:val="center"/>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shd w:val="clear" w:color="auto" w:fill="auto"/>
            <w:vAlign w:val="center"/>
          </w:tcPr>
          <w:p w14:paraId="67CD69D8">
            <w:pPr>
              <w:ind w:left="119"/>
              <w:jc w:val="center"/>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shd w:val="clear" w:color="auto" w:fill="auto"/>
            <w:vAlign w:val="center"/>
          </w:tcPr>
          <w:p w14:paraId="200A67F4">
            <w:pPr>
              <w:ind w:left="119"/>
              <w:jc w:val="center"/>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FB96C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191FDCA8">
            <w:pPr>
              <w:ind w:left="119"/>
              <w:jc w:val="center"/>
              <w:rPr>
                <w:rFonts w:hint="eastAsia" w:ascii="微软雅黑" w:hAnsi="微软雅黑" w:eastAsia="微软雅黑" w:cs="微软雅黑"/>
                <w:b/>
                <w:sz w:val="21"/>
                <w:lang w:eastAsia="zh-CN"/>
              </w:rPr>
            </w:pPr>
            <w:r>
              <w:rPr>
                <w:rFonts w:hint="eastAsia" w:ascii="微软雅黑" w:hAnsi="微软雅黑" w:eastAsia="微软雅黑" w:cs="微软雅黑"/>
                <w:b/>
                <w:sz w:val="21"/>
              </w:rPr>
              <w:t>病理</w:t>
            </w:r>
            <w:r>
              <w:rPr>
                <w:rFonts w:hint="eastAsia" w:ascii="微软雅黑" w:hAnsi="微软雅黑" w:eastAsia="微软雅黑" w:cs="微软雅黑"/>
                <w:b/>
                <w:sz w:val="21"/>
                <w:lang w:eastAsia="zh-CN"/>
              </w:rPr>
              <w:t>评估</w:t>
            </w:r>
          </w:p>
        </w:tc>
        <w:tc>
          <w:tcPr>
            <w:tcW w:w="2721" w:type="dxa"/>
            <w:vAlign w:val="center"/>
          </w:tcPr>
          <w:p w14:paraId="2F1925C5">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5EB8BE9D">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val="en-US" w:eastAsia="zh-CN"/>
              </w:rPr>
              <w:t>不适用</w:t>
            </w:r>
          </w:p>
        </w:tc>
        <w:tc>
          <w:tcPr>
            <w:tcW w:w="2721" w:type="dxa"/>
            <w:vAlign w:val="center"/>
          </w:tcPr>
          <w:p w14:paraId="10B2416D">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7A8E7C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43E8D68">
            <w:pPr>
              <w:ind w:left="119"/>
              <w:jc w:val="center"/>
              <w:rPr>
                <w:rFonts w:hint="eastAsia" w:ascii="微软雅黑" w:hAnsi="微软雅黑" w:eastAsia="微软雅黑" w:cs="微软雅黑"/>
                <w:b/>
                <w:sz w:val="21"/>
                <w:lang w:eastAsia="zh-CN"/>
              </w:rPr>
            </w:pPr>
            <w:r>
              <w:rPr>
                <w:rFonts w:hint="eastAsia" w:ascii="微软雅黑" w:hAnsi="微软雅黑" w:eastAsia="微软雅黑" w:cs="微软雅黑"/>
                <w:b/>
                <w:sz w:val="21"/>
                <w:lang w:eastAsia="zh-CN"/>
              </w:rPr>
              <w:t>核酸质量评估</w:t>
            </w:r>
          </w:p>
        </w:tc>
        <w:tc>
          <w:tcPr>
            <w:tcW w:w="2721" w:type="dxa"/>
            <w:vAlign w:val="center"/>
          </w:tcPr>
          <w:p w14:paraId="48CFDD3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3C55C64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4E053189">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≥20</w:t>
            </w:r>
          </w:p>
        </w:tc>
      </w:tr>
      <w:tr w14:paraId="3C0E28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7CC3016">
            <w:pPr>
              <w:ind w:left="119"/>
              <w:jc w:val="center"/>
              <w:rPr>
                <w:rFonts w:hint="eastAsia" w:ascii="微软雅黑" w:hAnsi="微软雅黑" w:eastAsia="微软雅黑" w:cs="微软雅黑"/>
                <w:b/>
                <w:sz w:val="21"/>
              </w:rPr>
            </w:pPr>
          </w:p>
        </w:tc>
        <w:tc>
          <w:tcPr>
            <w:tcW w:w="2721" w:type="dxa"/>
            <w:vAlign w:val="center"/>
          </w:tcPr>
          <w:p w14:paraId="3403623A">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461C52AE">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val="en-US" w:eastAsia="zh-CN"/>
              </w:rPr>
              <w:t>不适用</w:t>
            </w:r>
          </w:p>
        </w:tc>
        <w:tc>
          <w:tcPr>
            <w:tcW w:w="2721" w:type="dxa"/>
            <w:vAlign w:val="center"/>
          </w:tcPr>
          <w:p w14:paraId="70AC634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6EFFCD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C3438CF">
            <w:pPr>
              <w:ind w:left="119"/>
              <w:jc w:val="center"/>
              <w:rPr>
                <w:rFonts w:hint="eastAsia" w:ascii="微软雅黑" w:hAnsi="微软雅黑" w:eastAsia="微软雅黑" w:cs="微软雅黑"/>
                <w:b/>
                <w:sz w:val="21"/>
              </w:rPr>
            </w:pPr>
          </w:p>
        </w:tc>
        <w:tc>
          <w:tcPr>
            <w:tcW w:w="2721" w:type="dxa"/>
            <w:vAlign w:val="center"/>
          </w:tcPr>
          <w:p w14:paraId="427C6089">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49C3E4CD">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4909518">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16FE80D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2696430">
            <w:pPr>
              <w:ind w:left="119"/>
              <w:jc w:val="center"/>
              <w:rPr>
                <w:rFonts w:hint="eastAsia" w:ascii="微软雅黑" w:hAnsi="微软雅黑" w:eastAsia="微软雅黑" w:cs="微软雅黑"/>
                <w:b/>
                <w:sz w:val="21"/>
                <w:lang w:eastAsia="zh-CN"/>
              </w:rPr>
            </w:pPr>
            <w:r>
              <w:rPr>
                <w:rFonts w:hint="eastAsia" w:ascii="微软雅黑" w:hAnsi="微软雅黑" w:eastAsia="微软雅黑" w:cs="微软雅黑"/>
                <w:b/>
                <w:sz w:val="21"/>
              </w:rPr>
              <w:t>测序</w:t>
            </w:r>
            <w:r>
              <w:rPr>
                <w:rFonts w:hint="eastAsia" w:ascii="微软雅黑" w:hAnsi="微软雅黑" w:eastAsia="微软雅黑" w:cs="微软雅黑"/>
                <w:b/>
                <w:sz w:val="21"/>
                <w:lang w:eastAsia="zh-CN"/>
              </w:rPr>
              <w:t>质量评估</w:t>
            </w:r>
          </w:p>
        </w:tc>
        <w:tc>
          <w:tcPr>
            <w:tcW w:w="2721" w:type="dxa"/>
            <w:vAlign w:val="center"/>
          </w:tcPr>
          <w:p w14:paraId="665BA2C3">
            <w:pPr>
              <w:autoSpaceDE w:val="0"/>
              <w:ind w:left="110" w:leftChars="50"/>
              <w:jc w:val="center"/>
              <w:rPr>
                <w:rFonts w:hint="eastAsia" w:ascii="微软雅黑" w:hAnsi="微软雅黑" w:eastAsia="微软雅黑" w:cs="微软雅黑"/>
                <w:bCs/>
                <w:sz w:val="21"/>
                <w:highlight w:val="none"/>
              </w:rPr>
            </w:pPr>
            <w:r>
              <w:rPr>
                <w:rFonts w:hint="eastAsia" w:ascii="微软雅黑" w:hAnsi="微软雅黑"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eastAsia" w:ascii="微软雅黑" w:hAnsi="微软雅黑" w:eastAsia="微软雅黑" w:cs="微软雅黑"/>
                <w:bCs/>
                <w:sz w:val="21"/>
                <w:highlight w:val="none"/>
                <w:lang w:val="en-US"/>
              </w:rPr>
            </w:pPr>
            <w:r>
              <w:rPr>
                <w:rFonts w:hint="eastAsia" w:ascii="微软雅黑" w:hAnsi="微软雅黑" w:eastAsia="微软雅黑" w:cs="微软雅黑"/>
                <w:sz w:val="21"/>
                <w:lang w:eastAsia="zh-CN"/>
              </w:rPr>
              <w:t>{{ sequencing_depth }}</w:t>
            </w:r>
          </w:p>
        </w:tc>
        <w:tc>
          <w:tcPr>
            <w:tcW w:w="2721" w:type="dxa"/>
            <w:vAlign w:val="center"/>
          </w:tcPr>
          <w:p w14:paraId="1D49B1EE">
            <w:pPr>
              <w:autoSpaceDE w:val="0"/>
              <w:ind w:left="110" w:leftChars="50"/>
              <w:jc w:val="center"/>
              <w:rPr>
                <w:rFonts w:hint="eastAsia" w:ascii="微软雅黑" w:hAnsi="微软雅黑" w:eastAsia="微软雅黑" w:cs="微软雅黑"/>
                <w:bCs/>
                <w:sz w:val="21"/>
                <w:highlight w:val="none"/>
                <w:lang w:val="en-US" w:eastAsia="zh-CN"/>
              </w:rPr>
            </w:pPr>
            <w:r>
              <w:rPr>
                <w:rFonts w:hint="eastAsia" w:ascii="微软雅黑" w:hAnsi="微软雅黑" w:eastAsia="微软雅黑" w:cs="微软雅黑"/>
                <w:sz w:val="21"/>
                <w:szCs w:val="21"/>
                <w:highlight w:val="none"/>
                <w:lang w:eastAsia="zh-CN" w:bidi="ar"/>
              </w:rPr>
              <w:t>≥</w:t>
            </w:r>
            <w:r>
              <w:rPr>
                <w:rFonts w:hint="eastAsia" w:ascii="微软雅黑" w:hAnsi="微软雅黑" w:eastAsia="微软雅黑" w:cs="微软雅黑"/>
                <w:sz w:val="21"/>
                <w:szCs w:val="21"/>
                <w:highlight w:val="none"/>
                <w:lang w:val="en-US" w:eastAsia="zh-CN" w:bidi="ar"/>
              </w:rPr>
              <w:t>30000</w:t>
            </w:r>
          </w:p>
        </w:tc>
      </w:tr>
      <w:tr w14:paraId="46960F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E6968FF">
            <w:pPr>
              <w:ind w:left="119"/>
              <w:jc w:val="center"/>
              <w:rPr>
                <w:rFonts w:hint="eastAsia" w:ascii="微软雅黑" w:hAnsi="微软雅黑" w:eastAsia="微软雅黑" w:cs="微软雅黑"/>
                <w:b/>
                <w:sz w:val="21"/>
              </w:rPr>
            </w:pPr>
          </w:p>
        </w:tc>
        <w:tc>
          <w:tcPr>
            <w:tcW w:w="2721" w:type="dxa"/>
            <w:vAlign w:val="center"/>
          </w:tcPr>
          <w:p w14:paraId="72F03BF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70E1D75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78B52820">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23591C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CDA6D33">
            <w:pPr>
              <w:ind w:left="119"/>
              <w:jc w:val="center"/>
              <w:rPr>
                <w:rFonts w:hint="eastAsia" w:ascii="微软雅黑" w:hAnsi="微软雅黑" w:eastAsia="微软雅黑" w:cs="微软雅黑"/>
                <w:b/>
                <w:sz w:val="21"/>
              </w:rPr>
            </w:pPr>
          </w:p>
        </w:tc>
        <w:tc>
          <w:tcPr>
            <w:tcW w:w="2721" w:type="dxa"/>
            <w:vAlign w:val="center"/>
          </w:tcPr>
          <w:p w14:paraId="0C4F9E8E">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69A70AA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59F4E03E">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3BEB52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DC5F9D1">
            <w:pPr>
              <w:ind w:left="119"/>
              <w:jc w:val="center"/>
              <w:rPr>
                <w:rFonts w:hint="eastAsia" w:ascii="微软雅黑" w:hAnsi="微软雅黑" w:eastAsia="微软雅黑" w:cs="微软雅黑"/>
                <w:b/>
                <w:sz w:val="21"/>
              </w:rPr>
            </w:pPr>
          </w:p>
        </w:tc>
        <w:tc>
          <w:tcPr>
            <w:tcW w:w="2721" w:type="dxa"/>
            <w:vAlign w:val="center"/>
          </w:tcPr>
          <w:p w14:paraId="7CD45723">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61BCC705">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075B887C">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7A4BE9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6FE30941">
            <w:pPr>
              <w:ind w:left="119"/>
              <w:jc w:val="center"/>
              <w:rPr>
                <w:rFonts w:hint="eastAsia" w:ascii="微软雅黑" w:hAnsi="微软雅黑" w:eastAsia="微软雅黑" w:cs="微软雅黑"/>
                <w:b/>
                <w:sz w:val="21"/>
              </w:rPr>
            </w:pPr>
            <w:r>
              <w:rPr>
                <w:rFonts w:hint="eastAsia" w:ascii="微软雅黑" w:hAnsi="微软雅黑" w:eastAsia="微软雅黑" w:cs="微软雅黑"/>
                <w:b/>
                <w:sz w:val="21"/>
              </w:rPr>
              <w:t>总体质量评估</w:t>
            </w:r>
          </w:p>
        </w:tc>
        <w:tc>
          <w:tcPr>
            <w:tcW w:w="7823" w:type="dxa"/>
            <w:gridSpan w:val="3"/>
            <w:shd w:val="clear" w:color="auto" w:fill="F1F1F1"/>
            <w:vAlign w:val="center"/>
          </w:tcPr>
          <w:p w14:paraId="723F4859">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34D0D5BB">
      <w:pPr>
        <w:spacing w:before="53" w:line="301" w:lineRule="exact"/>
        <w:rPr>
          <w:rFonts w:hint="eastAsia" w:ascii="微软雅黑" w:hAnsi="微软雅黑" w:eastAsia="微软雅黑" w:cs="微软雅黑"/>
          <w:b w:val="0"/>
          <w:bCs/>
          <w:sz w:val="18"/>
          <w:lang w:eastAsia="zh-CN"/>
        </w:rPr>
      </w:pPr>
      <w:r>
        <w:rPr>
          <w:rFonts w:hint="eastAsia" w:ascii="微软雅黑" w:hAnsi="微软雅黑" w:eastAsia="微软雅黑" w:cs="微软雅黑"/>
          <w:b w:val="0"/>
          <w:bCs/>
          <w:sz w:val="18"/>
          <w:lang w:eastAsia="zh-CN"/>
        </w:rPr>
        <w:t>注：</w:t>
      </w:r>
    </w:p>
    <w:p w14:paraId="17EF8A02">
      <w:pPr>
        <w:numPr>
          <w:ilvl w:val="0"/>
          <w:numId w:val="5"/>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w:t>
      </w:r>
      <w:r>
        <w:rPr>
          <w:rFonts w:hint="eastAsia" w:ascii="微软雅黑" w:hAnsi="微软雅黑" w:eastAsia="微软雅黑" w:cs="微软雅黑"/>
          <w:sz w:val="21"/>
          <w:lang w:eastAsia="zh-CN"/>
        </w:rPr>
        <w:t>{% if summaryOfRresults.type == “blood” %}</w:t>
      </w:r>
      <w:r>
        <w:rPr>
          <w:rFonts w:hint="eastAsia" w:ascii="微软雅黑" w:hAnsi="微软雅黑" w:eastAsia="微软雅黑" w:cs="微软雅黑"/>
          <w:sz w:val="18"/>
          <w:lang w:eastAsia="zh-CN"/>
        </w:rPr>
        <w:t>血浆cfDNA样本不做此项评估。</w:t>
      </w:r>
      <w:r>
        <w:rPr>
          <w:rFonts w:hint="eastAsia" w:ascii="微软雅黑" w:hAnsi="微软雅黑" w:eastAsia="微软雅黑" w:cs="微软雅黑"/>
          <w:sz w:val="21"/>
          <w:lang w:eastAsia="zh-CN"/>
        </w:rPr>
        <w:t>{% endif %}</w:t>
      </w:r>
    </w:p>
    <w:p w14:paraId="5B4212A8">
      <w:pPr>
        <w:numPr>
          <w:ilvl w:val="0"/>
          <w:numId w:val="5"/>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5"/>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w:t>
      </w:r>
      <w:r>
        <w:rPr>
          <w:rFonts w:hint="eastAsia" w:ascii="微软雅黑" w:hAnsi="微软雅黑" w:eastAsia="微软雅黑" w:cs="微软雅黑"/>
          <w:sz w:val="21"/>
          <w:lang w:eastAsia="zh-CN"/>
        </w:rPr>
        <w:t>{% if summaryOfRresults.type == “blood” %}</w:t>
      </w:r>
      <w:r>
        <w:rPr>
          <w:rFonts w:hint="eastAsia" w:ascii="微软雅黑" w:hAnsi="微软雅黑" w:eastAsia="微软雅黑" w:cs="微软雅黑"/>
          <w:sz w:val="18"/>
          <w:lang w:eastAsia="zh-CN"/>
        </w:rPr>
        <w:t>cfDNA样本不适用于此项评估。</w:t>
      </w:r>
      <w:r>
        <w:rPr>
          <w:rFonts w:hint="eastAsia" w:ascii="微软雅黑" w:hAnsi="微软雅黑" w:eastAsia="微软雅黑" w:cs="微软雅黑"/>
          <w:sz w:val="21"/>
          <w:lang w:eastAsia="zh-CN"/>
        </w:rPr>
        <w:t>{% endif %}</w:t>
      </w:r>
    </w:p>
    <w:p w14:paraId="2DF0C74E">
      <w:pPr>
        <w:numPr>
          <w:ilvl w:val="0"/>
          <w:numId w:val="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2454D94">
      <w:pPr>
        <w:numPr>
          <w:ilvl w:val="0"/>
          <w:numId w:val="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0B3B74BA">
      <w:pPr>
        <w:numPr>
          <w:ilvl w:val="0"/>
          <w:numId w:val="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6DD8A13E">
      <w:pPr>
        <w:numPr>
          <w:ilvl w:val="0"/>
          <w:numId w:val="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DA2734F">
      <w:pPr>
        <w:numPr>
          <w:ilvl w:val="0"/>
          <w:numId w:val="5"/>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5"/>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5"/>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5"/>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5"/>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69F27CF0">
      <w:pPr>
        <w:numPr>
          <w:ilvl w:val="0"/>
          <w:numId w:val="5"/>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1041FD32">
      <w:pPr>
        <w:rPr>
          <w:rFonts w:hint="eastAsia" w:ascii="Times New Roman" w:hAnsi="Times New Roman" w:eastAsia="微软雅黑" w:cs="Times New Roman"/>
          <w:b/>
          <w:color w:val="auto"/>
          <w:sz w:val="24"/>
          <w:szCs w:val="24"/>
          <w:lang w:val="en-US" w:eastAsia="zh-CN"/>
        </w:rPr>
      </w:pPr>
      <w:r>
        <w:rPr>
          <w:rFonts w:hint="eastAsia" w:ascii="Times New Roman" w:hAnsi="Times New Roman" w:eastAsia="微软雅黑" w:cs="Times New Roman"/>
          <w:b/>
          <w:color w:val="auto"/>
          <w:sz w:val="24"/>
          <w:szCs w:val="24"/>
          <w:lang w:val="en-US" w:eastAsia="zh-CN"/>
        </w:rPr>
        <w:br w:type="page"/>
      </w:r>
    </w:p>
    <w:bookmarkEnd w:id="14"/>
    <w:bookmarkEnd w:id="15"/>
    <w:bookmarkEnd w:id="16"/>
    <w:p w14:paraId="0AA7328A">
      <w:pPr>
        <w:keepNext w:val="0"/>
        <w:keepLines w:val="0"/>
        <w:pageBreakBefore w:val="0"/>
        <w:widowControl w:val="0"/>
        <w:kinsoku/>
        <w:wordWrap/>
        <w:overflowPunct/>
        <w:topLinePunct w:val="0"/>
        <w:autoSpaceDE/>
        <w:autoSpaceDN/>
        <w:bidi w:val="0"/>
        <w:adjustRightInd/>
        <w:snapToGrid/>
        <w:spacing w:after="0" w:afterLines="100"/>
        <w:textAlignment w:val="auto"/>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二 检测局限性</w:t>
      </w:r>
    </w:p>
    <w:p w14:paraId="435E681F">
      <w:pPr>
        <w:numPr>
          <w:ilvl w:val="0"/>
          <w:numId w:val="7"/>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30D5D9BF">
      <w:pPr>
        <w:numPr>
          <w:ilvl w:val="0"/>
          <w:numId w:val="7"/>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本检测是基于实体瘤基因突变图谱特异性研发设计，只适用于实体瘤患者的MRD检测。</w:t>
      </w:r>
    </w:p>
    <w:p w14:paraId="72B017B9">
      <w:pPr>
        <w:numPr>
          <w:ilvl w:val="0"/>
          <w:numId w:val="7"/>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本检测只适用于检测指定肿瘤基因的DNA水平的变异，不涉及蛋白质、RNA水平。</w:t>
      </w:r>
    </w:p>
    <w:p w14:paraId="3C43DC02">
      <w:pPr>
        <w:numPr>
          <w:ilvl w:val="0"/>
          <w:numId w:val="7"/>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0FD75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B48DB0">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2516505</wp:posOffset>
              </wp:positionH>
              <wp:positionV relativeFrom="paragraph">
                <wp:posOffset>-38100</wp:posOffset>
              </wp:positionV>
              <wp:extent cx="713740" cy="1847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13740"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3BF33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15pt;margin-top:-3pt;height:14.55pt;width:56.2pt;mso-position-horizontal-relative:margin;z-index:251659264;mso-width-relative:page;mso-height-relative:page;" filled="f" stroked="f" coordsize="21600,21600" o:gfxdata="UEsDBAoAAAAAAIdO4kAAAAAAAAAAAAAAAAAEAAAAZHJzL1BLAwQUAAAACACHTuJAZAwh5dgAAAAJ&#10;AQAADwAAAGRycy9kb3ducmV2LnhtbE2Py07DMBBF90j8gzVI7Fo7jQhtyKQLHjuepUiwc2KTRPgR&#10;2U5a/p5hBcvRHN17brU9WsNmHeLgHUK2FMC0a70aXIewf71brIHFJJ2SxjuN8K0jbOvTk0qWyh/c&#10;i553qWMU4mIpEfqUxpLz2Pbayrj0o3b0+/TBykRn6LgK8kDh1vCVEAW3cnDU0MtRX/e6/dpNFsG8&#10;x3DfiPQx33QP6fmJT2+32SPi+VkmroAlfUx/MPzqkzrU5NT4yanIDEK+KXJCERYFbSLgQqwvgTUI&#10;qzwDXlf8/4L6B1BLAwQUAAAACACHTuJATEqXujECAABVBAAADgAAAGRycy9lMm9Eb2MueG1srVRL&#10;btswEN0X6B0I7hvZ+cOIHLgxUhQImgBu0TVNUZYAksOStCX3AO0Nusqm+57L5+ijJDtF2kUW3dCj&#10;meGbeW+GvrpujWYb5UNNNufjoxFnykoqarvK+aePt28uOQtR2EJosirnWxX49fT1q6vGTdQxVaQL&#10;5RlAbJg0LudVjG6SZUFWyohwRE5ZBEvyRkR8+lVWeNEA3ejseDQ6zxryhfMkVQjwzvsgHxD9SwCp&#10;LGup5iTXRtnYo3qlRQSlUNUu8GnXbVkqGe/LMqjIdM7BNHYnisBepjObXonJygtX1XJoQbykhWec&#10;jKgtih6g5iIKtvb1X1Cmlp4ClfFIksl6Ip0iYDEePdNmUQmnOi6QOriD6OH/wcoPmwfP6gKbwJkV&#10;BgPf/fi+e/y1+/mNjZM8jQsTZC0c8mL7ltqUOvgDnIl1W3qTfsGHIQ5xtwdxVRuZhPNifHJxiohE&#10;aHx5enF5llCyp8vOh/hOkWHJyLnH7DpJxeYuxD51n5JqWbqttYZfTLRlTc7PT85G3YVDBODaokai&#10;0LearNgu26H/JRVb0PLU70Vw8rZG8TsR4oPwWAT0i6cS73GUmlCEBouzivzXf/lTPuaDKGcNFivn&#10;4ctaeMWZfm8xOUDGveH3xnJv2LW5IewqpoFuOhMXfNR7s/RkPuMFzVIVhISVqJXzuDdvYr/eeIFS&#10;zWZdEnbNiXhnF04m6F6+2TpSWXfKJll6LQa1sG3dbIaXkdb5z+8u6+nfYPo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Awh5dgAAAAJAQAADwAAAAAAAAABACAAAAAiAAAAZHJzL2Rvd25yZXYueG1s&#10;UEsBAhQAFAAAAAgAh07iQExKl7oxAgAAVQQAAA4AAAAAAAAAAQAgAAAAJwEAAGRycy9lMm9Eb2Mu&#10;eG1sUEsFBgAAAAAGAAYAWQEAAMoFAAAAAA==&#10;">
              <v:fill on="f" focussize="0,0"/>
              <v:stroke on="f" weight="0.5pt"/>
              <v:imagedata o:title=""/>
              <o:lock v:ext="edit" aspectratio="f"/>
              <v:textbox inset="0mm,0mm,0mm,0mm">
                <w:txbxContent>
                  <w:p w14:paraId="543BF33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503E">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EC1A1">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EB7C32C1"/>
    <w:multiLevelType w:val="multilevel"/>
    <w:tmpl w:val="EB7C32C1"/>
    <w:lvl w:ilvl="0" w:tentative="0">
      <w:start w:val="1"/>
      <w:numFmt w:val="decimal"/>
      <w:lvlText w:val="%1."/>
      <w:lvlJc w:val="left"/>
      <w:pPr>
        <w:ind w:left="425" w:hanging="425"/>
      </w:pPr>
      <w:rPr>
        <w:rFonts w:hint="default" w:ascii="微软雅黑" w:hAnsi="微软雅黑" w:eastAsia="微软雅黑" w:cs="微软雅黑"/>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6">
    <w:nsid w:val="5B812BEF"/>
    <w:multiLevelType w:val="multilevel"/>
    <w:tmpl w:val="5B812BEF"/>
    <w:lvl w:ilvl="0" w:tentative="0">
      <w:start w:val="1"/>
      <w:numFmt w:val="bullet"/>
      <w:pStyle w:val="61"/>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num w:numId="1">
    <w:abstractNumId w:val="2"/>
  </w:num>
  <w:num w:numId="2">
    <w:abstractNumId w:val="6"/>
  </w:num>
  <w:num w:numId="3">
    <w:abstractNumId w:val="4"/>
  </w:num>
  <w:num w:numId="4">
    <w:abstractNumId w:val="1"/>
  </w:num>
  <w:num w:numId="5">
    <w:abstractNumId w:val="3"/>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21456B"/>
    <w:rsid w:val="019705A5"/>
    <w:rsid w:val="02BA5682"/>
    <w:rsid w:val="02CB7F49"/>
    <w:rsid w:val="030A1074"/>
    <w:rsid w:val="030B1BFC"/>
    <w:rsid w:val="035C523B"/>
    <w:rsid w:val="03643579"/>
    <w:rsid w:val="039F085D"/>
    <w:rsid w:val="04133956"/>
    <w:rsid w:val="045F1F7F"/>
    <w:rsid w:val="04F2747E"/>
    <w:rsid w:val="062448BC"/>
    <w:rsid w:val="062449FC"/>
    <w:rsid w:val="07245E7A"/>
    <w:rsid w:val="080C0FCE"/>
    <w:rsid w:val="085444F7"/>
    <w:rsid w:val="0878022B"/>
    <w:rsid w:val="08A15283"/>
    <w:rsid w:val="0A4800D1"/>
    <w:rsid w:val="0ACD30F7"/>
    <w:rsid w:val="0B697485"/>
    <w:rsid w:val="0C65019C"/>
    <w:rsid w:val="0D9E6986"/>
    <w:rsid w:val="0DAD02D3"/>
    <w:rsid w:val="0DC976BC"/>
    <w:rsid w:val="0E9D4EE3"/>
    <w:rsid w:val="0F225395"/>
    <w:rsid w:val="0F6A208A"/>
    <w:rsid w:val="0FFD31CC"/>
    <w:rsid w:val="0FFE1E83"/>
    <w:rsid w:val="10066A65"/>
    <w:rsid w:val="10286214"/>
    <w:rsid w:val="107E075E"/>
    <w:rsid w:val="10952DF6"/>
    <w:rsid w:val="116003F7"/>
    <w:rsid w:val="116D7726"/>
    <w:rsid w:val="11D72A8D"/>
    <w:rsid w:val="11F07EF4"/>
    <w:rsid w:val="120D6845"/>
    <w:rsid w:val="125E0EE8"/>
    <w:rsid w:val="126E269F"/>
    <w:rsid w:val="12FB03D7"/>
    <w:rsid w:val="133040B2"/>
    <w:rsid w:val="134645CE"/>
    <w:rsid w:val="138E130F"/>
    <w:rsid w:val="138E5E4D"/>
    <w:rsid w:val="14D8419E"/>
    <w:rsid w:val="14F416DE"/>
    <w:rsid w:val="15A23FDA"/>
    <w:rsid w:val="15A46B04"/>
    <w:rsid w:val="15FD6B34"/>
    <w:rsid w:val="16CC5916"/>
    <w:rsid w:val="16DF591A"/>
    <w:rsid w:val="16E157FE"/>
    <w:rsid w:val="16EF30D8"/>
    <w:rsid w:val="172E1EC1"/>
    <w:rsid w:val="175A7638"/>
    <w:rsid w:val="1836136A"/>
    <w:rsid w:val="187F1162"/>
    <w:rsid w:val="197113F3"/>
    <w:rsid w:val="1A627D5C"/>
    <w:rsid w:val="1B047FAD"/>
    <w:rsid w:val="1B125754"/>
    <w:rsid w:val="1BEA0FE8"/>
    <w:rsid w:val="1C46724D"/>
    <w:rsid w:val="1C6B037B"/>
    <w:rsid w:val="1C9D741B"/>
    <w:rsid w:val="1D1B4B41"/>
    <w:rsid w:val="1E2E78B2"/>
    <w:rsid w:val="1E5E181A"/>
    <w:rsid w:val="1EDA2B4A"/>
    <w:rsid w:val="1EE05365"/>
    <w:rsid w:val="1FBB0D26"/>
    <w:rsid w:val="20A0049E"/>
    <w:rsid w:val="20B147CB"/>
    <w:rsid w:val="2112792C"/>
    <w:rsid w:val="218C7365"/>
    <w:rsid w:val="21BC3427"/>
    <w:rsid w:val="21E4370A"/>
    <w:rsid w:val="227635D6"/>
    <w:rsid w:val="22DD3655"/>
    <w:rsid w:val="22E73BCC"/>
    <w:rsid w:val="23396F85"/>
    <w:rsid w:val="2393640A"/>
    <w:rsid w:val="23D472E5"/>
    <w:rsid w:val="24737443"/>
    <w:rsid w:val="2485631A"/>
    <w:rsid w:val="24E370FD"/>
    <w:rsid w:val="25243F0A"/>
    <w:rsid w:val="254924A5"/>
    <w:rsid w:val="268D2393"/>
    <w:rsid w:val="26AD6BA2"/>
    <w:rsid w:val="271D2C97"/>
    <w:rsid w:val="27233601"/>
    <w:rsid w:val="27A163A1"/>
    <w:rsid w:val="27CF10B1"/>
    <w:rsid w:val="286640ED"/>
    <w:rsid w:val="28C36E49"/>
    <w:rsid w:val="28FF42B3"/>
    <w:rsid w:val="293140D5"/>
    <w:rsid w:val="29CF0D5E"/>
    <w:rsid w:val="2AB04BBC"/>
    <w:rsid w:val="2AE1492F"/>
    <w:rsid w:val="2B4E6910"/>
    <w:rsid w:val="2C1F4808"/>
    <w:rsid w:val="2CAB7CC5"/>
    <w:rsid w:val="2F2B0C86"/>
    <w:rsid w:val="2F6767FD"/>
    <w:rsid w:val="2FC503D3"/>
    <w:rsid w:val="30B51D51"/>
    <w:rsid w:val="30C1287A"/>
    <w:rsid w:val="31EE517C"/>
    <w:rsid w:val="32537082"/>
    <w:rsid w:val="329B4993"/>
    <w:rsid w:val="32A777DC"/>
    <w:rsid w:val="33A23374"/>
    <w:rsid w:val="33B07787"/>
    <w:rsid w:val="340C0A8D"/>
    <w:rsid w:val="343949EB"/>
    <w:rsid w:val="34517E36"/>
    <w:rsid w:val="351C7EDB"/>
    <w:rsid w:val="35795DD6"/>
    <w:rsid w:val="35E36F0C"/>
    <w:rsid w:val="36B129D7"/>
    <w:rsid w:val="37781747"/>
    <w:rsid w:val="378C15EB"/>
    <w:rsid w:val="37D030C6"/>
    <w:rsid w:val="381607A2"/>
    <w:rsid w:val="385555E4"/>
    <w:rsid w:val="387A7805"/>
    <w:rsid w:val="38804D57"/>
    <w:rsid w:val="39C8658D"/>
    <w:rsid w:val="3A0504C9"/>
    <w:rsid w:val="3A244530"/>
    <w:rsid w:val="3A670D93"/>
    <w:rsid w:val="3A8C29FB"/>
    <w:rsid w:val="3ADC3D9A"/>
    <w:rsid w:val="3B361E49"/>
    <w:rsid w:val="3B471B5C"/>
    <w:rsid w:val="3C011D0B"/>
    <w:rsid w:val="3C573483"/>
    <w:rsid w:val="3C8D3911"/>
    <w:rsid w:val="3CFF417E"/>
    <w:rsid w:val="3E4660FB"/>
    <w:rsid w:val="3ED529B9"/>
    <w:rsid w:val="3F2D78C6"/>
    <w:rsid w:val="3FAE2946"/>
    <w:rsid w:val="406C47B6"/>
    <w:rsid w:val="40AC684C"/>
    <w:rsid w:val="40EB11DB"/>
    <w:rsid w:val="41146FE8"/>
    <w:rsid w:val="414A7D39"/>
    <w:rsid w:val="415617C0"/>
    <w:rsid w:val="41D23E46"/>
    <w:rsid w:val="42323D75"/>
    <w:rsid w:val="42A11566"/>
    <w:rsid w:val="42AB2BD6"/>
    <w:rsid w:val="43C2164A"/>
    <w:rsid w:val="43E31A09"/>
    <w:rsid w:val="44432484"/>
    <w:rsid w:val="444E69CA"/>
    <w:rsid w:val="44646F08"/>
    <w:rsid w:val="447A0C5C"/>
    <w:rsid w:val="448636F5"/>
    <w:rsid w:val="44A44E84"/>
    <w:rsid w:val="44D12FF3"/>
    <w:rsid w:val="451832ED"/>
    <w:rsid w:val="45723C79"/>
    <w:rsid w:val="4699195A"/>
    <w:rsid w:val="46DE7698"/>
    <w:rsid w:val="4856518C"/>
    <w:rsid w:val="48AC3B9E"/>
    <w:rsid w:val="48D14A7C"/>
    <w:rsid w:val="495A2347"/>
    <w:rsid w:val="496C2F44"/>
    <w:rsid w:val="49C10D2B"/>
    <w:rsid w:val="4A6B7770"/>
    <w:rsid w:val="4ACE6BD0"/>
    <w:rsid w:val="4AE41175"/>
    <w:rsid w:val="4BAD2017"/>
    <w:rsid w:val="4C4F39D5"/>
    <w:rsid w:val="4C7D29CB"/>
    <w:rsid w:val="4CA4180F"/>
    <w:rsid w:val="4CE13577"/>
    <w:rsid w:val="4D1F7D6E"/>
    <w:rsid w:val="4E217FEA"/>
    <w:rsid w:val="4E76403D"/>
    <w:rsid w:val="4EA55F05"/>
    <w:rsid w:val="4EFB2539"/>
    <w:rsid w:val="4F1700B8"/>
    <w:rsid w:val="4FC374CC"/>
    <w:rsid w:val="5081012C"/>
    <w:rsid w:val="51646B6C"/>
    <w:rsid w:val="51B07017"/>
    <w:rsid w:val="51F1653C"/>
    <w:rsid w:val="5226439F"/>
    <w:rsid w:val="528147CF"/>
    <w:rsid w:val="52CF2286"/>
    <w:rsid w:val="52DD1463"/>
    <w:rsid w:val="538057B3"/>
    <w:rsid w:val="542D76E9"/>
    <w:rsid w:val="5459613F"/>
    <w:rsid w:val="548D4512"/>
    <w:rsid w:val="54E67898"/>
    <w:rsid w:val="552863E9"/>
    <w:rsid w:val="553524C8"/>
    <w:rsid w:val="554A49C9"/>
    <w:rsid w:val="56D35F07"/>
    <w:rsid w:val="570B25AE"/>
    <w:rsid w:val="57117FB5"/>
    <w:rsid w:val="57952A31"/>
    <w:rsid w:val="57974C8E"/>
    <w:rsid w:val="57A2220A"/>
    <w:rsid w:val="58162B65"/>
    <w:rsid w:val="587D548B"/>
    <w:rsid w:val="58E35061"/>
    <w:rsid w:val="58FC26D7"/>
    <w:rsid w:val="59D525E5"/>
    <w:rsid w:val="59F259C1"/>
    <w:rsid w:val="5A33044A"/>
    <w:rsid w:val="5A684C17"/>
    <w:rsid w:val="5ACC12DE"/>
    <w:rsid w:val="5B356BDD"/>
    <w:rsid w:val="5B7200D7"/>
    <w:rsid w:val="5B976FC1"/>
    <w:rsid w:val="5C5C54BA"/>
    <w:rsid w:val="5D6D5411"/>
    <w:rsid w:val="5DD46E27"/>
    <w:rsid w:val="5DF53F95"/>
    <w:rsid w:val="5E0448E8"/>
    <w:rsid w:val="5E3877B6"/>
    <w:rsid w:val="5E59788A"/>
    <w:rsid w:val="5E5D50D2"/>
    <w:rsid w:val="5E8A398A"/>
    <w:rsid w:val="5EAF2DAE"/>
    <w:rsid w:val="5EF0750C"/>
    <w:rsid w:val="5F6E6E08"/>
    <w:rsid w:val="5FB75905"/>
    <w:rsid w:val="60095BA6"/>
    <w:rsid w:val="60654544"/>
    <w:rsid w:val="60AC26EF"/>
    <w:rsid w:val="627E55B4"/>
    <w:rsid w:val="62DE1DC5"/>
    <w:rsid w:val="63191049"/>
    <w:rsid w:val="635147E4"/>
    <w:rsid w:val="64516B62"/>
    <w:rsid w:val="654F43C0"/>
    <w:rsid w:val="65B53A3E"/>
    <w:rsid w:val="65C178C7"/>
    <w:rsid w:val="65E707B8"/>
    <w:rsid w:val="65ED6CD8"/>
    <w:rsid w:val="66010F6E"/>
    <w:rsid w:val="6822110B"/>
    <w:rsid w:val="69182419"/>
    <w:rsid w:val="692963D7"/>
    <w:rsid w:val="693D1C6D"/>
    <w:rsid w:val="696B2299"/>
    <w:rsid w:val="698044F4"/>
    <w:rsid w:val="69DB74AC"/>
    <w:rsid w:val="69FE5357"/>
    <w:rsid w:val="6A211646"/>
    <w:rsid w:val="6A3749C6"/>
    <w:rsid w:val="6ABF0A3E"/>
    <w:rsid w:val="6BD8530C"/>
    <w:rsid w:val="6BE61A0D"/>
    <w:rsid w:val="6BFA5082"/>
    <w:rsid w:val="6C691A23"/>
    <w:rsid w:val="6C7D7C32"/>
    <w:rsid w:val="6C896AB8"/>
    <w:rsid w:val="6C946ABB"/>
    <w:rsid w:val="6CA43E69"/>
    <w:rsid w:val="6D632EB9"/>
    <w:rsid w:val="6DF75DBB"/>
    <w:rsid w:val="6E75472D"/>
    <w:rsid w:val="6EE474CD"/>
    <w:rsid w:val="6F3040D9"/>
    <w:rsid w:val="6F415570"/>
    <w:rsid w:val="6F4C2AA5"/>
    <w:rsid w:val="6FAE3550"/>
    <w:rsid w:val="6FDC735D"/>
    <w:rsid w:val="702C664F"/>
    <w:rsid w:val="70CF12BD"/>
    <w:rsid w:val="7155207D"/>
    <w:rsid w:val="71AF459D"/>
    <w:rsid w:val="71BA61B5"/>
    <w:rsid w:val="71DF3A36"/>
    <w:rsid w:val="71F44ACA"/>
    <w:rsid w:val="724D20AF"/>
    <w:rsid w:val="72653CB7"/>
    <w:rsid w:val="73403FAF"/>
    <w:rsid w:val="73BB2205"/>
    <w:rsid w:val="73F9408B"/>
    <w:rsid w:val="74082F2F"/>
    <w:rsid w:val="74692B38"/>
    <w:rsid w:val="74975E44"/>
    <w:rsid w:val="74C23FF5"/>
    <w:rsid w:val="751613C9"/>
    <w:rsid w:val="7555686C"/>
    <w:rsid w:val="760426CC"/>
    <w:rsid w:val="76051E1C"/>
    <w:rsid w:val="765B0A6B"/>
    <w:rsid w:val="76CD26D9"/>
    <w:rsid w:val="782878D8"/>
    <w:rsid w:val="78697EA9"/>
    <w:rsid w:val="78BA0E7B"/>
    <w:rsid w:val="7A346B64"/>
    <w:rsid w:val="7A360C00"/>
    <w:rsid w:val="7AC47FDA"/>
    <w:rsid w:val="7AFE6E3A"/>
    <w:rsid w:val="7B3E7DA0"/>
    <w:rsid w:val="7B424F78"/>
    <w:rsid w:val="7BA16014"/>
    <w:rsid w:val="7C735456"/>
    <w:rsid w:val="7D1A4255"/>
    <w:rsid w:val="7D6E5945"/>
    <w:rsid w:val="7D7A1ADC"/>
    <w:rsid w:val="7DC37B21"/>
    <w:rsid w:val="7DCA74A7"/>
    <w:rsid w:val="7DCF1E76"/>
    <w:rsid w:val="7EE750D0"/>
    <w:rsid w:val="7F0B6DD5"/>
    <w:rsid w:val="7F23774A"/>
    <w:rsid w:val="7F497810"/>
    <w:rsid w:val="7F677255"/>
    <w:rsid w:val="7F6F1EFC"/>
    <w:rsid w:val="7FC40652"/>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60">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61">
    <w:name w:val="标题1-1"/>
    <w:basedOn w:val="2"/>
    <w:next w:val="1"/>
    <w:qFormat/>
    <w:uiPriority w:val="1"/>
    <w:pPr>
      <w:numPr>
        <w:ilvl w:val="0"/>
        <w:numId w:val="2"/>
      </w:numPr>
    </w:pPr>
    <w:rPr>
      <w:rFonts w:cs="Times New Roman"/>
      <w:color w:val="45A3A7"/>
    </w:rPr>
  </w:style>
  <w:style w:type="paragraph" w:customStyle="1" w:styleId="62">
    <w:name w:val="Other|1"/>
    <w:basedOn w:val="1"/>
    <w:qFormat/>
    <w:uiPriority w:val="0"/>
    <w:pPr>
      <w:widowControl/>
      <w:spacing w:line="223" w:lineRule="auto"/>
    </w:pPr>
    <w:rPr>
      <w:rFonts w:ascii="Calibri" w:hAnsi="Calibri" w:cs="Times New Roman"/>
      <w:kern w:val="2"/>
      <w:sz w:val="30"/>
      <w:szCs w:val="30"/>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6</Pages>
  <Words>2825</Words>
  <Characters>4131</Characters>
  <Lines>524</Lines>
  <Paragraphs>147</Paragraphs>
  <TotalTime>0</TotalTime>
  <ScaleCrop>false</ScaleCrop>
  <LinksUpToDate>false</LinksUpToDate>
  <CharactersWithSpaces>4318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2026-01-23T03:01:54Z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