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66792C">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32437A4F">
      <w:pPr>
        <w:rPr>
          <w:rFonts w:ascii="Times New Roman" w:hAnsi="Times New Roman" w:eastAsia="微软雅黑" w:cs="Times New Roman"/>
        </w:rPr>
      </w:pPr>
    </w:p>
    <w:p w14:paraId="61B7E850">
      <w:pPr>
        <w:rPr>
          <w:rFonts w:ascii="Times New Roman" w:hAnsi="Times New Roman" w:eastAsia="微软雅黑" w:cs="Times New Roman"/>
        </w:rPr>
      </w:pPr>
    </w:p>
    <w:p w14:paraId="67582711">
      <w:pPr>
        <w:rPr>
          <w:rFonts w:ascii="Times New Roman" w:hAnsi="Times New Roman" w:eastAsia="微软雅黑" w:cs="Times New Roman"/>
        </w:rPr>
      </w:pPr>
    </w:p>
    <w:p w14:paraId="3BDFA77E">
      <w:pPr>
        <w:rPr>
          <w:rFonts w:ascii="Times New Roman" w:hAnsi="Times New Roman" w:eastAsia="微软雅黑" w:cs="Times New Roman"/>
        </w:rPr>
      </w:pPr>
    </w:p>
    <w:p w14:paraId="0E297155">
      <w:pPr>
        <w:rPr>
          <w:rFonts w:ascii="Times New Roman" w:hAnsi="Times New Roman" w:eastAsia="微软雅黑" w:cs="Times New Roman"/>
        </w:rPr>
      </w:pPr>
    </w:p>
    <w:p w14:paraId="66ED7436">
      <w:pPr>
        <w:rPr>
          <w:rFonts w:ascii="Times New Roman" w:hAnsi="Times New Roman" w:eastAsia="微软雅黑" w:cs="Times New Roman"/>
        </w:rPr>
      </w:pPr>
    </w:p>
    <w:p w14:paraId="3E902D82">
      <w:pPr>
        <w:rPr>
          <w:rFonts w:ascii="Times New Roman" w:hAnsi="Times New Roman" w:eastAsia="微软雅黑" w:cs="Times New Roman"/>
        </w:rPr>
      </w:pPr>
    </w:p>
    <w:p w14:paraId="3C2EB1AA">
      <w:pPr>
        <w:rPr>
          <w:rFonts w:ascii="Times New Roman" w:hAnsi="Times New Roman" w:eastAsia="微软雅黑" w:cs="Times New Roman"/>
        </w:rPr>
      </w:pPr>
    </w:p>
    <w:p w14:paraId="66628DA3">
      <w:pPr>
        <w:rPr>
          <w:rFonts w:ascii="Times New Roman" w:hAnsi="Times New Roman" w:eastAsia="微软雅黑" w:cs="Times New Roman"/>
        </w:rPr>
      </w:pPr>
    </w:p>
    <w:p w14:paraId="6DE09FF9">
      <w:pPr>
        <w:rPr>
          <w:rFonts w:ascii="Times New Roman" w:hAnsi="Times New Roman" w:eastAsia="微软雅黑" w:cs="Times New Roman"/>
        </w:rPr>
      </w:pPr>
    </w:p>
    <w:p w14:paraId="5D65F3AA">
      <w:pPr>
        <w:jc w:val="center"/>
        <w:rPr>
          <w:rFonts w:ascii="Times New Roman" w:hAnsi="Times New Roman" w:eastAsia="微软雅黑" w:cs="Times New Roman"/>
        </w:rPr>
      </w:pPr>
    </w:p>
    <w:p w14:paraId="2B41A34A">
      <w:pPr>
        <w:rPr>
          <w:rFonts w:ascii="Times New Roman" w:hAnsi="Times New Roman" w:eastAsia="微软雅黑" w:cs="Times New Roman"/>
        </w:rPr>
      </w:pPr>
    </w:p>
    <w:p w14:paraId="10222241">
      <w:pPr>
        <w:rPr>
          <w:rFonts w:ascii="Times New Roman" w:hAnsi="Times New Roman" w:eastAsia="微软雅黑" w:cs="Times New Roman"/>
        </w:rPr>
      </w:pPr>
    </w:p>
    <w:p w14:paraId="0888DF53">
      <w:pPr>
        <w:rPr>
          <w:rFonts w:ascii="Times New Roman" w:hAnsi="Times New Roman" w:eastAsia="微软雅黑" w:cs="Times New Roman"/>
        </w:rPr>
      </w:pPr>
    </w:p>
    <w:p w14:paraId="05EC201D">
      <w:pPr>
        <w:rPr>
          <w:rFonts w:ascii="Times New Roman" w:hAnsi="Times New Roman" w:eastAsia="微软雅黑" w:cs="Times New Roman"/>
        </w:rPr>
      </w:pPr>
    </w:p>
    <w:p w14:paraId="4E98AB69">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51F4C1CC">
      <w:pPr>
        <w:jc w:val="center"/>
        <w:rPr>
          <w:rFonts w:ascii="Times New Roman" w:hAnsi="Times New Roman" w:eastAsia="微软雅黑" w:cs="Times New Roman"/>
          <w:b/>
          <w:sz w:val="48"/>
          <w:szCs w:val="48"/>
        </w:rPr>
      </w:pPr>
    </w:p>
    <w:p w14:paraId="35BB831B">
      <w:pPr>
        <w:jc w:val="center"/>
        <w:rPr>
          <w:rFonts w:ascii="Times New Roman" w:hAnsi="Times New Roman" w:eastAsia="微软雅黑" w:cs="Times New Roman"/>
          <w:b/>
          <w:sz w:val="48"/>
          <w:szCs w:val="48"/>
        </w:rPr>
      </w:pPr>
    </w:p>
    <w:p w14:paraId="75A16E09">
      <w:pPr>
        <w:jc w:val="center"/>
        <w:rPr>
          <w:rFonts w:ascii="Times New Roman" w:hAnsi="Times New Roman" w:eastAsia="微软雅黑" w:cs="Times New Roman"/>
          <w:b/>
          <w:sz w:val="48"/>
          <w:szCs w:val="48"/>
        </w:rPr>
      </w:pPr>
    </w:p>
    <w:p w14:paraId="4D073732">
      <w:pPr>
        <w:jc w:val="center"/>
        <w:rPr>
          <w:rFonts w:ascii="Times New Roman" w:hAnsi="Times New Roman" w:eastAsia="微软雅黑" w:cs="Times New Roman"/>
          <w:b/>
          <w:sz w:val="48"/>
          <w:szCs w:val="48"/>
        </w:rPr>
      </w:pPr>
    </w:p>
    <w:p w14:paraId="28DD509B">
      <w:pPr>
        <w:jc w:val="center"/>
        <w:rPr>
          <w:rFonts w:ascii="Times New Roman" w:hAnsi="Times New Roman" w:eastAsia="微软雅黑" w:cs="Times New Roman"/>
          <w:b/>
          <w:color w:val="1F497D"/>
          <w:sz w:val="36"/>
          <w:szCs w:val="36"/>
        </w:rPr>
      </w:pPr>
    </w:p>
    <w:p w14:paraId="4D6A232C">
      <w:pPr>
        <w:jc w:val="center"/>
        <w:rPr>
          <w:rFonts w:ascii="Times New Roman" w:hAnsi="Times New Roman" w:eastAsia="微软雅黑" w:cs="Times New Roman"/>
          <w:b/>
          <w:bCs/>
          <w:color w:val="1F497D"/>
          <w:sz w:val="36"/>
          <w:szCs w:val="36"/>
        </w:rPr>
      </w:pPr>
    </w:p>
    <w:p w14:paraId="7BD43928">
      <w:pPr>
        <w:jc w:val="center"/>
        <w:rPr>
          <w:rFonts w:ascii="Times New Roman" w:hAnsi="Times New Roman" w:eastAsia="微软雅黑" w:cs="Times New Roman"/>
          <w:b/>
          <w:bCs/>
          <w:color w:val="1F497D"/>
          <w:sz w:val="36"/>
          <w:szCs w:val="36"/>
        </w:rPr>
      </w:pPr>
    </w:p>
    <w:p w14:paraId="17A19C22">
      <w:pPr>
        <w:jc w:val="center"/>
        <w:rPr>
          <w:rFonts w:ascii="Times New Roman" w:hAnsi="Times New Roman" w:eastAsia="微软雅黑" w:cs="Times New Roman"/>
          <w:b/>
          <w:bCs/>
          <w:color w:val="1F497D"/>
          <w:sz w:val="36"/>
          <w:szCs w:val="36"/>
        </w:rPr>
      </w:pPr>
    </w:p>
    <w:p w14:paraId="2DEF8DB5">
      <w:pPr>
        <w:jc w:val="center"/>
        <w:rPr>
          <w:rFonts w:ascii="Times New Roman" w:hAnsi="Times New Roman" w:eastAsia="微软雅黑" w:cs="Times New Roman"/>
          <w:b/>
          <w:bCs/>
          <w:color w:val="1F497D"/>
          <w:sz w:val="36"/>
          <w:szCs w:val="36"/>
        </w:rPr>
      </w:pPr>
    </w:p>
    <w:p w14:paraId="5A1C2BEC">
      <w:pPr>
        <w:jc w:val="center"/>
        <w:rPr>
          <w:rFonts w:ascii="Times New Roman" w:hAnsi="Times New Roman" w:eastAsia="微软雅黑" w:cs="Times New Roman"/>
          <w:b/>
          <w:bCs/>
          <w:color w:val="1F497D"/>
          <w:sz w:val="36"/>
          <w:szCs w:val="36"/>
        </w:rPr>
      </w:pPr>
    </w:p>
    <w:p w14:paraId="05CDEE68">
      <w:pPr>
        <w:jc w:val="center"/>
        <w:rPr>
          <w:rFonts w:ascii="Times New Roman" w:hAnsi="Times New Roman" w:eastAsia="微软雅黑" w:cs="Times New Roman"/>
          <w:b/>
          <w:bCs/>
          <w:color w:val="1F497D"/>
          <w:sz w:val="36"/>
          <w:szCs w:val="36"/>
        </w:rPr>
      </w:pPr>
    </w:p>
    <w:p w14:paraId="483FADF3">
      <w:pPr>
        <w:jc w:val="center"/>
        <w:rPr>
          <w:rFonts w:ascii="Times New Roman" w:hAnsi="Times New Roman" w:eastAsia="微软雅黑" w:cs="Times New Roman"/>
          <w:b/>
          <w:bCs/>
          <w:color w:val="1F497D"/>
          <w:sz w:val="36"/>
          <w:szCs w:val="36"/>
        </w:rPr>
      </w:pPr>
    </w:p>
    <w:p w14:paraId="4E011686">
      <w:pPr>
        <w:jc w:val="center"/>
        <w:rPr>
          <w:rFonts w:hint="default" w:ascii="Times New Roman" w:hAnsi="Times New Roman" w:eastAsia="黑体" w:cs="Times New Roman"/>
          <w:b/>
          <w:bCs/>
          <w:color w:val="1F497D"/>
          <w:sz w:val="36"/>
          <w:szCs w:val="36"/>
        </w:rPr>
      </w:pPr>
      <w:r>
        <w:rPr>
          <w:rFonts w:hint="default" w:ascii="Times New Roman" w:hAnsi="Times New Roman" w:eastAsia="黑体" w:cs="Times New Roman"/>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hint="default" w:ascii="Times New Roman" w:hAnsi="Times New Roman" w:eastAsia="黑体" w:cs="Times New Roman"/>
          <w:b/>
          <w:bCs/>
          <w:color w:val="1F497D"/>
          <w:sz w:val="36"/>
          <w:szCs w:val="36"/>
        </w:rPr>
        <w:t>重庆大学附属肿瘤医院 重庆市肿瘤医院 病理科</w:t>
      </w:r>
    </w:p>
    <w:p w14:paraId="1AC9E4F4">
      <w:pPr>
        <w:ind w:firstLine="1265" w:firstLineChars="350"/>
        <w:jc w:val="both"/>
        <w:rPr>
          <w:rFonts w:ascii="Times New Roman" w:hAnsi="Times New Roman" w:eastAsia="微软雅黑" w:cs="Times New Roman"/>
          <w:b/>
          <w:color w:val="1F497D"/>
          <w:sz w:val="36"/>
          <w:szCs w:val="36"/>
        </w:rPr>
      </w:pPr>
      <w:r>
        <w:rPr>
          <w:rFonts w:hint="default" w:ascii="Times New Roman" w:hAnsi="Times New Roman" w:eastAsia="黑体" w:cs="Times New Roman"/>
          <w:b/>
          <w:bCs/>
          <w:color w:val="1F497D"/>
          <w:sz w:val="36"/>
          <w:szCs w:val="36"/>
        </w:rPr>
        <w:t>肺癌13驱动基因检测报告</w:t>
      </w:r>
    </w:p>
    <w:p w14:paraId="4E61290D">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271ED5EF">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070AB59">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6A1DB7">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2F203">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B3E1F">
            <w:pPr>
              <w:widowControl/>
              <w:jc w:val="center"/>
              <w:textAlignment w:val="center"/>
              <w:rPr>
                <w:rFonts w:hint="default" w:ascii="Times New Roman" w:hAnsi="Times New Roman" w:cs="Times New Roman"/>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95B0DCB">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52CF931">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609B7A">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1A396686">
            <w:pPr>
              <w:widowControl/>
              <w:jc w:val="center"/>
              <w:textAlignment w:val="center"/>
              <w:rPr>
                <w:rFonts w:hint="default" w:ascii="Times New Roman" w:hAnsi="Times New Roman" w:cs="Times New Roman"/>
                <w:b/>
                <w:bCs/>
                <w:kern w:val="2"/>
              </w:rPr>
            </w:pPr>
          </w:p>
        </w:tc>
      </w:tr>
      <w:tr w14:paraId="2E61EFCA">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501EE97">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62AFC9C">
            <w:pPr>
              <w:widowControl/>
              <w:jc w:val="center"/>
              <w:textAlignment w:val="center"/>
              <w:rPr>
                <w:rFonts w:hint="default" w:ascii="Times New Roman" w:hAnsi="Times New Roman" w:cs="Times New Roman"/>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A29B9C7">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DC8B73E">
            <w:pPr>
              <w:jc w:val="center"/>
              <w:rPr>
                <w:rFonts w:hint="default" w:ascii="Times New Roman" w:hAnsi="Times New Roman" w:cs="Times New Roman"/>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82ACF52">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3D6031C4">
            <w:pPr>
              <w:widowControl/>
              <w:jc w:val="center"/>
              <w:textAlignment w:val="center"/>
              <w:rPr>
                <w:rFonts w:hint="default" w:ascii="Times New Roman" w:hAnsi="Times New Roman" w:cs="Times New Roman"/>
                <w:b/>
                <w:color w:val="000000"/>
                <w:sz w:val="21"/>
                <w:szCs w:val="21"/>
                <w:lang w:bidi="ar"/>
              </w:rPr>
            </w:pPr>
          </w:p>
        </w:tc>
      </w:tr>
      <w:tr w14:paraId="77B546ED">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E38EC13">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8C590FB">
            <w:pPr>
              <w:widowControl/>
              <w:jc w:val="center"/>
              <w:textAlignment w:val="center"/>
              <w:rPr>
                <w:rFonts w:hint="default" w:ascii="Times New Roman" w:hAnsi="Times New Roman" w:cs="Times New Roman"/>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E57E597">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D0FCE17">
            <w:pPr>
              <w:widowControl/>
              <w:jc w:val="center"/>
              <w:textAlignment w:val="center"/>
              <w:rPr>
                <w:rFonts w:hint="default" w:ascii="Times New Roman" w:hAnsi="Times New Roman" w:cs="Times New Roman"/>
                <w:b/>
                <w:bCs/>
              </w:rPr>
            </w:pPr>
            <w:r>
              <w:rPr>
                <w:rFonts w:hint="default"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620220">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74F8612F">
            <w:pPr>
              <w:widowControl/>
              <w:jc w:val="center"/>
              <w:textAlignment w:val="center"/>
              <w:rPr>
                <w:rFonts w:hint="default" w:ascii="Times New Roman" w:hAnsi="Times New Roman" w:cs="Times New Roman"/>
                <w:b/>
                <w:bCs/>
                <w:kern w:val="2"/>
              </w:rPr>
            </w:pPr>
            <w:r>
              <w:rPr>
                <w:rFonts w:hint="default" w:ascii="Times New Roman" w:hAnsi="Times New Roman" w:cs="Times New Roman"/>
                <w:b/>
                <w:bCs/>
                <w:kern w:val="2"/>
              </w:rPr>
              <w:t>{{ commission_date }}</w:t>
            </w:r>
          </w:p>
        </w:tc>
      </w:tr>
    </w:tbl>
    <w:p w14:paraId="006EDFDF">
      <w:pPr>
        <w:rPr>
          <w:rFonts w:hint="default" w:ascii="Times New Roman" w:hAnsi="Times New Roman" w:eastAsia="微软雅黑" w:cs="Times New Roman"/>
        </w:rPr>
      </w:pPr>
    </w:p>
    <w:p w14:paraId="70925229">
      <w:pPr>
        <w:rPr>
          <w:rFonts w:hint="default"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bookmarkStart w:id="17" w:name="_GoBack"/>
      <w:r>
        <w:rPr>
          <w:rFonts w:hint="default"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bookmarkEnd w:id="17"/>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6CFA423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669FC319">
            <w:pPr>
              <w:pStyle w:val="17"/>
              <w:rPr>
                <w:rFonts w:hint="default" w:ascii="Times New Roman" w:hAnsi="Times New Roman" w:cs="Times New Roman" w:eastAsiaTheme="minorEastAsia"/>
                <w:b/>
                <w:sz w:val="21"/>
                <w:szCs w:val="21"/>
              </w:rPr>
            </w:pPr>
            <w:bookmarkStart w:id="0" w:name="_Toc527112379"/>
            <w:bookmarkStart w:id="1" w:name="_Toc526855031"/>
            <w:r>
              <w:rPr>
                <w:rFonts w:hint="default" w:ascii="Times New Roman" w:hAnsi="Times New Roman" w:cs="Times New Roman" w:eastAsiaTheme="minorEastAsia"/>
                <w:b/>
                <w:sz w:val="21"/>
                <w:szCs w:val="21"/>
              </w:rPr>
              <w:t>检测方法</w:t>
            </w:r>
          </w:p>
        </w:tc>
        <w:tc>
          <w:tcPr>
            <w:tcW w:w="8549" w:type="dxa"/>
            <w:vAlign w:val="center"/>
          </w:tcPr>
          <w:p w14:paraId="1A0C8295">
            <w:pPr>
              <w:pStyle w:val="17"/>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脱氧核糖核酸(DNA)测序</w:t>
            </w:r>
          </w:p>
        </w:tc>
      </w:tr>
      <w:tr w14:paraId="6B7ADCF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57CAA7F2">
            <w:pPr>
              <w:pStyle w:val="17"/>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标本类型</w:t>
            </w:r>
          </w:p>
        </w:tc>
        <w:tc>
          <w:tcPr>
            <w:tcW w:w="8549" w:type="dxa"/>
            <w:vAlign w:val="center"/>
          </w:tcPr>
          <w:p w14:paraId="1499CDDA">
            <w:pPr>
              <w:pStyle w:val="17"/>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组织学样本</w:t>
            </w:r>
            <w:r>
              <w:rPr>
                <w:rFonts w:hint="eastAsia" w:ascii="Times New Roman" w:hAnsi="Times New Roman" w:cs="Times New Roman" w:eastAsiaTheme="minorEastAsia"/>
                <w:sz w:val="21"/>
                <w:szCs w:val="21"/>
                <w:lang w:eastAsia="zh-CN"/>
              </w:rPr>
              <w:t>，</w:t>
            </w:r>
            <w:r>
              <w:rPr>
                <w:rFonts w:hint="default" w:ascii="Times New Roman" w:hAnsi="Times New Roman" w:cs="Times New Roman" w:eastAsiaTheme="minorEastAsia"/>
                <w:sz w:val="21"/>
                <w:szCs w:val="21"/>
              </w:rPr>
              <w:t>肿瘤细胞比例&gt;20%</w:t>
            </w:r>
          </w:p>
        </w:tc>
      </w:tr>
      <w:tr w14:paraId="2502F03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242" w:type="dxa"/>
          </w:tcPr>
          <w:p w14:paraId="637CC9F9">
            <w:pPr>
              <w:pStyle w:val="17"/>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检测平台</w:t>
            </w:r>
          </w:p>
        </w:tc>
        <w:tc>
          <w:tcPr>
            <w:tcW w:w="8549" w:type="dxa"/>
            <w:vAlign w:val="center"/>
          </w:tcPr>
          <w:p w14:paraId="455D3D3C">
            <w:pPr>
              <w:pStyle w:val="17"/>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Life ion torrent DA8600</w:t>
            </w:r>
          </w:p>
        </w:tc>
      </w:tr>
      <w:tr w14:paraId="1479B70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trPr>
        <w:tc>
          <w:tcPr>
            <w:tcW w:w="1242" w:type="dxa"/>
          </w:tcPr>
          <w:p w14:paraId="7CC6BB35">
            <w:pPr>
              <w:pStyle w:val="17"/>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检测内容</w:t>
            </w:r>
          </w:p>
        </w:tc>
        <w:tc>
          <w:tcPr>
            <w:tcW w:w="8549" w:type="dxa"/>
          </w:tcPr>
          <w:p w14:paraId="6F08CDCC">
            <w:pPr>
              <w:pStyle w:val="17"/>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基于二代测序平台检测肺癌个体化用药相关的6个基因以及附加的</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5</w:t>
            </w:r>
            <w:r>
              <w:rPr>
                <w:rFonts w:hint="default" w:ascii="Times New Roman" w:hAnsi="Times New Roman" w:cs="Times New Roman" w:eastAsiaTheme="minorEastAsia"/>
                <w:color w:val="000000" w:themeColor="text1"/>
                <w:sz w:val="21"/>
                <w:szCs w:val="21"/>
                <w14:textFill>
                  <w14:solidFill>
                    <w14:schemeClr w14:val="tx1"/>
                  </w14:solidFill>
                </w14:textFill>
              </w:rPr>
              <w:t>4个</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癌症</w:t>
            </w:r>
            <w:r>
              <w:rPr>
                <w:rFonts w:hint="default" w:ascii="Times New Roman" w:hAnsi="Times New Roman" w:cs="Times New Roman" w:eastAsiaTheme="minorEastAsia"/>
                <w:color w:val="000000" w:themeColor="text1"/>
                <w:sz w:val="21"/>
                <w:szCs w:val="21"/>
                <w14:textFill>
                  <w14:solidFill>
                    <w14:schemeClr w14:val="tx1"/>
                  </w14:solidFill>
                </w14:textFill>
              </w:rPr>
              <w:t>相关基因的特定变异。</w:t>
            </w:r>
          </w:p>
          <w:p w14:paraId="3FCBFA87">
            <w:pPr>
              <w:pStyle w:val="17"/>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可检测ALK, EGFR, KRAS, BRAF, ERBB2/3/4, RET, MET, ROS1, NRAS, HRAS, PIK3CA, PTEN, TP53, UGT1A1, IDH1/2, JAK1/2/3, FGFR2/3, PDGFRA等基因的外显子</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区域</w:t>
            </w:r>
            <w:r>
              <w:rPr>
                <w:rFonts w:hint="default" w:ascii="Times New Roman" w:hAnsi="Times New Roman" w:cs="Times New Roman" w:eastAsiaTheme="minorEastAsia"/>
                <w:color w:val="000000" w:themeColor="text1"/>
                <w:sz w:val="21"/>
                <w:szCs w:val="21"/>
                <w14:textFill>
                  <w14:solidFill>
                    <w14:schemeClr w14:val="tx1"/>
                  </w14:solidFill>
                </w14:textFill>
              </w:rPr>
              <w:t>或热点，提供基因的点突变（SNV）和插入缺失（INDEL）变异检出情况。</w:t>
            </w:r>
          </w:p>
          <w:p w14:paraId="0F56EAC8">
            <w:pPr>
              <w:pStyle w:val="17"/>
              <w:spacing w:line="260" w:lineRule="exact"/>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同时，还能检测ALK</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 xml:space="preserve">, </w:t>
            </w:r>
            <w:r>
              <w:rPr>
                <w:rFonts w:hint="default" w:ascii="Times New Roman" w:hAnsi="Times New Roman" w:cs="Times New Roman" w:eastAsiaTheme="minorEastAsia"/>
                <w:color w:val="000000" w:themeColor="text1"/>
                <w:sz w:val="21"/>
                <w:szCs w:val="21"/>
                <w14:textFill>
                  <w14:solidFill>
                    <w14:schemeClr w14:val="tx1"/>
                  </w14:solidFill>
                </w14:textFill>
              </w:rPr>
              <w:t>MET</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 EGFR, ERBB2, MYC</w:t>
            </w:r>
            <w:r>
              <w:rPr>
                <w:rFonts w:hint="default" w:ascii="Times New Roman" w:hAnsi="Times New Roman" w:cs="Times New Roman" w:eastAsiaTheme="minorEastAsia"/>
                <w:color w:val="000000" w:themeColor="text1"/>
                <w:sz w:val="21"/>
                <w:szCs w:val="21"/>
                <w14:textFill>
                  <w14:solidFill>
                    <w14:schemeClr w14:val="tx1"/>
                  </w14:solidFill>
                </w14:textFill>
              </w:rPr>
              <w:t>等基因的拷贝数变异（CNV）</w:t>
            </w:r>
            <w:r>
              <w:rPr>
                <w:rFonts w:hint="eastAsia" w:ascii="Times New Roman" w:hAnsi="Times New Roman" w:cs="Times New Roman" w:eastAsiaTheme="minorEastAsia"/>
                <w:color w:val="000000" w:themeColor="text1"/>
                <w:sz w:val="21"/>
                <w:szCs w:val="21"/>
                <w:lang w:eastAsia="zh-CN"/>
                <w14:textFill>
                  <w14:solidFill>
                    <w14:schemeClr w14:val="tx1"/>
                  </w14:solidFill>
                </w14:textFill>
              </w:rPr>
              <w:t>，</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以及</w:t>
            </w:r>
            <w:r>
              <w:rPr>
                <w:rFonts w:hint="default" w:ascii="Times New Roman" w:hAnsi="Times New Roman" w:cs="Times New Roman" w:eastAsiaTheme="minorEastAsia"/>
                <w:color w:val="000000" w:themeColor="text1"/>
                <w:sz w:val="21"/>
                <w:szCs w:val="21"/>
                <w14:textFill>
                  <w14:solidFill>
                    <w14:schemeClr w14:val="tx1"/>
                  </w14:solidFill>
                </w14:textFill>
              </w:rPr>
              <w:t>ALK, ROS1, RET, NTRK1/2/3, MET</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等</w:t>
            </w:r>
            <w:r>
              <w:rPr>
                <w:rFonts w:hint="default" w:ascii="Times New Roman" w:hAnsi="Times New Roman" w:cs="Times New Roman" w:eastAsiaTheme="minorEastAsia"/>
                <w:color w:val="000000" w:themeColor="text1"/>
                <w:sz w:val="21"/>
                <w:szCs w:val="21"/>
                <w14:textFill>
                  <w14:solidFill>
                    <w14:schemeClr w14:val="tx1"/>
                  </w14:solidFill>
                </w14:textFill>
              </w:rPr>
              <w:t>基因的融合</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变异</w:t>
            </w:r>
            <w:r>
              <w:rPr>
                <w:rFonts w:hint="default" w:ascii="Times New Roman" w:hAnsi="Times New Roman" w:cs="Times New Roman" w:eastAsiaTheme="minorEastAsia"/>
                <w:color w:val="000000" w:themeColor="text1"/>
                <w:sz w:val="21"/>
                <w:szCs w:val="21"/>
                <w14:textFill>
                  <w14:solidFill>
                    <w14:schemeClr w14:val="tx1"/>
                  </w14:solidFill>
                </w14:textFill>
              </w:rPr>
              <w:t>（</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Fusion</w:t>
            </w:r>
            <w:r>
              <w:rPr>
                <w:rFonts w:hint="default" w:ascii="Times New Roman" w:hAnsi="Times New Roman" w:cs="Times New Roman" w:eastAsiaTheme="minorEastAsia"/>
                <w:color w:val="000000" w:themeColor="text1"/>
                <w:sz w:val="21"/>
                <w:szCs w:val="21"/>
                <w14:textFill>
                  <w14:solidFill>
                    <w14:schemeClr w14:val="tx1"/>
                  </w14:solidFill>
                </w14:textFill>
              </w:rPr>
              <w:t>）。</w:t>
            </w:r>
          </w:p>
        </w:tc>
      </w:tr>
      <w:tr w14:paraId="73177A6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1242" w:type="dxa"/>
          </w:tcPr>
          <w:p w14:paraId="1C7030A3">
            <w:pPr>
              <w:pStyle w:val="17"/>
              <w:rPr>
                <w:rFonts w:hint="default" w:ascii="Times New Roman" w:hAnsi="Times New Roman" w:cs="Times New Roman" w:eastAsiaTheme="minorEastAsia"/>
                <w:b/>
                <w:sz w:val="21"/>
                <w:szCs w:val="21"/>
              </w:rPr>
            </w:pPr>
            <w:r>
              <w:rPr>
                <w:rFonts w:hint="default" w:ascii="Times New Roman" w:hAnsi="Times New Roman" w:cs="Times New Roman"/>
                <w:b/>
                <w:color w:val="000000"/>
                <w:sz w:val="21"/>
                <w:szCs w:val="21"/>
                <w:lang w:bidi="ar"/>
              </w:rPr>
              <w:t>病理诊断</w:t>
            </w:r>
          </w:p>
        </w:tc>
        <w:tc>
          <w:tcPr>
            <w:tcW w:w="8549" w:type="dxa"/>
            <w:vAlign w:val="center"/>
          </w:tcPr>
          <w:p w14:paraId="17069890">
            <w:pPr>
              <w:pStyle w:val="17"/>
              <w:tabs>
                <w:tab w:val="left" w:pos="1114"/>
              </w:tabs>
              <w:spacing w:before="0" w:beforeAutospacing="0" w:after="0" w:afterAutospacing="0"/>
              <w:jc w:val="both"/>
              <w:rPr>
                <w:rFonts w:hint="default" w:ascii="Times New Roman" w:hAnsi="Times New Roman" w:cs="Times New Roman" w:eastAsiaTheme="minorEastAsia"/>
                <w:color w:val="000000" w:themeColor="text1"/>
                <w:sz w:val="21"/>
                <w:szCs w:val="21"/>
                <w14:textFill>
                  <w14:solidFill>
                    <w14:schemeClr w14:val="tx1"/>
                  </w14:solidFill>
                </w14:textFill>
              </w:rPr>
            </w:pPr>
          </w:p>
        </w:tc>
      </w:tr>
    </w:tbl>
    <w:p w14:paraId="66BF435D">
      <w:pPr>
        <w:rPr>
          <w:rFonts w:hint="default" w:ascii="Times New Roman" w:hAnsi="Times New Roman" w:eastAsia="微软雅黑" w:cs="Times New Roman"/>
          <w:b/>
          <w:bCs/>
          <w:sz w:val="28"/>
          <w:szCs w:val="28"/>
        </w:rPr>
      </w:pPr>
    </w:p>
    <w:p w14:paraId="52883C7F">
      <w:pPr>
        <w:rPr>
          <w:rFonts w:hint="default" w:ascii="Times New Roman" w:hAnsi="Times New Roman" w:cs="Times New Roman"/>
          <w:b/>
          <w:bCs/>
          <w:sz w:val="28"/>
          <w:szCs w:val="28"/>
        </w:rPr>
      </w:pPr>
      <w:r>
        <w:rPr>
          <w:rFonts w:hint="default" w:ascii="Times New Roman" w:hAnsi="Times New Roman" w:cs="Times New Roman"/>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4C50469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4F85BBB0">
            <w:pPr>
              <w:jc w:val="center"/>
              <w:rPr>
                <w:rFonts w:hint="default" w:ascii="Times New Roman" w:hAnsi="Times New Roman" w:cs="Times New Roman" w:eastAsiaTheme="minorEastAsia"/>
                <w:b w:val="0"/>
                <w:bCs w:val="0"/>
                <w:color w:val="FFFFFF" w:themeColor="background1"/>
                <w14:textFill>
                  <w14:solidFill>
                    <w14:schemeClr w14:val="bg1"/>
                  </w14:solidFill>
                </w14:textFill>
              </w:rPr>
            </w:pPr>
            <w:r>
              <w:rPr>
                <w:rFonts w:hint="default" w:ascii="Times New Roman" w:hAnsi="Times New Roman" w:cs="Times New Roman"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587E29D3">
            <w:pPr>
              <w:jc w:val="center"/>
              <w:rPr>
                <w:rFonts w:hint="default" w:ascii="Times New Roman" w:hAnsi="Times New Roman" w:cs="Times New Roman" w:eastAsiaTheme="minorEastAsia"/>
                <w:b w:val="0"/>
                <w:bCs w:val="0"/>
                <w:color w:val="FFFFFF" w:themeColor="background1"/>
                <w14:textFill>
                  <w14:solidFill>
                    <w14:schemeClr w14:val="bg1"/>
                  </w14:solidFill>
                </w14:textFill>
              </w:rPr>
            </w:pPr>
            <w:r>
              <w:rPr>
                <w:rFonts w:hint="default" w:ascii="Times New Roman" w:hAnsi="Times New Roman" w:cs="Times New Roman"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7B176A27">
            <w:pPr>
              <w:jc w:val="center"/>
              <w:rPr>
                <w:rFonts w:hint="default" w:ascii="Times New Roman" w:hAnsi="Times New Roman" w:cs="Times New Roman" w:eastAsiaTheme="minorEastAsia"/>
                <w:b w:val="0"/>
                <w:bCs w:val="0"/>
                <w:color w:val="FFFFFF" w:themeColor="background1"/>
                <w14:textFill>
                  <w14:solidFill>
                    <w14:schemeClr w14:val="bg1"/>
                  </w14:solidFill>
                </w14:textFill>
              </w:rPr>
            </w:pPr>
            <w:r>
              <w:rPr>
                <w:rFonts w:hint="default" w:ascii="Times New Roman" w:hAnsi="Times New Roman" w:cs="Times New Roman" w:eastAsiaTheme="minorEastAsia"/>
                <w:b/>
                <w:bCs/>
                <w:color w:val="FFFFFF" w:themeColor="background1"/>
                <w14:textFill>
                  <w14:solidFill>
                    <w14:schemeClr w14:val="bg1"/>
                  </w14:solidFill>
                </w14:textFill>
              </w:rPr>
              <w:t>质控标准</w:t>
            </w:r>
          </w:p>
        </w:tc>
      </w:tr>
      <w:tr w14:paraId="531886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shd w:val="clear" w:color="auto" w:fill="auto"/>
            <w:vAlign w:val="center"/>
          </w:tcPr>
          <w:p w14:paraId="3EB0E267">
            <w:pPr>
              <w:jc w:val="center"/>
              <w:rPr>
                <w:rFonts w:hint="default" w:ascii="Times New Roman" w:hAnsi="Times New Roman" w:cs="Times New Roman" w:eastAsiaTheme="minorEastAsia"/>
                <w:b w:val="0"/>
                <w:bCs w:val="0"/>
              </w:rPr>
            </w:pPr>
            <w:r>
              <w:rPr>
                <w:rFonts w:hint="default" w:ascii="Times New Roman" w:hAnsi="Times New Roman" w:cs="Times New Roman" w:eastAsiaTheme="minorEastAsia"/>
                <w:b/>
                <w:bCs/>
              </w:rPr>
              <w:t>目标区域平均测序深度*</w:t>
            </w:r>
          </w:p>
        </w:tc>
        <w:tc>
          <w:tcPr>
            <w:tcW w:w="3197" w:type="dxa"/>
            <w:shd w:val="clear" w:color="auto" w:fill="auto"/>
            <w:vAlign w:val="center"/>
          </w:tcPr>
          <w:p w14:paraId="22EA5134">
            <w:pPr>
              <w:jc w:val="center"/>
              <w:rPr>
                <w:rFonts w:hint="default" w:ascii="Times New Roman" w:hAnsi="Times New Roman" w:eastAsia="微软雅黑" w:cs="Times New Roman"/>
              </w:rPr>
            </w:pPr>
            <w:r>
              <w:rPr>
                <w:rFonts w:hint="default" w:ascii="Times New Roman" w:hAnsi="Times New Roman" w:eastAsia="微软雅黑" w:cs="Times New Roman"/>
                <w:kern w:val="2"/>
                <w:sz w:val="24"/>
                <w:szCs w:val="24"/>
              </w:rPr>
              <w:t>{{ meanSequencingDepth }}</w:t>
            </w:r>
            <w:r>
              <w:rPr>
                <w:rFonts w:hint="default" w:ascii="Times New Roman" w:hAnsi="Times New Roman" w:eastAsia="微软雅黑" w:cs="Times New Roman"/>
                <w:color w:val="000000"/>
                <w:kern w:val="2"/>
                <w:sz w:val="24"/>
                <w:szCs w:val="24"/>
              </w:rPr>
              <w:t>X</w:t>
            </w:r>
          </w:p>
        </w:tc>
        <w:tc>
          <w:tcPr>
            <w:tcW w:w="1276" w:type="dxa"/>
            <w:shd w:val="clear" w:color="auto" w:fill="auto"/>
            <w:vAlign w:val="center"/>
          </w:tcPr>
          <w:p w14:paraId="1239EBD2">
            <w:pPr>
              <w:jc w:val="center"/>
              <w:rPr>
                <w:rFonts w:hint="default" w:ascii="Times New Roman" w:hAnsi="Times New Roman" w:eastAsia="微软雅黑" w:cs="Times New Roman"/>
              </w:rPr>
            </w:pPr>
            <w:r>
              <w:rPr>
                <w:rFonts w:hint="default" w:ascii="Times New Roman" w:hAnsi="Times New Roman" w:eastAsia="微软雅黑" w:cs="Times New Roman"/>
                <w:color w:val="000000"/>
                <w:kern w:val="2"/>
                <w:sz w:val="24"/>
                <w:szCs w:val="24"/>
              </w:rPr>
              <w:t>≥3000X</w:t>
            </w:r>
          </w:p>
        </w:tc>
      </w:tr>
      <w:tr w14:paraId="5023344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vAlign w:val="center"/>
          </w:tcPr>
          <w:p w14:paraId="6EDB3B05">
            <w:pPr>
              <w:jc w:val="center"/>
              <w:rPr>
                <w:rFonts w:hint="default" w:ascii="Times New Roman" w:hAnsi="Times New Roman" w:cs="Times New Roman" w:eastAsiaTheme="minorEastAsia"/>
                <w:b w:val="0"/>
                <w:bCs w:val="0"/>
              </w:rPr>
            </w:pPr>
            <w:r>
              <w:rPr>
                <w:rFonts w:hint="default" w:ascii="Times New Roman" w:hAnsi="Times New Roman" w:cs="Times New Roman" w:eastAsiaTheme="minorEastAsia"/>
                <w:b/>
                <w:bCs/>
              </w:rPr>
              <w:t>覆盖度</w:t>
            </w:r>
          </w:p>
        </w:tc>
        <w:tc>
          <w:tcPr>
            <w:tcW w:w="3197" w:type="dxa"/>
            <w:vAlign w:val="center"/>
          </w:tcPr>
          <w:p w14:paraId="6B7425A6">
            <w:pPr>
              <w:jc w:val="center"/>
              <w:rPr>
                <w:rFonts w:hint="default" w:ascii="Times New Roman" w:hAnsi="Times New Roman" w:eastAsia="微软雅黑" w:cs="Times New Roman"/>
              </w:rPr>
            </w:pPr>
            <w:r>
              <w:rPr>
                <w:rFonts w:hint="default" w:ascii="Times New Roman" w:hAnsi="Times New Roman" w:eastAsia="微软雅黑" w:cs="Times New Roman"/>
                <w:kern w:val="2"/>
                <w:sz w:val="24"/>
                <w:szCs w:val="24"/>
              </w:rPr>
              <w:t>{{ targetAreaCoverage }}</w:t>
            </w:r>
            <w:r>
              <w:rPr>
                <w:rFonts w:hint="default" w:ascii="Times New Roman" w:hAnsi="Times New Roman" w:eastAsia="微软雅黑" w:cs="Times New Roman"/>
                <w:color w:val="000000"/>
                <w:kern w:val="2"/>
                <w:sz w:val="24"/>
                <w:szCs w:val="24"/>
              </w:rPr>
              <w:t>%</w:t>
            </w:r>
          </w:p>
        </w:tc>
        <w:tc>
          <w:tcPr>
            <w:tcW w:w="1276" w:type="dxa"/>
            <w:vAlign w:val="center"/>
          </w:tcPr>
          <w:p w14:paraId="61D554CD">
            <w:pPr>
              <w:jc w:val="center"/>
              <w:rPr>
                <w:rFonts w:hint="default" w:ascii="Times New Roman" w:hAnsi="Times New Roman" w:eastAsia="微软雅黑" w:cs="Times New Roman"/>
              </w:rPr>
            </w:pPr>
            <w:r>
              <w:rPr>
                <w:rFonts w:hint="default" w:ascii="Times New Roman" w:hAnsi="Times New Roman" w:eastAsia="微软雅黑" w:cs="Times New Roman"/>
                <w:color w:val="000000"/>
                <w:kern w:val="2"/>
                <w:sz w:val="24"/>
                <w:szCs w:val="24"/>
              </w:rPr>
              <w:t>≥95%</w:t>
            </w:r>
          </w:p>
        </w:tc>
      </w:tr>
    </w:tbl>
    <w:p w14:paraId="71999900">
      <w:pPr>
        <w:pStyle w:val="2"/>
        <w:ind w:firstLine="900" w:firstLineChars="500"/>
        <w:jc w:val="left"/>
        <w:rPr>
          <w:rFonts w:hint="default" w:ascii="Times New Roman" w:hAnsi="Times New Roman" w:eastAsia="微软雅黑" w:cs="Times New Roman"/>
          <w:b w:val="0"/>
          <w:sz w:val="22"/>
          <w:szCs w:val="22"/>
        </w:rPr>
      </w:pPr>
      <w:bookmarkStart w:id="2" w:name="_Toc534637492"/>
      <w:r>
        <w:rPr>
          <w:rFonts w:hint="default" w:ascii="Times New Roman" w:hAnsi="Times New Roman" w:eastAsia="宋体" w:cs="Times New Roman"/>
          <w:b w:val="0"/>
          <w:sz w:val="18"/>
          <w:szCs w:val="18"/>
        </w:rPr>
        <w:t>注：结合本平台试剂扩增效率和生物信息学统计结果，建议平均测序深度质控标准不低于</w:t>
      </w:r>
      <w:r>
        <w:rPr>
          <w:rFonts w:hint="default" w:ascii="Times New Roman" w:hAnsi="Times New Roman" w:eastAsia="微软雅黑" w:cs="Times New Roman"/>
          <w:b w:val="0"/>
          <w:sz w:val="18"/>
          <w:szCs w:val="18"/>
        </w:rPr>
        <w:t>3000X</w:t>
      </w:r>
    </w:p>
    <w:p w14:paraId="2C8F95F4">
      <w:pPr>
        <w:jc w:val="center"/>
        <w:rPr>
          <w:rFonts w:ascii="Times New Roman" w:hAnsi="Times New Roman" w:eastAsia="微软雅黑" w:cs="Times New Roman"/>
          <w:b/>
          <w:color w:val="FFFFFF"/>
          <w:sz w:val="36"/>
          <w:szCs w:val="30"/>
          <w:shd w:val="clear" w:color="auto" w:fill="17365D"/>
        </w:rPr>
      </w:pPr>
    </w:p>
    <w:p w14:paraId="1B787C59">
      <w:pPr>
        <w:pStyle w:val="2"/>
        <w:rPr>
          <w:rFonts w:hint="default" w:ascii="Times New Roman" w:hAnsi="Times New Roman" w:eastAsia="微软雅黑" w:cs="Times New Roman"/>
          <w:color w:val="FFFFFF"/>
          <w:szCs w:val="30"/>
          <w:shd w:val="clear" w:color="auto" w:fill="17365D"/>
        </w:rPr>
      </w:pPr>
      <w:r>
        <w:rPr>
          <w:rFonts w:hint="default" w:ascii="Times New Roman" w:hAnsi="Times New Roman" w:eastAsia="宋体" w:cs="Times New Roman"/>
          <w:color w:val="FFFFFF"/>
          <w:szCs w:val="30"/>
          <w:shd w:val="clear" w:color="auto" w:fill="17365D"/>
        </w:rPr>
        <w:t>检测结果</w:t>
      </w:r>
      <w:bookmarkEnd w:id="0"/>
      <w:bookmarkEnd w:id="1"/>
      <w:bookmarkEnd w:id="2"/>
    </w:p>
    <w:p w14:paraId="7847197A">
      <w:pPr>
        <w:rPr>
          <w:rFonts w:hint="default"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2"/>
        <w:gridCol w:w="1493"/>
        <w:gridCol w:w="1493"/>
        <w:gridCol w:w="1493"/>
        <w:gridCol w:w="1497"/>
        <w:gridCol w:w="1738"/>
      </w:tblGrid>
      <w:tr w14:paraId="28930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5AA95188">
            <w:pPr>
              <w:adjustRightInd w:val="0"/>
              <w:snapToGrid w:val="0"/>
              <w:jc w:val="center"/>
              <w:rPr>
                <w:rFonts w:hint="default" w:ascii="Times New Roman" w:hAnsi="Times New Roman" w:cs="Times New Roman"/>
                <w:kern w:val="2"/>
                <w:sz w:val="28"/>
                <w:szCs w:val="28"/>
              </w:rPr>
            </w:pPr>
            <w:r>
              <w:rPr>
                <w:rFonts w:hint="default" w:ascii="Times New Roman" w:hAnsi="Times New Roman" w:cs="Times New Roman"/>
                <w:kern w:val="2"/>
                <w:sz w:val="28"/>
                <w:szCs w:val="28"/>
              </w:rPr>
              <w:t>变异分级</w:t>
            </w:r>
          </w:p>
        </w:tc>
        <w:tc>
          <w:tcPr>
            <w:tcW w:w="811" w:type="pct"/>
            <w:tcBorders>
              <w:tl2br w:val="nil"/>
              <w:tr2bl w:val="nil"/>
            </w:tcBorders>
            <w:vAlign w:val="center"/>
          </w:tcPr>
          <w:p w14:paraId="2CA9C41F">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28"/>
                <w:szCs w:val="28"/>
              </w:rPr>
              <w:t>I</w:t>
            </w:r>
          </w:p>
        </w:tc>
        <w:tc>
          <w:tcPr>
            <w:tcW w:w="3378" w:type="pct"/>
            <w:gridSpan w:val="4"/>
            <w:tcBorders>
              <w:tl2br w:val="nil"/>
              <w:tr2bl w:val="nil"/>
            </w:tcBorders>
            <w:vAlign w:val="center"/>
          </w:tcPr>
          <w:p w14:paraId="07D59A74">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28"/>
                <w:szCs w:val="28"/>
              </w:rPr>
              <w:t>有重要的临床意义</w:t>
            </w:r>
          </w:p>
        </w:tc>
      </w:tr>
      <w:tr w14:paraId="45350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2BC04843">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突变基因</w:t>
            </w:r>
          </w:p>
        </w:tc>
        <w:tc>
          <w:tcPr>
            <w:tcW w:w="811" w:type="pct"/>
            <w:tcBorders>
              <w:tl2br w:val="nil"/>
              <w:tr2bl w:val="nil"/>
            </w:tcBorders>
            <w:shd w:val="clear" w:color="auto" w:fill="1F497D" w:themeFill="text2"/>
            <w:vAlign w:val="center"/>
          </w:tcPr>
          <w:p w14:paraId="0AA0F867">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转录本</w:t>
            </w:r>
          </w:p>
        </w:tc>
        <w:tc>
          <w:tcPr>
            <w:tcW w:w="811" w:type="pct"/>
            <w:tcBorders>
              <w:tl2br w:val="nil"/>
              <w:tr2bl w:val="nil"/>
            </w:tcBorders>
            <w:shd w:val="clear" w:color="auto" w:fill="1F497D" w:themeFill="text2"/>
            <w:vAlign w:val="center"/>
          </w:tcPr>
          <w:p w14:paraId="5C663486">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外显子/内含子</w:t>
            </w:r>
          </w:p>
        </w:tc>
        <w:tc>
          <w:tcPr>
            <w:tcW w:w="811" w:type="pct"/>
            <w:tcBorders>
              <w:tl2br w:val="nil"/>
              <w:tr2bl w:val="nil"/>
            </w:tcBorders>
            <w:shd w:val="clear" w:color="auto" w:fill="1F497D" w:themeFill="text2"/>
            <w:vAlign w:val="center"/>
          </w:tcPr>
          <w:p w14:paraId="57F9DFDB">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核苷酸变化</w:t>
            </w:r>
          </w:p>
        </w:tc>
        <w:tc>
          <w:tcPr>
            <w:tcW w:w="811" w:type="pct"/>
            <w:tcBorders>
              <w:tl2br w:val="nil"/>
              <w:tr2bl w:val="nil"/>
            </w:tcBorders>
            <w:shd w:val="clear" w:color="auto" w:fill="1F497D" w:themeFill="text2"/>
            <w:vAlign w:val="center"/>
          </w:tcPr>
          <w:p w14:paraId="280DB2F8">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氨基酸变化</w:t>
            </w:r>
          </w:p>
        </w:tc>
        <w:tc>
          <w:tcPr>
            <w:tcW w:w="943" w:type="pct"/>
            <w:tcBorders>
              <w:tl2br w:val="nil"/>
              <w:tr2bl w:val="nil"/>
            </w:tcBorders>
            <w:shd w:val="clear" w:color="auto" w:fill="1F497D" w:themeFill="text2"/>
            <w:vAlign w:val="center"/>
          </w:tcPr>
          <w:p w14:paraId="3097A8D7">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变异丰度/拷贝数</w:t>
            </w:r>
          </w:p>
        </w:tc>
      </w:tr>
      <w:tr w14:paraId="78BE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1DF26FF7">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18"/>
                <w:szCs w:val="18"/>
              </w:rPr>
              <w:t>{%tr if variationGrading.variationGrading1 != [] %}</w:t>
            </w:r>
          </w:p>
        </w:tc>
      </w:tr>
      <w:tr w14:paraId="69CBB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2DCB42B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for vg in variationGrading.variationGrading1 %}</w:t>
            </w:r>
          </w:p>
        </w:tc>
      </w:tr>
      <w:tr w14:paraId="61AAA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47A009F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if vg.flag == False %}</w:t>
            </w:r>
          </w:p>
        </w:tc>
      </w:tr>
      <w:tr w14:paraId="391E3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6BE715A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vg.gene }}</w:t>
            </w:r>
          </w:p>
        </w:tc>
        <w:tc>
          <w:tcPr>
            <w:tcW w:w="811" w:type="pct"/>
            <w:tcBorders>
              <w:tl2br w:val="nil"/>
              <w:tr2bl w:val="nil"/>
            </w:tcBorders>
            <w:vAlign w:val="center"/>
          </w:tcPr>
          <w:p w14:paraId="1B37B16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vg.Transcript }}</w:t>
            </w:r>
          </w:p>
        </w:tc>
        <w:tc>
          <w:tcPr>
            <w:tcW w:w="811" w:type="pct"/>
            <w:tcBorders>
              <w:tl2br w:val="nil"/>
              <w:tr2bl w:val="nil"/>
            </w:tcBorders>
            <w:vAlign w:val="center"/>
          </w:tcPr>
          <w:p w14:paraId="429E1D6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vg.Exon }}</w:t>
            </w:r>
          </w:p>
        </w:tc>
        <w:tc>
          <w:tcPr>
            <w:tcW w:w="811" w:type="pct"/>
            <w:tcBorders>
              <w:tl2br w:val="nil"/>
              <w:tr2bl w:val="nil"/>
            </w:tcBorders>
            <w:vAlign w:val="center"/>
          </w:tcPr>
          <w:p w14:paraId="46DBCA58">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vg.cHGVS }}</w:t>
            </w:r>
          </w:p>
        </w:tc>
        <w:tc>
          <w:tcPr>
            <w:tcW w:w="811" w:type="pct"/>
            <w:tcBorders>
              <w:tl2br w:val="nil"/>
              <w:tr2bl w:val="nil"/>
            </w:tcBorders>
            <w:vAlign w:val="center"/>
          </w:tcPr>
          <w:p w14:paraId="78EE7373">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vg.pHGVS }}</w:t>
            </w:r>
          </w:p>
        </w:tc>
        <w:tc>
          <w:tcPr>
            <w:tcW w:w="943" w:type="pct"/>
            <w:tcBorders>
              <w:tl2br w:val="nil"/>
              <w:tr2bl w:val="nil"/>
            </w:tcBorders>
            <w:vAlign w:val="center"/>
          </w:tcPr>
          <w:p w14:paraId="6ECFE8A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vg.mutFreq }}</w:t>
            </w:r>
          </w:p>
        </w:tc>
      </w:tr>
      <w:tr w14:paraId="35D34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5714036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3054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5F8D9F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vg.gene }}</w:t>
            </w:r>
          </w:p>
        </w:tc>
        <w:tc>
          <w:tcPr>
            <w:tcW w:w="3246" w:type="pct"/>
            <w:gridSpan w:val="4"/>
            <w:tcBorders>
              <w:tl2br w:val="nil"/>
              <w:tr2bl w:val="nil"/>
            </w:tcBorders>
            <w:vAlign w:val="center"/>
          </w:tcPr>
          <w:p w14:paraId="36CF9F6B">
            <w:pPr>
              <w:pStyle w:val="49"/>
              <w:keepNext w:val="0"/>
              <w:keepLines w:val="0"/>
              <w:widowControl/>
              <w:suppressLineNumbers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 if vg.</w:t>
            </w:r>
            <w:r>
              <w:rPr>
                <w:rFonts w:hint="default" w:ascii="Times New Roman" w:hAnsi="Times New Roman" w:cs="Times New Roman"/>
                <w:kern w:val="2"/>
                <w:sz w:val="18"/>
                <w:szCs w:val="18"/>
                <w:lang w:eastAsia="zh-CN"/>
              </w:rPr>
              <w:t>ori_varia</w:t>
            </w:r>
            <w:r>
              <w:rPr>
                <w:rFonts w:hint="default" w:ascii="Times New Roman" w:hAnsi="Times New Roman" w:cs="Times New Roman"/>
                <w:kern w:val="2"/>
                <w:sz w:val="18"/>
                <w:szCs w:val="18"/>
                <w:lang w:val="en-US" w:eastAsia="zh-CN"/>
              </w:rPr>
              <w:t>nt == ‘Amplification’ %}扩增</w:t>
            </w:r>
            <w:r>
              <w:rPr>
                <w:rFonts w:hint="default" w:ascii="Times New Roman" w:hAnsi="Times New Roman" w:cs="Times New Roman"/>
                <w:kern w:val="2"/>
                <w:sz w:val="18"/>
                <w:szCs w:val="18"/>
                <w:lang w:val="en-US" w:eastAsia="en-US"/>
              </w:rPr>
              <w:t xml:space="preserve">{% </w:t>
            </w:r>
            <w:r>
              <w:rPr>
                <w:rFonts w:hint="default" w:ascii="Times New Roman" w:hAnsi="Times New Roman" w:cs="Times New Roman"/>
                <w:kern w:val="2"/>
                <w:sz w:val="18"/>
                <w:szCs w:val="18"/>
              </w:rPr>
              <w:t>else</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 xml:space="preserve">%}{% if </w:t>
            </w:r>
            <w:r>
              <w:rPr>
                <w:rFonts w:hint="default" w:ascii="Times New Roman" w:hAnsi="Times New Roman" w:cs="Times New Roman"/>
                <w:kern w:val="2"/>
                <w:sz w:val="18"/>
                <w:szCs w:val="18"/>
                <w:lang w:val="en-US" w:eastAsia="zh-CN"/>
              </w:rPr>
              <w:t>vg.ori_variant == ‘MET-MET Fusion M13:M15’ %</w:t>
            </w:r>
            <w:r>
              <w:rPr>
                <w:rFonts w:hint="default" w:ascii="Times New Roman" w:hAnsi="Times New Roman" w:cs="Times New Roman"/>
                <w:kern w:val="2"/>
                <w:sz w:val="18"/>
                <w:szCs w:val="18"/>
                <w:lang w:val="en-US" w:eastAsia="en-US"/>
              </w:rPr>
              <w:t>}14号外显子跳跃突变{% else %}</w:t>
            </w:r>
            <w:r>
              <w:rPr>
                <w:rFonts w:hint="default" w:ascii="Times New Roman" w:hAnsi="Times New Roman" w:cs="Times New Roman"/>
                <w:kern w:val="2"/>
                <w:sz w:val="18"/>
                <w:szCs w:val="18"/>
                <w:lang w:val="en-US" w:eastAsia="zh-CN"/>
              </w:rPr>
              <w:t>{{ vg.ori_variant }}{% endif %}</w:t>
            </w:r>
            <w:r>
              <w:rPr>
                <w:rFonts w:hint="default" w:ascii="Times New Roman" w:hAnsi="Times New Roman" w:cs="Times New Roman"/>
                <w:kern w:val="2"/>
                <w:sz w:val="18"/>
                <w:szCs w:val="18"/>
                <w:lang w:val="en-US" w:eastAsia="en-US"/>
              </w:rPr>
              <w:t>{% endif</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p>
        </w:tc>
        <w:tc>
          <w:tcPr>
            <w:tcW w:w="943" w:type="pct"/>
            <w:tcBorders>
              <w:tl2br w:val="nil"/>
              <w:tr2bl w:val="nil"/>
            </w:tcBorders>
            <w:vAlign w:val="center"/>
          </w:tcPr>
          <w:p w14:paraId="5623A3E9">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vg.mutFreq }}</w:t>
            </w:r>
          </w:p>
        </w:tc>
      </w:tr>
      <w:tr w14:paraId="2C302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2359196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r w14:paraId="582BC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4DC6A16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endfor %}</w:t>
            </w:r>
          </w:p>
        </w:tc>
      </w:tr>
      <w:tr w14:paraId="6287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218E135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4F9DC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BD800B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78A12321">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58CDAC5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6559491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2D56D0A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943" w:type="pct"/>
            <w:tcBorders>
              <w:tl2br w:val="nil"/>
              <w:tr2bl w:val="nil"/>
            </w:tcBorders>
            <w:vAlign w:val="center"/>
          </w:tcPr>
          <w:p w14:paraId="768E63F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r>
      <w:tr w14:paraId="5DA8E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73B764F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bl>
    <w:p w14:paraId="33B92048">
      <w:pPr>
        <w:rPr>
          <w:rFonts w:hint="default" w:ascii="Times New Roman" w:hAnsi="Times New Roman" w:cs="Times New Roman"/>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4F3A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601844D1">
            <w:pPr>
              <w:adjustRightInd w:val="0"/>
              <w:snapToGrid w:val="0"/>
              <w:jc w:val="center"/>
              <w:rPr>
                <w:rFonts w:hint="default" w:ascii="Times New Roman" w:hAnsi="Times New Roman" w:cs="Times New Roman"/>
                <w:kern w:val="2"/>
                <w:sz w:val="28"/>
                <w:szCs w:val="28"/>
              </w:rPr>
            </w:pPr>
            <w:r>
              <w:rPr>
                <w:rFonts w:hint="default" w:ascii="Times New Roman" w:hAnsi="Times New Roman" w:cs="Times New Roman"/>
                <w:kern w:val="2"/>
                <w:sz w:val="28"/>
                <w:szCs w:val="28"/>
              </w:rPr>
              <w:t>变异分级</w:t>
            </w:r>
          </w:p>
        </w:tc>
        <w:tc>
          <w:tcPr>
            <w:tcW w:w="811" w:type="pct"/>
            <w:tcBorders>
              <w:tl2br w:val="nil"/>
              <w:tr2bl w:val="nil"/>
            </w:tcBorders>
            <w:vAlign w:val="center"/>
          </w:tcPr>
          <w:p w14:paraId="1E14FDE3">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28"/>
                <w:szCs w:val="28"/>
              </w:rPr>
              <w:t>II</w:t>
            </w:r>
          </w:p>
        </w:tc>
        <w:tc>
          <w:tcPr>
            <w:tcW w:w="3378" w:type="pct"/>
            <w:gridSpan w:val="4"/>
            <w:tcBorders>
              <w:tl2br w:val="nil"/>
              <w:tr2bl w:val="nil"/>
            </w:tcBorders>
            <w:vAlign w:val="center"/>
          </w:tcPr>
          <w:p w14:paraId="265CBFE3">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28"/>
                <w:szCs w:val="28"/>
              </w:rPr>
              <w:t>有潜在的临床意义</w:t>
            </w:r>
          </w:p>
        </w:tc>
      </w:tr>
      <w:tr w14:paraId="26BF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07C8ABF2">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突变基因</w:t>
            </w:r>
          </w:p>
        </w:tc>
        <w:tc>
          <w:tcPr>
            <w:tcW w:w="811" w:type="pct"/>
            <w:tcBorders>
              <w:tl2br w:val="nil"/>
              <w:tr2bl w:val="nil"/>
            </w:tcBorders>
            <w:shd w:val="clear" w:color="auto" w:fill="1F497D" w:themeFill="text2"/>
            <w:vAlign w:val="center"/>
          </w:tcPr>
          <w:p w14:paraId="38790C0D">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转录本</w:t>
            </w:r>
          </w:p>
        </w:tc>
        <w:tc>
          <w:tcPr>
            <w:tcW w:w="811" w:type="pct"/>
            <w:tcBorders>
              <w:tl2br w:val="nil"/>
              <w:tr2bl w:val="nil"/>
            </w:tcBorders>
            <w:shd w:val="clear" w:color="auto" w:fill="1F497D" w:themeFill="text2"/>
            <w:vAlign w:val="center"/>
          </w:tcPr>
          <w:p w14:paraId="16D01DDA">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外显子/内含子</w:t>
            </w:r>
          </w:p>
        </w:tc>
        <w:tc>
          <w:tcPr>
            <w:tcW w:w="811" w:type="pct"/>
            <w:tcBorders>
              <w:tl2br w:val="nil"/>
              <w:tr2bl w:val="nil"/>
            </w:tcBorders>
            <w:shd w:val="clear" w:color="auto" w:fill="1F497D" w:themeFill="text2"/>
            <w:vAlign w:val="center"/>
          </w:tcPr>
          <w:p w14:paraId="4915E07A">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核苷酸变化</w:t>
            </w:r>
          </w:p>
        </w:tc>
        <w:tc>
          <w:tcPr>
            <w:tcW w:w="811" w:type="pct"/>
            <w:tcBorders>
              <w:tl2br w:val="nil"/>
              <w:tr2bl w:val="nil"/>
            </w:tcBorders>
            <w:shd w:val="clear" w:color="auto" w:fill="1F497D" w:themeFill="text2"/>
            <w:vAlign w:val="center"/>
          </w:tcPr>
          <w:p w14:paraId="67518F92">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氨基酸变化</w:t>
            </w:r>
          </w:p>
        </w:tc>
        <w:tc>
          <w:tcPr>
            <w:tcW w:w="942" w:type="pct"/>
            <w:tcBorders>
              <w:tl2br w:val="nil"/>
              <w:tr2bl w:val="nil"/>
            </w:tcBorders>
            <w:shd w:val="clear" w:color="auto" w:fill="1F497D" w:themeFill="text2"/>
            <w:vAlign w:val="center"/>
          </w:tcPr>
          <w:p w14:paraId="3EFDB96B">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变异丰度/拷贝数</w:t>
            </w:r>
          </w:p>
        </w:tc>
      </w:tr>
      <w:tr w14:paraId="1954A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0A9BE2B3">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18"/>
                <w:szCs w:val="18"/>
              </w:rPr>
              <w:t>{%tr if variationGrading.variationGrading2 != [] %}</w:t>
            </w:r>
          </w:p>
        </w:tc>
      </w:tr>
      <w:tr w14:paraId="57596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5FC65937">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for vg in variationGrading.variationGrading2 %}</w:t>
            </w:r>
          </w:p>
        </w:tc>
      </w:tr>
      <w:tr w14:paraId="6E55E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1C406B0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if vg.flag == False %}</w:t>
            </w:r>
          </w:p>
        </w:tc>
      </w:tr>
      <w:tr w14:paraId="5278F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706633C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vg.gene }}</w:t>
            </w:r>
          </w:p>
        </w:tc>
        <w:tc>
          <w:tcPr>
            <w:tcW w:w="1489" w:type="dxa"/>
            <w:tcBorders>
              <w:tl2br w:val="nil"/>
              <w:tr2bl w:val="nil"/>
            </w:tcBorders>
            <w:vAlign w:val="center"/>
          </w:tcPr>
          <w:p w14:paraId="1BDDD4D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vg.Transcript }}</w:t>
            </w:r>
          </w:p>
        </w:tc>
        <w:tc>
          <w:tcPr>
            <w:tcW w:w="1490" w:type="dxa"/>
            <w:tcBorders>
              <w:tl2br w:val="nil"/>
              <w:tr2bl w:val="nil"/>
            </w:tcBorders>
            <w:vAlign w:val="center"/>
          </w:tcPr>
          <w:p w14:paraId="283A9A0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vg.Exon }}</w:t>
            </w:r>
          </w:p>
        </w:tc>
        <w:tc>
          <w:tcPr>
            <w:tcW w:w="1490" w:type="dxa"/>
            <w:tcBorders>
              <w:tl2br w:val="nil"/>
              <w:tr2bl w:val="nil"/>
            </w:tcBorders>
            <w:vAlign w:val="center"/>
          </w:tcPr>
          <w:p w14:paraId="6B334C7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vg.cHGVS }}</w:t>
            </w:r>
          </w:p>
        </w:tc>
        <w:tc>
          <w:tcPr>
            <w:tcW w:w="1490" w:type="dxa"/>
            <w:tcBorders>
              <w:tl2br w:val="nil"/>
              <w:tr2bl w:val="nil"/>
            </w:tcBorders>
            <w:vAlign w:val="center"/>
          </w:tcPr>
          <w:p w14:paraId="2A0A4ABA">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vg.pHGVS }}</w:t>
            </w:r>
          </w:p>
        </w:tc>
        <w:tc>
          <w:tcPr>
            <w:tcW w:w="1733" w:type="dxa"/>
            <w:tcBorders>
              <w:tl2br w:val="nil"/>
              <w:tr2bl w:val="nil"/>
            </w:tcBorders>
            <w:vAlign w:val="center"/>
          </w:tcPr>
          <w:p w14:paraId="67E18A0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vg.mutFreq }}</w:t>
            </w:r>
          </w:p>
        </w:tc>
      </w:tr>
      <w:tr w14:paraId="25619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063B20AF">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7DB29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2CE840D1">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vg.gene }}</w:t>
            </w:r>
          </w:p>
        </w:tc>
        <w:tc>
          <w:tcPr>
            <w:tcW w:w="5959" w:type="dxa"/>
            <w:gridSpan w:val="4"/>
            <w:tcBorders>
              <w:tl2br w:val="nil"/>
              <w:tr2bl w:val="nil"/>
            </w:tcBorders>
            <w:vAlign w:val="center"/>
          </w:tcPr>
          <w:p w14:paraId="650B4EEA">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 if vg.</w:t>
            </w:r>
            <w:r>
              <w:rPr>
                <w:rFonts w:hint="default" w:ascii="Times New Roman" w:hAnsi="Times New Roman" w:cs="Times New Roman"/>
                <w:kern w:val="2"/>
                <w:sz w:val="18"/>
                <w:szCs w:val="18"/>
                <w:lang w:eastAsia="zh-CN"/>
              </w:rPr>
              <w:t>ori_varia</w:t>
            </w:r>
            <w:r>
              <w:rPr>
                <w:rFonts w:hint="default" w:ascii="Times New Roman" w:hAnsi="Times New Roman" w:cs="Times New Roman"/>
                <w:kern w:val="2"/>
                <w:sz w:val="18"/>
                <w:szCs w:val="18"/>
                <w:lang w:val="en-US" w:eastAsia="zh-CN"/>
              </w:rPr>
              <w:t>nt == ‘Amplification’ %}扩增</w:t>
            </w:r>
            <w:r>
              <w:rPr>
                <w:rFonts w:hint="default" w:ascii="Times New Roman" w:hAnsi="Times New Roman" w:cs="Times New Roman"/>
                <w:kern w:val="2"/>
                <w:sz w:val="18"/>
                <w:szCs w:val="18"/>
                <w:lang w:val="en-US" w:eastAsia="en-US"/>
              </w:rPr>
              <w:t xml:space="preserve">{% </w:t>
            </w:r>
            <w:r>
              <w:rPr>
                <w:rFonts w:hint="default" w:ascii="Times New Roman" w:hAnsi="Times New Roman" w:cs="Times New Roman"/>
                <w:kern w:val="2"/>
                <w:sz w:val="18"/>
                <w:szCs w:val="18"/>
              </w:rPr>
              <w:t>else</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r>
              <w:rPr>
                <w:rFonts w:hint="default" w:ascii="Times New Roman" w:hAnsi="Times New Roman" w:cs="Times New Roman"/>
                <w:kern w:val="2"/>
                <w:sz w:val="18"/>
                <w:szCs w:val="18"/>
                <w:lang w:val="en-US" w:eastAsia="zh-CN"/>
              </w:rPr>
              <w:t>{{ vg.ori_variant }}</w:t>
            </w:r>
            <w:r>
              <w:rPr>
                <w:rFonts w:hint="default" w:ascii="Times New Roman" w:hAnsi="Times New Roman" w:cs="Times New Roman"/>
                <w:kern w:val="2"/>
                <w:sz w:val="18"/>
                <w:szCs w:val="18"/>
                <w:lang w:val="en-US" w:eastAsia="en-US"/>
              </w:rPr>
              <w:t>{% endif</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p>
        </w:tc>
        <w:tc>
          <w:tcPr>
            <w:tcW w:w="1733" w:type="dxa"/>
            <w:tcBorders>
              <w:tl2br w:val="nil"/>
              <w:tr2bl w:val="nil"/>
            </w:tcBorders>
            <w:vAlign w:val="center"/>
          </w:tcPr>
          <w:p w14:paraId="7DDF61A9">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vg.mutFreq }}</w:t>
            </w:r>
          </w:p>
        </w:tc>
      </w:tr>
      <w:tr w14:paraId="799F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85ED85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r w14:paraId="52653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6D82EA59">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endfor %}</w:t>
            </w:r>
          </w:p>
        </w:tc>
      </w:tr>
      <w:tr w14:paraId="0FC5D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10E0811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34C2B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34D11D8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55676DF5">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7BF231A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156707B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2C9EE43F">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942" w:type="pct"/>
            <w:tcBorders>
              <w:tl2br w:val="nil"/>
              <w:tr2bl w:val="nil"/>
            </w:tcBorders>
            <w:vAlign w:val="center"/>
          </w:tcPr>
          <w:p w14:paraId="66A721A5">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r>
      <w:tr w14:paraId="73605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2C3B20A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bl>
    <w:p w14:paraId="52E209F0">
      <w:pPr>
        <w:kinsoku w:val="0"/>
        <w:overflowPunct w:val="0"/>
        <w:spacing w:before="5" w:line="160" w:lineRule="auto"/>
        <w:rPr>
          <w:rFonts w:hint="default"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707BA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44A430B3">
            <w:pPr>
              <w:adjustRightInd w:val="0"/>
              <w:snapToGrid w:val="0"/>
              <w:jc w:val="center"/>
              <w:rPr>
                <w:rFonts w:hint="default" w:ascii="Times New Roman" w:hAnsi="Times New Roman" w:cs="Times New Roman"/>
                <w:kern w:val="2"/>
                <w:sz w:val="28"/>
                <w:szCs w:val="28"/>
              </w:rPr>
            </w:pPr>
            <w:r>
              <w:rPr>
                <w:rFonts w:hint="default" w:ascii="Times New Roman" w:hAnsi="Times New Roman" w:cs="Times New Roman"/>
                <w:kern w:val="2"/>
                <w:sz w:val="28"/>
                <w:szCs w:val="28"/>
              </w:rPr>
              <w:t>变异分级</w:t>
            </w:r>
          </w:p>
        </w:tc>
        <w:tc>
          <w:tcPr>
            <w:tcW w:w="811" w:type="pct"/>
            <w:tcBorders>
              <w:tl2br w:val="nil"/>
              <w:tr2bl w:val="nil"/>
            </w:tcBorders>
            <w:vAlign w:val="center"/>
          </w:tcPr>
          <w:p w14:paraId="69ED2E2C">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28"/>
                <w:szCs w:val="28"/>
              </w:rPr>
              <w:t>III&amp;IV</w:t>
            </w:r>
          </w:p>
        </w:tc>
        <w:tc>
          <w:tcPr>
            <w:tcW w:w="3378" w:type="pct"/>
            <w:gridSpan w:val="4"/>
            <w:tcBorders>
              <w:tl2br w:val="nil"/>
              <w:tr2bl w:val="nil"/>
            </w:tcBorders>
            <w:vAlign w:val="center"/>
          </w:tcPr>
          <w:p w14:paraId="4B114472">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28"/>
                <w:szCs w:val="28"/>
              </w:rPr>
              <w:t>临床意义不明或已知无临床意义</w:t>
            </w:r>
          </w:p>
        </w:tc>
      </w:tr>
      <w:tr w14:paraId="25CF0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53329AC6">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突变基因</w:t>
            </w:r>
          </w:p>
        </w:tc>
        <w:tc>
          <w:tcPr>
            <w:tcW w:w="811" w:type="pct"/>
            <w:tcBorders>
              <w:tl2br w:val="nil"/>
              <w:tr2bl w:val="nil"/>
            </w:tcBorders>
            <w:shd w:val="clear" w:color="auto" w:fill="1F497D" w:themeFill="text2"/>
            <w:vAlign w:val="center"/>
          </w:tcPr>
          <w:p w14:paraId="57688840">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转录本</w:t>
            </w:r>
          </w:p>
        </w:tc>
        <w:tc>
          <w:tcPr>
            <w:tcW w:w="811" w:type="pct"/>
            <w:tcBorders>
              <w:tl2br w:val="nil"/>
              <w:tr2bl w:val="nil"/>
            </w:tcBorders>
            <w:shd w:val="clear" w:color="auto" w:fill="1F497D" w:themeFill="text2"/>
            <w:vAlign w:val="center"/>
          </w:tcPr>
          <w:p w14:paraId="603FF5C9">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外显子/内含子</w:t>
            </w:r>
          </w:p>
        </w:tc>
        <w:tc>
          <w:tcPr>
            <w:tcW w:w="811" w:type="pct"/>
            <w:tcBorders>
              <w:tl2br w:val="nil"/>
              <w:tr2bl w:val="nil"/>
            </w:tcBorders>
            <w:shd w:val="clear" w:color="auto" w:fill="1F497D" w:themeFill="text2"/>
            <w:vAlign w:val="center"/>
          </w:tcPr>
          <w:p w14:paraId="10C50780">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核苷酸变化</w:t>
            </w:r>
          </w:p>
        </w:tc>
        <w:tc>
          <w:tcPr>
            <w:tcW w:w="811" w:type="pct"/>
            <w:tcBorders>
              <w:tl2br w:val="nil"/>
              <w:tr2bl w:val="nil"/>
            </w:tcBorders>
            <w:shd w:val="clear" w:color="auto" w:fill="1F497D" w:themeFill="text2"/>
            <w:vAlign w:val="center"/>
          </w:tcPr>
          <w:p w14:paraId="71BD670E">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氨基酸变化</w:t>
            </w:r>
          </w:p>
        </w:tc>
        <w:tc>
          <w:tcPr>
            <w:tcW w:w="942" w:type="pct"/>
            <w:tcBorders>
              <w:tl2br w:val="nil"/>
              <w:tr2bl w:val="nil"/>
            </w:tcBorders>
            <w:shd w:val="clear" w:color="auto" w:fill="1F497D" w:themeFill="text2"/>
            <w:vAlign w:val="center"/>
          </w:tcPr>
          <w:p w14:paraId="0A276EB6">
            <w:pPr>
              <w:jc w:val="center"/>
              <w:rPr>
                <w:rFonts w:hint="default" w:ascii="Times New Roman" w:hAnsi="Times New Roman" w:cs="Times New Roman"/>
                <w:b/>
                <w:bCs/>
                <w:sz w:val="18"/>
                <w:szCs w:val="18"/>
              </w:rPr>
            </w:pPr>
            <w:r>
              <w:rPr>
                <w:rFonts w:hint="default" w:ascii="Times New Roman" w:hAnsi="Times New Roman" w:cs="Times New Roman"/>
                <w:b/>
                <w:bCs/>
                <w:sz w:val="18"/>
                <w:szCs w:val="18"/>
              </w:rPr>
              <w:t>变异丰度/拷贝数</w:t>
            </w:r>
          </w:p>
        </w:tc>
      </w:tr>
      <w:tr w14:paraId="21B6D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1187CC57">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18"/>
                <w:szCs w:val="18"/>
              </w:rPr>
              <w:t>{%tr if variationGrading.variationGrading3 != [] %}</w:t>
            </w:r>
          </w:p>
        </w:tc>
      </w:tr>
      <w:tr w14:paraId="10F9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7D6B1B0A">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for vg in variationGrading.variationGrading3 %}</w:t>
            </w:r>
          </w:p>
        </w:tc>
      </w:tr>
      <w:tr w14:paraId="6975F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8AB29F8">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if vg.flag == False %}</w:t>
            </w:r>
          </w:p>
        </w:tc>
      </w:tr>
      <w:tr w14:paraId="0FBFA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6D10F80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vg.gene }}</w:t>
            </w:r>
          </w:p>
        </w:tc>
        <w:tc>
          <w:tcPr>
            <w:tcW w:w="1489" w:type="dxa"/>
            <w:tcBorders>
              <w:tl2br w:val="nil"/>
              <w:tr2bl w:val="nil"/>
            </w:tcBorders>
            <w:vAlign w:val="center"/>
          </w:tcPr>
          <w:p w14:paraId="3F0709E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vg.Transcript }}</w:t>
            </w:r>
          </w:p>
        </w:tc>
        <w:tc>
          <w:tcPr>
            <w:tcW w:w="1490" w:type="dxa"/>
            <w:tcBorders>
              <w:tl2br w:val="nil"/>
              <w:tr2bl w:val="nil"/>
            </w:tcBorders>
            <w:vAlign w:val="center"/>
          </w:tcPr>
          <w:p w14:paraId="0C134D4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vg.Exon }}</w:t>
            </w:r>
          </w:p>
        </w:tc>
        <w:tc>
          <w:tcPr>
            <w:tcW w:w="1490" w:type="dxa"/>
            <w:tcBorders>
              <w:tl2br w:val="nil"/>
              <w:tr2bl w:val="nil"/>
            </w:tcBorders>
            <w:vAlign w:val="center"/>
          </w:tcPr>
          <w:p w14:paraId="5B87F095">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vg.cHGVS }}</w:t>
            </w:r>
          </w:p>
        </w:tc>
        <w:tc>
          <w:tcPr>
            <w:tcW w:w="1490" w:type="dxa"/>
            <w:tcBorders>
              <w:tl2br w:val="nil"/>
              <w:tr2bl w:val="nil"/>
            </w:tcBorders>
            <w:vAlign w:val="center"/>
          </w:tcPr>
          <w:p w14:paraId="09257DE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vg.pHGVS }}</w:t>
            </w:r>
          </w:p>
        </w:tc>
        <w:tc>
          <w:tcPr>
            <w:tcW w:w="1733" w:type="dxa"/>
            <w:tcBorders>
              <w:tl2br w:val="nil"/>
              <w:tr2bl w:val="nil"/>
            </w:tcBorders>
            <w:vAlign w:val="center"/>
          </w:tcPr>
          <w:p w14:paraId="7E5B4DA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vg.mutFreq }}</w:t>
            </w:r>
          </w:p>
        </w:tc>
      </w:tr>
      <w:tr w14:paraId="234E1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5B747E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3C08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04F7D3A3">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vg.gene }}</w:t>
            </w:r>
          </w:p>
        </w:tc>
        <w:tc>
          <w:tcPr>
            <w:tcW w:w="5959" w:type="dxa"/>
            <w:gridSpan w:val="4"/>
            <w:tcBorders>
              <w:tl2br w:val="nil"/>
              <w:tr2bl w:val="nil"/>
            </w:tcBorders>
            <w:vAlign w:val="center"/>
          </w:tcPr>
          <w:p w14:paraId="327EC778">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 if vg.</w:t>
            </w:r>
            <w:r>
              <w:rPr>
                <w:rFonts w:hint="default" w:ascii="Times New Roman" w:hAnsi="Times New Roman" w:cs="Times New Roman"/>
                <w:kern w:val="2"/>
                <w:sz w:val="18"/>
                <w:szCs w:val="18"/>
                <w:lang w:eastAsia="zh-CN"/>
              </w:rPr>
              <w:t>ori_varia</w:t>
            </w:r>
            <w:r>
              <w:rPr>
                <w:rFonts w:hint="default" w:ascii="Times New Roman" w:hAnsi="Times New Roman" w:cs="Times New Roman"/>
                <w:kern w:val="2"/>
                <w:sz w:val="18"/>
                <w:szCs w:val="18"/>
                <w:lang w:val="en-US" w:eastAsia="zh-CN"/>
              </w:rPr>
              <w:t>nt == ‘Amplification’ %}扩增</w:t>
            </w:r>
            <w:r>
              <w:rPr>
                <w:rFonts w:hint="default" w:ascii="Times New Roman" w:hAnsi="Times New Roman" w:cs="Times New Roman"/>
                <w:kern w:val="2"/>
                <w:sz w:val="18"/>
                <w:szCs w:val="18"/>
                <w:lang w:val="en-US" w:eastAsia="en-US"/>
              </w:rPr>
              <w:t xml:space="preserve">{% </w:t>
            </w:r>
            <w:r>
              <w:rPr>
                <w:rFonts w:hint="default" w:ascii="Times New Roman" w:hAnsi="Times New Roman" w:cs="Times New Roman"/>
                <w:kern w:val="2"/>
                <w:sz w:val="18"/>
                <w:szCs w:val="18"/>
              </w:rPr>
              <w:t>else</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r>
              <w:rPr>
                <w:rFonts w:hint="default" w:ascii="Times New Roman" w:hAnsi="Times New Roman" w:cs="Times New Roman"/>
                <w:kern w:val="2"/>
                <w:sz w:val="18"/>
                <w:szCs w:val="18"/>
                <w:lang w:val="en-US" w:eastAsia="zh-CN"/>
              </w:rPr>
              <w:t>{{ vg.ori_variant }}</w:t>
            </w:r>
            <w:r>
              <w:rPr>
                <w:rFonts w:hint="default" w:ascii="Times New Roman" w:hAnsi="Times New Roman" w:cs="Times New Roman"/>
                <w:kern w:val="2"/>
                <w:sz w:val="18"/>
                <w:szCs w:val="18"/>
                <w:lang w:val="en-US" w:eastAsia="en-US"/>
              </w:rPr>
              <w:t>{% endif</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p>
        </w:tc>
        <w:tc>
          <w:tcPr>
            <w:tcW w:w="1733" w:type="dxa"/>
            <w:tcBorders>
              <w:tl2br w:val="nil"/>
              <w:tr2bl w:val="nil"/>
            </w:tcBorders>
            <w:vAlign w:val="center"/>
          </w:tcPr>
          <w:p w14:paraId="44B7035C">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vg.mutFreq }}</w:t>
            </w:r>
          </w:p>
        </w:tc>
      </w:tr>
      <w:tr w14:paraId="2EEB0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37A77973">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r w14:paraId="762B1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097C0727">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endfor %}</w:t>
            </w:r>
          </w:p>
        </w:tc>
      </w:tr>
      <w:tr w14:paraId="3AB6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6E472727">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1EA4B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7361689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7AF7742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0230C91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249EB8F1">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811" w:type="pct"/>
            <w:tcBorders>
              <w:tl2br w:val="nil"/>
              <w:tr2bl w:val="nil"/>
            </w:tcBorders>
            <w:vAlign w:val="center"/>
          </w:tcPr>
          <w:p w14:paraId="7829C3A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c>
          <w:tcPr>
            <w:tcW w:w="942" w:type="pct"/>
            <w:tcBorders>
              <w:tl2br w:val="nil"/>
              <w:tr2bl w:val="nil"/>
            </w:tcBorders>
            <w:vAlign w:val="center"/>
          </w:tcPr>
          <w:p w14:paraId="7542CC4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w:t>
            </w:r>
          </w:p>
        </w:tc>
      </w:tr>
      <w:tr w14:paraId="6F4AD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3114353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bl>
    <w:p w14:paraId="24C80C72">
      <w:pPr>
        <w:pStyle w:val="10"/>
        <w:spacing w:before="7"/>
        <w:rPr>
          <w:rFonts w:hint="default" w:ascii="Times New Roman" w:hAnsi="Times New Roman" w:eastAsia="微软雅黑" w:cs="Times New Roman"/>
        </w:rPr>
      </w:pPr>
    </w:p>
    <w:p w14:paraId="29923D51">
      <w:pPr>
        <w:pStyle w:val="8"/>
        <w:spacing w:line="276" w:lineRule="auto"/>
        <w:jc w:val="both"/>
        <w:rPr>
          <w:rFonts w:hint="default" w:ascii="Times New Roman" w:hAnsi="Times New Roman" w:cs="Times New Roman"/>
        </w:rPr>
      </w:pPr>
      <w:bookmarkStart w:id="3" w:name="_Toc534637496"/>
      <w:bookmarkStart w:id="4" w:name="_Toc527112383"/>
      <w:bookmarkStart w:id="5" w:name="_Toc526855035"/>
      <w:r>
        <w:rPr>
          <w:rFonts w:hint="default" w:ascii="Times New Roman" w:hAnsi="Times New Roman" w:cs="Times New Roman"/>
        </w:rPr>
        <w:t>注：</w:t>
      </w:r>
    </w:p>
    <w:p w14:paraId="6A472656">
      <w:pPr>
        <w:pStyle w:val="41"/>
        <w:numPr>
          <w:ilvl w:val="0"/>
          <w:numId w:val="1"/>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变异丰度：在某位点产生突变的等位基因在该位点全部等位基因中所占比率。本试剂的检测下限为1%变异丰度，对于低于1%丰度的突变位点，验证后报出</w:t>
      </w:r>
      <w:r>
        <w:rPr>
          <w:rFonts w:hint="default" w:ascii="Times New Roman" w:hAnsi="Times New Roman" w:cs="Times New Roman"/>
          <w:sz w:val="18"/>
          <w:szCs w:val="18"/>
          <w:lang w:eastAsia="zh-CN"/>
        </w:rPr>
        <w:t>；</w:t>
      </w:r>
    </w:p>
    <w:p w14:paraId="4696B03F">
      <w:pPr>
        <w:pStyle w:val="41"/>
        <w:numPr>
          <w:ilvl w:val="0"/>
          <w:numId w:val="1"/>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拷贝数：是指某⼀种基因或某⼀段特定的DNA序列在单倍体基因组中出现的数目；</w:t>
      </w:r>
    </w:p>
    <w:p w14:paraId="1DF43628">
      <w:pPr>
        <w:pStyle w:val="41"/>
        <w:numPr>
          <w:ilvl w:val="0"/>
          <w:numId w:val="1"/>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检测结果与采集的标本病变（靶组织）比例有关，靶组织含量过低可能出现假阴性；</w:t>
      </w:r>
    </w:p>
    <w:p w14:paraId="3CCE6B22">
      <w:pPr>
        <w:pStyle w:val="41"/>
        <w:numPr>
          <w:ilvl w:val="0"/>
          <w:numId w:val="1"/>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本报告仅对所检测标本负责，检测结果的解释及建议基于当前的科学研究水平，仅供临床医师参考，勿作他用；</w:t>
      </w:r>
    </w:p>
    <w:p w14:paraId="55F0BF95">
      <w:pPr>
        <w:pStyle w:val="41"/>
        <w:numPr>
          <w:ilvl w:val="0"/>
          <w:numId w:val="1"/>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本检测只检测60个肺癌个体化基因的特定突变，不排除受检者携带检测列表以外的突变位点；</w:t>
      </w:r>
    </w:p>
    <w:p w14:paraId="0FF294DE">
      <w:pPr>
        <w:pStyle w:val="41"/>
        <w:numPr>
          <w:ilvl w:val="0"/>
          <w:numId w:val="1"/>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6845C50A">
      <w:pPr>
        <w:pStyle w:val="10"/>
        <w:rPr>
          <w:rFonts w:hint="default" w:ascii="Times New Roman" w:hAnsi="Times New Roman" w:eastAsia="微软雅黑" w:cs="Times New Roman"/>
          <w:sz w:val="20"/>
        </w:rPr>
      </w:pPr>
    </w:p>
    <w:p w14:paraId="57A4F9E8">
      <w:pPr>
        <w:pStyle w:val="10"/>
        <w:rPr>
          <w:rFonts w:hint="default" w:ascii="Times New Roman" w:hAnsi="Times New Roman" w:eastAsia="微软雅黑" w:cs="Times New Roman"/>
          <w:sz w:val="20"/>
        </w:rPr>
      </w:pPr>
    </w:p>
    <w:p w14:paraId="6F141AFC">
      <w:pPr>
        <w:ind w:right="105" w:firstLine="110" w:firstLineChars="50"/>
        <w:jc w:val="center"/>
        <w:rPr>
          <w:rFonts w:hint="default" w:ascii="Times New Roman" w:hAnsi="Times New Roman" w:eastAsia="微软雅黑" w:cs="Times New Roman"/>
        </w:rPr>
      </w:pPr>
      <w:r>
        <w:rPr>
          <w:rFonts w:hint="default" w:ascii="Times New Roman" w:hAnsi="Times New Roman" w:cs="Times New Roman"/>
        </w:rPr>
        <w:t>检测师：</w:t>
      </w:r>
      <w:r>
        <w:rPr>
          <w:rFonts w:hint="default" w:ascii="Times New Roman" w:hAnsi="Times New Roman" w:eastAsia="微软雅黑" w:cs="Times New Roman"/>
        </w:rPr>
        <w:t xml:space="preserve">   </w:t>
      </w:r>
      <w:r>
        <w:rPr>
          <w:rFonts w:hint="default" w:ascii="Times New Roman" w:hAnsi="Times New Roman" w:eastAsia="微软雅黑" w:cs="Times New Roman"/>
          <w:sz w:val="24"/>
          <w:szCs w:val="24"/>
        </w:rPr>
        <w:t xml:space="preserve"> </w:t>
      </w:r>
      <w:r>
        <w:rPr>
          <w:rFonts w:hint="default" w:ascii="Times New Roman" w:hAnsi="Times New Roman" w:eastAsia="微软雅黑" w:cs="Times New Roman"/>
        </w:rPr>
        <w:t xml:space="preserve">                     </w:t>
      </w:r>
      <w:r>
        <w:rPr>
          <w:rFonts w:hint="default" w:ascii="Times New Roman" w:hAnsi="Times New Roman" w:cs="Times New Roman"/>
        </w:rPr>
        <w:t>报告审核医师：</w:t>
      </w:r>
      <w:r>
        <w:rPr>
          <w:rFonts w:hint="default" w:ascii="Times New Roman" w:hAnsi="Times New Roman" w:eastAsia="微软雅黑" w:cs="Times New Roman"/>
        </w:rPr>
        <w:t xml:space="preserve"> </w:t>
      </w:r>
    </w:p>
    <w:p w14:paraId="715C305A">
      <w:pPr>
        <w:ind w:right="105" w:firstLine="110" w:firstLineChars="50"/>
        <w:rPr>
          <w:rFonts w:hint="default" w:ascii="Times New Roman" w:hAnsi="Times New Roman" w:eastAsia="微软雅黑" w:cs="Times New Roman"/>
        </w:rPr>
      </w:pPr>
      <w:r>
        <w:rPr>
          <w:rFonts w:hint="default" w:ascii="Times New Roman" w:hAnsi="Times New Roman" w:eastAsia="微软雅黑" w:cs="Times New Roman"/>
        </w:rPr>
        <w:t xml:space="preserve">   </w:t>
      </w:r>
    </w:p>
    <w:p w14:paraId="78B7E1CE">
      <w:pPr>
        <w:wordWrap w:val="0"/>
        <w:ind w:right="105" w:firstLine="110" w:firstLineChars="50"/>
        <w:jc w:val="center"/>
        <w:rPr>
          <w:rFonts w:hint="default" w:ascii="Times New Roman" w:hAnsi="Times New Roman" w:eastAsia="微软雅黑" w:cs="Times New Roman"/>
        </w:rPr>
      </w:pPr>
      <w:r>
        <w:rPr>
          <w:rFonts w:hint="default" w:ascii="Times New Roman" w:hAnsi="Times New Roman" w:eastAsia="微软雅黑" w:cs="Times New Roman"/>
        </w:rPr>
        <w:t xml:space="preserve">                                                 </w:t>
      </w:r>
      <w:r>
        <w:rPr>
          <w:rFonts w:hint="default" w:ascii="Times New Roman" w:hAnsi="Times New Roman" w:cs="Times New Roman"/>
        </w:rPr>
        <w:t>报 告 日 期：</w:t>
      </w:r>
      <w:r>
        <w:rPr>
          <w:rFonts w:hint="default" w:ascii="Times New Roman" w:hAnsi="Times New Roman" w:cs="Times New Roman"/>
          <w:kern w:val="2"/>
          <w:sz w:val="24"/>
          <w:szCs w:val="24"/>
        </w:rPr>
        <w:t>{{ reportdate }}</w:t>
      </w:r>
    </w:p>
    <w:p w14:paraId="415E9871">
      <w:pPr>
        <w:widowControl/>
        <w:spacing w:after="160" w:line="259" w:lineRule="auto"/>
        <w:rPr>
          <w:rFonts w:hint="default" w:ascii="Times New Roman" w:hAnsi="Times New Roman" w:eastAsia="微软雅黑" w:cs="Times New Roman"/>
          <w:b/>
          <w:bCs/>
          <w:color w:val="0070C0"/>
          <w:sz w:val="28"/>
          <w:szCs w:val="28"/>
        </w:rPr>
      </w:pPr>
      <w:r>
        <w:rPr>
          <w:rFonts w:hint="default" w:ascii="Times New Roman" w:hAnsi="Times New Roman" w:eastAsia="微软雅黑" w:cs="Times New Roman"/>
          <w:b/>
          <w:bCs/>
          <w:color w:val="0070C0"/>
          <w:sz w:val="28"/>
          <w:szCs w:val="28"/>
        </w:rPr>
        <w:br w:type="page"/>
      </w:r>
    </w:p>
    <w:p w14:paraId="650B0396">
      <w:pPr>
        <w:keepNext/>
        <w:widowControl/>
        <w:spacing w:before="360" w:beforeLines="150" w:line="260" w:lineRule="auto"/>
        <w:rPr>
          <w:rFonts w:hint="default" w:ascii="Times New Roman" w:hAnsi="Times New Roman" w:eastAsia="微软雅黑" w:cs="Times New Roman"/>
          <w:b/>
          <w:color w:val="1F497D"/>
          <w:sz w:val="28"/>
          <w:szCs w:val="28"/>
        </w:rPr>
      </w:pPr>
      <w:r>
        <w:rPr>
          <w:rFonts w:hint="default" w:ascii="Times New Roman" w:hAnsi="Times New Roman" w:eastAsia="微软雅黑" w:cs="Times New Roman"/>
          <w:b/>
          <w:color w:val="1F497D"/>
          <w:sz w:val="28"/>
          <w:szCs w:val="28"/>
        </w:rPr>
        <w:t>附录1 靶向药物结果解析</w:t>
      </w:r>
    </w:p>
    <w:p w14:paraId="729577D7">
      <w:pPr>
        <w:pStyle w:val="10"/>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t>下述用药信息仅供参考，具体用药方案请遵照临床医生指导</w:t>
      </w:r>
    </w:p>
    <w:bookmarkEnd w:id="3"/>
    <w:bookmarkEnd w:id="4"/>
    <w:bookmarkEnd w:id="5"/>
    <w:p w14:paraId="6B2377F3">
      <w:pPr>
        <w:widowControl/>
        <w:spacing w:after="160" w:line="259" w:lineRule="auto"/>
        <w:rPr>
          <w:rFonts w:hint="default" w:ascii="Times New Roman" w:hAnsi="Times New Roman" w:eastAsia="微软雅黑" w:cs="Times New Roman"/>
          <w:bCs/>
          <w:sz w:val="18"/>
          <w:szCs w:val="18"/>
        </w:rPr>
      </w:pPr>
      <w:r>
        <w:rPr>
          <w:rFonts w:hint="default" w:ascii="Times New Roman" w:hAnsi="Times New Roman" w:eastAsia="微软雅黑" w:cs="Times New Roman"/>
          <w:bCs/>
          <w:sz w:val="18"/>
          <w:szCs w:val="18"/>
        </w:rPr>
        <w:t>{% if BodyDrugDrugDetectionStr == [] and unknownVarAnalysisStr == []%}</w:t>
      </w:r>
      <w:r>
        <w:rPr>
          <w:rFonts w:hint="default" w:ascii="Times New Roman" w:hAnsi="Times New Roman" w:cs="Times New Roman"/>
          <w:color w:val="000000" w:themeColor="text1"/>
          <w:sz w:val="21"/>
          <w:szCs w:val="21"/>
          <w14:textFill>
            <w14:solidFill>
              <w14:schemeClr w14:val="tx1"/>
            </w14:solidFill>
          </w14:textFill>
        </w:rPr>
        <w:t>未检出靶向用药相关的变异位点；未检出未知临床意义变异位点。</w:t>
      </w:r>
      <w:r>
        <w:rPr>
          <w:rFonts w:hint="default" w:ascii="Times New Roman" w:hAnsi="Times New Roman" w:eastAsia="微软雅黑" w:cs="Times New Roman"/>
          <w:bCs/>
          <w:sz w:val="18"/>
          <w:szCs w:val="18"/>
        </w:rPr>
        <w:t>{% endif %}</w:t>
      </w:r>
    </w:p>
    <w:p w14:paraId="4ABDA76D">
      <w:pPr>
        <w:widowControl/>
        <w:spacing w:after="160" w:line="259" w:lineRule="auto"/>
        <w:rPr>
          <w:rFonts w:hint="default" w:ascii="Times New Roman" w:hAnsi="Times New Roman" w:eastAsia="微软雅黑" w:cs="Times New Roman"/>
          <w:b/>
          <w:color w:val="1F497D"/>
          <w:sz w:val="24"/>
          <w:szCs w:val="24"/>
        </w:rPr>
      </w:pPr>
      <w:bookmarkStart w:id="6" w:name="_Toc32443_WPSOffice_Level2"/>
      <w:bookmarkStart w:id="7" w:name="_Toc23606"/>
      <w:bookmarkStart w:id="8" w:name="_Toc30582"/>
      <w:bookmarkStart w:id="9" w:name="_Toc4331_WPSOffice_Level2"/>
      <w:r>
        <w:rPr>
          <w:rFonts w:hint="default" w:ascii="Times New Roman" w:hAnsi="Times New Roman" w:eastAsia="微软雅黑" w:cs="Times New Roman"/>
          <w:b/>
          <w:color w:val="1F497D"/>
          <w:sz w:val="24"/>
          <w:szCs w:val="24"/>
        </w:rPr>
        <w:t>{%if BodyDrugDrugDetectionStr or unknownVarAnalysisStr %}</w:t>
      </w:r>
      <w:r>
        <w:rPr>
          <w:rFonts w:hint="default" w:ascii="Times New Roman" w:hAnsi="Times New Roman" w:cs="Times New Roman"/>
          <w:b/>
          <w:color w:val="1F497D"/>
          <w:sz w:val="24"/>
          <w:szCs w:val="24"/>
        </w:rPr>
        <w:t>变异位点结果解析</w:t>
      </w:r>
      <w:bookmarkEnd w:id="6"/>
      <w:bookmarkEnd w:id="7"/>
      <w:bookmarkEnd w:id="8"/>
      <w:bookmarkEnd w:id="9"/>
      <w:r>
        <w:rPr>
          <w:rFonts w:hint="default" w:ascii="Times New Roman" w:hAnsi="Times New Roman" w:eastAsia="微软雅黑" w:cs="Times New Roman"/>
          <w:b/>
          <w:color w:val="1F497D"/>
          <w:sz w:val="24"/>
          <w:szCs w:val="24"/>
        </w:rPr>
        <w:t xml:space="preserve">{% for tdd in </w:t>
      </w:r>
      <w:r>
        <w:rPr>
          <w:rFonts w:hint="default"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hint="default" w:ascii="Times New Roman" w:hAnsi="Times New Roman" w:eastAsia="微软雅黑" w:cs="Times New Roman"/>
          <w:b/>
          <w:color w:val="1F497D"/>
          <w:sz w:val="24"/>
          <w:szCs w:val="24"/>
        </w:rPr>
        <w:t>%}</w:t>
      </w:r>
    </w:p>
    <w:p w14:paraId="68CCEE11">
      <w:pPr>
        <w:keepNext/>
        <w:widowControl/>
        <w:spacing w:before="360" w:beforeLines="150" w:line="260" w:lineRule="auto"/>
        <w:rPr>
          <w:rFonts w:hint="default" w:ascii="Times New Roman" w:hAnsi="Times New Roman" w:cs="Times New Roman"/>
          <w:b/>
          <w:color w:val="1F497D"/>
          <w:sz w:val="24"/>
          <w:szCs w:val="24"/>
        </w:rPr>
      </w:pPr>
      <w:r>
        <w:rPr>
          <w:rFonts w:hint="default" w:ascii="Times New Roman" w:hAnsi="Times New Roman" w:cs="Times New Roman"/>
          <w:b/>
          <w:color w:val="1F497D"/>
          <w:sz w:val="24"/>
          <w:szCs w:val="24"/>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3F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18D5EA7B">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突变形式</w:t>
            </w:r>
          </w:p>
        </w:tc>
        <w:tc>
          <w:tcPr>
            <w:tcW w:w="8247" w:type="dxa"/>
            <w:tcBorders>
              <w:top w:val="single" w:color="2666A3" w:sz="18" w:space="0"/>
              <w:left w:val="dotted" w:color="2666A3" w:sz="4" w:space="0"/>
              <w:bottom w:val="dotted" w:color="2666A3" w:sz="4" w:space="0"/>
              <w:right w:val="nil"/>
            </w:tcBorders>
            <w:vAlign w:val="center"/>
          </w:tcPr>
          <w:p w14:paraId="61911E2A">
            <w:pPr>
              <w:keepNext/>
              <w:spacing w:before="26"/>
              <w:jc w:val="center"/>
              <w:rPr>
                <w:rFonts w:hint="default" w:ascii="Times New Roman" w:hAnsi="Times New Roman" w:cs="Times New Roman"/>
                <w:bCs/>
                <w:sz w:val="18"/>
                <w:szCs w:val="18"/>
              </w:rPr>
            </w:pPr>
            <w:r>
              <w:rPr>
                <w:rFonts w:hint="default"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default" w:ascii="Times New Roman" w:hAnsi="Times New Roman" w:eastAsia="宋体" w:cs="Times New Roman"/>
                <w:bCs/>
                <w:sz w:val="18"/>
                <w:szCs w:val="18"/>
                <w:lang w:val="en-US" w:eastAsia="zh-CN"/>
              </w:rPr>
              <w:t xml:space="preserve"> == ‘Amplification’ %}扩增</w:t>
            </w:r>
            <w:r>
              <w:rPr>
                <w:rFonts w:hint="default"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default"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val="en-US" w:eastAsia="en-US"/>
              </w:rPr>
              <w:t>%}</w:t>
            </w:r>
            <w:r>
              <w:rPr>
                <w:rFonts w:hint="default"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default" w:ascii="Times New Roman" w:hAnsi="Times New Roman" w:eastAsia="宋体" w:cs="Times New Roman"/>
                <w:bCs/>
                <w:sz w:val="18"/>
                <w:szCs w:val="18"/>
                <w:lang w:val="en-US" w:eastAsia="zh-CN"/>
              </w:rPr>
              <w:t>.ori_variant }}</w:t>
            </w:r>
            <w:r>
              <w:rPr>
                <w:rFonts w:hint="default" w:ascii="Times New Roman" w:hAnsi="Times New Roman" w:eastAsia="宋体" w:cs="Times New Roman"/>
                <w:bCs/>
                <w:sz w:val="18"/>
                <w:szCs w:val="18"/>
                <w:lang w:val="en-US" w:eastAsia="en-US"/>
              </w:rPr>
              <w:t>{% endif</w:t>
            </w:r>
            <w:r>
              <w:rPr>
                <w:rFonts w:hint="default"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val="en-US" w:eastAsia="en-US"/>
              </w:rPr>
              <w:t>%}</w:t>
            </w:r>
          </w:p>
        </w:tc>
      </w:tr>
      <w:tr w14:paraId="0CBC0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A121ECF">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变异丰度</w:t>
            </w:r>
          </w:p>
        </w:tc>
        <w:tc>
          <w:tcPr>
            <w:tcW w:w="8247" w:type="dxa"/>
            <w:tcBorders>
              <w:top w:val="dotted" w:color="2666A3" w:sz="4" w:space="0"/>
              <w:left w:val="dotted" w:color="2666A3" w:sz="4" w:space="0"/>
              <w:bottom w:val="dotted" w:color="2666A3" w:sz="4" w:space="0"/>
              <w:right w:val="nil"/>
            </w:tcBorders>
            <w:vAlign w:val="center"/>
          </w:tcPr>
          <w:p w14:paraId="5434E82E">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tdd.mutFreq }}</w:t>
            </w:r>
          </w:p>
        </w:tc>
      </w:tr>
      <w:tr w14:paraId="2D0E4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2431A273">
            <w:pPr>
              <w:spacing w:before="1" w:line="250" w:lineRule="auto"/>
              <w:jc w:val="center"/>
              <w:rPr>
                <w:rFonts w:hint="default" w:ascii="Times New Roman" w:hAnsi="Times New Roman" w:cs="Times New Roman"/>
                <w:color w:val="2666A3"/>
                <w:sz w:val="18"/>
                <w:szCs w:val="18"/>
              </w:rPr>
            </w:pPr>
            <w:r>
              <w:rPr>
                <w:rFonts w:hint="default" w:ascii="Times New Roman" w:hAnsi="Times New Roman" w:cs="Times New Roman"/>
                <w:b/>
                <w:color w:val="2666A3"/>
                <w:sz w:val="18"/>
                <w:szCs w:val="18"/>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F31D3E5">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59AC1EB">
            <w:pPr>
              <w:spacing w:before="1" w:line="250" w:lineRule="auto"/>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tdd.drugaStr == [] %}无{% else%}{% for d in tdd.drugaStr %}{%if loop.last%}{{ d.nameLevel }}{%else%}{{ d.nameLevel }}，{%endif%}{% endfor %}{% endif%}</w:t>
            </w:r>
          </w:p>
        </w:tc>
      </w:tr>
      <w:tr w14:paraId="4B7C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8486EAA">
            <w:pPr>
              <w:spacing w:before="1" w:line="250" w:lineRule="auto"/>
              <w:jc w:val="center"/>
              <w:rPr>
                <w:rFonts w:hint="default"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2DCA3A2A">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2261EE5">
            <w:pPr>
              <w:keepNext/>
              <w:spacing w:before="26"/>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tdd.drugbStr == [] %}无{% else%}{% for d in tdd.drugbStr %}{%if loop.last%}{{ d.nameLevel }}{%else%}{{ d.nameLevel }}，{%endif%}{% endfor %}{% endif%}</w:t>
            </w:r>
          </w:p>
        </w:tc>
      </w:tr>
      <w:tr w14:paraId="1E2DC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252A9D1">
            <w:pPr>
              <w:spacing w:before="1" w:line="250" w:lineRule="auto"/>
              <w:jc w:val="center"/>
              <w:rPr>
                <w:rFonts w:hint="default"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849A598">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6C629CFF">
            <w:pPr>
              <w:keepNext/>
              <w:spacing w:before="26"/>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tdd.drugcStr == [] %}无{% else%}{% for d in tdd.drugcStr %}{%if loop.last%}{{ d.nameLevel }}{%else%}{{ d.nameLevel }}，{%endif%}{% endfor %}{% endif%}</w:t>
            </w:r>
          </w:p>
        </w:tc>
      </w:tr>
      <w:tr w14:paraId="77645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67B1B0">
            <w:pPr>
              <w:spacing w:before="1" w:line="250" w:lineRule="auto"/>
              <w:jc w:val="center"/>
              <w:rPr>
                <w:rFonts w:hint="default"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E188B7F">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EAC69D1">
            <w:pPr>
              <w:keepNext/>
              <w:spacing w:before="26"/>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tdd.drugdStr == [] %}无{% else%}{% for d in tdd.drugdStr %}{%if loop.last%}{{ d.nameLevel }}{%else%}{{ d.nameLevel }}，{%endif%}{% endfor %}{% endif%}</w:t>
            </w:r>
          </w:p>
        </w:tc>
      </w:tr>
      <w:tr w14:paraId="43D902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FC2F221">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4CFD24D">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3C3A68B">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tdd.resistantaStr == [] %}无{% else%}{% for d in tdd.resistantaStr %}{%if loop.last%}{{ d.nameLevel }}{%else%}{{ d.nameLevel }}，{%endif%}{% endfor %}{% endif%}</w:t>
            </w:r>
          </w:p>
        </w:tc>
      </w:tr>
      <w:tr w14:paraId="51CC2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74C75CA">
            <w:pPr>
              <w:keepNext/>
              <w:spacing w:before="26"/>
              <w:jc w:val="center"/>
              <w:rPr>
                <w:rFonts w:hint="default"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4B4FBCFE">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D124ACB">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tdd.resistantbStr == [] %}无{% else%}{% for d in tdd.resistantbStr %}{%if loop.last%}{{ d.nameLevel }}{%else%}{{ d.nameLevel }}，{%endif%}{% endfor %}{% endif%}</w:t>
            </w:r>
          </w:p>
        </w:tc>
      </w:tr>
      <w:tr w14:paraId="49EB7C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FA19C78">
            <w:pPr>
              <w:keepNext/>
              <w:spacing w:before="26"/>
              <w:jc w:val="center"/>
              <w:rPr>
                <w:rFonts w:hint="default"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5FC6A22">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F805938">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tdd.resistantcStr == [] %}无{% else%}{% for d in tdd.resistantcStr %}{%if loop.last%}{{ d.nameLevel }}{%else%}{{ d.nameLevel }}，{%endif%}{% endfor %}{% endif%}</w:t>
            </w:r>
          </w:p>
        </w:tc>
      </w:tr>
      <w:tr w14:paraId="271B6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6A020BB5">
            <w:pPr>
              <w:keepNext/>
              <w:spacing w:before="26"/>
              <w:jc w:val="center"/>
              <w:rPr>
                <w:rFonts w:hint="default"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B87FF8F">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B6404DD">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tdd.resistantdStr == [] %}无{% else%}{% for d in tdd.resistantdStr %}{%if loop.last%}{{ d.nameLevel }}{%else%}{{ d.nameLevel }}，{%endif%}{% endfor %}{% endif%}</w:t>
            </w:r>
          </w:p>
        </w:tc>
      </w:tr>
      <w:tr w14:paraId="2A387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20FD94C">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15101200">
            <w:pPr>
              <w:keepNext/>
              <w:spacing w:before="26"/>
              <w:rPr>
                <w:rFonts w:hint="default" w:ascii="Times New Roman" w:hAnsi="Times New Roman" w:cs="Times New Roman"/>
                <w:sz w:val="18"/>
                <w:szCs w:val="18"/>
              </w:rPr>
            </w:pPr>
            <w:r>
              <w:rPr>
                <w:rFonts w:hint="default" w:ascii="Times New Roman" w:hAnsi="Times New Roman" w:cs="Times New Roman"/>
                <w:sz w:val="18"/>
                <w:szCs w:val="18"/>
              </w:rPr>
              <w:t>{% for md in tdd.medicationDescription %}{% if md.key == '突变说明:' %}</w:t>
            </w:r>
            <w:r>
              <w:rPr>
                <w:rFonts w:hint="default" w:ascii="Times New Roman" w:hAnsi="Times New Roman" w:cs="Times New Roman"/>
                <w:b/>
                <w:bCs/>
                <w:sz w:val="18"/>
                <w:szCs w:val="18"/>
              </w:rPr>
              <w:t>{{md.key}}</w:t>
            </w:r>
            <w:r>
              <w:rPr>
                <w:rFonts w:hint="default" w:ascii="Times New Roman" w:hAnsi="Times New Roman" w:cs="Times New Roman"/>
                <w:sz w:val="18"/>
                <w:szCs w:val="18"/>
              </w:rPr>
              <w:t>{{md.value}}{% elif md.value == '' %}{% else%}</w:t>
            </w:r>
            <w:r>
              <w:rPr>
                <w:rFonts w:hint="default" w:ascii="Times New Roman" w:hAnsi="Times New Roman" w:cs="Times New Roman"/>
                <w:b/>
                <w:bCs/>
                <w:sz w:val="18"/>
                <w:szCs w:val="18"/>
              </w:rPr>
              <w:t>{{md.key}}</w:t>
            </w:r>
            <w:r>
              <w:rPr>
                <w:rFonts w:hint="default" w:ascii="Times New Roman" w:hAnsi="Times New Roman" w:cs="Times New Roman"/>
                <w:sz w:val="18"/>
                <w:szCs w:val="18"/>
              </w:rPr>
              <w:t>{{md.value}}</w:t>
            </w:r>
          </w:p>
          <w:p w14:paraId="248F583A">
            <w:pPr>
              <w:keepNext/>
              <w:spacing w:before="26"/>
              <w:rPr>
                <w:rFonts w:hint="default" w:ascii="Times New Roman" w:hAnsi="Times New Roman" w:cs="Times New Roman"/>
                <w:sz w:val="18"/>
                <w:szCs w:val="18"/>
              </w:rPr>
            </w:pPr>
            <w:r>
              <w:rPr>
                <w:rFonts w:hint="default" w:ascii="Times New Roman" w:hAnsi="Times New Roman" w:cs="Times New Roman"/>
                <w:sz w:val="18"/>
                <w:szCs w:val="18"/>
              </w:rPr>
              <w:t>{% endif %}{% endfor %}</w:t>
            </w:r>
          </w:p>
        </w:tc>
      </w:tr>
    </w:tbl>
    <w:p w14:paraId="52E68EA1">
      <w:pPr>
        <w:spacing w:before="26"/>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{%if tdd.drugResearchList != [] %}</w:t>
      </w:r>
    </w:p>
    <w:p w14:paraId="71FA975E">
      <w:pPr>
        <w:keepNext/>
        <w:spacing w:before="26"/>
        <w:rPr>
          <w:rFonts w:hint="default" w:ascii="Times New Roman" w:hAnsi="Times New Roman" w:cs="Times New Roman"/>
          <w:b/>
          <w:color w:val="1F497D"/>
          <w:sz w:val="24"/>
        </w:rPr>
      </w:pPr>
      <w:r>
        <w:rPr>
          <w:rFonts w:hint="default"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F5D4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58DEC08">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0A4C48D">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C15204C">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018503F7">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循证医学信息</w:t>
            </w:r>
          </w:p>
        </w:tc>
      </w:tr>
      <w:tr w14:paraId="220FE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FD4CED6">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b/>
                <w:color w:val="2666A3"/>
                <w:sz w:val="18"/>
                <w:szCs w:val="18"/>
              </w:rPr>
              <w:t>{%tr for dis in tdd.drugResearchList %}</w:t>
            </w:r>
          </w:p>
        </w:tc>
      </w:tr>
      <w:tr w14:paraId="62211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56BAE6AA">
            <w:pPr>
              <w:spacing w:before="1" w:line="249" w:lineRule="auto"/>
              <w:ind w:right="131"/>
              <w:jc w:val="center"/>
              <w:rPr>
                <w:rFonts w:hint="default" w:ascii="Times New Roman" w:hAnsi="Times New Roman" w:cs="Times New Roman"/>
                <w:b/>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dis.drug_name_chinese3</w:t>
            </w:r>
            <w:r>
              <w:rPr>
                <w:rFonts w:hint="default"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B2FE305">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{{dis.</w:t>
            </w:r>
            <w:r>
              <w:rPr>
                <w:rFonts w:hint="default" w:ascii="Times New Roman" w:hAnsi="Times New Roman" w:cs="Times New Roman"/>
                <w:bCs/>
                <w:sz w:val="18"/>
                <w:szCs w:val="18"/>
              </w:rPr>
              <w:t>disease_name_chinese</w:t>
            </w:r>
            <w:r>
              <w:rPr>
                <w:rFonts w:hint="default" w:ascii="Times New Roman" w:hAnsi="Times New Roman" w:cs="Times New Roman"/>
                <w:sz w:val="18"/>
                <w:szCs w:val="18"/>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572519CC">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dis.evidence_phase_chinese</w:t>
            </w:r>
            <w:r>
              <w:rPr>
                <w:rFonts w:hint="default" w:ascii="Times New Roman" w:hAnsi="Times New Roman" w:cs="Times New Roman"/>
                <w:sz w:val="18"/>
                <w:szCs w:val="18"/>
              </w:rPr>
              <w:t>}}</w:t>
            </w:r>
          </w:p>
        </w:tc>
        <w:tc>
          <w:tcPr>
            <w:tcW w:w="5695" w:type="dxa"/>
            <w:tcBorders>
              <w:top w:val="dotted" w:color="2666A3" w:sz="4" w:space="0"/>
              <w:left w:val="dotted" w:color="2666A3" w:sz="4" w:space="0"/>
              <w:bottom w:val="dotted" w:color="2666A3" w:sz="4" w:space="0"/>
              <w:right w:val="nil"/>
            </w:tcBorders>
            <w:vAlign w:val="center"/>
          </w:tcPr>
          <w:p w14:paraId="455B7EED">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dis.annotation_chinese</w:t>
            </w:r>
            <w:r>
              <w:rPr>
                <w:rFonts w:hint="default" w:ascii="Times New Roman" w:hAnsi="Times New Roman" w:cs="Times New Roman"/>
                <w:sz w:val="18"/>
                <w:szCs w:val="18"/>
              </w:rPr>
              <w:t>}}</w:t>
            </w:r>
          </w:p>
        </w:tc>
      </w:tr>
      <w:tr w14:paraId="00F12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BC0079F">
            <w:pPr>
              <w:keepNext/>
              <w:spacing w:before="26"/>
              <w:jc w:val="center"/>
              <w:rPr>
                <w:rFonts w:hint="default" w:ascii="Times New Roman" w:hAnsi="Times New Roman" w:cs="Times New Roman"/>
                <w:bCs/>
                <w:sz w:val="18"/>
                <w:szCs w:val="18"/>
              </w:rPr>
            </w:pPr>
            <w:r>
              <w:rPr>
                <w:rFonts w:hint="default" w:ascii="Times New Roman" w:hAnsi="Times New Roman" w:cs="Times New Roman"/>
                <w:b/>
                <w:color w:val="2666A3"/>
                <w:sz w:val="18"/>
                <w:szCs w:val="18"/>
              </w:rPr>
              <w:t>{%tr endfor %}</w:t>
            </w:r>
          </w:p>
        </w:tc>
      </w:tr>
    </w:tbl>
    <w:p w14:paraId="3DD3A31F">
      <w:pPr>
        <w:spacing w:before="26"/>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 endif %}{%if tdd.potentialDrugList != [] %}</w:t>
      </w:r>
    </w:p>
    <w:p w14:paraId="7B25BB7E">
      <w:pPr>
        <w:keepNext/>
        <w:spacing w:before="26"/>
        <w:rPr>
          <w:rFonts w:hint="default" w:ascii="Times New Roman" w:hAnsi="Times New Roman" w:cs="Times New Roman"/>
          <w:b/>
          <w:color w:val="1F497D"/>
          <w:sz w:val="24"/>
        </w:rPr>
      </w:pPr>
      <w:r>
        <w:rPr>
          <w:rFonts w:hint="default"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22E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7196D744">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2CD4DB4">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92AD1EC">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5AC43B46">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循证医学信息</w:t>
            </w:r>
          </w:p>
        </w:tc>
      </w:tr>
      <w:tr w14:paraId="4910B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16DA202A">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b/>
                <w:color w:val="2666A3"/>
                <w:sz w:val="18"/>
                <w:szCs w:val="18"/>
              </w:rPr>
              <w:t>{%tr for dis in tdd.potentialDrugList %}</w:t>
            </w:r>
          </w:p>
        </w:tc>
      </w:tr>
      <w:tr w14:paraId="5C50C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216C3884">
            <w:pPr>
              <w:spacing w:before="1" w:line="249" w:lineRule="auto"/>
              <w:ind w:right="131"/>
              <w:jc w:val="center"/>
              <w:rPr>
                <w:rFonts w:hint="default" w:ascii="Times New Roman" w:hAnsi="Times New Roman" w:cs="Times New Roman"/>
                <w:b/>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dis.drug_name_chinese3</w:t>
            </w:r>
            <w:r>
              <w:rPr>
                <w:rFonts w:hint="default"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4FC0F5BF">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{{dis.</w:t>
            </w:r>
            <w:r>
              <w:rPr>
                <w:rFonts w:hint="default" w:ascii="Times New Roman" w:hAnsi="Times New Roman" w:cs="Times New Roman"/>
                <w:bCs/>
                <w:sz w:val="18"/>
                <w:szCs w:val="18"/>
              </w:rPr>
              <w:t>disease_name_chinese</w:t>
            </w:r>
            <w:r>
              <w:rPr>
                <w:rFonts w:hint="default" w:ascii="Times New Roman" w:hAnsi="Times New Roman" w:cs="Times New Roman"/>
                <w:sz w:val="18"/>
                <w:szCs w:val="18"/>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38A07967">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dis.evidence_phase_chinese</w:t>
            </w:r>
            <w:r>
              <w:rPr>
                <w:rFonts w:hint="default" w:ascii="Times New Roman" w:hAnsi="Times New Roman" w:cs="Times New Roman"/>
                <w:sz w:val="18"/>
                <w:szCs w:val="18"/>
              </w:rPr>
              <w:t>}}</w:t>
            </w:r>
          </w:p>
        </w:tc>
        <w:tc>
          <w:tcPr>
            <w:tcW w:w="5666" w:type="dxa"/>
            <w:tcBorders>
              <w:top w:val="dotted" w:color="2666A3" w:sz="4" w:space="0"/>
              <w:left w:val="dotted" w:color="2666A3" w:sz="4" w:space="0"/>
              <w:bottom w:val="dotted" w:color="2666A3" w:sz="4" w:space="0"/>
              <w:right w:val="nil"/>
            </w:tcBorders>
            <w:vAlign w:val="center"/>
          </w:tcPr>
          <w:p w14:paraId="7F5E3629">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dis.annotation_chinese</w:t>
            </w:r>
            <w:r>
              <w:rPr>
                <w:rFonts w:hint="default" w:ascii="Times New Roman" w:hAnsi="Times New Roman" w:cs="Times New Roman"/>
                <w:sz w:val="18"/>
                <w:szCs w:val="18"/>
              </w:rPr>
              <w:t>}}</w:t>
            </w:r>
          </w:p>
        </w:tc>
      </w:tr>
      <w:tr w14:paraId="77E1E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2537CA8">
            <w:pPr>
              <w:keepNext/>
              <w:spacing w:before="26"/>
              <w:jc w:val="center"/>
              <w:rPr>
                <w:rFonts w:hint="default" w:ascii="Times New Roman" w:hAnsi="Times New Roman" w:cs="Times New Roman"/>
                <w:bCs/>
                <w:sz w:val="18"/>
                <w:szCs w:val="18"/>
              </w:rPr>
            </w:pPr>
            <w:r>
              <w:rPr>
                <w:rFonts w:hint="default" w:ascii="Times New Roman" w:hAnsi="Times New Roman" w:cs="Times New Roman"/>
                <w:b/>
                <w:color w:val="2666A3"/>
                <w:sz w:val="18"/>
                <w:szCs w:val="18"/>
              </w:rPr>
              <w:t>{%tr endfor %}</w:t>
            </w:r>
          </w:p>
        </w:tc>
      </w:tr>
    </w:tbl>
    <w:p w14:paraId="3143A883">
      <w:pPr>
        <w:spacing w:before="26"/>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 endif %}{%if tdd.clinicalTrialInformationStr!= [] %}</w:t>
      </w:r>
    </w:p>
    <w:p w14:paraId="0BA476B2">
      <w:pPr>
        <w:keepNext/>
        <w:spacing w:before="26"/>
        <w:rPr>
          <w:rFonts w:hint="default" w:ascii="Times New Roman" w:hAnsi="Times New Roman" w:cs="Times New Roman"/>
          <w:b/>
          <w:color w:val="1F497D"/>
          <w:sz w:val="24"/>
        </w:rPr>
      </w:pPr>
      <w:r>
        <w:rPr>
          <w:rFonts w:hint="default"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951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F6A3A9E">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957A2D3">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20E7A47">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075D8C6">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409FBBF">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E0BA3BB">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地点</w:t>
            </w:r>
          </w:p>
        </w:tc>
      </w:tr>
      <w:tr w14:paraId="71C00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64F3A2F9">
            <w:pPr>
              <w:keepNext/>
              <w:spacing w:before="26"/>
              <w:jc w:val="center"/>
              <w:rPr>
                <w:rFonts w:hint="default" w:ascii="Times New Roman" w:hAnsi="Times New Roman" w:cs="Times New Roman"/>
                <w:bCs/>
                <w:sz w:val="18"/>
                <w:szCs w:val="18"/>
              </w:rPr>
            </w:pPr>
            <w:r>
              <w:rPr>
                <w:rFonts w:hint="default" w:ascii="Times New Roman" w:hAnsi="Times New Roman" w:cs="Times New Roman"/>
                <w:b/>
                <w:color w:val="2666A3"/>
                <w:sz w:val="18"/>
                <w:szCs w:val="18"/>
              </w:rPr>
              <w:t>{%tr for cti in tdd.clinicalTrialInformationStr %}</w:t>
            </w:r>
          </w:p>
        </w:tc>
      </w:tr>
      <w:tr w14:paraId="4C4D0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6F1581E8">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27259C64">
            <w:pPr>
              <w:keepNext/>
              <w:jc w:val="center"/>
              <w:rPr>
                <w:rFonts w:hint="default" w:ascii="Times New Roman" w:hAnsi="Times New Roman" w:cs="Times New Roman"/>
                <w:bCs/>
                <w:sz w:val="18"/>
                <w:szCs w:val="18"/>
              </w:rPr>
            </w:pPr>
            <w:r>
              <w:rPr>
                <w:rFonts w:hint="default"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68ED6C96">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776BA289">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77475F1F">
            <w:pPr>
              <w:spacing w:before="1" w:line="249" w:lineRule="auto"/>
              <w:ind w:right="131"/>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for d in </w:t>
            </w:r>
            <w:r>
              <w:rPr>
                <w:rFonts w:hint="default" w:ascii="Times New Roman" w:hAnsi="Times New Roman" w:cs="Times New Roman"/>
                <w:bCs/>
                <w:sz w:val="18"/>
                <w:szCs w:val="18"/>
              </w:rPr>
              <w:t>cti.drug_name_chinese</w:t>
            </w:r>
            <w:r>
              <w:rPr>
                <w:rFonts w:hint="default" w:ascii="Times New Roman" w:hAnsi="Times New Roman" w:cs="Times New Roman"/>
                <w:sz w:val="18"/>
                <w:szCs w:val="18"/>
              </w:rPr>
              <w:t xml:space="preserve"> %}{%if loop.last%}{{ d.name }}{%else%}{{ d.name }}</w:t>
            </w:r>
          </w:p>
          <w:p w14:paraId="0819241F">
            <w:pPr>
              <w:keepNext/>
              <w:jc w:val="center"/>
              <w:rPr>
                <w:rFonts w:hint="default" w:ascii="Times New Roman" w:hAnsi="Times New Roman" w:cs="Times New Roman"/>
                <w:sz w:val="18"/>
                <w:szCs w:val="18"/>
              </w:rPr>
            </w:pPr>
            <w:r>
              <w:rPr>
                <w:rFonts w:hint="default"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478B767A">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cti.location_chinese }}</w:t>
            </w:r>
          </w:p>
        </w:tc>
      </w:tr>
      <w:tr w14:paraId="5161B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43593C0E">
            <w:pPr>
              <w:keepNext/>
              <w:spacing w:before="26"/>
              <w:jc w:val="center"/>
              <w:rPr>
                <w:rFonts w:hint="default" w:ascii="Times New Roman" w:hAnsi="Times New Roman" w:cs="Times New Roman"/>
                <w:bCs/>
                <w:sz w:val="18"/>
                <w:szCs w:val="18"/>
              </w:rPr>
            </w:pPr>
            <w:r>
              <w:rPr>
                <w:rFonts w:hint="default" w:ascii="Times New Roman" w:hAnsi="Times New Roman" w:cs="Times New Roman"/>
                <w:bCs/>
                <w:color w:val="2666A3"/>
                <w:sz w:val="18"/>
                <w:szCs w:val="18"/>
              </w:rPr>
              <w:t>{%tr endfor %}</w:t>
            </w:r>
          </w:p>
        </w:tc>
      </w:tr>
    </w:tbl>
    <w:p w14:paraId="2DB57DF8">
      <w:pPr>
        <w:pStyle w:val="48"/>
        <w:rPr>
          <w:rFonts w:hint="default" w:ascii="Times New Roman" w:hAnsi="Times New Roman" w:eastAsia="宋体" w:cs="Times New Roman"/>
          <w:color w:val="2666A3"/>
        </w:rPr>
      </w:pPr>
      <w:r>
        <w:rPr>
          <w:rFonts w:hint="default" w:ascii="Times New Roman" w:hAnsi="Times New Roman" w:eastAsia="宋体" w:cs="Times New Roman"/>
          <w:color w:val="2666A3"/>
        </w:rPr>
        <w:t>{% endif %}{% endfor %}{% for vus in unknownVarAnalysisStr %}</w:t>
      </w:r>
    </w:p>
    <w:p w14:paraId="26AE65D1">
      <w:pPr>
        <w:keepNext/>
        <w:widowControl/>
        <w:spacing w:before="240" w:beforeLines="100" w:line="260" w:lineRule="auto"/>
        <w:rPr>
          <w:rFonts w:hint="default" w:ascii="Times New Roman" w:hAnsi="Times New Roman" w:cs="Times New Roman"/>
          <w:b/>
          <w:color w:val="1F497D"/>
          <w:sz w:val="24"/>
          <w:szCs w:val="24"/>
        </w:rPr>
      </w:pPr>
      <w:r>
        <w:rPr>
          <w:rFonts w:hint="default" w:ascii="Times New Roman" w:hAnsi="Times New Roman" w:cs="Times New Roman"/>
          <w:b/>
          <w:color w:val="1F497D"/>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05B5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0B84CAC9">
            <w:pPr>
              <w:keepNext/>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突变形式</w:t>
            </w:r>
          </w:p>
        </w:tc>
        <w:tc>
          <w:tcPr>
            <w:tcW w:w="8027" w:type="dxa"/>
            <w:tcBorders>
              <w:top w:val="single" w:color="2666A3" w:sz="18" w:space="0"/>
              <w:left w:val="dotted" w:color="2666A3" w:sz="4" w:space="0"/>
              <w:bottom w:val="dotted" w:color="2666A3" w:sz="4" w:space="0"/>
              <w:right w:val="nil"/>
            </w:tcBorders>
            <w:vAlign w:val="center"/>
          </w:tcPr>
          <w:p w14:paraId="00643BEB">
            <w:pPr>
              <w:keepNext/>
              <w:rPr>
                <w:rFonts w:hint="default" w:ascii="Times New Roman" w:hAnsi="Times New Roman" w:cs="Times New Roman"/>
                <w:sz w:val="18"/>
                <w:szCs w:val="18"/>
              </w:rPr>
            </w:pPr>
            <w:r>
              <w:rPr>
                <w:rFonts w:hint="default"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default" w:ascii="Times New Roman" w:hAnsi="Times New Roman" w:eastAsia="宋体" w:cs="Times New Roman"/>
                <w:color w:val="000000"/>
                <w:sz w:val="18"/>
                <w:szCs w:val="18"/>
                <w:lang w:val="en-US" w:eastAsia="zh-CN"/>
              </w:rPr>
              <w:t xml:space="preserve"> == ‘Amplification’ %}扩增</w:t>
            </w:r>
            <w:r>
              <w:rPr>
                <w:rFonts w:hint="default"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default"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val="en-US" w:eastAsia="en-US"/>
              </w:rPr>
              <w:t>%}</w:t>
            </w:r>
            <w:r>
              <w:rPr>
                <w:rFonts w:hint="default"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default" w:ascii="Times New Roman" w:hAnsi="Times New Roman" w:eastAsia="宋体" w:cs="Times New Roman"/>
                <w:color w:val="000000"/>
                <w:sz w:val="18"/>
                <w:szCs w:val="18"/>
                <w:lang w:val="en-US" w:eastAsia="zh-CN"/>
              </w:rPr>
              <w:t>.ori_variant }}</w:t>
            </w:r>
            <w:r>
              <w:rPr>
                <w:rFonts w:hint="default" w:ascii="Times New Roman" w:hAnsi="Times New Roman" w:eastAsia="宋体" w:cs="Times New Roman"/>
                <w:color w:val="000000"/>
                <w:sz w:val="18"/>
                <w:szCs w:val="18"/>
                <w:lang w:val="en-US" w:eastAsia="en-US"/>
              </w:rPr>
              <w:t>{% endif</w:t>
            </w:r>
            <w:r>
              <w:rPr>
                <w:rFonts w:hint="default"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val="en-US" w:eastAsia="en-US"/>
              </w:rPr>
              <w:t>%}</w:t>
            </w:r>
          </w:p>
        </w:tc>
      </w:tr>
      <w:tr w14:paraId="0CFD74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6A3F7AC3">
            <w:pPr>
              <w:keepNext/>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突变说明</w:t>
            </w:r>
          </w:p>
        </w:tc>
        <w:tc>
          <w:tcPr>
            <w:tcW w:w="8027" w:type="dxa"/>
            <w:tcBorders>
              <w:top w:val="dotted" w:color="2666A3" w:sz="4" w:space="0"/>
              <w:left w:val="dotted" w:color="2666A3" w:sz="4" w:space="0"/>
              <w:bottom w:val="dotted" w:color="2666A3" w:sz="4" w:space="0"/>
              <w:right w:val="nil"/>
            </w:tcBorders>
            <w:vAlign w:val="center"/>
          </w:tcPr>
          <w:p w14:paraId="20558C8B">
            <w:pPr>
              <w:keepNext/>
              <w:rPr>
                <w:rFonts w:hint="default" w:ascii="Times New Roman" w:hAnsi="Times New Roman" w:cs="Times New Roman"/>
                <w:sz w:val="18"/>
                <w:szCs w:val="18"/>
              </w:rPr>
            </w:pPr>
            <w:r>
              <w:rPr>
                <w:rFonts w:hint="default" w:ascii="Times New Roman" w:hAnsi="Times New Roman" w:cs="Times New Roman"/>
                <w:color w:val="000000"/>
                <w:sz w:val="18"/>
                <w:szCs w:val="18"/>
              </w:rPr>
              <w:t>{{ vus.mutDesc }}</w:t>
            </w:r>
          </w:p>
        </w:tc>
      </w:tr>
      <w:tr w14:paraId="648D1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725B1D52">
            <w:pPr>
              <w:keepNext/>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基因说明</w:t>
            </w:r>
          </w:p>
        </w:tc>
        <w:tc>
          <w:tcPr>
            <w:tcW w:w="8027" w:type="dxa"/>
            <w:tcBorders>
              <w:top w:val="dotted" w:color="2666A3" w:sz="4" w:space="0"/>
              <w:left w:val="dotted" w:color="2666A3" w:sz="4" w:space="0"/>
              <w:bottom w:val="dotted" w:color="2666A3" w:sz="4" w:space="0"/>
              <w:right w:val="nil"/>
            </w:tcBorders>
            <w:vAlign w:val="center"/>
          </w:tcPr>
          <w:p w14:paraId="2C80CEDF">
            <w:pPr>
              <w:keepNext/>
              <w:rPr>
                <w:rFonts w:hint="default" w:ascii="Times New Roman" w:hAnsi="Times New Roman" w:cs="Times New Roman"/>
                <w:sz w:val="18"/>
                <w:szCs w:val="18"/>
              </w:rPr>
            </w:pPr>
            <w:r>
              <w:rPr>
                <w:rFonts w:hint="default" w:ascii="Times New Roman" w:hAnsi="Times New Roman" w:cs="Times New Roman"/>
                <w:sz w:val="18"/>
                <w:szCs w:val="18"/>
              </w:rPr>
              <w:t>{{ vus.gene_description_chinese }}</w:t>
            </w:r>
          </w:p>
        </w:tc>
      </w:tr>
    </w:tbl>
    <w:p w14:paraId="1320FC52">
      <w:pPr>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 endfor %}{% for tdd in ComplexDrugStr %}</w:t>
      </w:r>
    </w:p>
    <w:p w14:paraId="737C8F68">
      <w:pPr>
        <w:keepNext/>
        <w:widowControl/>
        <w:spacing w:before="240" w:beforeLines="100" w:line="260" w:lineRule="auto"/>
        <w:rPr>
          <w:rFonts w:hint="default" w:ascii="Times New Roman" w:hAnsi="Times New Roman" w:cs="Times New Roman"/>
          <w:b/>
          <w:color w:val="1F497D"/>
          <w:sz w:val="24"/>
          <w:szCs w:val="24"/>
        </w:rPr>
      </w:pPr>
      <w:r>
        <w:rPr>
          <w:rFonts w:hint="default" w:ascii="Times New Roman" w:hAnsi="Times New Roman" w:cs="Times New Roman"/>
          <w:b/>
          <w:color w:val="1F497D"/>
          <w:sz w:val="24"/>
          <w:szCs w:val="24"/>
        </w:rPr>
        <w:t>{{ tdd.comutation</w:t>
      </w:r>
      <w:r>
        <w:rPr>
          <w:rFonts w:hint="default" w:ascii="Times New Roman" w:hAnsi="Times New Roman" w:cs="Times New Roman"/>
          <w:b/>
          <w:color w:val="1F497D"/>
          <w:sz w:val="24"/>
          <w:szCs w:val="24"/>
          <w:lang w:val="en-US" w:eastAsia="zh-CN"/>
        </w:rPr>
        <w:t>1</w:t>
      </w:r>
      <w:r>
        <w:rPr>
          <w:rFonts w:hint="default" w:ascii="Times New Roman" w:hAnsi="Times New Roman" w:cs="Times New Roman"/>
          <w:b/>
          <w:color w:val="1F497D"/>
          <w:sz w:val="24"/>
          <w:szCs w:val="24"/>
        </w:rPr>
        <w:t xml:space="preserve">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4456BA8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PrEx>
        <w:trPr>
          <w:trHeight w:val="417" w:hRule="atLeast"/>
          <w:jc w:val="center"/>
        </w:trPr>
        <w:tc>
          <w:tcPr>
            <w:tcW w:w="1623" w:type="dxa"/>
            <w:gridSpan w:val="2"/>
            <w:tcBorders>
              <w:tl2br w:val="nil"/>
              <w:tr2bl w:val="nil"/>
            </w:tcBorders>
            <w:shd w:val="clear" w:color="auto" w:fill="auto"/>
            <w:vAlign w:val="center"/>
          </w:tcPr>
          <w:p w14:paraId="0C967CC6">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突变形式</w:t>
            </w:r>
          </w:p>
        </w:tc>
        <w:tc>
          <w:tcPr>
            <w:tcW w:w="8247" w:type="dxa"/>
            <w:tcBorders>
              <w:tl2br w:val="nil"/>
              <w:tr2bl w:val="nil"/>
            </w:tcBorders>
            <w:vAlign w:val="center"/>
          </w:tcPr>
          <w:p w14:paraId="043D724E">
            <w:pPr>
              <w:keepNext/>
              <w:spacing w:before="26"/>
              <w:jc w:val="center"/>
              <w:rPr>
                <w:rFonts w:hint="default" w:ascii="Times New Roman" w:hAnsi="Times New Roman" w:cs="Times New Roman"/>
                <w:bCs/>
                <w:sz w:val="18"/>
                <w:szCs w:val="18"/>
              </w:rPr>
            </w:pPr>
            <w:r>
              <w:rPr>
                <w:rFonts w:hint="default" w:ascii="Times New Roman" w:hAnsi="Times New Roman" w:eastAsia="微软雅黑" w:cs="Times New Roman"/>
                <w:bCs/>
                <w:sz w:val="18"/>
                <w:szCs w:val="18"/>
                <w:lang w:val="en-US" w:eastAsia="zh-CN"/>
              </w:rPr>
              <w:t>{{tdd.comutation}}</w:t>
            </w:r>
          </w:p>
        </w:tc>
      </w:tr>
      <w:tr w14:paraId="0F7D3C8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4E3FB778">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变异丰度</w:t>
            </w:r>
          </w:p>
        </w:tc>
        <w:tc>
          <w:tcPr>
            <w:tcW w:w="8247" w:type="dxa"/>
            <w:tcBorders>
              <w:tl2br w:val="nil"/>
              <w:tr2bl w:val="nil"/>
            </w:tcBorders>
            <w:vAlign w:val="center"/>
          </w:tcPr>
          <w:p w14:paraId="7D6E6748">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tdd.mutFreq }}</w:t>
            </w:r>
          </w:p>
        </w:tc>
      </w:tr>
      <w:tr w14:paraId="1F21F6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288CFC1">
            <w:pPr>
              <w:spacing w:before="1" w:line="250" w:lineRule="auto"/>
              <w:jc w:val="center"/>
              <w:rPr>
                <w:rFonts w:hint="default" w:ascii="Times New Roman" w:hAnsi="Times New Roman" w:cs="Times New Roman"/>
                <w:color w:val="2666A3"/>
                <w:sz w:val="18"/>
                <w:szCs w:val="18"/>
              </w:rPr>
            </w:pPr>
            <w:r>
              <w:rPr>
                <w:rFonts w:hint="default" w:ascii="Times New Roman" w:hAnsi="Times New Roman" w:cs="Times New Roman"/>
                <w:b/>
                <w:color w:val="2666A3"/>
                <w:sz w:val="18"/>
                <w:szCs w:val="18"/>
              </w:rPr>
              <w:t>潜在获益药物</w:t>
            </w:r>
          </w:p>
        </w:tc>
        <w:tc>
          <w:tcPr>
            <w:tcW w:w="1191" w:type="dxa"/>
            <w:tcBorders>
              <w:tl2br w:val="nil"/>
              <w:tr2bl w:val="nil"/>
            </w:tcBorders>
            <w:shd w:val="clear" w:color="auto" w:fill="auto"/>
            <w:vAlign w:val="center"/>
          </w:tcPr>
          <w:p w14:paraId="6596F37B">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6B07A3C0">
            <w:pPr>
              <w:spacing w:before="1" w:line="250" w:lineRule="auto"/>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tdd.drugaStr == [] %}无{% else%}{% for d in tdd.drugaStr %}{%if loop.last%}{{ d.nameLevel }}{%else%}{{ d.nameLevel }}，{%endif%}{% endfor %}{% endif%}</w:t>
            </w:r>
          </w:p>
        </w:tc>
      </w:tr>
      <w:tr w14:paraId="6FB68C8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4F7D990">
            <w:pPr>
              <w:spacing w:before="1" w:line="250" w:lineRule="auto"/>
              <w:jc w:val="center"/>
              <w:rPr>
                <w:rFonts w:hint="default"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3624FF6">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4DA28AE0">
            <w:pPr>
              <w:keepNext/>
              <w:spacing w:before="26"/>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tdd.drugbStr == [] %}无{% else%}{% for d in tdd.drugbStr %}{%if loop.last%}{{ d.nameLevel }}{%else%}{{ d.nameLevel }}，{%endif%}{% endfor %}{% endif%}</w:t>
            </w:r>
          </w:p>
        </w:tc>
      </w:tr>
      <w:tr w14:paraId="642D912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93A69D1">
            <w:pPr>
              <w:spacing w:before="1" w:line="250" w:lineRule="auto"/>
              <w:jc w:val="center"/>
              <w:rPr>
                <w:rFonts w:hint="default"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0FA4F1D">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7DBA03B7">
            <w:pPr>
              <w:keepNext/>
              <w:spacing w:before="26"/>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tdd.drugcStr == [] %}无{% else%}{% for d in tdd.drugcStr %}{%if loop.last%}{{ d.nameLevel }}{%else%}{{ d.nameLevel }}，{%endif%}{% endfor %}{% endif%}</w:t>
            </w:r>
          </w:p>
        </w:tc>
      </w:tr>
      <w:tr w14:paraId="1B3BF832">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3270B0B">
            <w:pPr>
              <w:spacing w:before="1" w:line="250" w:lineRule="auto"/>
              <w:jc w:val="center"/>
              <w:rPr>
                <w:rFonts w:hint="default"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4BDF7877">
            <w:pPr>
              <w:spacing w:before="1" w:line="250" w:lineRule="auto"/>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571D5468">
            <w:pPr>
              <w:keepNext/>
              <w:spacing w:before="26"/>
              <w:jc w:val="center"/>
              <w:rPr>
                <w:rFonts w:hint="default" w:ascii="Times New Roman" w:hAnsi="Times New Roman" w:cs="Times New Roman"/>
                <w:b/>
                <w:color w:val="FFFFFF" w:themeColor="background1"/>
                <w:sz w:val="18"/>
                <w:szCs w:val="18"/>
                <w14:textFill>
                  <w14:solidFill>
                    <w14:schemeClr w14:val="bg1"/>
                  </w14:solidFill>
                </w14:textFill>
              </w:rPr>
            </w:pPr>
            <w:r>
              <w:rPr>
                <w:rFonts w:hint="default" w:ascii="Times New Roman" w:hAnsi="Times New Roman" w:cs="Times New Roman"/>
                <w:sz w:val="18"/>
                <w:szCs w:val="18"/>
              </w:rPr>
              <w:t>{% if tdd.drugdStr == [] %}无{% else%}{% for d in tdd.drugdStr %}{%if loop.last%}{{ d.nameLevel }}{%else%}{{ d.nameLevel }}，{%endif%}{% endfor %}{% endif%}</w:t>
            </w:r>
          </w:p>
        </w:tc>
      </w:tr>
      <w:tr w14:paraId="3AFE7E0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PrEx>
        <w:trPr>
          <w:trHeight w:val="474" w:hRule="atLeast"/>
          <w:jc w:val="center"/>
        </w:trPr>
        <w:tc>
          <w:tcPr>
            <w:tcW w:w="432" w:type="dxa"/>
            <w:vMerge w:val="restart"/>
            <w:tcBorders>
              <w:tl2br w:val="nil"/>
              <w:tr2bl w:val="nil"/>
            </w:tcBorders>
            <w:shd w:val="clear" w:color="auto" w:fill="auto"/>
            <w:vAlign w:val="center"/>
          </w:tcPr>
          <w:p w14:paraId="66AD448B">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潜在耐药信息</w:t>
            </w:r>
          </w:p>
        </w:tc>
        <w:tc>
          <w:tcPr>
            <w:tcW w:w="1191" w:type="dxa"/>
            <w:tcBorders>
              <w:tl2br w:val="nil"/>
              <w:tr2bl w:val="nil"/>
            </w:tcBorders>
            <w:shd w:val="clear" w:color="auto" w:fill="auto"/>
            <w:vAlign w:val="center"/>
          </w:tcPr>
          <w:p w14:paraId="202B730C">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3DE95213">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tdd.resistantaStr == [] %}无{% else%}{% for d in tdd.resistantaStr %}{%if loop.last%}{{ d.nameLevel }}{%else%}{{ d.nameLevel }}，{%endif%}{% endfor %}{% endif%}</w:t>
            </w:r>
          </w:p>
        </w:tc>
      </w:tr>
      <w:tr w14:paraId="65B6E516">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PrEx>
        <w:trPr>
          <w:trHeight w:val="474" w:hRule="atLeast"/>
          <w:jc w:val="center"/>
        </w:trPr>
        <w:tc>
          <w:tcPr>
            <w:tcW w:w="432" w:type="dxa"/>
            <w:vMerge w:val="continue"/>
            <w:tcBorders>
              <w:tl2br w:val="nil"/>
              <w:tr2bl w:val="nil"/>
            </w:tcBorders>
            <w:shd w:val="clear" w:color="auto" w:fill="auto"/>
            <w:vAlign w:val="center"/>
          </w:tcPr>
          <w:p w14:paraId="5035347F">
            <w:pPr>
              <w:keepNext/>
              <w:spacing w:before="26"/>
              <w:jc w:val="center"/>
              <w:rPr>
                <w:rFonts w:hint="default"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242BCC32">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3F456EC2">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tdd.resistantbStr == [] %}无{% else%}{% for d in tdd.resistantbStr %}{%if loop.last%}{{ d.nameLevel }}{%else%}{{ d.nameLevel }}，{%endif%}{% endfor %}{% endif%}</w:t>
            </w:r>
          </w:p>
        </w:tc>
      </w:tr>
      <w:tr w14:paraId="3F90CA7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7F6A50">
            <w:pPr>
              <w:keepNext/>
              <w:spacing w:before="26"/>
              <w:jc w:val="center"/>
              <w:rPr>
                <w:rFonts w:hint="default"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71E596E">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025986B0">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tdd.resistantcStr == [] %}无{% else%}{% for d in tdd.resistantcStr %}{%if loop.last%}{{ d.nameLevel }}{%else%}{{ d.nameLevel }}，{%endif%}{% endfor %}{% endif%}</w:t>
            </w:r>
          </w:p>
        </w:tc>
      </w:tr>
      <w:tr w14:paraId="760AA45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0B4A189">
            <w:pPr>
              <w:keepNext/>
              <w:spacing w:before="26"/>
              <w:jc w:val="center"/>
              <w:rPr>
                <w:rFonts w:hint="default"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CA5CEE0">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1FFE3381">
            <w:pPr>
              <w:keepNext/>
              <w:spacing w:before="26"/>
              <w:jc w:val="center"/>
              <w:rPr>
                <w:rFonts w:hint="default" w:ascii="Times New Roman" w:hAnsi="Times New Roman" w:cs="Times New Roman"/>
                <w:sz w:val="18"/>
                <w:szCs w:val="18"/>
              </w:rPr>
            </w:pPr>
            <w:r>
              <w:rPr>
                <w:rFonts w:hint="default" w:ascii="Times New Roman" w:hAnsi="Times New Roman" w:cs="Times New Roman"/>
                <w:sz w:val="18"/>
                <w:szCs w:val="18"/>
              </w:rPr>
              <w:t>{% if tdd.resistantdStr == [] %}无{% else%}{% for d in tdd.resistantdStr %}{%if loop.last%}{{ d.nameLevel }}{%else%}{{ d.nameLevel }}，{%endif%}{% endfor %}{% endif%}</w:t>
            </w:r>
          </w:p>
        </w:tc>
      </w:tr>
      <w:tr w14:paraId="1977B8D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114EAA12">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基因突变相关说明</w:t>
            </w:r>
          </w:p>
        </w:tc>
        <w:tc>
          <w:tcPr>
            <w:tcW w:w="8247" w:type="dxa"/>
            <w:tcBorders>
              <w:tl2br w:val="nil"/>
              <w:tr2bl w:val="nil"/>
            </w:tcBorders>
            <w:vAlign w:val="center"/>
          </w:tcPr>
          <w:p w14:paraId="11DF24B9">
            <w:pPr>
              <w:keepNext/>
              <w:spacing w:before="26"/>
              <w:rPr>
                <w:rFonts w:hint="default" w:ascii="Times New Roman" w:hAnsi="Times New Roman" w:cs="Times New Roman"/>
                <w:sz w:val="18"/>
                <w:szCs w:val="18"/>
              </w:rPr>
            </w:pPr>
            <w:r>
              <w:rPr>
                <w:rFonts w:hint="default" w:ascii="Times New Roman" w:hAnsi="Times New Roman" w:cs="Times New Roman"/>
                <w:sz w:val="18"/>
                <w:szCs w:val="18"/>
              </w:rPr>
              <w:t>{% for md in tdd.medicationDescription %}{% if md.key == '突变说明:' %}</w:t>
            </w:r>
            <w:r>
              <w:rPr>
                <w:rFonts w:hint="default" w:ascii="Times New Roman" w:hAnsi="Times New Roman" w:cs="Times New Roman"/>
                <w:b/>
                <w:bCs/>
                <w:sz w:val="18"/>
                <w:szCs w:val="18"/>
              </w:rPr>
              <w:t>{{md.key}}</w:t>
            </w:r>
            <w:r>
              <w:rPr>
                <w:rFonts w:hint="default" w:ascii="Times New Roman" w:hAnsi="Times New Roman" w:cs="Times New Roman"/>
                <w:sz w:val="18"/>
                <w:szCs w:val="18"/>
              </w:rPr>
              <w:t>{{md.value}}{% elif md.value == '' %}{% else%}</w:t>
            </w:r>
            <w:r>
              <w:rPr>
                <w:rFonts w:hint="default" w:ascii="Times New Roman" w:hAnsi="Times New Roman" w:cs="Times New Roman"/>
                <w:b/>
                <w:bCs/>
                <w:sz w:val="18"/>
                <w:szCs w:val="18"/>
              </w:rPr>
              <w:t>{{md.key}}</w:t>
            </w:r>
            <w:r>
              <w:rPr>
                <w:rFonts w:hint="default" w:ascii="Times New Roman" w:hAnsi="Times New Roman" w:cs="Times New Roman"/>
                <w:sz w:val="18"/>
                <w:szCs w:val="18"/>
              </w:rPr>
              <w:t>{{md.value}}</w:t>
            </w:r>
          </w:p>
          <w:p w14:paraId="389078D1">
            <w:pPr>
              <w:keepNext/>
              <w:spacing w:before="26"/>
              <w:rPr>
                <w:rFonts w:hint="default" w:ascii="Times New Roman" w:hAnsi="Times New Roman" w:cs="Times New Roman"/>
                <w:sz w:val="18"/>
                <w:szCs w:val="18"/>
              </w:rPr>
            </w:pPr>
            <w:r>
              <w:rPr>
                <w:rFonts w:hint="default" w:ascii="Times New Roman" w:hAnsi="Times New Roman" w:cs="Times New Roman"/>
                <w:sz w:val="18"/>
                <w:szCs w:val="18"/>
              </w:rPr>
              <w:t>{% endif %}{% endfor %}</w:t>
            </w:r>
          </w:p>
        </w:tc>
      </w:tr>
    </w:tbl>
    <w:p w14:paraId="20FA5AC2">
      <w:pPr>
        <w:spacing w:before="26"/>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{%if tdd.drugResearchList != [] %}</w:t>
      </w:r>
    </w:p>
    <w:p w14:paraId="3F7891BA">
      <w:pPr>
        <w:keepNext/>
        <w:spacing w:before="26"/>
        <w:rPr>
          <w:rFonts w:hint="default" w:ascii="Times New Roman" w:hAnsi="Times New Roman" w:cs="Times New Roman"/>
          <w:b/>
          <w:color w:val="1F497D"/>
          <w:sz w:val="24"/>
        </w:rPr>
      </w:pPr>
      <w:r>
        <w:rPr>
          <w:rFonts w:hint="default"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5D3C19C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F7B70D4">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0DA429D8">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相关疾病</w:t>
            </w:r>
          </w:p>
        </w:tc>
        <w:tc>
          <w:tcPr>
            <w:tcW w:w="1232" w:type="dxa"/>
            <w:tcBorders>
              <w:tl2br w:val="nil"/>
              <w:tr2bl w:val="nil"/>
            </w:tcBorders>
            <w:shd w:val="clear" w:color="auto" w:fill="auto"/>
            <w:vAlign w:val="center"/>
          </w:tcPr>
          <w:p w14:paraId="6DE5F91D">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证据等级</w:t>
            </w:r>
          </w:p>
        </w:tc>
        <w:tc>
          <w:tcPr>
            <w:tcW w:w="5695" w:type="dxa"/>
            <w:tcBorders>
              <w:tl2br w:val="nil"/>
              <w:tr2bl w:val="nil"/>
            </w:tcBorders>
            <w:shd w:val="clear" w:color="auto" w:fill="auto"/>
            <w:vAlign w:val="center"/>
          </w:tcPr>
          <w:p w14:paraId="2A92CFD6">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循证医学信息</w:t>
            </w:r>
          </w:p>
        </w:tc>
      </w:tr>
      <w:tr w14:paraId="152D17DD">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B61413">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b/>
                <w:color w:val="2666A3"/>
                <w:sz w:val="18"/>
                <w:szCs w:val="18"/>
              </w:rPr>
              <w:t>{%tr for dis in tdd.drugResearchList %}</w:t>
            </w:r>
          </w:p>
        </w:tc>
      </w:tr>
      <w:tr w14:paraId="5F29D9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DF92F88">
            <w:pPr>
              <w:spacing w:before="1" w:line="249" w:lineRule="auto"/>
              <w:ind w:right="131"/>
              <w:jc w:val="center"/>
              <w:rPr>
                <w:rFonts w:hint="default" w:ascii="Times New Roman" w:hAnsi="Times New Roman" w:cs="Times New Roman"/>
                <w:b/>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dis.drug_name_chinese3</w:t>
            </w:r>
            <w:r>
              <w:rPr>
                <w:rFonts w:hint="default" w:ascii="Times New Roman" w:hAnsi="Times New Roman" w:cs="Times New Roman"/>
                <w:sz w:val="18"/>
                <w:szCs w:val="18"/>
              </w:rPr>
              <w:t xml:space="preserve"> }}</w:t>
            </w:r>
          </w:p>
        </w:tc>
        <w:tc>
          <w:tcPr>
            <w:tcW w:w="1417" w:type="dxa"/>
            <w:tcBorders>
              <w:tl2br w:val="nil"/>
              <w:tr2bl w:val="nil"/>
            </w:tcBorders>
            <w:vAlign w:val="center"/>
          </w:tcPr>
          <w:p w14:paraId="5BA161BA">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{{dis.</w:t>
            </w:r>
            <w:r>
              <w:rPr>
                <w:rFonts w:hint="default" w:ascii="Times New Roman" w:hAnsi="Times New Roman" w:cs="Times New Roman"/>
                <w:bCs/>
                <w:sz w:val="18"/>
                <w:szCs w:val="18"/>
              </w:rPr>
              <w:t>disease_name_chinese</w:t>
            </w:r>
            <w:r>
              <w:rPr>
                <w:rFonts w:hint="default" w:ascii="Times New Roman" w:hAnsi="Times New Roman" w:cs="Times New Roman"/>
                <w:sz w:val="18"/>
                <w:szCs w:val="18"/>
              </w:rPr>
              <w:t>}}</w:t>
            </w:r>
          </w:p>
        </w:tc>
        <w:tc>
          <w:tcPr>
            <w:tcW w:w="1232" w:type="dxa"/>
            <w:tcBorders>
              <w:tl2br w:val="nil"/>
              <w:tr2bl w:val="nil"/>
            </w:tcBorders>
            <w:vAlign w:val="center"/>
          </w:tcPr>
          <w:p w14:paraId="592EF702">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dis.evidence_phase_chinese</w:t>
            </w:r>
            <w:r>
              <w:rPr>
                <w:rFonts w:hint="default" w:ascii="Times New Roman" w:hAnsi="Times New Roman" w:cs="Times New Roman"/>
                <w:sz w:val="18"/>
                <w:szCs w:val="18"/>
              </w:rPr>
              <w:t>}}</w:t>
            </w:r>
          </w:p>
        </w:tc>
        <w:tc>
          <w:tcPr>
            <w:tcW w:w="5695" w:type="dxa"/>
            <w:tcBorders>
              <w:tl2br w:val="nil"/>
              <w:tr2bl w:val="nil"/>
            </w:tcBorders>
            <w:vAlign w:val="center"/>
          </w:tcPr>
          <w:p w14:paraId="79C6EAC7">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dis.annotation_chinese</w:t>
            </w:r>
            <w:r>
              <w:rPr>
                <w:rFonts w:hint="default" w:ascii="Times New Roman" w:hAnsi="Times New Roman" w:cs="Times New Roman"/>
                <w:sz w:val="18"/>
                <w:szCs w:val="18"/>
              </w:rPr>
              <w:t>}}</w:t>
            </w:r>
          </w:p>
        </w:tc>
      </w:tr>
      <w:tr w14:paraId="6379543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879559">
            <w:pPr>
              <w:keepNext/>
              <w:spacing w:before="26"/>
              <w:jc w:val="center"/>
              <w:rPr>
                <w:rFonts w:hint="default" w:ascii="Times New Roman" w:hAnsi="Times New Roman" w:cs="Times New Roman"/>
                <w:bCs/>
                <w:sz w:val="18"/>
                <w:szCs w:val="18"/>
              </w:rPr>
            </w:pPr>
            <w:r>
              <w:rPr>
                <w:rFonts w:hint="default" w:ascii="Times New Roman" w:hAnsi="Times New Roman" w:cs="Times New Roman"/>
                <w:b/>
                <w:color w:val="2666A3"/>
                <w:sz w:val="18"/>
                <w:szCs w:val="18"/>
              </w:rPr>
              <w:t>{%tr endfor %}</w:t>
            </w:r>
          </w:p>
        </w:tc>
      </w:tr>
    </w:tbl>
    <w:p w14:paraId="40A1B15B">
      <w:pPr>
        <w:spacing w:before="26"/>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 endif %}{%if tdd.potentialDrugList != [] %}</w:t>
      </w:r>
    </w:p>
    <w:p w14:paraId="161DB9F1">
      <w:pPr>
        <w:keepNext/>
        <w:spacing w:before="26"/>
        <w:rPr>
          <w:rFonts w:hint="default" w:ascii="Times New Roman" w:hAnsi="Times New Roman" w:cs="Times New Roman"/>
          <w:b/>
          <w:color w:val="1F497D"/>
          <w:sz w:val="24"/>
        </w:rPr>
      </w:pPr>
      <w:r>
        <w:rPr>
          <w:rFonts w:hint="default"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1A731C0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D7309C7">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114AC5C0">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相关疾病</w:t>
            </w:r>
          </w:p>
        </w:tc>
        <w:tc>
          <w:tcPr>
            <w:tcW w:w="1261" w:type="dxa"/>
            <w:tcBorders>
              <w:tl2br w:val="nil"/>
              <w:tr2bl w:val="nil"/>
            </w:tcBorders>
            <w:shd w:val="clear" w:color="auto" w:fill="auto"/>
            <w:vAlign w:val="center"/>
          </w:tcPr>
          <w:p w14:paraId="7C9121E6">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证据等级</w:t>
            </w:r>
          </w:p>
        </w:tc>
        <w:tc>
          <w:tcPr>
            <w:tcW w:w="5666" w:type="dxa"/>
            <w:tcBorders>
              <w:tl2br w:val="nil"/>
              <w:tr2bl w:val="nil"/>
            </w:tcBorders>
            <w:shd w:val="clear" w:color="auto" w:fill="auto"/>
            <w:vAlign w:val="center"/>
          </w:tcPr>
          <w:p w14:paraId="66CE7BE0">
            <w:pPr>
              <w:keepNext/>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循证医学信息</w:t>
            </w:r>
          </w:p>
        </w:tc>
      </w:tr>
      <w:tr w14:paraId="0D31AA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D067E8C">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b/>
                <w:color w:val="2666A3"/>
                <w:sz w:val="18"/>
                <w:szCs w:val="18"/>
              </w:rPr>
              <w:t>{%tr for dis in tdd.potentialDrugList %}</w:t>
            </w:r>
          </w:p>
        </w:tc>
      </w:tr>
      <w:tr w14:paraId="7E708325">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5643B8A">
            <w:pPr>
              <w:spacing w:before="1" w:line="249" w:lineRule="auto"/>
              <w:ind w:right="131"/>
              <w:jc w:val="center"/>
              <w:rPr>
                <w:rFonts w:hint="default" w:ascii="Times New Roman" w:hAnsi="Times New Roman" w:cs="Times New Roman"/>
                <w:b/>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dis.drug_name_chinese3</w:t>
            </w:r>
            <w:r>
              <w:rPr>
                <w:rFonts w:hint="default" w:ascii="Times New Roman" w:hAnsi="Times New Roman" w:cs="Times New Roman"/>
                <w:sz w:val="18"/>
                <w:szCs w:val="18"/>
              </w:rPr>
              <w:t xml:space="preserve"> }}</w:t>
            </w:r>
          </w:p>
        </w:tc>
        <w:tc>
          <w:tcPr>
            <w:tcW w:w="1417" w:type="dxa"/>
            <w:tcBorders>
              <w:tl2br w:val="nil"/>
              <w:tr2bl w:val="nil"/>
            </w:tcBorders>
            <w:vAlign w:val="center"/>
          </w:tcPr>
          <w:p w14:paraId="314D0775">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{{dis.</w:t>
            </w:r>
            <w:r>
              <w:rPr>
                <w:rFonts w:hint="default" w:ascii="Times New Roman" w:hAnsi="Times New Roman" w:cs="Times New Roman"/>
                <w:bCs/>
                <w:sz w:val="18"/>
                <w:szCs w:val="18"/>
              </w:rPr>
              <w:t>disease_name_chinese</w:t>
            </w:r>
            <w:r>
              <w:rPr>
                <w:rFonts w:hint="default" w:ascii="Times New Roman" w:hAnsi="Times New Roman" w:cs="Times New Roman"/>
                <w:sz w:val="18"/>
                <w:szCs w:val="18"/>
              </w:rPr>
              <w:t>}}</w:t>
            </w:r>
          </w:p>
        </w:tc>
        <w:tc>
          <w:tcPr>
            <w:tcW w:w="1261" w:type="dxa"/>
            <w:tcBorders>
              <w:tl2br w:val="nil"/>
              <w:tr2bl w:val="nil"/>
            </w:tcBorders>
            <w:vAlign w:val="center"/>
          </w:tcPr>
          <w:p w14:paraId="7323E3AD">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dis.evidence_phase_chinese</w:t>
            </w:r>
            <w:r>
              <w:rPr>
                <w:rFonts w:hint="default" w:ascii="Times New Roman" w:hAnsi="Times New Roman" w:cs="Times New Roman"/>
                <w:sz w:val="18"/>
                <w:szCs w:val="18"/>
              </w:rPr>
              <w:t>}}</w:t>
            </w:r>
          </w:p>
        </w:tc>
        <w:tc>
          <w:tcPr>
            <w:tcW w:w="5666" w:type="dxa"/>
            <w:tcBorders>
              <w:tl2br w:val="nil"/>
              <w:tr2bl w:val="nil"/>
            </w:tcBorders>
            <w:vAlign w:val="center"/>
          </w:tcPr>
          <w:p w14:paraId="42E24B53">
            <w:pPr>
              <w:keepNext/>
              <w:spacing w:before="26"/>
              <w:jc w:val="center"/>
              <w:rPr>
                <w:rFonts w:hint="default" w:ascii="Times New Roman" w:hAnsi="Times New Roman" w:cs="Times New Roman"/>
                <w:bCs/>
                <w:sz w:val="18"/>
                <w:szCs w:val="18"/>
                <w:highlight w:val="yellow"/>
              </w:rPr>
            </w:pPr>
            <w:r>
              <w:rPr>
                <w:rFonts w:hint="default" w:ascii="Times New Roman" w:hAnsi="Times New Roman" w:cs="Times New Roman"/>
                <w:sz w:val="18"/>
                <w:szCs w:val="18"/>
              </w:rPr>
              <w:t>{{</w:t>
            </w:r>
            <w:r>
              <w:rPr>
                <w:rFonts w:hint="default" w:ascii="Times New Roman" w:hAnsi="Times New Roman" w:cs="Times New Roman"/>
                <w:bCs/>
                <w:sz w:val="18"/>
                <w:szCs w:val="18"/>
              </w:rPr>
              <w:t>dis.annotation_chinese</w:t>
            </w:r>
            <w:r>
              <w:rPr>
                <w:rFonts w:hint="default" w:ascii="Times New Roman" w:hAnsi="Times New Roman" w:cs="Times New Roman"/>
                <w:sz w:val="18"/>
                <w:szCs w:val="18"/>
              </w:rPr>
              <w:t>}}</w:t>
            </w:r>
          </w:p>
        </w:tc>
      </w:tr>
      <w:tr w14:paraId="43615ED5">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D641408">
            <w:pPr>
              <w:keepNext/>
              <w:spacing w:before="26"/>
              <w:jc w:val="center"/>
              <w:rPr>
                <w:rFonts w:hint="default" w:ascii="Times New Roman" w:hAnsi="Times New Roman" w:cs="Times New Roman"/>
                <w:bCs/>
                <w:sz w:val="18"/>
                <w:szCs w:val="18"/>
              </w:rPr>
            </w:pPr>
            <w:r>
              <w:rPr>
                <w:rFonts w:hint="default" w:ascii="Times New Roman" w:hAnsi="Times New Roman" w:cs="Times New Roman"/>
                <w:b/>
                <w:color w:val="2666A3"/>
                <w:sz w:val="18"/>
                <w:szCs w:val="18"/>
              </w:rPr>
              <w:t>{%tr endfor %}</w:t>
            </w:r>
          </w:p>
        </w:tc>
      </w:tr>
    </w:tbl>
    <w:p w14:paraId="097FE8C0">
      <w:pPr>
        <w:spacing w:before="26"/>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 endif %}{%if tdd.clinicalTrialInformationStr!= [] %}</w:t>
      </w:r>
    </w:p>
    <w:p w14:paraId="0B10B949">
      <w:pPr>
        <w:keepNext/>
        <w:spacing w:before="26"/>
        <w:rPr>
          <w:rFonts w:hint="default" w:ascii="Times New Roman" w:hAnsi="Times New Roman" w:cs="Times New Roman"/>
          <w:b/>
          <w:color w:val="1F497D"/>
          <w:sz w:val="24"/>
        </w:rPr>
      </w:pPr>
      <w:r>
        <w:rPr>
          <w:rFonts w:hint="default"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7353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1BA0ED74">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7C23D02">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1AB1C3D">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C6737EF">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D9BB9D">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01FF768B">
            <w:pPr>
              <w:keepNext/>
              <w:spacing w:before="26"/>
              <w:jc w:val="center"/>
              <w:rPr>
                <w:rFonts w:hint="default" w:ascii="Times New Roman" w:hAnsi="Times New Roman" w:cs="Times New Roman"/>
                <w:b/>
                <w:color w:val="2666A3"/>
                <w:sz w:val="18"/>
                <w:szCs w:val="18"/>
              </w:rPr>
            </w:pPr>
            <w:r>
              <w:rPr>
                <w:rFonts w:hint="default" w:ascii="Times New Roman" w:hAnsi="Times New Roman" w:cs="Times New Roman"/>
                <w:b/>
                <w:color w:val="2666A3"/>
                <w:sz w:val="18"/>
                <w:szCs w:val="18"/>
              </w:rPr>
              <w:t>地点</w:t>
            </w:r>
          </w:p>
        </w:tc>
      </w:tr>
      <w:tr w14:paraId="4048F4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2352F335">
            <w:pPr>
              <w:keepNext/>
              <w:spacing w:before="26"/>
              <w:jc w:val="center"/>
              <w:rPr>
                <w:rFonts w:hint="default" w:ascii="Times New Roman" w:hAnsi="Times New Roman" w:cs="Times New Roman"/>
                <w:bCs/>
                <w:sz w:val="18"/>
                <w:szCs w:val="18"/>
              </w:rPr>
            </w:pPr>
            <w:r>
              <w:rPr>
                <w:rFonts w:hint="default" w:ascii="Times New Roman" w:hAnsi="Times New Roman" w:cs="Times New Roman"/>
                <w:b/>
                <w:sz w:val="18"/>
                <w:szCs w:val="18"/>
              </w:rPr>
              <w:t>{%tr for cti in tdd.clinicalTrialInformationStr %}</w:t>
            </w:r>
          </w:p>
        </w:tc>
      </w:tr>
      <w:tr w14:paraId="1E44D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49D88779">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12D216E9">
            <w:pPr>
              <w:keepNext/>
              <w:jc w:val="center"/>
              <w:rPr>
                <w:rFonts w:hint="default" w:ascii="Times New Roman" w:hAnsi="Times New Roman" w:cs="Times New Roman"/>
                <w:bCs/>
                <w:sz w:val="18"/>
                <w:szCs w:val="18"/>
              </w:rPr>
            </w:pPr>
            <w:r>
              <w:rPr>
                <w:rFonts w:hint="default"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20C595FA">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7176D8A">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38D2192E">
            <w:pPr>
              <w:spacing w:before="1" w:line="249" w:lineRule="auto"/>
              <w:ind w:right="131"/>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for d in </w:t>
            </w:r>
            <w:r>
              <w:rPr>
                <w:rFonts w:hint="default" w:ascii="Times New Roman" w:hAnsi="Times New Roman" w:cs="Times New Roman"/>
                <w:bCs/>
                <w:sz w:val="18"/>
                <w:szCs w:val="18"/>
              </w:rPr>
              <w:t>cti.drug_name_chinese</w:t>
            </w:r>
            <w:r>
              <w:rPr>
                <w:rFonts w:hint="default" w:ascii="Times New Roman" w:hAnsi="Times New Roman" w:cs="Times New Roman"/>
                <w:sz w:val="18"/>
                <w:szCs w:val="18"/>
              </w:rPr>
              <w:t xml:space="preserve"> %}{%if loop.last%}{{ d.name }}{%else%}{{ d.name }}</w:t>
            </w:r>
          </w:p>
          <w:p w14:paraId="6F1CCF94">
            <w:pPr>
              <w:keepNext/>
              <w:jc w:val="center"/>
              <w:rPr>
                <w:rFonts w:hint="default" w:ascii="Times New Roman" w:hAnsi="Times New Roman" w:cs="Times New Roman"/>
                <w:sz w:val="18"/>
                <w:szCs w:val="18"/>
              </w:rPr>
            </w:pPr>
            <w:r>
              <w:rPr>
                <w:rFonts w:hint="default"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3F5440C0">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 cti.location_chinese }}</w:t>
            </w:r>
          </w:p>
        </w:tc>
      </w:tr>
      <w:tr w14:paraId="6F149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5170CA7A">
            <w:pPr>
              <w:keepNext/>
              <w:spacing w:before="26"/>
              <w:jc w:val="center"/>
              <w:rPr>
                <w:rFonts w:hint="default" w:ascii="Times New Roman" w:hAnsi="Times New Roman" w:cs="Times New Roman"/>
                <w:bCs/>
                <w:sz w:val="18"/>
                <w:szCs w:val="18"/>
              </w:rPr>
            </w:pPr>
            <w:r>
              <w:rPr>
                <w:rFonts w:hint="default" w:ascii="Times New Roman" w:hAnsi="Times New Roman" w:cs="Times New Roman"/>
                <w:bCs/>
                <w:sz w:val="18"/>
                <w:szCs w:val="18"/>
              </w:rPr>
              <w:t>{%tr endfor %}</w:t>
            </w:r>
          </w:p>
        </w:tc>
      </w:tr>
    </w:tbl>
    <w:p w14:paraId="035DD0B5">
      <w:pPr>
        <w:rPr>
          <w:rFonts w:hint="default" w:ascii="Times New Roman" w:hAnsi="Times New Roman" w:cs="Times New Roman"/>
          <w:b/>
          <w:color w:val="2666A3"/>
          <w:sz w:val="24"/>
          <w:szCs w:val="24"/>
        </w:rPr>
      </w:pPr>
      <w:r>
        <w:rPr>
          <w:rFonts w:hint="default" w:ascii="Times New Roman" w:hAnsi="Times New Roman" w:cs="Times New Roman"/>
          <w:b/>
          <w:color w:val="2666A3"/>
          <w:sz w:val="24"/>
          <w:szCs w:val="24"/>
        </w:rPr>
        <w:t>{% endif %}{% endfor %}</w:t>
      </w:r>
    </w:p>
    <w:p w14:paraId="411C5059">
      <w:pPr>
        <w:rPr>
          <w:rFonts w:hint="default" w:ascii="Times New Roman" w:hAnsi="Times New Roman" w:cs="Times New Roman"/>
          <w:b/>
          <w:sz w:val="18"/>
        </w:rPr>
      </w:pPr>
      <w:r>
        <w:rPr>
          <w:rFonts w:hint="default" w:ascii="Times New Roman" w:hAnsi="Times New Roman" w:cs="Times New Roman"/>
          <w:b/>
          <w:sz w:val="18"/>
        </w:rPr>
        <w:t>注：</w:t>
      </w:r>
    </w:p>
    <w:p w14:paraId="764340B1">
      <w:pPr>
        <w:pStyle w:val="41"/>
        <w:numPr>
          <w:ilvl w:val="0"/>
          <w:numId w:val="2"/>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0D15C8C1">
      <w:pPr>
        <w:pStyle w:val="41"/>
        <w:numPr>
          <w:ilvl w:val="0"/>
          <w:numId w:val="2"/>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指南推荐指在NCCN\CSCO\ASCO\ESMO指南中有明确的表格或文字说明，有本癌种该位点突变可获益的靶向药。</w:t>
      </w:r>
    </w:p>
    <w:p w14:paraId="17C350BC">
      <w:pPr>
        <w:pStyle w:val="41"/>
        <w:numPr>
          <w:ilvl w:val="0"/>
          <w:numId w:val="2"/>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正在开放招募的临床试验药物信息来自www.clinicaltrials.gov 和www.chinadrugtrials.org.cn。临床试验信息实时更新，使用相关结果时，请务必确认其最新状态。</w:t>
      </w:r>
    </w:p>
    <w:p w14:paraId="3AFCEDC0">
      <w:pPr>
        <w:pStyle w:val="41"/>
        <w:numPr>
          <w:ilvl w:val="0"/>
          <w:numId w:val="2"/>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439B419">
      <w:pPr>
        <w:pStyle w:val="41"/>
        <w:numPr>
          <w:ilvl w:val="0"/>
          <w:numId w:val="2"/>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潜在耐药信息：FDA/NMPA已经批准的、NCCN指南推荐的、临床试验或者临床研究有明确结果的、药物敏感性可能降低或产生耐药的靶向药物。</w:t>
      </w:r>
    </w:p>
    <w:p w14:paraId="04BED24A">
      <w:pPr>
        <w:pStyle w:val="41"/>
        <w:numPr>
          <w:ilvl w:val="0"/>
          <w:numId w:val="2"/>
        </w:numPr>
        <w:adjustRightInd w:val="0"/>
        <w:snapToGrid w:val="0"/>
        <w:rPr>
          <w:rFonts w:hint="default" w:ascii="Times New Roman" w:hAnsi="Times New Roman" w:cs="Times New Roman"/>
          <w:sz w:val="18"/>
          <w:szCs w:val="18"/>
        </w:rPr>
      </w:pPr>
      <w:r>
        <w:rPr>
          <w:rFonts w:hint="default" w:ascii="Times New Roman" w:hAnsi="Times New Roman" w:cs="Times New Roman"/>
          <w:sz w:val="18"/>
          <w:szCs w:val="18"/>
        </w:rPr>
        <w:t>* 标注的药物：NMPA批准的靶向药物。</w:t>
      </w:r>
    </w:p>
    <w:p w14:paraId="279624FF">
      <w:pPr>
        <w:widowControl/>
        <w:spacing w:after="160" w:line="259" w:lineRule="auto"/>
        <w:rPr>
          <w:rFonts w:hint="default" w:ascii="Times New Roman" w:hAnsi="Times New Roman" w:eastAsia="微软雅黑" w:cs="Times New Roman"/>
          <w:b/>
          <w:bCs/>
          <w:color w:val="0070C0"/>
          <w:sz w:val="28"/>
          <w:szCs w:val="28"/>
        </w:rPr>
      </w:pPr>
      <w:r>
        <w:rPr>
          <w:rFonts w:hint="default" w:ascii="Times New Roman" w:hAnsi="Times New Roman" w:eastAsia="微软雅黑" w:cs="Times New Roman"/>
          <w:b/>
          <w:bCs/>
          <w:color w:val="0070C0"/>
          <w:sz w:val="28"/>
          <w:szCs w:val="28"/>
        </w:rPr>
        <w:br w:type="page"/>
      </w:r>
    </w:p>
    <w:p w14:paraId="46160262">
      <w:pPr>
        <w:wordWrap w:val="0"/>
        <w:ind w:right="105"/>
        <w:jc w:val="both"/>
        <w:rPr>
          <w:rFonts w:ascii="Times New Roman" w:hAnsi="Times New Roman" w:eastAsia="微软雅黑" w:cs="Times New Roman"/>
          <w:b/>
          <w:color w:val="1F497D"/>
          <w:sz w:val="28"/>
          <w:szCs w:val="28"/>
        </w:rPr>
      </w:pPr>
      <w:bookmarkStart w:id="10" w:name="_Toc526855038"/>
      <w:bookmarkStart w:id="11" w:name="_Toc527112386"/>
      <w:bookmarkStart w:id="12" w:name="_Toc534637499"/>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rPr>
        <w:t>附录2 结果附图</w:t>
      </w:r>
    </w:p>
    <w:p w14:paraId="556648D6">
      <w:pPr>
        <w:jc w:val="center"/>
        <w:rPr>
          <w:rFonts w:ascii="Times New Roman" w:hAnsi="Times New Roman" w:eastAsia="微软雅黑" w:cs="Times New Roman"/>
        </w:rPr>
      </w:pPr>
    </w:p>
    <w:p w14:paraId="50050E69">
      <w:pPr>
        <w:jc w:val="center"/>
        <w:rPr>
          <w:rFonts w:ascii="Times New Roman" w:hAnsi="Times New Roman" w:eastAsia="微软雅黑" w:cs="Times New Roman"/>
        </w:rPr>
      </w:pPr>
    </w:p>
    <w:p w14:paraId="6D06B5B9">
      <w:pPr>
        <w:jc w:val="center"/>
        <w:rPr>
          <w:rFonts w:ascii="Times New Roman" w:hAnsi="Times New Roman" w:eastAsia="微软雅黑" w:cs="Times New Roman"/>
        </w:rPr>
      </w:pPr>
    </w:p>
    <w:p w14:paraId="35766368">
      <w:pPr>
        <w:jc w:val="center"/>
        <w:rPr>
          <w:rFonts w:ascii="Times New Roman" w:hAnsi="Times New Roman" w:eastAsia="微软雅黑" w:cs="Times New Roman"/>
        </w:rPr>
      </w:pPr>
    </w:p>
    <w:p w14:paraId="19D06786">
      <w:pPr>
        <w:jc w:val="center"/>
        <w:rPr>
          <w:rFonts w:ascii="Times New Roman" w:hAnsi="Times New Roman" w:eastAsia="微软雅黑" w:cs="Times New Roman"/>
        </w:rPr>
      </w:pPr>
    </w:p>
    <w:p w14:paraId="6B2031E1">
      <w:pPr>
        <w:jc w:val="center"/>
        <w:rPr>
          <w:rFonts w:ascii="Times New Roman" w:hAnsi="Times New Roman" w:eastAsia="微软雅黑" w:cs="Times New Roman"/>
        </w:rPr>
      </w:pPr>
    </w:p>
    <w:p w14:paraId="4D267967">
      <w:pPr>
        <w:jc w:val="center"/>
        <w:rPr>
          <w:rFonts w:ascii="Times New Roman" w:hAnsi="Times New Roman" w:eastAsia="微软雅黑" w:cs="Times New Roman"/>
        </w:rPr>
      </w:pPr>
    </w:p>
    <w:p w14:paraId="580C3736">
      <w:pPr>
        <w:jc w:val="center"/>
        <w:rPr>
          <w:rFonts w:ascii="Times New Roman" w:hAnsi="Times New Roman" w:eastAsia="微软雅黑" w:cs="Times New Roman"/>
        </w:rPr>
      </w:pPr>
    </w:p>
    <w:p w14:paraId="67AF07CE">
      <w:pPr>
        <w:jc w:val="center"/>
        <w:rPr>
          <w:rFonts w:ascii="Times New Roman" w:hAnsi="Times New Roman" w:eastAsia="微软雅黑" w:cs="Times New Roman"/>
        </w:rPr>
      </w:pPr>
    </w:p>
    <w:p w14:paraId="40CB46F9">
      <w:pPr>
        <w:jc w:val="center"/>
        <w:rPr>
          <w:rFonts w:ascii="Times New Roman" w:hAnsi="Times New Roman" w:eastAsia="微软雅黑" w:cs="Times New Roman"/>
        </w:rPr>
      </w:pPr>
    </w:p>
    <w:p w14:paraId="516E8FD4">
      <w:pPr>
        <w:jc w:val="center"/>
        <w:rPr>
          <w:rFonts w:ascii="Times New Roman" w:hAnsi="Times New Roman" w:eastAsia="微软雅黑" w:cs="Times New Roman"/>
        </w:rPr>
      </w:pPr>
    </w:p>
    <w:p w14:paraId="19909BE6">
      <w:pPr>
        <w:jc w:val="center"/>
        <w:rPr>
          <w:rFonts w:ascii="Times New Roman" w:hAnsi="Times New Roman" w:eastAsia="微软雅黑" w:cs="Times New Roman"/>
        </w:rPr>
      </w:pPr>
    </w:p>
    <w:p w14:paraId="5BB97EE6">
      <w:pPr>
        <w:jc w:val="center"/>
        <w:rPr>
          <w:rFonts w:ascii="Times New Roman" w:hAnsi="Times New Roman" w:eastAsia="微软雅黑" w:cs="Times New Roman"/>
        </w:rPr>
      </w:pPr>
    </w:p>
    <w:p w14:paraId="76462E2B">
      <w:pPr>
        <w:jc w:val="center"/>
        <w:rPr>
          <w:rFonts w:ascii="Times New Roman" w:hAnsi="Times New Roman" w:eastAsia="微软雅黑" w:cs="Times New Roman"/>
        </w:rPr>
      </w:pPr>
    </w:p>
    <w:p w14:paraId="7D66280B">
      <w:pPr>
        <w:jc w:val="center"/>
        <w:rPr>
          <w:rFonts w:ascii="Times New Roman" w:hAnsi="Times New Roman" w:eastAsia="微软雅黑" w:cs="Times New Roman"/>
        </w:rPr>
      </w:pPr>
    </w:p>
    <w:p w14:paraId="531B3B16">
      <w:pPr>
        <w:jc w:val="center"/>
        <w:rPr>
          <w:rFonts w:ascii="Times New Roman" w:hAnsi="Times New Roman" w:eastAsia="微软雅黑" w:cs="Times New Roman"/>
        </w:rPr>
      </w:pPr>
    </w:p>
    <w:p w14:paraId="56B69607">
      <w:pPr>
        <w:jc w:val="center"/>
        <w:rPr>
          <w:rFonts w:ascii="Times New Roman" w:hAnsi="Times New Roman" w:eastAsia="微软雅黑" w:cs="Times New Roman"/>
        </w:rPr>
      </w:pPr>
    </w:p>
    <w:p w14:paraId="35A67EFC">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附录3 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8588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8" w:hRule="atLeast"/>
        </w:trPr>
        <w:tc>
          <w:tcPr>
            <w:tcW w:w="9290" w:type="dxa"/>
            <w:gridSpan w:val="9"/>
          </w:tcPr>
          <w:p w14:paraId="4F62475D">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7C15C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3" w:type="dxa"/>
            <w:vAlign w:val="center"/>
          </w:tcPr>
          <w:p w14:paraId="4872F97F">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7DDA58B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3C89A38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0752EC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1350530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0B8DAA2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54C6658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A30C19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1B7F420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342A2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90" w:type="dxa"/>
            <w:gridSpan w:val="9"/>
          </w:tcPr>
          <w:p w14:paraId="6B6C489A">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50ABEE12">
      <w:pPr>
        <w:widowControl/>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113968B6">
      <w:pPr>
        <w:keepNext/>
        <w:widowControl/>
        <w:spacing w:before="360" w:beforeLines="150" w:line="260" w:lineRule="auto"/>
        <w:rPr>
          <w:rFonts w:hint="default" w:ascii="Times New Roman" w:hAnsi="Times New Roman" w:eastAsia="微软雅黑" w:cs="Times New Roman"/>
          <w:b/>
          <w:color w:val="1F497D"/>
          <w:sz w:val="28"/>
          <w:szCs w:val="28"/>
          <w:lang w:val="en-US" w:eastAsia="zh-CN"/>
        </w:rPr>
      </w:pPr>
      <w:r>
        <w:rPr>
          <w:rFonts w:hint="default" w:ascii="Times New Roman" w:hAnsi="Times New Roman" w:eastAsia="微软雅黑" w:cs="Times New Roman"/>
          <w:b/>
          <w:color w:val="1F497D"/>
          <w:sz w:val="28"/>
          <w:szCs w:val="28"/>
        </w:rPr>
        <w:t>附录4 试剂盒</w:t>
      </w:r>
      <w:r>
        <w:rPr>
          <w:rFonts w:hint="default" w:ascii="Times New Roman" w:hAnsi="Times New Roman" w:eastAsia="微软雅黑" w:cs="Times New Roman"/>
          <w:b/>
          <w:color w:val="1F497D"/>
          <w:sz w:val="28"/>
          <w:szCs w:val="28"/>
          <w:lang w:val="en-US" w:eastAsia="zh-CN"/>
        </w:rPr>
        <w:t>部分</w:t>
      </w:r>
      <w:r>
        <w:rPr>
          <w:rFonts w:hint="default" w:ascii="Times New Roman" w:hAnsi="Times New Roman" w:eastAsia="微软雅黑" w:cs="Times New Roman"/>
          <w:b/>
          <w:color w:val="1F497D"/>
          <w:sz w:val="28"/>
          <w:szCs w:val="28"/>
        </w:rPr>
        <w:t>检测</w:t>
      </w:r>
      <w:r>
        <w:rPr>
          <w:rFonts w:hint="default" w:ascii="Times New Roman" w:hAnsi="Times New Roman" w:eastAsia="微软雅黑" w:cs="Times New Roman"/>
          <w:b/>
          <w:color w:val="1F497D"/>
          <w:sz w:val="28"/>
          <w:szCs w:val="28"/>
          <w:lang w:val="en-US" w:eastAsia="zh-CN"/>
        </w:rPr>
        <w:t>位点列表</w:t>
      </w:r>
    </w:p>
    <w:tbl>
      <w:tblPr>
        <w:tblStyle w:val="19"/>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98"/>
        <w:gridCol w:w="808"/>
        <w:gridCol w:w="3053"/>
        <w:gridCol w:w="2956"/>
        <w:gridCol w:w="1171"/>
      </w:tblGrid>
      <w:tr w14:paraId="3BB71466">
        <w:tblPrEx>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l2br w:val="nil"/>
            </w:tcBorders>
            <w:shd w:val="clear" w:color="auto" w:fill="1F3864"/>
            <w:vAlign w:val="center"/>
          </w:tcPr>
          <w:p w14:paraId="3970BDE1">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基因名称</w:t>
            </w:r>
          </w:p>
        </w:tc>
        <w:tc>
          <w:tcPr>
            <w:tcW w:w="435"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0D952C7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外显子</w:t>
            </w:r>
          </w:p>
        </w:tc>
        <w:tc>
          <w:tcPr>
            <w:tcW w:w="1643"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0F4157C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碱基变化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50"/>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融合类型</w:t>
            </w:r>
          </w:p>
        </w:tc>
        <w:tc>
          <w:tcPr>
            <w:tcW w:w="1591"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5A6B7451">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氨基酸变化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50"/>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融合形式</w:t>
            </w:r>
          </w:p>
        </w:tc>
        <w:tc>
          <w:tcPr>
            <w:tcW w:w="630"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73255375">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Cosmic ID</w:t>
            </w:r>
          </w:p>
        </w:tc>
      </w:tr>
      <w:tr w14:paraId="49A28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3BC0A3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EGFR</w:t>
            </w:r>
          </w:p>
        </w:tc>
        <w:tc>
          <w:tcPr>
            <w:tcW w:w="435" w:type="pct"/>
            <w:tcBorders>
              <w:top w:val="single" w:color="FFFFFF" w:sz="8" w:space="0"/>
              <w:left w:val="single" w:color="FFFFFF" w:sz="8" w:space="0"/>
              <w:bottom w:val="single" w:color="000000" w:sz="4" w:space="0"/>
              <w:right w:val="single" w:color="000000" w:sz="4" w:space="0"/>
            </w:tcBorders>
            <w:shd w:val="clear" w:color="auto" w:fill="FFFFFF"/>
            <w:vAlign w:val="center"/>
          </w:tcPr>
          <w:p w14:paraId="0987647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124610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c.2156G&gt;C</w:t>
            </w:r>
          </w:p>
        </w:tc>
        <w:tc>
          <w:tcPr>
            <w:tcW w:w="1591"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3198BFB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p.G719A</w:t>
            </w:r>
          </w:p>
        </w:tc>
        <w:tc>
          <w:tcPr>
            <w:tcW w:w="630"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3D9451F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6239 </w:t>
            </w:r>
          </w:p>
        </w:tc>
      </w:tr>
      <w:tr w14:paraId="66BC3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0255D3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518AB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7EA30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F4993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120E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6253 </w:t>
            </w:r>
          </w:p>
        </w:tc>
      </w:tr>
      <w:tr w14:paraId="4434B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19AD35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B8561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FE03F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6DCC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B8CF5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6252 </w:t>
            </w:r>
          </w:p>
        </w:tc>
      </w:tr>
      <w:tr w14:paraId="5D3BD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A00D12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564D7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0D284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c.2235_2249del15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465A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4466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6223 </w:t>
            </w:r>
          </w:p>
        </w:tc>
      </w:tr>
      <w:tr w14:paraId="5CE8E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EAA21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021BD2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4D70E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c.2236_2250del15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5EA31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FBF1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6225 </w:t>
            </w:r>
          </w:p>
        </w:tc>
      </w:tr>
      <w:tr w14:paraId="68D2A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CB3F37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7D95F0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00A17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lang w:val="en-US"/>
              </w:rPr>
            </w:pPr>
            <w:r>
              <w:rPr>
                <w:rFonts w:hint="default" w:ascii="Times New Roman" w:hAnsi="Times New Roman" w:eastAsia="宋体" w:cs="Times New Roman"/>
                <w:b w:val="0"/>
                <w:bCs/>
                <w:i w:val="0"/>
                <w:iCs w:val="0"/>
                <w:color w:val="000000"/>
                <w:kern w:val="0"/>
                <w:sz w:val="18"/>
                <w:szCs w:val="18"/>
                <w:u w:val="none"/>
                <w:lang w:val="en-US" w:eastAsia="zh-CN" w:bidi="ar"/>
              </w:rPr>
              <w:t>c.2239_2253del15/c.2240_2254del</w:t>
            </w:r>
            <w:r>
              <w:rPr>
                <w:rFonts w:hint="default" w:ascii="Times New Roman" w:hAnsi="Times New Roman" w:cs="Times New Roman"/>
                <w:b w:val="0"/>
                <w:bCs/>
                <w:i w:val="0"/>
                <w:iCs w:val="0"/>
                <w:color w:val="000000"/>
                <w:kern w:val="0"/>
                <w:sz w:val="18"/>
                <w:szCs w:val="18"/>
                <w:u w:val="none"/>
                <w:lang w:val="en-US" w:eastAsia="zh-CN" w:bidi="ar"/>
              </w:rPr>
              <w:t>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2D16C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p.L747_T751delLREAT</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1810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6254/12369</w:t>
            </w:r>
          </w:p>
        </w:tc>
      </w:tr>
      <w:tr w14:paraId="5B36C1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08A5BEF">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39EB3F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802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c.2239_2256del18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CECE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p.L747_S752delLREATS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4941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6255 </w:t>
            </w:r>
          </w:p>
        </w:tc>
      </w:tr>
      <w:tr w14:paraId="6D981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B858E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6469B7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117E5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c.2239_2247delTTAAGAGAA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A33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p.L747_E749delLRE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971F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6218 </w:t>
            </w:r>
          </w:p>
        </w:tc>
      </w:tr>
      <w:tr w14:paraId="3B69D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F1D679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89886E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343F8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c.2237_2251del15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84A6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p.E746_T751&gt;A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5AD5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12678 </w:t>
            </w:r>
          </w:p>
        </w:tc>
      </w:tr>
      <w:tr w14:paraId="61675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E326EA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76915B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CF9FF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c.2240_2257del18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701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p.L747_P753&gt;S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4181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12370 </w:t>
            </w:r>
          </w:p>
        </w:tc>
      </w:tr>
      <w:tr w14:paraId="6FA1E2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8BC53E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21C164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EFBE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c.2239_2248TTAAGAGAAG&gt;C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82B56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p.L747_A750&gt;P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A1FC4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6254 </w:t>
            </w:r>
          </w:p>
        </w:tc>
      </w:tr>
      <w:tr w14:paraId="00A96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E8866B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FB4D4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F29C6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c.2237_2255&gt;T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1633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p.E746_S752&gt;V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C0BC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12384 </w:t>
            </w:r>
          </w:p>
        </w:tc>
      </w:tr>
      <w:tr w14:paraId="05E58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FA45C9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6201F1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085F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c.2239_2251&gt;C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0BEE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p.L747_T75I&gt;P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E39B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12383 </w:t>
            </w:r>
          </w:p>
        </w:tc>
      </w:tr>
      <w:tr w14:paraId="1AF4D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65E3D2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655498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7CD63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c.2369C&gt;T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99874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p.T790M</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D3C79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6240 </w:t>
            </w:r>
          </w:p>
        </w:tc>
      </w:tr>
      <w:tr w14:paraId="2E0C6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5F99AD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CC0CB1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707CF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c.2303G&gt;T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414F6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p.S7681</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BC74A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6241 </w:t>
            </w:r>
          </w:p>
        </w:tc>
      </w:tr>
      <w:tr w14:paraId="152D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21A062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A15A2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F29D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c.2307_2308insGCCAGCGTG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9476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p.V769_D770insASV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5502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12376 </w:t>
            </w:r>
          </w:p>
        </w:tc>
      </w:tr>
      <w:tr w14:paraId="2592F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5D4E62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5AFAE3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DC87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c.2310_231</w:t>
            </w:r>
            <w:r>
              <w:rPr>
                <w:rFonts w:hint="default" w:ascii="Times New Roman" w:hAnsi="Times New Roman" w:cs="Times New Roman"/>
                <w:b w:val="0"/>
                <w:bCs/>
                <w:i w:val="0"/>
                <w:iCs w:val="0"/>
                <w:color w:val="000000"/>
                <w:kern w:val="0"/>
                <w:sz w:val="18"/>
                <w:szCs w:val="18"/>
                <w:u w:val="none"/>
                <w:lang w:val="en-US" w:eastAsia="zh-CN" w:bidi="ar"/>
              </w:rPr>
              <w:t>1</w:t>
            </w:r>
            <w:r>
              <w:rPr>
                <w:rFonts w:hint="default" w:ascii="Times New Roman" w:hAnsi="Times New Roman" w:eastAsia="宋体" w:cs="Times New Roman"/>
                <w:b w:val="0"/>
                <w:bCs/>
                <w:i w:val="0"/>
                <w:iCs w:val="0"/>
                <w:color w:val="000000"/>
                <w:kern w:val="0"/>
                <w:sz w:val="18"/>
                <w:szCs w:val="18"/>
                <w:u w:val="none"/>
                <w:lang w:val="en-US" w:eastAsia="zh-CN" w:bidi="ar"/>
              </w:rPr>
              <w:t>insGGT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C9E5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p.D770_N771insG</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756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12378 </w:t>
            </w:r>
          </w:p>
        </w:tc>
      </w:tr>
      <w:tr w14:paraId="6F1C6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2469F0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85AEB1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F3B2A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c.2319_2320insCAC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60F5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p.H773_V774insH</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754A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12377 </w:t>
            </w:r>
          </w:p>
        </w:tc>
      </w:tr>
      <w:tr w14:paraId="00B29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8A3E3E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819A69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90C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c.2573T&gt;G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8CEF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p.L858R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61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6224 </w:t>
            </w:r>
          </w:p>
        </w:tc>
      </w:tr>
      <w:tr w14:paraId="20CC5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E93E8F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B3A26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1C9D6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c.2582T&gt;A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DCD74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p.L861Q</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70DB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6213 </w:t>
            </w:r>
          </w:p>
        </w:tc>
      </w:tr>
      <w:tr w14:paraId="07477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E9EB157">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KRAS</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07E40D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090E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1C20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D42B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521 </w:t>
            </w:r>
          </w:p>
        </w:tc>
      </w:tr>
      <w:tr w14:paraId="059565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0D2D41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941541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C35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5C8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C5AF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520 </w:t>
            </w:r>
          </w:p>
        </w:tc>
      </w:tr>
      <w:tr w14:paraId="2519F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22A9EF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DF6B9A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072F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F2AA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8E2F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516 </w:t>
            </w:r>
          </w:p>
        </w:tc>
      </w:tr>
      <w:tr w14:paraId="74C70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0F80E0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CA580D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25B23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B0D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B019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517 </w:t>
            </w:r>
          </w:p>
        </w:tc>
      </w:tr>
      <w:tr w14:paraId="72839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F0218A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42818D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B25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c.38G&gt;A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13E0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p.G13D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E8D7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532 </w:t>
            </w:r>
          </w:p>
        </w:tc>
      </w:tr>
      <w:tr w14:paraId="454A4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52A5D4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497EF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09037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41476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7DCB7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518 </w:t>
            </w:r>
          </w:p>
        </w:tc>
      </w:tr>
      <w:tr w14:paraId="348236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BDED90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7BEEE1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B96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3921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FFE4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522 </w:t>
            </w:r>
          </w:p>
        </w:tc>
      </w:tr>
      <w:tr w14:paraId="4028E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5ABEB66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BRAF</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6A7A5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15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95A8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c.1799T&gt;A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EF2C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p.V600E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E508E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476 </w:t>
            </w:r>
          </w:p>
        </w:tc>
      </w:tr>
      <w:tr w14:paraId="32463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49022A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PIK3CA</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63F084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F0B00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c.1624G&gt;A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CD2B0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p.E542K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24992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760 </w:t>
            </w:r>
          </w:p>
        </w:tc>
      </w:tr>
      <w:tr w14:paraId="7B77C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A21DE9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8E9C90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77CB3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c.1633G&gt;A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79AC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p.E545K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771B8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763 </w:t>
            </w:r>
          </w:p>
        </w:tc>
      </w:tr>
      <w:tr w14:paraId="6944B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A0556E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742CB1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CF216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978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p.H1047L</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113A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776 </w:t>
            </w:r>
          </w:p>
        </w:tc>
      </w:tr>
      <w:tr w14:paraId="57F2D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0B6A778">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C00EB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F6D6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82BB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CC9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775 </w:t>
            </w:r>
          </w:p>
        </w:tc>
      </w:tr>
      <w:tr w14:paraId="193C1A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F69D7B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ALK</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427747D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2621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6E5C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E13A20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3F8E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3A368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0FAE648">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217BFA2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C441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64255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E20A20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F057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BA6B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BBFBD4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08FDADD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09BE3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DC0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E6aA20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1CA7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24D1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F8D38F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4775AA5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A00B6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2F95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E6bA20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A2342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BC6A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2B43F492">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ROS1</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6661B62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397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SLC34A2-ROS1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A1D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S4R32</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75761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DB27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B3C10D4">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1D501A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ED637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CD74-ROS1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64C2A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C6R34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1D5AC5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76A7D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A8FCB0A">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5B39F1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13941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EZR-ROS1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066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E10R34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7957A6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bl>
    <w:p w14:paraId="6ED91662">
      <w:pPr>
        <w:keepNext/>
        <w:widowControl/>
        <w:spacing w:before="360" w:beforeLines="150" w:line="260" w:lineRule="auto"/>
        <w:rPr>
          <w:rFonts w:hint="default" w:ascii="Times New Roman" w:hAnsi="Times New Roman" w:eastAsia="微软雅黑" w:cs="Times New Roman"/>
          <w:b/>
          <w:color w:val="1F497D"/>
          <w:sz w:val="28"/>
          <w:szCs w:val="28"/>
        </w:rPr>
      </w:pPr>
      <w:r>
        <w:rPr>
          <w:rFonts w:hint="default" w:ascii="Times New Roman" w:hAnsi="Times New Roman" w:eastAsia="微软雅黑" w:cs="Times New Roman"/>
          <w:b/>
          <w:color w:val="1F497D"/>
          <w:sz w:val="28"/>
          <w:szCs w:val="28"/>
          <w:lang w:val="en-US" w:eastAsia="zh-CN"/>
        </w:rPr>
        <w:t xml:space="preserve">附录5 </w:t>
      </w:r>
      <w:r>
        <w:rPr>
          <w:rFonts w:hint="default" w:ascii="Times New Roman" w:hAnsi="Times New Roman" w:eastAsia="微软雅黑" w:cs="Times New Roman"/>
          <w:b/>
          <w:color w:val="1F497D"/>
          <w:sz w:val="28"/>
          <w:szCs w:val="28"/>
        </w:rPr>
        <w:t>常见靶向药物相关基因检测列表</w:t>
      </w:r>
    </w:p>
    <w:p w14:paraId="193C9262">
      <w:pPr>
        <w:spacing w:line="276" w:lineRule="auto"/>
        <w:rPr>
          <w:rFonts w:hint="default" w:ascii="Times New Roman" w:hAnsi="Times New Roman" w:cs="Times New Roman"/>
        </w:rPr>
      </w:pPr>
    </w:p>
    <w:p w14:paraId="43C878EB">
      <w:pPr>
        <w:spacing w:line="276" w:lineRule="auto"/>
        <w:rPr>
          <w:rFonts w:hint="default" w:ascii="Times New Roman" w:hAnsi="Times New Roman" w:cs="Times New Roman"/>
          <w:b/>
          <w:u w:val="thick" w:color="1F3864"/>
        </w:rPr>
      </w:pPr>
      <w:r>
        <w:rPr>
          <w:rFonts w:hint="default" w:ascii="Times New Roman" w:hAnsi="Times New Roman" w:cs="Times New Roman"/>
          <w:b/>
          <w:u w:val="thick" w:color="1F3864"/>
        </w:rPr>
        <w:t xml:space="preserve"> ALK                                                                                                                                                                      </w:t>
      </w:r>
    </w:p>
    <w:p w14:paraId="7CD39580">
      <w:pPr>
        <w:spacing w:line="276" w:lineRule="auto"/>
        <w:rPr>
          <w:rFonts w:hint="default" w:ascii="Times New Roman" w:hAnsi="Times New Roman" w:cs="Times New Roman"/>
          <w:b/>
          <w:u w:val="thick" w:color="1F3864"/>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EA034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C1B504D">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EE47D1B">
            <w:pPr>
              <w:widowControl/>
              <w:spacing w:before="100" w:beforeAutospacing="1" w:line="273" w:lineRule="auto"/>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ALK位于染色体2p23，是致癌驱动基因，该基因编码的蛋白是受体酪氨酸激酶家族的一部分，该蛋白为一种跨膜受体酪氨酸激酶，是胰岛素受体超家族的一员，受体酪氨酸激酶通过信号传导将信号从细胞表面传导到细胞内，并通过激活MAPK和PI3K信号通路促进细胞增殖。ALK基因与EML4或其他基因（TFG，KIF5B 等）的融合是非小细胞肺癌中仅次于EGFR突变的第二个分子亚型，约占 7％，在无吸烟史，年轻，及肺腺癌患者人群中占比更高。ALK激活突变、融合、扩增已经在各种癌症中被报道过，包括非小细胞肺癌、结直肠癌、卵巢癌、横纹肌肉瘤等。</w:t>
            </w:r>
          </w:p>
        </w:tc>
      </w:tr>
      <w:tr w14:paraId="5B57D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2FF55A1">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884D7CE">
            <w:pPr>
              <w:spacing w:before="100" w:beforeAutospacing="1" w:line="256" w:lineRule="auto"/>
              <w:rPr>
                <w:rFonts w:hint="default" w:ascii="Times New Roman" w:hAnsi="Times New Roman" w:cs="Times New Roman"/>
                <w:sz w:val="18"/>
                <w:szCs w:val="18"/>
              </w:rPr>
            </w:pPr>
            <w:r>
              <w:rPr>
                <w:rFonts w:hint="default" w:ascii="Times New Roman" w:hAnsi="Times New Roman" w:cs="Times New Roman"/>
                <w:b/>
                <w:sz w:val="18"/>
                <w:szCs w:val="18"/>
              </w:rPr>
              <w:t>克唑替尼*</w:t>
            </w:r>
            <w:r>
              <w:rPr>
                <w:rFonts w:hint="default" w:ascii="Times New Roman" w:hAnsi="Times New Roman" w:cs="Times New Roman"/>
                <w:sz w:val="18"/>
                <w:szCs w:val="18"/>
              </w:rPr>
              <w:t>、</w:t>
            </w:r>
            <w:r>
              <w:rPr>
                <w:rFonts w:hint="default" w:ascii="Times New Roman" w:hAnsi="Times New Roman" w:cs="Times New Roman"/>
                <w:b/>
                <w:sz w:val="18"/>
                <w:szCs w:val="18"/>
              </w:rPr>
              <w:t>塞瑞替尼*</w:t>
            </w:r>
            <w:r>
              <w:rPr>
                <w:rFonts w:hint="default" w:ascii="Times New Roman" w:hAnsi="Times New Roman" w:cs="Times New Roman"/>
                <w:sz w:val="18"/>
                <w:szCs w:val="18"/>
              </w:rPr>
              <w:t>、</w:t>
            </w:r>
            <w:r>
              <w:rPr>
                <w:rFonts w:hint="default" w:ascii="Times New Roman" w:hAnsi="Times New Roman" w:cs="Times New Roman"/>
                <w:b/>
                <w:sz w:val="18"/>
                <w:szCs w:val="18"/>
              </w:rPr>
              <w:t>布吉他滨</w:t>
            </w:r>
            <w:r>
              <w:rPr>
                <w:rFonts w:hint="default" w:ascii="Times New Roman" w:hAnsi="Times New Roman" w:cs="Times New Roman"/>
                <w:sz w:val="18"/>
                <w:szCs w:val="18"/>
              </w:rPr>
              <w:t>、</w:t>
            </w:r>
            <w:r>
              <w:rPr>
                <w:rFonts w:hint="default" w:ascii="Times New Roman" w:hAnsi="Times New Roman" w:cs="Times New Roman"/>
                <w:b/>
                <w:sz w:val="18"/>
                <w:szCs w:val="18"/>
              </w:rPr>
              <w:t>阿来替尼*</w:t>
            </w:r>
            <w:r>
              <w:rPr>
                <w:rFonts w:hint="default" w:ascii="Times New Roman" w:hAnsi="Times New Roman" w:cs="Times New Roman"/>
                <w:sz w:val="18"/>
                <w:szCs w:val="18"/>
              </w:rPr>
              <w:t>、</w:t>
            </w:r>
            <w:r>
              <w:rPr>
                <w:rFonts w:hint="default" w:ascii="Times New Roman" w:hAnsi="Times New Roman" w:cs="Times New Roman"/>
                <w:b/>
                <w:sz w:val="18"/>
                <w:szCs w:val="18"/>
              </w:rPr>
              <w:t>劳拉替尼、恩沙替尼*</w:t>
            </w:r>
          </w:p>
        </w:tc>
      </w:tr>
      <w:tr w14:paraId="5DBE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4D054F7">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用药提示</w:t>
            </w:r>
          </w:p>
          <w:p w14:paraId="57586AB6">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6029FEE">
            <w:pPr>
              <w:widowControl/>
              <w:spacing w:before="100" w:beforeAutospacing="1" w:line="273" w:lineRule="auto"/>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FDA批准克唑替尼、塞瑞替尼、阿来替尼、劳拉替尼和布吉他滨用于ALK阳性非小细胞肺癌患者的治疗。NMPA批准恩沙替尼用于克唑替尼治疗后进展或克唑替尼不耐受的ALK阳性非小细胞肺癌患者；批准克唑替尼、阿来替尼和塞瑞替尼用于ALK阳性非小细胞肺癌患者的治疗；批准塞瑞替尼用于ALK阳性非小细胞肺癌患者的一线治疗或者克唑替尼治疗后进展或克唑替尼不耐受的ALK阳性非小细胞肺癌患者的二线治疗。在非小细胞肺癌中，ALK融合对ALK TKIs药物克唑替尼[PMID: 25470694]、塞瑞替尼[PMID: 28126333]、阿来替尼[PMID: 28586279]、布吉他滨[PMID: 30280657]、劳拉替尼[PMID: 33207094]、恩沙替尼敏感[PMID: 29563138]；对EGFR TKIs药物埃克替尼、厄洛替尼、吉非替尼、阿法替尼、奥希替尼、达可替尼产生耐药性[PMID: 19667264]；ALK酪氨酸激酶结构域关键位点（包含1151Tins、L1152R、C1156Y、F1174L、L1196M、G1202R、S1206Y、G1269A、F1174V、F1245C）发生突变会导致对一代ALK抑制剂克唑替尼产生耐药性[PMID: 22277784]，L1196M、G1269A、I1171T、S1206Y位点突变对二代ALK抑制剂塞瑞替尼敏感[PMID: 24675041]，L1196M、G1269A、C1156Y、F1174L、1151Tins、L1152R位点突变对二代ALK抑制剂阿来替尼敏感[PMID: 26579422]。ALK拷贝数变异还与结直肠癌的发生及预后有关[PMID: 24129244]。</w:t>
            </w:r>
          </w:p>
        </w:tc>
      </w:tr>
    </w:tbl>
    <w:p w14:paraId="6CD56C43">
      <w:pPr>
        <w:spacing w:line="276" w:lineRule="auto"/>
        <w:rPr>
          <w:rFonts w:hint="default" w:ascii="Times New Roman" w:hAnsi="Times New Roman" w:cs="Times New Roman"/>
        </w:rPr>
      </w:pPr>
    </w:p>
    <w:p w14:paraId="52A737C8">
      <w:pPr>
        <w:spacing w:line="276" w:lineRule="auto"/>
        <w:rPr>
          <w:rFonts w:hint="default" w:ascii="Times New Roman" w:hAnsi="Times New Roman" w:cs="Times New Roman"/>
          <w:u w:val="thick" w:color="2DB8B5"/>
        </w:rPr>
      </w:pPr>
    </w:p>
    <w:p w14:paraId="7413CDCB">
      <w:pPr>
        <w:spacing w:line="276" w:lineRule="auto"/>
        <w:rPr>
          <w:rFonts w:hint="default" w:ascii="Times New Roman" w:hAnsi="Times New Roman" w:cs="Times New Roman"/>
          <w:b/>
        </w:rPr>
      </w:pPr>
      <w:r>
        <w:rPr>
          <w:rFonts w:hint="default" w:ascii="Times New Roman" w:hAnsi="Times New Roman" w:cs="Times New Roman"/>
          <w:b/>
          <w:u w:val="thick" w:color="1F3864"/>
        </w:rPr>
        <w:t xml:space="preserve">EGFR                                                                                                                                                                    </w:t>
      </w:r>
      <w:r>
        <w:rPr>
          <w:rFonts w:hint="default" w:ascii="Times New Roman" w:hAnsi="Times New Roman" w:cs="Times New Roman"/>
          <w:b/>
        </w:rPr>
        <w:t xml:space="preserve">       </w:t>
      </w:r>
    </w:p>
    <w:p w14:paraId="36CAD24B">
      <w:pPr>
        <w:spacing w:line="276" w:lineRule="auto"/>
        <w:rPr>
          <w:rFonts w:hint="default"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82"/>
        <w:gridCol w:w="6627"/>
      </w:tblGrid>
      <w:tr w14:paraId="2A9D5D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980"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DF2504E">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基因说明</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73FF77A1">
            <w:pPr>
              <w:widowControl/>
              <w:adjustRightInd w:val="0"/>
              <w:snapToGrid w:val="0"/>
              <w:spacing w:before="100" w:beforeAutospacing="1" w:line="273" w:lineRule="auto"/>
              <w:jc w:val="both"/>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EGFR基因位于7p11，是原癌基因c-erbB1的表达产物，表皮生长因子受体（HER）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异常增殖、分化以及血管增生，并能抑制肿瘤细胞的凋亡。数据显示，EGFR突变占西方NSCLC的10-20%，这一比例在东亚、女性、无吸烟史的肺腺癌患者中尤其高，中国肺腺癌患者EGFR突变率高达50%，EGFR热点突变集中于激酶结构域18~21号外显子，与EGFR相关的疾病还包括头颈部实体瘤、鳞状细胞癌、结直肠癌、鼻咽癌等。</w:t>
            </w:r>
          </w:p>
        </w:tc>
      </w:tr>
      <w:tr w14:paraId="3DCBDD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9"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21E23AF">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靶向药物</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094BD8E1">
            <w:pPr>
              <w:spacing w:before="100" w:beforeAutospacing="1" w:line="256" w:lineRule="auto"/>
              <w:rPr>
                <w:rFonts w:hint="default" w:ascii="Times New Roman" w:hAnsi="Times New Roman" w:cs="Times New Roman"/>
                <w:sz w:val="18"/>
                <w:szCs w:val="18"/>
              </w:rPr>
            </w:pPr>
            <w:r>
              <w:rPr>
                <w:rFonts w:hint="default" w:ascii="Times New Roman" w:hAnsi="Times New Roman" w:cs="Times New Roman"/>
                <w:b/>
                <w:sz w:val="18"/>
                <w:szCs w:val="18"/>
              </w:rPr>
              <w:t>厄洛替尼*</w:t>
            </w:r>
            <w:r>
              <w:rPr>
                <w:rFonts w:hint="default" w:ascii="Times New Roman" w:hAnsi="Times New Roman" w:cs="Times New Roman"/>
                <w:sz w:val="18"/>
                <w:szCs w:val="18"/>
              </w:rPr>
              <w:t>、</w:t>
            </w:r>
            <w:r>
              <w:rPr>
                <w:rFonts w:hint="default" w:ascii="Times New Roman" w:hAnsi="Times New Roman" w:cs="Times New Roman"/>
                <w:b/>
                <w:sz w:val="18"/>
                <w:szCs w:val="18"/>
              </w:rPr>
              <w:t>吉非替尼*</w:t>
            </w:r>
            <w:r>
              <w:rPr>
                <w:rFonts w:hint="default" w:ascii="Times New Roman" w:hAnsi="Times New Roman" w:cs="Times New Roman"/>
                <w:sz w:val="18"/>
                <w:szCs w:val="18"/>
              </w:rPr>
              <w:t>、</w:t>
            </w:r>
            <w:r>
              <w:rPr>
                <w:rFonts w:hint="default" w:ascii="Times New Roman" w:hAnsi="Times New Roman" w:cs="Times New Roman"/>
                <w:b/>
                <w:sz w:val="18"/>
                <w:szCs w:val="18"/>
              </w:rPr>
              <w:t>阿法替尼*</w:t>
            </w:r>
            <w:r>
              <w:rPr>
                <w:rFonts w:hint="default" w:ascii="Times New Roman" w:hAnsi="Times New Roman" w:cs="Times New Roman"/>
                <w:sz w:val="18"/>
                <w:szCs w:val="18"/>
              </w:rPr>
              <w:t>、</w:t>
            </w:r>
            <w:r>
              <w:rPr>
                <w:rFonts w:hint="default" w:ascii="Times New Roman" w:hAnsi="Times New Roman" w:cs="Times New Roman"/>
                <w:b/>
                <w:sz w:val="18"/>
                <w:szCs w:val="18"/>
              </w:rPr>
              <w:t>达可替尼*</w:t>
            </w:r>
            <w:r>
              <w:rPr>
                <w:rFonts w:hint="default" w:ascii="Times New Roman" w:hAnsi="Times New Roman" w:cs="Times New Roman"/>
                <w:sz w:val="18"/>
                <w:szCs w:val="18"/>
              </w:rPr>
              <w:t>、</w:t>
            </w:r>
            <w:r>
              <w:rPr>
                <w:rFonts w:hint="default" w:ascii="Times New Roman" w:hAnsi="Times New Roman" w:cs="Times New Roman"/>
                <w:b/>
                <w:sz w:val="18"/>
                <w:szCs w:val="18"/>
              </w:rPr>
              <w:t>奥希替尼*</w:t>
            </w:r>
            <w:r>
              <w:rPr>
                <w:rFonts w:hint="default" w:ascii="Times New Roman" w:hAnsi="Times New Roman" w:cs="Times New Roman"/>
                <w:sz w:val="18"/>
                <w:szCs w:val="18"/>
              </w:rPr>
              <w:t>、</w:t>
            </w:r>
            <w:r>
              <w:rPr>
                <w:rFonts w:hint="default" w:ascii="Times New Roman" w:hAnsi="Times New Roman" w:cs="Times New Roman"/>
                <w:b/>
                <w:sz w:val="18"/>
                <w:szCs w:val="18"/>
              </w:rPr>
              <w:t>埃克替尼*、阿美替尼*、西妥昔单抗*、帕尼单抗、伏美替尼*、奈西单抗+吉西他滨+顺铂、厄洛替尼+雷莫芦单抗、</w:t>
            </w:r>
            <w:r>
              <w:rPr>
                <w:rFonts w:hint="default" w:ascii="Times New Roman" w:hAnsi="Times New Roman" w:cs="Times New Roman"/>
                <w:sz w:val="18"/>
                <w:szCs w:val="18"/>
              </w:rPr>
              <w:t>厄洛替尼+贝伐珠单抗、凡德他尼+多西他赛、Poziotinib</w:t>
            </w:r>
          </w:p>
        </w:tc>
      </w:tr>
      <w:tr w14:paraId="3450A2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64"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0F290FF">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用药提示</w:t>
            </w:r>
          </w:p>
          <w:p w14:paraId="04B176CF">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（仅供参考）</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27279374">
            <w:pPr>
              <w:widowControl/>
              <w:spacing w:before="100" w:beforeAutospacing="1" w:line="273" w:lineRule="auto"/>
              <w:rPr>
                <w:rFonts w:hint="default" w:ascii="Times New Roman" w:hAnsi="Times New Roman" w:cs="Times New Roman"/>
                <w:sz w:val="18"/>
                <w:szCs w:val="18"/>
              </w:rPr>
            </w:pPr>
            <w:r>
              <w:rPr>
                <w:rFonts w:hint="default" w:ascii="Times New Roman" w:hAnsi="Times New Roman" w:cs="Times New Roman"/>
                <w:sz w:val="18"/>
                <w:szCs w:val="18"/>
              </w:rPr>
              <w:t>EGFR 基因是非小细胞肺癌（NSCLC）中最常见的驱动基因之一。EGFR基因中exon19 del，exon19 ins，exon21（L858R，L861Q），exon 18（G719X），exon20（S768I） 的突变与EGFR TKI [ PMID: 16531062]、厄洛替尼+雷莫芦单抗[PMID: 31591063]的敏感性相关。EGFR exon20的插入突变通常与EGFR TKI的耐药预后相关[PMID: 19418618; PMID: 16299703]。研究发现，EGFR TKI 的原发耐药通常与KRAS 的突变相关；获得性耐药通常与EGFR 基因的次级突变（如T790M）、旁路激酶的扩增（如MET 基因）、从非小细胞肺癌向小细胞肺癌的组织学转变以及上皮细胞-间充质转化（EMT）相关。在非小细胞肺癌中，EGFR T790M对EGFR TKIs产生耐药性，但EGFR T790M对EGFR TKIs（奥希替尼[PMID: 29151359]、阿美替尼[PMID: 32916310]、伏美替尼[J Clin Oncol. 2020; 38(suppl 15): abstr 9602]）敏感，携带EGFR 20号外显子插入突变的患者对Poziotinib敏感[PMID: 29686424; PMID: 29162564]，EGFR扩增的患者对凡德他尼+多西他赛[PMID: 25057173]敏感；在非鳞非小细胞肺癌中，EGFR敏感突变对厄洛替尼+贝伐珠单抗敏感[PMID: 30975627]。在肺鳞癌中，EGFR扩增的患者对奈西单抗+吉西他滨+顺铂敏感[PMID: 29158193]。在结肠癌中，EGFR扩增与抗EGFR抗体如西妥昔单抗的疗效正相关，而部分EGFR突变特别是胞外域点突变与抗 EGFR 抗体如西妥昔单抗耐药相关。FDA批准西妥昔单抗用于KRAS突变阴性（野生型），EGFR表达阳性的转移性结直肠癌患者；NMPA批准西妥昔单抗单药用于表皮生长因子受体过度表达的，对以伊立替康为基础的化疗方案耐药的转移性结直肠癌的治疗。在结直肠癌中，EGFR扩增的患者对帕尼单抗敏感[PMID: 17664472]。另外，凡德他尼是一种多靶点（EGFR, RET, VEGFR2 等）激酶抑制剂；尼妥珠单抗、西妥昔单抗等EGFR 的单克隆抗体[ PMID: 24493829; PMID: 23359171; PMID: 22215752; PMID: 22588155]，联合其他靶向药、单抗以及化疗药用于肺癌的治疗的临床试验正在开展。</w:t>
            </w:r>
          </w:p>
        </w:tc>
      </w:tr>
    </w:tbl>
    <w:p w14:paraId="1466CA69">
      <w:pPr>
        <w:spacing w:line="276" w:lineRule="auto"/>
        <w:rPr>
          <w:rFonts w:hint="default" w:ascii="Times New Roman" w:hAnsi="Times New Roman" w:cs="Times New Roman"/>
          <w:u w:val="thick" w:color="2DB8B5"/>
        </w:rPr>
      </w:pPr>
    </w:p>
    <w:p w14:paraId="466FDC43">
      <w:pPr>
        <w:spacing w:line="276" w:lineRule="auto"/>
        <w:rPr>
          <w:rFonts w:hint="default" w:ascii="Times New Roman" w:hAnsi="Times New Roman" w:cs="Times New Roman"/>
          <w:u w:val="thick" w:color="2DB8B5"/>
        </w:rPr>
      </w:pPr>
    </w:p>
    <w:p w14:paraId="4C61C012">
      <w:pPr>
        <w:spacing w:line="276" w:lineRule="auto"/>
        <w:rPr>
          <w:rFonts w:hint="default" w:ascii="Times New Roman" w:hAnsi="Times New Roman" w:cs="Times New Roman"/>
          <w:b/>
          <w:u w:val="thick" w:color="538135"/>
        </w:rPr>
      </w:pPr>
      <w:r>
        <w:rPr>
          <w:rFonts w:hint="default" w:ascii="Times New Roman" w:hAnsi="Times New Roman" w:cs="Times New Roman"/>
          <w:b/>
          <w:u w:val="thick" w:color="1F3864"/>
        </w:rPr>
        <w:t xml:space="preserve"> KRAS                                                                                                                                                          </w:t>
      </w:r>
      <w:r>
        <w:rPr>
          <w:rFonts w:hint="default" w:ascii="Times New Roman" w:hAnsi="Times New Roman" w:cs="Times New Roman"/>
          <w:b/>
          <w:sz w:val="24"/>
          <w:u w:val="thick" w:color="538135"/>
        </w:rPr>
        <w:t xml:space="preserve">              </w:t>
      </w:r>
    </w:p>
    <w:p w14:paraId="5D124230">
      <w:pPr>
        <w:spacing w:line="276" w:lineRule="auto"/>
        <w:rPr>
          <w:rFonts w:hint="default" w:ascii="Times New Roman" w:hAnsi="Times New Roman" w:cs="Times New Roman"/>
          <w:b/>
          <w:u w:val="single" w:color="2DB8B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29CE5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0820880">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78CE0E8">
            <w:pPr>
              <w:widowControl/>
              <w:spacing w:before="100" w:beforeAutospacing="1" w:line="273" w:lineRule="auto"/>
              <w:rPr>
                <w:rFonts w:hint="default" w:ascii="Times New Roman" w:hAnsi="Times New Roman" w:cs="Times New Roman"/>
                <w:color w:val="000000"/>
                <w:sz w:val="18"/>
                <w:szCs w:val="18"/>
              </w:rPr>
            </w:pPr>
            <w:r>
              <w:rPr>
                <w:rFonts w:hint="default" w:ascii="Times New Roman" w:hAnsi="Times New Roman" w:cs="Times New Roman"/>
                <w:sz w:val="18"/>
                <w:szCs w:val="18"/>
              </w:rPr>
              <w:t>KRAS基因位于12p12，是一种原癌基因，编码K-Ras蛋白质，它是信号传导通路中EGFR下游的关键调节因子，发生突变后导致自身的持续活化，进而持续激活下游Ras/Raf/MEK/ERK和PI3K/Akt信号通路。因此KRAS突变后将不受上游EGFR信号的调控，使EGFR靶向药物无效。KRAS突变常发生在密码子12, 13, 61, 117和146。在人类恶性肿瘤中KRAS基因是最常见的突变基因，在胰腺癌、结直肠癌和肺癌中突变频率很高，约6.7%的亚洲肺癌患者有KRAS基因突变。NCCN 指南指出，KRAS突变更容易出现在非亚裔、吸烟、和粘液型肺腺癌患者中[PMID:19767090; PMID: 2072410]。在结直肠癌中KRAS突变频率约为36-40%。</w:t>
            </w:r>
          </w:p>
        </w:tc>
      </w:tr>
      <w:tr w14:paraId="380A38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82D46B5">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BFE5B88">
            <w:pPr>
              <w:widowControl/>
              <w:spacing w:before="100" w:beforeAutospacing="1" w:line="273" w:lineRule="auto"/>
              <w:rPr>
                <w:rFonts w:hint="default" w:ascii="Times New Roman" w:hAnsi="Times New Roman" w:cs="Times New Roman"/>
                <w:sz w:val="18"/>
                <w:szCs w:val="18"/>
              </w:rPr>
            </w:pPr>
            <w:r>
              <w:rPr>
                <w:rFonts w:hint="default" w:ascii="Times New Roman" w:hAnsi="Times New Roman" w:cs="Times New Roman"/>
                <w:b/>
                <w:sz w:val="18"/>
                <w:szCs w:val="18"/>
              </w:rPr>
              <w:t>Sotorasib、</w:t>
            </w:r>
            <w:r>
              <w:rPr>
                <w:rFonts w:hint="default" w:ascii="Times New Roman" w:hAnsi="Times New Roman" w:cs="Times New Roman"/>
                <w:sz w:val="18"/>
                <w:szCs w:val="18"/>
              </w:rPr>
              <w:t>Adagrasib、Defactinib + RO5126766、吉非替尼+依维莫司、Belvarafenib</w:t>
            </w:r>
          </w:p>
        </w:tc>
      </w:tr>
      <w:tr w14:paraId="44F848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B2E82D1">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用药提示</w:t>
            </w:r>
          </w:p>
          <w:p w14:paraId="425D90EC">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A8D9776">
            <w:pPr>
              <w:widowControl/>
              <w:adjustRightInd w:val="0"/>
              <w:snapToGrid w:val="0"/>
              <w:spacing w:before="100" w:beforeAutospacing="1" w:line="273" w:lineRule="auto"/>
              <w:jc w:val="both"/>
              <w:rPr>
                <w:rFonts w:hint="default" w:ascii="Times New Roman" w:hAnsi="Times New Roman" w:cs="Times New Roman"/>
                <w:sz w:val="18"/>
                <w:szCs w:val="18"/>
              </w:rPr>
            </w:pPr>
            <w:r>
              <w:rPr>
                <w:rFonts w:hint="default" w:ascii="Times New Roman" w:hAnsi="Times New Roman" w:cs="Times New Roman"/>
                <w:sz w:val="18"/>
                <w:szCs w:val="18"/>
              </w:rPr>
              <w:t>在结直肠癌患者中，KRAS发生突变将会对西妥昔单抗、帕尼替尼产生耐药。因此NCCN 指南建议，所有转移性结直肠癌患者都该进行肿瘤组织RAS基因（KARS、NRAS）分型，RAS突变状态是EGFR/ERBB2抑制剂疗效的负向预测因素。结直肠癌中，KRAS野生型对EGFR抗体类药物西妥昔单抗和帕尼单抗敏感[PMID: 18202412; PMID: 18316791]，12、13、61密码子突变导致KRAS信号通路持续激活，可能无法从EGFR抗体类药物获益。肺癌中，12、13、61密码子突变对EGFR TKI（吉非替尼、厄洛替尼、埃克替尼、阿法替尼、奥希替尼等）的敏感性降低[PMID: 18349398; PMID: 23401440; PMID: 18024870]。FDA批准Sotorasib用于KRAS G12C突变的至少接受过一种前期全身性治疗的非小细胞肺癌患者的二线治疗。在非小细胞肺癌中，KRAS G12V对Defactinib+RO5126766敏感[AACR 2020]。13%的非小细胞肺癌（NSCLC）患者在接受吉非替尼联合依维莫司治疗后部分缓解，其中2例携带KRAS G12F突变患者有响应[PMID: 20871262]。临床试验表明抑制剂Sotorasib、Adagrasib对KRAS G12C突变的非小细胞肺癌患者有明显的治疗效果，目前还有Belvarafenib、司美替尼联合其他用药或治疗方式的临床研究正在进行。</w:t>
            </w:r>
          </w:p>
        </w:tc>
      </w:tr>
    </w:tbl>
    <w:p w14:paraId="0408371E">
      <w:pPr>
        <w:spacing w:line="276" w:lineRule="auto"/>
        <w:rPr>
          <w:rFonts w:hint="default" w:ascii="Times New Roman" w:hAnsi="Times New Roman" w:cs="Times New Roman"/>
        </w:rPr>
      </w:pPr>
    </w:p>
    <w:p w14:paraId="4A372475">
      <w:pPr>
        <w:spacing w:line="276" w:lineRule="auto"/>
        <w:rPr>
          <w:rFonts w:hint="default" w:ascii="Times New Roman" w:hAnsi="Times New Roman" w:cs="Times New Roman"/>
          <w:u w:val="thick" w:color="2DB8B5"/>
        </w:rPr>
      </w:pPr>
    </w:p>
    <w:p w14:paraId="407E7CF0">
      <w:pPr>
        <w:spacing w:line="276" w:lineRule="auto"/>
        <w:rPr>
          <w:rFonts w:hint="default" w:ascii="Times New Roman" w:hAnsi="Times New Roman" w:cs="Times New Roman"/>
          <w:b/>
          <w:u w:val="thick" w:color="1F3864"/>
        </w:rPr>
      </w:pPr>
      <w:r>
        <w:rPr>
          <w:rFonts w:hint="default" w:ascii="Times New Roman" w:hAnsi="Times New Roman" w:cs="Times New Roman"/>
          <w:b/>
          <w:u w:val="thick" w:color="1F3864"/>
        </w:rPr>
        <w:t xml:space="preserve"> BRAF                                                                                                                                                                </w:t>
      </w:r>
    </w:p>
    <w:p w14:paraId="4F8BD442">
      <w:pPr>
        <w:spacing w:line="276" w:lineRule="auto"/>
        <w:rPr>
          <w:rFonts w:hint="default"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277A5D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83"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25AD659">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1DDDD2A">
            <w:pPr>
              <w:widowControl/>
              <w:spacing w:before="100" w:beforeAutospacing="1" w:line="273" w:lineRule="auto"/>
              <w:rPr>
                <w:rFonts w:hint="default" w:ascii="Times New Roman" w:hAnsi="Times New Roman" w:cs="Times New Roman"/>
                <w:sz w:val="18"/>
                <w:szCs w:val="18"/>
              </w:rPr>
            </w:pPr>
            <w:r>
              <w:rPr>
                <w:rFonts w:hint="default" w:ascii="Times New Roman" w:hAnsi="Times New Roman" w:cs="Times New Roman"/>
                <w:sz w:val="18"/>
                <w:szCs w:val="18"/>
              </w:rPr>
              <w:t>BRAF基因位于染色体7q34，该基因编码的蛋白属于丝氨酸/苏氨酸蛋白激酶RAF家族。该蛋白有助于细胞外的化学信号传递到细胞核，在MAP激酶/ERK信号通路中起调节作用，从而影响细胞的分裂、分化和分泌。BRAF的激活突变或扩增会引起细胞增殖不受控制，进而导致肿瘤发生，在肺癌、胃癌、乳腺癌、结直肠癌等中突变率约5%-10%，其中BRAF 在结直肠癌中突变频率4%-10%，以 V600E为主，还可见G466A、G469E、N581I、D594G、K601E等激酶区致癌性突变。</w:t>
            </w:r>
          </w:p>
        </w:tc>
      </w:tr>
      <w:tr w14:paraId="3C387B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8"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4F243E">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232E246F">
            <w:pPr>
              <w:widowControl/>
              <w:spacing w:before="100" w:beforeAutospacing="1" w:line="273" w:lineRule="auto"/>
              <w:rPr>
                <w:rFonts w:hint="default" w:ascii="Times New Roman" w:hAnsi="Times New Roman" w:cs="Times New Roman"/>
                <w:sz w:val="18"/>
                <w:szCs w:val="18"/>
              </w:rPr>
            </w:pPr>
            <w:r>
              <w:rPr>
                <w:rFonts w:hint="default" w:ascii="Times New Roman" w:hAnsi="Times New Roman" w:cs="Times New Roman"/>
                <w:b/>
                <w:sz w:val="18"/>
                <w:szCs w:val="18"/>
              </w:rPr>
              <w:t>达拉非尼+曲美替尼*、西妥昔单抗*、帕尼单抗</w:t>
            </w:r>
            <w:r>
              <w:rPr>
                <w:rFonts w:hint="default" w:ascii="Times New Roman" w:hAnsi="Times New Roman" w:cs="Times New Roman"/>
                <w:sz w:val="18"/>
                <w:szCs w:val="18"/>
              </w:rPr>
              <w:t>、</w:t>
            </w:r>
            <w:r>
              <w:rPr>
                <w:rFonts w:hint="default" w:ascii="Times New Roman" w:hAnsi="Times New Roman" w:cs="Times New Roman"/>
                <w:b/>
                <w:sz w:val="18"/>
                <w:szCs w:val="18"/>
              </w:rPr>
              <w:t>康奈非尼+西妥昔单抗</w:t>
            </w:r>
            <w:r>
              <w:rPr>
                <w:rFonts w:hint="default" w:ascii="Times New Roman" w:hAnsi="Times New Roman" w:cs="Times New Roman"/>
                <w:sz w:val="18"/>
                <w:szCs w:val="18"/>
              </w:rPr>
              <w:t>、康奈非尼+帕尼单抗、维莫非尼、康奈非尼+贝美替尼+西妥昔单抗、维莫非尼+西妥昔单抗、维莫非尼+伊立替康+西妥昔单抗</w:t>
            </w:r>
          </w:p>
        </w:tc>
      </w:tr>
      <w:tr w14:paraId="127EE9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65"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DF46FFA">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用药提示</w:t>
            </w:r>
          </w:p>
          <w:p w14:paraId="0578A77C">
            <w:pPr>
              <w:widowControl/>
              <w:spacing w:before="100" w:beforeAutospacing="1" w:line="273" w:lineRule="auto"/>
              <w:jc w:val="center"/>
              <w:rPr>
                <w:rFonts w:hint="default" w:ascii="Times New Roman" w:hAnsi="Times New Roman" w:cs="Times New Roman"/>
                <w:b/>
                <w:color w:val="000000"/>
                <w:sz w:val="24"/>
                <w:szCs w:val="24"/>
              </w:rPr>
            </w:pPr>
            <w:r>
              <w:rPr>
                <w:rFonts w:hint="default"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0BDF57A">
            <w:pPr>
              <w:widowControl/>
              <w:adjustRightInd w:val="0"/>
              <w:snapToGrid w:val="0"/>
              <w:spacing w:before="100" w:beforeAutospacing="1" w:line="273" w:lineRule="auto"/>
              <w:jc w:val="both"/>
              <w:rPr>
                <w:rFonts w:hint="default" w:ascii="Times New Roman" w:hAnsi="Times New Roman" w:cs="Times New Roman"/>
                <w:sz w:val="18"/>
                <w:szCs w:val="18"/>
              </w:rPr>
            </w:pPr>
            <w:r>
              <w:rPr>
                <w:rFonts w:hint="default" w:ascii="Times New Roman" w:hAnsi="Times New Roman" w:cs="Times New Roman"/>
                <w:sz w:val="18"/>
                <w:szCs w:val="18"/>
              </w:rPr>
              <w:t>携带BRAF突变的肿瘤中约一半为BRAF V600E突变。BRAF突变病人具有独特的临床病理特征：以吸烟人群为主，预后欠佳，对含铂化疗方案反应率低。FDA批准达拉非尼联合曲美替尼的组合疗法用于BRAF V600E突变的晚期非小细胞肺癌患者。NCCN指南推荐达拉非尼联合曲美替尼可作为具有BRAF V600E突变的非鳞非小细胞肺癌患者的一线治疗方案，联合治疗不耐受的患者建议使用单药达拉非尼或维莫非尼进行治疗，EGFR-TKI不适用于携带BRAF V600E突变的非小细胞肺癌患者[NCCN_Non-Small Cell Lung Cancer_2021_V5]。BRAF V600E突变是结直肠癌患者的不良预后因子，携带BRAF V600E的结直肠癌患者获益于西妥昔单或帕尼单抗（单药或者联合化疗）的可能性极低，对BRAF抑制剂单药治疗也不敏感[PMID: 25673558; PMID: 22608338; PMID: 26460303]，FDA批准西妥昔单抗和帕尼单抗用于治疗RAS和BRAF野生型的转移性结直肠癌患者，批准康奈非尼+西妥昔单抗用于BRAF V600E既往治疗进展的结直肠癌患者。NCCN指南推荐康奈非尼+西妥昔单抗/帕尼单抗治疗携带BRAF V600E的不可切除或转移性结直肠癌患者的一线治疗和后续治疗[NCCN_Colon Cancer_2021_V2]。在结直肠癌中，BRAF V600E突变的患者对康奈非尼+帕尼单抗、康奈非尼+西妥昔单抗、康奈非尼+贝美替尼+西妥昔单抗敏感[PMID: 30892987; PMID: 31566309; J Clin Oncol. 2020; 38(suppl 4): abstr 8]，携带BRAF V600的患者对维莫非尼+西妥昔单抗敏感[PMID: 26287849]。</w:t>
            </w:r>
          </w:p>
        </w:tc>
      </w:tr>
    </w:tbl>
    <w:p w14:paraId="29E3703F">
      <w:pPr>
        <w:spacing w:line="276" w:lineRule="auto"/>
        <w:rPr>
          <w:rFonts w:hint="default" w:ascii="Times New Roman" w:hAnsi="Times New Roman" w:cs="Times New Roman"/>
          <w:b/>
          <w:u w:val="thick" w:color="2DB8B5"/>
        </w:rPr>
      </w:pPr>
    </w:p>
    <w:p w14:paraId="1555DDFE">
      <w:pPr>
        <w:spacing w:line="276" w:lineRule="auto"/>
        <w:rPr>
          <w:rFonts w:hint="default" w:ascii="Times New Roman" w:hAnsi="Times New Roman" w:cs="Times New Roman"/>
          <w:b/>
          <w:u w:val="thick" w:color="2DB8B5"/>
        </w:rPr>
      </w:pPr>
    </w:p>
    <w:p w14:paraId="1A3224D7">
      <w:pPr>
        <w:spacing w:line="276" w:lineRule="auto"/>
        <w:rPr>
          <w:rFonts w:hint="default" w:ascii="Times New Roman" w:hAnsi="Times New Roman" w:cs="Times New Roman"/>
          <w:b/>
          <w:u w:val="thick" w:color="2DB8B5"/>
        </w:rPr>
      </w:pPr>
    </w:p>
    <w:p w14:paraId="10BC19D9">
      <w:pPr>
        <w:spacing w:line="276" w:lineRule="auto"/>
        <w:rPr>
          <w:rFonts w:hint="default" w:ascii="Times New Roman" w:hAnsi="Times New Roman" w:cs="Times New Roman"/>
          <w:b/>
          <w:u w:val="thick" w:color="2DB8B5"/>
        </w:rPr>
      </w:pPr>
    </w:p>
    <w:p w14:paraId="1B384B79">
      <w:pPr>
        <w:spacing w:line="276" w:lineRule="auto"/>
        <w:rPr>
          <w:rFonts w:hint="default" w:ascii="Times New Roman" w:hAnsi="Times New Roman" w:cs="Times New Roman"/>
          <w:b/>
          <w:sz w:val="24"/>
          <w:szCs w:val="24"/>
          <w:u w:val="thick" w:color="538135"/>
        </w:rPr>
      </w:pPr>
      <w:r>
        <w:rPr>
          <w:rFonts w:hint="default" w:ascii="Times New Roman" w:hAnsi="Times New Roman" w:cs="Times New Roman"/>
          <w:b/>
          <w:u w:val="thick" w:color="1F3864"/>
        </w:rPr>
        <w:t xml:space="preserve"> PIK3CA                                                                                                                                                      </w:t>
      </w:r>
      <w:r>
        <w:rPr>
          <w:rFonts w:hint="default" w:ascii="Times New Roman" w:hAnsi="Times New Roman" w:cs="Times New Roman"/>
          <w:b/>
          <w:sz w:val="24"/>
          <w:szCs w:val="24"/>
          <w:u w:val="thick" w:color="538135"/>
        </w:rPr>
        <w:t xml:space="preserve">        </w:t>
      </w:r>
    </w:p>
    <w:p w14:paraId="59B4348A">
      <w:pPr>
        <w:spacing w:line="276" w:lineRule="auto"/>
        <w:rPr>
          <w:rFonts w:hint="default"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176308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1507094">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5FBC937">
            <w:pPr>
              <w:widowControl/>
              <w:adjustRightInd w:val="0"/>
              <w:snapToGrid w:val="0"/>
              <w:spacing w:before="100" w:beforeAutospacing="1" w:line="273" w:lineRule="auto"/>
              <w:jc w:val="both"/>
              <w:rPr>
                <w:rFonts w:hint="default" w:ascii="Times New Roman" w:hAnsi="Times New Roman" w:cs="Times New Roman"/>
                <w:color w:val="000000"/>
                <w:sz w:val="18"/>
                <w:szCs w:val="18"/>
              </w:rPr>
            </w:pPr>
            <w:r>
              <w:rPr>
                <w:rFonts w:hint="default" w:ascii="Times New Roman" w:hAnsi="Times New Roman" w:cs="Times New Roman"/>
                <w:sz w:val="18"/>
                <w:szCs w:val="18"/>
              </w:rPr>
              <w:t>PIK3CA基因位于3q26.32，磷脂酰肌醇 3-激酶由一个 85kDa 的调节亚基和一个 110kDa 的催化亚基组成。PIK3CA编码的p110-alpha蛋白是磷脂酰肌醇3-激酶（PI3K）的催化亚基，以 ATP 依赖的方式磷酸化PtdIns, PtdIns4P 和 PtdIns (4, 5) P2。AKT是PI3K/AKT信号通路中核心因子，异常活化的AKT也会激活相关信号通路—PI3K/Akt/mTOR，可调控细胞的生长、增殖、分化、活力和存活，导致肿瘤发生。PIK3CA基因突变与结肠癌、神经胶质瘤、胃癌、乳腺癌、子宫内膜癌和肺癌等有关。PIK3CA突变主要发生在外显子10和外显子21 内的热点区域。</w:t>
            </w:r>
          </w:p>
        </w:tc>
      </w:tr>
      <w:tr w14:paraId="5ED2E5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D53189F">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7E45D10">
            <w:pPr>
              <w:widowControl/>
              <w:adjustRightInd w:val="0"/>
              <w:snapToGrid w:val="0"/>
              <w:spacing w:before="100" w:beforeAutospacing="1" w:line="273" w:lineRule="auto"/>
              <w:rPr>
                <w:rFonts w:hint="default" w:ascii="Times New Roman" w:hAnsi="Times New Roman" w:cs="Times New Roman"/>
                <w:sz w:val="18"/>
                <w:szCs w:val="18"/>
              </w:rPr>
            </w:pPr>
            <w:bookmarkStart w:id="14" w:name="OLE_LINK6"/>
            <w:r>
              <w:rPr>
                <w:rFonts w:hint="default" w:ascii="Times New Roman" w:hAnsi="Times New Roman" w:cs="Times New Roman"/>
                <w:b/>
                <w:sz w:val="18"/>
                <w:szCs w:val="18"/>
              </w:rPr>
              <w:t>西妥昔单抗*、</w:t>
            </w:r>
            <w:bookmarkEnd w:id="14"/>
            <w:r>
              <w:rPr>
                <w:rFonts w:hint="default" w:ascii="Times New Roman" w:hAnsi="Times New Roman" w:cs="Times New Roman"/>
                <w:b/>
                <w:sz w:val="18"/>
                <w:szCs w:val="18"/>
              </w:rPr>
              <w:t>依维莫司*</w:t>
            </w:r>
            <w:r>
              <w:rPr>
                <w:rFonts w:hint="default" w:ascii="Times New Roman" w:hAnsi="Times New Roman" w:cs="Times New Roman"/>
                <w:sz w:val="18"/>
                <w:szCs w:val="18"/>
              </w:rPr>
              <w:t>、</w:t>
            </w:r>
            <w:r>
              <w:rPr>
                <w:rFonts w:hint="default" w:ascii="Times New Roman" w:hAnsi="Times New Roman" w:cs="Times New Roman"/>
                <w:b/>
                <w:sz w:val="18"/>
                <w:szCs w:val="18"/>
              </w:rPr>
              <w:t>替西罗莫司</w:t>
            </w:r>
            <w:r>
              <w:rPr>
                <w:rFonts w:hint="default" w:ascii="Times New Roman" w:hAnsi="Times New Roman" w:cs="Times New Roman"/>
                <w:sz w:val="18"/>
                <w:szCs w:val="18"/>
              </w:rPr>
              <w:t>、</w:t>
            </w:r>
            <w:r>
              <w:rPr>
                <w:rFonts w:hint="default" w:ascii="Times New Roman" w:hAnsi="Times New Roman" w:cs="Times New Roman"/>
                <w:b/>
                <w:sz w:val="18"/>
                <w:szCs w:val="18"/>
              </w:rPr>
              <w:t>西罗莫司</w:t>
            </w:r>
            <w:r>
              <w:rPr>
                <w:rFonts w:hint="default" w:ascii="Times New Roman" w:hAnsi="Times New Roman" w:cs="Times New Roman"/>
                <w:sz w:val="18"/>
                <w:szCs w:val="18"/>
              </w:rPr>
              <w:t>、MK2206、</w:t>
            </w:r>
            <w:r>
              <w:rPr>
                <w:rFonts w:hint="default" w:ascii="Times New Roman" w:hAnsi="Times New Roman" w:cs="Times New Roman"/>
                <w:b/>
                <w:sz w:val="18"/>
                <w:szCs w:val="18"/>
              </w:rPr>
              <w:t>Copanlisib</w:t>
            </w:r>
            <w:r>
              <w:rPr>
                <w:rFonts w:hint="default" w:ascii="Times New Roman" w:hAnsi="Times New Roman" w:cs="Times New Roman"/>
                <w:sz w:val="18"/>
                <w:szCs w:val="18"/>
              </w:rPr>
              <w:t xml:space="preserve">、Taselisib </w:t>
            </w:r>
          </w:p>
        </w:tc>
      </w:tr>
      <w:tr w14:paraId="518D51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8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BB5DD40">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用药提示</w:t>
            </w:r>
          </w:p>
          <w:p w14:paraId="6AF5D07E">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34C4F5B">
            <w:pPr>
              <w:widowControl/>
              <w:adjustRightInd w:val="0"/>
              <w:snapToGrid w:val="0"/>
              <w:spacing w:before="100" w:beforeAutospacing="1" w:line="273" w:lineRule="auto"/>
              <w:rPr>
                <w:rFonts w:hint="default" w:ascii="Times New Roman" w:hAnsi="Times New Roman" w:cs="Times New Roman"/>
                <w:sz w:val="18"/>
                <w:szCs w:val="18"/>
              </w:rPr>
            </w:pPr>
            <w:r>
              <w:rPr>
                <w:rFonts w:hint="default" w:ascii="Times New Roman" w:hAnsi="Times New Roman" w:cs="Times New Roman"/>
                <w:sz w:val="18"/>
                <w:szCs w:val="18"/>
              </w:rPr>
              <w:t>研究发现PIK3CA突变可以与EGFR突变共存[PMID: 16930767]，有临床前的研究表明，PIK3CA基因位于EGFR信号通路的下游，PIK3CA的激活突变维持PI3K-AKT在细胞内的信号传导，可能影响EGFR TKI（吉非替尼与厄洛替尼）的疗效[PMID: 20855837]。在一项回顾性研究中，西妥昔单抗治疗携带PIK3CA E542V突变的结直肠癌患者，患者出现6个月的疾病稳定期[PMID: 25714871]。在临床研究中，两个具有PIK3CA E545和KRAS G12共突变的结直肠癌患者在用替西罗莫司治疗后表现出疾病稳定[PMID: 21216929]。在一项I期临床研究中，PIK3CA H1047L/Y对Taselisib敏感[PMID: 28331003]。目前PI3K抑制剂对PIK3CA基因突变患者的疗效研究多处于临床前[PMID: 26703889]，如MK2206、依维莫司、替西罗莫司、西罗莫司、Copanlisib等在PIK3CA突变的肺癌或实体肿瘤中正在开展临床试验。</w:t>
            </w:r>
          </w:p>
        </w:tc>
      </w:tr>
    </w:tbl>
    <w:p w14:paraId="357562A0">
      <w:pPr>
        <w:spacing w:line="276" w:lineRule="auto"/>
        <w:rPr>
          <w:rFonts w:hint="default" w:ascii="Times New Roman" w:hAnsi="Times New Roman" w:cs="Times New Roman"/>
        </w:rPr>
      </w:pPr>
    </w:p>
    <w:p w14:paraId="73555190">
      <w:pPr>
        <w:spacing w:line="276" w:lineRule="auto"/>
        <w:rPr>
          <w:rFonts w:hint="default" w:ascii="Times New Roman" w:hAnsi="Times New Roman" w:cs="Times New Roman"/>
          <w:sz w:val="24"/>
          <w:u w:val="thick" w:color="538135"/>
        </w:rPr>
      </w:pPr>
    </w:p>
    <w:p w14:paraId="2B26FF6B">
      <w:pPr>
        <w:spacing w:line="276" w:lineRule="auto"/>
        <w:rPr>
          <w:rFonts w:hint="default" w:ascii="Times New Roman" w:hAnsi="Times New Roman" w:cs="Times New Roman"/>
          <w:b/>
          <w:u w:val="thick" w:color="1F3864"/>
        </w:rPr>
      </w:pPr>
      <w:r>
        <w:rPr>
          <w:rFonts w:hint="default" w:ascii="Times New Roman" w:hAnsi="Times New Roman" w:cs="Times New Roman"/>
          <w:b/>
          <w:u w:val="thick" w:color="1F3864"/>
        </w:rPr>
        <w:t xml:space="preserve"> ROS1                                                                                                                                                                </w:t>
      </w:r>
    </w:p>
    <w:p w14:paraId="12217A53">
      <w:pPr>
        <w:spacing w:line="276" w:lineRule="auto"/>
        <w:rPr>
          <w:rFonts w:hint="default" w:ascii="Times New Roman" w:hAnsi="Times New Roman" w:cs="Times New Roman"/>
          <w:b/>
          <w:u w:val="single" w:color="2DB8B5"/>
        </w:rPr>
      </w:pPr>
    </w:p>
    <w:tbl>
      <w:tblPr>
        <w:tblStyle w:val="19"/>
        <w:tblW w:w="900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8"/>
        <w:gridCol w:w="6700"/>
      </w:tblGrid>
      <w:tr w14:paraId="28FD69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31"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95E7C73">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基因说明</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28D90765">
            <w:pPr>
              <w:widowControl/>
              <w:adjustRightInd w:val="0"/>
              <w:snapToGrid w:val="0"/>
              <w:spacing w:before="100" w:beforeAutospacing="1" w:line="273" w:lineRule="auto"/>
              <w:jc w:val="both"/>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ROS1基因位于 6q22.1，是一种原癌基因，由该基因编码的蛋白质是I型整合膜蛋白，具有酪氨酸激酶活性，可以充当生长或分化因子受体。ROS1基因的染色体重组最初在胶质母细胞瘤中发现。ROS1融合被认为是非小细胞肺癌和胆管癌的驱动突变。ROS1融合包含一个完整的酪氨酸激酶，其下游信号可激活细胞信号通路，刺激细胞生长和细胞增殖。ROS1是一个潜在的驱动致癌基因，ROS1融合在NSCLC中发生率为1-3%。ROS1基因重排定义了NSCLC的一个特殊分子亚型，目前已经鉴定出9种不同的重排形式，其中以CD74-ROS1最为常见（42%）。</w:t>
            </w:r>
          </w:p>
        </w:tc>
      </w:tr>
      <w:tr w14:paraId="18F8D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4"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BED233">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靶向药物</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5F92ACB7">
            <w:pPr>
              <w:spacing w:before="100" w:beforeAutospacing="1" w:line="256" w:lineRule="auto"/>
              <w:rPr>
                <w:rFonts w:hint="default" w:ascii="Times New Roman" w:hAnsi="Times New Roman" w:cs="Times New Roman"/>
                <w:sz w:val="18"/>
                <w:szCs w:val="18"/>
              </w:rPr>
            </w:pPr>
            <w:r>
              <w:rPr>
                <w:rFonts w:hint="default" w:ascii="Times New Roman" w:hAnsi="Times New Roman" w:cs="Times New Roman"/>
                <w:b/>
                <w:sz w:val="18"/>
                <w:szCs w:val="18"/>
              </w:rPr>
              <w:t>克唑替尼*</w:t>
            </w:r>
            <w:r>
              <w:rPr>
                <w:rFonts w:hint="default" w:ascii="Times New Roman" w:hAnsi="Times New Roman" w:cs="Times New Roman"/>
                <w:sz w:val="18"/>
                <w:szCs w:val="18"/>
              </w:rPr>
              <w:t>、</w:t>
            </w:r>
            <w:r>
              <w:rPr>
                <w:rFonts w:hint="default" w:ascii="Times New Roman" w:hAnsi="Times New Roman" w:cs="Times New Roman"/>
                <w:b/>
                <w:sz w:val="18"/>
                <w:szCs w:val="18"/>
              </w:rPr>
              <w:t>恩曲替尼</w:t>
            </w:r>
            <w:r>
              <w:rPr>
                <w:rFonts w:hint="default" w:ascii="Times New Roman" w:hAnsi="Times New Roman" w:cs="Times New Roman"/>
                <w:sz w:val="18"/>
                <w:szCs w:val="18"/>
              </w:rPr>
              <w:t>、</w:t>
            </w:r>
            <w:r>
              <w:rPr>
                <w:rFonts w:hint="default" w:ascii="Times New Roman" w:hAnsi="Times New Roman" w:cs="Times New Roman"/>
                <w:b/>
                <w:sz w:val="18"/>
                <w:szCs w:val="18"/>
              </w:rPr>
              <w:t>劳拉替尼、塞瑞替尼*</w:t>
            </w:r>
          </w:p>
        </w:tc>
      </w:tr>
      <w:tr w14:paraId="55E20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57"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EA4A307">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用药提示</w:t>
            </w:r>
          </w:p>
          <w:p w14:paraId="2D0EFA9E">
            <w:pPr>
              <w:widowControl/>
              <w:spacing w:before="100" w:beforeAutospacing="1" w:line="273" w:lineRule="auto"/>
              <w:jc w:val="center"/>
              <w:rPr>
                <w:rFonts w:hint="default" w:ascii="Times New Roman" w:hAnsi="Times New Roman" w:cs="Times New Roman"/>
                <w:b/>
                <w:color w:val="FFFFFF"/>
                <w:sz w:val="24"/>
                <w:szCs w:val="24"/>
              </w:rPr>
            </w:pPr>
            <w:r>
              <w:rPr>
                <w:rFonts w:hint="default" w:ascii="Times New Roman" w:hAnsi="Times New Roman" w:cs="Times New Roman"/>
                <w:b/>
                <w:color w:val="FFFFFF"/>
                <w:sz w:val="24"/>
                <w:szCs w:val="24"/>
              </w:rPr>
              <w:t>（仅供参考）</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32B14648">
            <w:pPr>
              <w:widowControl/>
              <w:adjustRightInd w:val="0"/>
              <w:snapToGrid w:val="0"/>
              <w:spacing w:before="100" w:beforeAutospacing="1" w:line="273" w:lineRule="auto"/>
              <w:rPr>
                <w:rFonts w:hint="default" w:ascii="Times New Roman" w:hAnsi="Times New Roman" w:cs="Times New Roman"/>
                <w:sz w:val="18"/>
                <w:szCs w:val="18"/>
              </w:rPr>
            </w:pPr>
            <w:r>
              <w:rPr>
                <w:rFonts w:hint="default" w:ascii="Times New Roman" w:hAnsi="Times New Roman" w:cs="Times New Roman"/>
                <w:sz w:val="18"/>
                <w:szCs w:val="18"/>
              </w:rPr>
              <w:t>ROS1 基因重排代表一类新的独特的NSCLC分子亚型，一般认为ROS1融合基因阳性的肺癌患者，不伴有EGFR 突变和（或）ALK-EML4 融合基因及KRAS 突变，但随着研究的深入以及实验技术的发展，目前有少量研究发现，ROS1 融合基因可以与其他驱动基因变异共存。肺癌中，ROS1 基因融合对克唑替尼（ALK，MET，ROS1抑制剂）类药物敏感性增加[PMID: 30980071; PMID: 29596029]。FDA批准恩曲替尼用于治疗ROS1阳性的转移性非小细胞肺癌（NSCLC）成人患者，克唑替尼可用于ROS1 阳性的晚期非小细胞肺癌（NSCLC）患者的治疗。然而使用克唑替尼治疗后的一段时间，会逐渐出现耐药迹象，进一步活检发现主要耐药位点为G2032R，除此之外，D2033N, L2026M, L1951R 可能也是较为少见的耐药位点[PMID: 25688157]，ROS1融合与EGFR TKI的原发性耐药有关[PMID: 30568455; PMID: 31124056]。NCCN指南推荐克唑替尼、恩曲替尼用于ROS1重排阳性的转移性或晚期非小细胞肺癌患者的首先一线治疗，塞瑞替尼用于ROS1重排阳性的NSCLC患者的一线治疗，劳拉替尼用于经恩曲替尼、克唑替尼或塞瑞替尼治疗后疾病进展的ROS1重排的非小细胞肺癌患者的后续治疗。恩曲替尼和克唑替尼治疗ROS1融合的实体瘤患者的临床研究正在开展。</w:t>
            </w:r>
          </w:p>
        </w:tc>
      </w:tr>
    </w:tbl>
    <w:p w14:paraId="5BE2006E">
      <w:pPr>
        <w:spacing w:line="276" w:lineRule="auto"/>
        <w:rPr>
          <w:rFonts w:hint="default" w:ascii="Times New Roman" w:hAnsi="Times New Roman" w:cs="Times New Roman"/>
          <w:b/>
          <w:sz w:val="18"/>
          <w:szCs w:val="18"/>
        </w:rPr>
      </w:pPr>
    </w:p>
    <w:p w14:paraId="08375E7F">
      <w:pPr>
        <w:spacing w:line="276" w:lineRule="auto"/>
        <w:rPr>
          <w:rFonts w:hint="default" w:ascii="Times New Roman" w:hAnsi="Times New Roman" w:cs="Times New Roman"/>
          <w:b/>
          <w:sz w:val="18"/>
          <w:szCs w:val="18"/>
        </w:rPr>
      </w:pPr>
      <w:r>
        <w:rPr>
          <w:rFonts w:hint="default" w:ascii="Times New Roman" w:hAnsi="Times New Roman" w:cs="Times New Roman"/>
          <w:b/>
          <w:sz w:val="18"/>
          <w:szCs w:val="18"/>
        </w:rPr>
        <w:t>注：</w:t>
      </w:r>
    </w:p>
    <w:p w14:paraId="4F30DC24">
      <w:pPr>
        <w:spacing w:line="276" w:lineRule="auto"/>
        <w:rPr>
          <w:rFonts w:hint="default" w:ascii="Times New Roman" w:hAnsi="Times New Roman" w:cs="Times New Roman"/>
          <w:sz w:val="18"/>
          <w:szCs w:val="18"/>
        </w:rPr>
      </w:pPr>
      <w:r>
        <w:rPr>
          <w:rFonts w:hint="default" w:ascii="Times New Roman" w:hAnsi="Times New Roman" w:cs="Times New Roman"/>
          <w:sz w:val="18"/>
          <w:szCs w:val="18"/>
        </w:rPr>
        <w:t>1.加粗药物表示：FDA/NMPA已批准药物，未加粗药物为未上市药物。</w:t>
      </w:r>
    </w:p>
    <w:p w14:paraId="207A3F26">
      <w:pPr>
        <w:spacing w:line="276" w:lineRule="auto"/>
        <w:rPr>
          <w:rFonts w:hint="default" w:ascii="Times New Roman" w:hAnsi="Times New Roman" w:cs="Times New Roman"/>
          <w:sz w:val="18"/>
          <w:szCs w:val="18"/>
        </w:rPr>
      </w:pPr>
      <w:r>
        <w:rPr>
          <w:rFonts w:hint="default" w:ascii="Times New Roman" w:hAnsi="Times New Roman" w:cs="Times New Roman"/>
          <w:sz w:val="18"/>
          <w:szCs w:val="18"/>
        </w:rPr>
        <w:t>2.* 标注的药物表示：NMPA批准的靶向药物。</w:t>
      </w:r>
    </w:p>
    <w:p w14:paraId="0CD56821">
      <w:pPr>
        <w:spacing w:line="276" w:lineRule="auto"/>
        <w:rPr>
          <w:rFonts w:hint="default" w:ascii="Times New Roman" w:hAnsi="Times New Roman" w:cs="Times New Roman"/>
          <w:sz w:val="18"/>
          <w:szCs w:val="18"/>
        </w:rPr>
      </w:pPr>
    </w:p>
    <w:p w14:paraId="72086CDD">
      <w:pPr>
        <w:spacing w:line="276" w:lineRule="auto"/>
        <w:rPr>
          <w:rFonts w:hint="default" w:ascii="Times New Roman" w:hAnsi="Times New Roman" w:cs="Times New Roman"/>
          <w:sz w:val="18"/>
          <w:szCs w:val="18"/>
        </w:rPr>
      </w:pPr>
    </w:p>
    <w:p w14:paraId="484540F0">
      <w:pPr>
        <w:spacing w:line="276" w:lineRule="auto"/>
        <w:rPr>
          <w:rFonts w:hint="default" w:ascii="Times New Roman" w:hAnsi="Times New Roman" w:cs="Times New Roman"/>
          <w:sz w:val="18"/>
          <w:szCs w:val="18"/>
        </w:rPr>
      </w:pPr>
    </w:p>
    <w:p w14:paraId="23D90B56">
      <w:pPr>
        <w:spacing w:line="276" w:lineRule="auto"/>
        <w:rPr>
          <w:rFonts w:hint="default" w:ascii="Times New Roman" w:hAnsi="Times New Roman" w:cs="Times New Roman"/>
          <w:sz w:val="18"/>
          <w:szCs w:val="18"/>
        </w:rPr>
      </w:pPr>
    </w:p>
    <w:p w14:paraId="5894950B">
      <w:pPr>
        <w:spacing w:line="276" w:lineRule="auto"/>
        <w:rPr>
          <w:rFonts w:hint="default" w:ascii="Times New Roman" w:hAnsi="Times New Roman" w:cs="Times New Roman"/>
          <w:sz w:val="18"/>
          <w:szCs w:val="18"/>
        </w:rPr>
      </w:pPr>
    </w:p>
    <w:p w14:paraId="5726A6AE">
      <w:pPr>
        <w:spacing w:line="276" w:lineRule="auto"/>
        <w:rPr>
          <w:rFonts w:hint="default" w:ascii="Times New Roman" w:hAnsi="Times New Roman" w:cs="Times New Roman"/>
          <w:sz w:val="18"/>
          <w:szCs w:val="18"/>
        </w:rPr>
      </w:pPr>
    </w:p>
    <w:p w14:paraId="00D53955">
      <w:pPr>
        <w:spacing w:line="276" w:lineRule="auto"/>
        <w:rPr>
          <w:rFonts w:hint="default" w:ascii="Times New Roman" w:hAnsi="Times New Roman" w:cs="Times New Roman"/>
          <w:sz w:val="18"/>
          <w:szCs w:val="18"/>
        </w:rPr>
      </w:pPr>
    </w:p>
    <w:p w14:paraId="0F05165F">
      <w:pPr>
        <w:spacing w:line="276" w:lineRule="auto"/>
        <w:rPr>
          <w:rFonts w:hint="default" w:ascii="Times New Roman" w:hAnsi="Times New Roman" w:cs="Times New Roman"/>
          <w:sz w:val="18"/>
          <w:szCs w:val="18"/>
        </w:rPr>
      </w:pPr>
    </w:p>
    <w:p w14:paraId="5137FF99">
      <w:pPr>
        <w:spacing w:line="276" w:lineRule="auto"/>
        <w:rPr>
          <w:rFonts w:hint="default" w:ascii="Times New Roman" w:hAnsi="Times New Roman" w:cs="Times New Roman"/>
          <w:sz w:val="18"/>
          <w:szCs w:val="18"/>
        </w:rPr>
      </w:pPr>
    </w:p>
    <w:p w14:paraId="6C5561B1">
      <w:pPr>
        <w:spacing w:line="276" w:lineRule="auto"/>
        <w:rPr>
          <w:rFonts w:hint="default" w:ascii="Times New Roman" w:hAnsi="Times New Roman" w:cs="Times New Roman"/>
          <w:sz w:val="18"/>
          <w:szCs w:val="18"/>
        </w:rPr>
      </w:pPr>
    </w:p>
    <w:p w14:paraId="2291A203">
      <w:pPr>
        <w:spacing w:before="26"/>
        <w:rPr>
          <w:rFonts w:hint="default" w:ascii="Times New Roman" w:hAnsi="Times New Roman" w:cs="Times New Roman"/>
          <w:sz w:val="15"/>
        </w:rPr>
      </w:pPr>
    </w:p>
    <w:p w14:paraId="48011758">
      <w:pPr>
        <w:spacing w:line="360" w:lineRule="auto"/>
        <w:rPr>
          <w:rFonts w:hint="default" w:ascii="Times New Roman" w:hAnsi="Times New Roman" w:cs="Times New Roman"/>
          <w:b/>
        </w:rPr>
      </w:pPr>
      <w:r>
        <w:rPr>
          <w:rFonts w:hint="default"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hint="default" w:ascii="Times New Roman" w:hAnsi="Times New Roman" w:cs="Times New Roman"/>
          <w:b/>
        </w:rPr>
        <w:t>ABL1</w:t>
      </w:r>
    </w:p>
    <w:p w14:paraId="6CE96508">
      <w:pPr>
        <w:spacing w:line="300" w:lineRule="auto"/>
        <w:ind w:left="420"/>
        <w:rPr>
          <w:rFonts w:hint="default" w:ascii="Times New Roman" w:hAnsi="Times New Roman" w:cs="Times New Roman"/>
          <w:b/>
          <w:szCs w:val="18"/>
          <w:highlight w:val="black"/>
        </w:rPr>
      </w:pPr>
      <w:r>
        <w:rPr>
          <w:rFonts w:hint="default" w:ascii="Times New Roman" w:hAnsi="Times New Roman" w:cs="Times New Roman"/>
          <w:b/>
          <w:szCs w:val="18"/>
        </w:rPr>
        <w:t>基因说明：</w:t>
      </w:r>
    </w:p>
    <w:p w14:paraId="50D5CA7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MIM: 151410）的融合。ABL1的突变常见于肺癌、结肠癌、子宫内膜样腺癌、乳腺浸润性导管癌和皮肤黑色素瘤患者中。</w:t>
      </w:r>
    </w:p>
    <w:p w14:paraId="34C5C42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202BC20">
      <w:pPr>
        <w:adjustRightInd w:val="0"/>
        <w:snapToGrid w:val="0"/>
        <w:spacing w:line="300" w:lineRule="auto"/>
        <w:ind w:left="420"/>
        <w:jc w:val="both"/>
        <w:rPr>
          <w:rFonts w:hint="default" w:ascii="Times New Roman" w:hAnsi="Times New Roman" w:cs="Times New Roman"/>
          <w:sz w:val="18"/>
          <w:szCs w:val="18"/>
        </w:rPr>
      </w:pPr>
      <w:r>
        <w:rPr>
          <w:rFonts w:hint="default" w:ascii="Times New Roman" w:hAnsi="Times New Roman" w:cs="Times New Roman"/>
          <w:sz w:val="18"/>
          <w:szCs w:val="18"/>
        </w:rPr>
        <w:t>ABL1在BCR-ABL融合蛋白中的作用与癌症关系最为密切，该融合蛋白已成为慢性粒细胞白血病（CML）的一个特征，含有融合突变的细胞对伊马替尼表现出敏感性，大大改善了疾病的预后。NCCN指南推荐普纳替尼、尼洛替尼、伊马替尼、达沙替尼、博舒替尼用于ABL1重排的嗜酸性粒细胞增多症的髓系/淋巴系肿瘤患者。然而，ABL1中额外的突变已被证明对伊马替尼具有耐药性，含有ABL1 R332W（也被报道为R351W）和ABL1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26758680]。ABL1重排与B细胞急性淋巴细胞白血病儿科患者的不良预后有关。评估尼洛替尼、依维莫司治疗ABL1融合的实体瘤患者疗效的临床试验正在开展。</w:t>
      </w:r>
    </w:p>
    <w:p w14:paraId="5DF7D4B1">
      <w:pPr>
        <w:adjustRightInd w:val="0"/>
        <w:snapToGrid w:val="0"/>
        <w:spacing w:line="300" w:lineRule="auto"/>
        <w:ind w:left="420"/>
        <w:jc w:val="both"/>
        <w:rPr>
          <w:rFonts w:hint="default" w:ascii="Times New Roman" w:hAnsi="Times New Roman" w:cs="Times New Roman"/>
          <w:sz w:val="18"/>
          <w:szCs w:val="18"/>
        </w:rPr>
      </w:pPr>
    </w:p>
    <w:p w14:paraId="07A76591">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AKT1                                                                          </w:t>
      </w:r>
    </w:p>
    <w:p w14:paraId="3BF0284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7469D11">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 32305038]。异常活化的AKT会导致肿瘤发生、转移以及耐药性的产生，超过50%的肿瘤中存在Akt过度活化，与AKT1相关的疾病包括乳腺癌、结肠癌和卵巢癌等，在多种癌种中存在低频突变。</w:t>
      </w:r>
    </w:p>
    <w:p w14:paraId="3B04442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DB7881A">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癌症中的AKT1激活主要是由于PI3K通路的激活或PTEN失活导致[ PMID: 30742888]。目前检测出的AKT1突变主要包括AKT1激活突变[PMID: 17611497; PMID: 23134728; PMID: 20440266]，包括磷酸肌醇依赖的AKT1的活化。抑制Akt活性既可避免抑制上游PI3K造成的严重副作用，也可避免抑制下游mTOR引起的负反馈机制影响药效。在一项临床研究中，一名携带AKT1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E17K突变阳性；在480mg bid 4/3剂量组中，1例患者维持部分应答2年[PMID: 26931343]。评估TAS117、替西罗莫司、依维莫司、Ipatasertib治疗AKT1突变的实体瘤患者疗效的临床试验正在开展。</w:t>
      </w:r>
    </w:p>
    <w:p w14:paraId="74ED118D">
      <w:pPr>
        <w:spacing w:line="360" w:lineRule="auto"/>
        <w:ind w:firstLine="420"/>
        <w:rPr>
          <w:rFonts w:hint="default" w:ascii="Times New Roman" w:hAnsi="Times New Roman" w:cs="Times New Roman"/>
          <w:sz w:val="18"/>
          <w:szCs w:val="18"/>
        </w:rPr>
      </w:pPr>
    </w:p>
    <w:p w14:paraId="45C752B2">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AKT3                                                                          </w:t>
      </w:r>
    </w:p>
    <w:p w14:paraId="0ABC55E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6382D3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642BC74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E8924C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许多针对AKT的药物会抑制所有亚型，但非特异性AKT抑制剂对具有较高AKT3水平的低侵袭性胶质母细胞瘤不利[PMID: 27422127]。在以AKT3突变和扩增为纳入标准的临床试验中，多个靶向方式治疗AKT3异常的肺癌和肠癌患者的临床试验正在开展，比如评估替西罗莫司治疗AKT3扩增的实体瘤患者疗效的临床试验正在开展。</w:t>
      </w:r>
    </w:p>
    <w:p w14:paraId="6E556173">
      <w:pPr>
        <w:spacing w:line="300" w:lineRule="auto"/>
        <w:ind w:left="420"/>
        <w:rPr>
          <w:rFonts w:hint="default" w:ascii="Times New Roman" w:hAnsi="Times New Roman" w:cs="Times New Roman"/>
          <w:sz w:val="18"/>
          <w:szCs w:val="18"/>
          <w:highlight w:val="black"/>
        </w:rPr>
      </w:pPr>
    </w:p>
    <w:p w14:paraId="5C88739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AR                                                                         </w:t>
      </w:r>
    </w:p>
    <w:p w14:paraId="79C7103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4C6F0B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3F0C8BF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F618DF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在前列腺癌对阿比特龙+泼尼松和恩扎卢胺的耐药性相关研究中，AR扩增患者的最差应答者大多为AR拷贝数高(&gt;8)的患者[PMID: 29367197]。AR基因扩增的前列腺癌患者对恩扎卢胺响应减少，对阿比特龙也耐药[PMID: 27148695]。一个携带AR基因扩增的前列腺癌患者在接受多西他赛化疗后，肝转移得到控制，后续治疗中选择阿比特龙+泼尼松龙治疗无响应[PMID: 25232177]。</w:t>
      </w:r>
    </w:p>
    <w:p w14:paraId="3C912343">
      <w:pPr>
        <w:spacing w:line="300" w:lineRule="auto"/>
        <w:ind w:left="420"/>
        <w:rPr>
          <w:rFonts w:hint="default" w:ascii="Times New Roman" w:hAnsi="Times New Roman" w:cs="Times New Roman"/>
          <w:sz w:val="18"/>
          <w:szCs w:val="18"/>
        </w:rPr>
      </w:pPr>
    </w:p>
    <w:p w14:paraId="2702A0F3">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AXL                                                                         </w:t>
      </w:r>
    </w:p>
    <w:p w14:paraId="2AE55B6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BF13393">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2F54531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10548A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非小细胞肺癌患者不良预后相关的危险因素[PMID: 28105215]。116例食管鳞癌肿瘤的免疫组化分析发现，AXL表达与肿瘤的进展增加相关（P &lt; 0.0001），增加了肿瘤患者的远处转移和死亡风险[PMID: 27172793]。评估卡博替尼治疗AXL扩增的非小细胞肺癌患者疗效的临床试验正在开展。</w:t>
      </w:r>
    </w:p>
    <w:p w14:paraId="52C18663">
      <w:pPr>
        <w:spacing w:line="300" w:lineRule="auto"/>
        <w:ind w:left="420"/>
        <w:rPr>
          <w:rFonts w:hint="default" w:ascii="Times New Roman" w:hAnsi="Times New Roman" w:cs="Times New Roman"/>
          <w:sz w:val="18"/>
          <w:szCs w:val="18"/>
        </w:rPr>
      </w:pPr>
    </w:p>
    <w:p w14:paraId="654D5BA1">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CCND1                                                                          </w:t>
      </w:r>
    </w:p>
    <w:p w14:paraId="63C11D4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28C4AC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5B1DEAB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5C3602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25524798]。一项使用哌柏西利治疗细胞周期基因改变阳性IV期肺鳞癌患者的II期研究中， 32例患者接受了哌柏西利治疗，有2例部分反应（反应率6％[95％置信区间（CI）：0％-15％]），均为CCND1扩增[PMID: 31302234]。评估哌柏西利治疗CCND1扩增的肺鳞癌和实体瘤患者疗效的临床试验正在开展。</w:t>
      </w:r>
    </w:p>
    <w:p w14:paraId="534D976E">
      <w:pPr>
        <w:spacing w:line="300" w:lineRule="auto"/>
        <w:ind w:left="420"/>
        <w:rPr>
          <w:rFonts w:hint="default" w:ascii="Times New Roman" w:hAnsi="Times New Roman" w:cs="Times New Roman"/>
          <w:sz w:val="18"/>
          <w:szCs w:val="18"/>
        </w:rPr>
      </w:pPr>
    </w:p>
    <w:p w14:paraId="62B7452E">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CDK4                                                                          </w:t>
      </w:r>
    </w:p>
    <w:p w14:paraId="2BE5D6F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B74B91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37ED8EC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F8A756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针对CDK抑制的一种靶向治疗是哌柏西利，可以减缓晚期乳腺癌的生长。也有小鼠中的研究表明，CDK抑制可能使突变的PIK3CA肿瘤对PI3K抑制剂敏感。多项临床研究表明，携带CDK4扩增的脂肪肉瘤患者对CDK抑制剂哌柏西利敏感[PMID: 23569312; PMID: 27124835]。多项评估CDK4/6抑制剂阿贝西利、哌柏西利治疗携带CDK4或CDK6扩增的实体瘤患者的临床研究正在开展。</w:t>
      </w:r>
    </w:p>
    <w:p w14:paraId="6DC7C557">
      <w:pPr>
        <w:spacing w:line="300" w:lineRule="auto"/>
        <w:ind w:left="420"/>
        <w:rPr>
          <w:rFonts w:hint="default" w:ascii="Times New Roman" w:hAnsi="Times New Roman" w:cs="Times New Roman"/>
          <w:sz w:val="18"/>
          <w:szCs w:val="18"/>
        </w:rPr>
      </w:pPr>
    </w:p>
    <w:p w14:paraId="23EA8648">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CDK6                                                                         </w:t>
      </w:r>
    </w:p>
    <w:p w14:paraId="772E2C6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169763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05E98BF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BABC7C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CDK6的扩增导致CDK6表达显著增加，CDK4/6靶点磷酸化rb (pRb)对CDK4/6抑制剂的反应降低。CDK4/6复合物的抑制剂如阿贝西利已在临床得到进展，并显示出显著的活性，特别是对由雌激素受体（ER）驱动的肿瘤。一项针对胰腺神经内分泌肿瘤的临床前研究表明，CDK4和CDK6基因的扩增或蛋白过表达可能对CDK4/6抑制剂哌柏西利敏感[PMID: 22761470]。CDK6蛋白表达增加与卵巢癌患者预后呈显著负相关（P=0.006）[PMID: 27687663]。多项评估CDK4/6抑制剂阿贝西利、哌柏西利治疗携带CDK4或CDK6扩增的实体瘤患者的临床研究正在开展。</w:t>
      </w:r>
    </w:p>
    <w:p w14:paraId="381C85A5">
      <w:pPr>
        <w:spacing w:line="360" w:lineRule="auto"/>
        <w:rPr>
          <w:rFonts w:hint="default" w:ascii="Times New Roman" w:hAnsi="Times New Roman" w:cs="Times New Roman"/>
          <w:sz w:val="18"/>
          <w:szCs w:val="18"/>
        </w:rPr>
      </w:pPr>
    </w:p>
    <w:p w14:paraId="393FEF1F">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CTNNB1                                                                         </w:t>
      </w:r>
    </w:p>
    <w:p w14:paraId="64C54C7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013EAD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17242F7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23EA6E6">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 19351922; PMID: 31801553]。临床前研究表明，携带CTNNB1热点突变的细胞系（包括携带CTNNB1 T41A的肺癌细胞系），相比CTNNB1野生型细胞系对TTK抑制剂（BAY1161909、MPI-0479605、NMS-P715 、BAY1217389 、Mps1-IN-1 、Mps-BAY2b 、NTRC 0066-0）敏感性提高[PMID: 28751540]。在一项回顾性分析中，100例非小细胞肺癌患者中，有8例在奥希替尼治疗耐药时发现了激活的CTNNB1突变，包括S37F/C（n=5）、D32V（n=1）、G34V（n=1）和T41I（n=1）[PMID: 31839416]。</w:t>
      </w:r>
    </w:p>
    <w:p w14:paraId="1895C0E8">
      <w:pPr>
        <w:spacing w:line="360" w:lineRule="auto"/>
        <w:ind w:left="420"/>
        <w:rPr>
          <w:rFonts w:hint="default" w:ascii="Times New Roman" w:hAnsi="Times New Roman" w:cs="Times New Roman"/>
          <w:sz w:val="18"/>
          <w:szCs w:val="18"/>
        </w:rPr>
      </w:pPr>
    </w:p>
    <w:p w14:paraId="44165581">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DDR2                                                                          </w:t>
      </w:r>
    </w:p>
    <w:p w14:paraId="27DB0BC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960C4C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 16186108; PMID: 17703188]，参与细胞生长，分化和代谢的调节。DDR2突变常见于肺癌、乳腺浸润性导管癌、结肠癌、子宫内膜样腺癌和膀胱尿路上皮癌中。</w:t>
      </w:r>
    </w:p>
    <w:p w14:paraId="306A42E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794DF92">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 PMID: 21701781; PMID: 23644467; PMID: 25130389]。一项案例报道中，1例携带DDR2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2551CD77">
      <w:pPr>
        <w:spacing w:line="360" w:lineRule="auto"/>
        <w:ind w:left="420"/>
        <w:rPr>
          <w:rFonts w:hint="default" w:ascii="Times New Roman" w:hAnsi="Times New Roman" w:cs="Times New Roman"/>
          <w:sz w:val="18"/>
          <w:szCs w:val="18"/>
        </w:rPr>
      </w:pPr>
    </w:p>
    <w:p w14:paraId="4E441796">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ERBB2                                                                          </w:t>
      </w:r>
    </w:p>
    <w:p w14:paraId="2549A8A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5D84D1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2611275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color w:val="000000"/>
          <w:sz w:val="18"/>
          <w:szCs w:val="18"/>
        </w:rPr>
        <w:t>恩美曲妥珠单抗</w:t>
      </w:r>
      <w:r>
        <w:rPr>
          <w:rFonts w:hint="default" w:ascii="Times New Roman" w:hAnsi="Times New Roman" w:cs="Times New Roman"/>
          <w:b/>
          <w:sz w:val="18"/>
          <w:szCs w:val="18"/>
        </w:rPr>
        <w:t>*、</w:t>
      </w:r>
      <w:r>
        <w:rPr>
          <w:rFonts w:hint="default" w:ascii="Times New Roman" w:hAnsi="Times New Roman" w:cs="Times New Roman"/>
          <w:sz w:val="18"/>
          <w:szCs w:val="18"/>
        </w:rPr>
        <w:t>Trastuzumab deruxtecan、吡咯替尼</w:t>
      </w:r>
      <w:r>
        <w:rPr>
          <w:rFonts w:hint="default" w:ascii="Times New Roman" w:hAnsi="Times New Roman" w:cs="Times New Roman"/>
          <w:b/>
          <w:color w:val="000000"/>
          <w:sz w:val="18"/>
          <w:szCs w:val="18"/>
        </w:rPr>
        <w:t>、</w:t>
      </w:r>
      <w:r>
        <w:rPr>
          <w:rFonts w:hint="default" w:ascii="Times New Roman" w:hAnsi="Times New Roman" w:cs="Times New Roman"/>
          <w:color w:val="000000"/>
          <w:sz w:val="18"/>
          <w:szCs w:val="18"/>
        </w:rPr>
        <w:t>曲妥珠单抗 + 帕妥珠单抗 、曲妥珠单抗 + 拉帕替尼</w:t>
      </w:r>
    </w:p>
    <w:p w14:paraId="7B1F2E36">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ERBB2常发生的变异是20号外显子插入，携带 ERBB2 活化突变的晚期 NSCLC 对 ERBB2 抑制剂可能敏感。NCCN指南推荐恩美曲妥珠单抗（TDM-1）、Trastuzumab deruxtecan用于HER2突变的非小细胞肺癌患者[NCCN_Non-Small Cell Lung Cancer_2021_V5]。非小细胞肺癌中，HER2 20号外显子插入突变对吡咯替尼敏感[PMID: 30596880]，但HER2突变对埃克替尼、厄洛替尼、吉非替尼、阿法替尼、达可替尼、奥希替尼、西妥昔单抗、帕尼单抗耐药[PMID: 22325357; PMID: 22761469]。目前阿法替尼、拉帕替尼、奈拉替尼等用于治疗ERBB2突变和20号外显子插入的肺癌患者的临床试验均在开展。ERBB2扩增是肺癌EGFR TKI治疗继发耐药变异，对EGFR TKI敏感性降低[NCCN_Non-Small Cell Lung Cancer_2021_V5]。结直肠癌中也常发生ERBB2拷贝数变异，NCCN指南推荐曲妥珠单抗联合帕妥珠单抗 、曲妥珠单抗联合拉帕替尼、Trastuzumab deruxtecan用于治疗ERBB2扩增的结直肠癌患者[NCCN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恩美曲妥珠单抗进行治疗，获得7个月的疾病控制，后使用曲妥珠单抗联合帕妥珠单抗治疗后，患者3个月后疾病发生进展[PMID: 28040715]。一项II期临床研究中，招募914例KRAS外显子2野生型的转移性结直肠癌患者，发现48例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763CC640">
      <w:pPr>
        <w:spacing w:line="300" w:lineRule="auto"/>
        <w:ind w:left="420"/>
        <w:rPr>
          <w:rFonts w:hint="default" w:ascii="Times New Roman" w:hAnsi="Times New Roman" w:cs="Times New Roman"/>
          <w:sz w:val="18"/>
          <w:szCs w:val="18"/>
        </w:rPr>
      </w:pPr>
    </w:p>
    <w:p w14:paraId="148E702D">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ERBB3                                                                          </w:t>
      </w:r>
    </w:p>
    <w:p w14:paraId="3772299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1B35FE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4971E72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1BE51CF">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一项Ⅰ期临床试验表明U3-1402对EGFR-TKI耐药后继发的不同通路激活（包括C797S、ERBB3、CDK4）都有疗效。帕妥珠单抗介导的对ErbB2异源二聚的抑制降低了AKT的磷酸化、细胞的体外生长和异种移植体的体内生长[PMID: 26206558]。在表达ERBB3 (HER3)的异种移植小鼠中，抑制剂帕妥珠单抗和9f7 - f11的组合增强了肿瘤抑制和中位生存时间，单药帕妥珠单抗的敏感性也可能通过ERBB3的表达而增加[PMID: 25216528]。评估奈拉替尼治疗ERBB3激活突变的肺癌和实体瘤患者疗效的临床试验正在开展。</w:t>
      </w:r>
    </w:p>
    <w:p w14:paraId="6D554F55">
      <w:pPr>
        <w:spacing w:line="300" w:lineRule="auto"/>
        <w:ind w:left="420"/>
        <w:rPr>
          <w:rFonts w:hint="default" w:ascii="Times New Roman" w:hAnsi="Times New Roman" w:cs="Times New Roman"/>
          <w:sz w:val="18"/>
          <w:szCs w:val="18"/>
        </w:rPr>
      </w:pPr>
    </w:p>
    <w:p w14:paraId="7CD1679C">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ERBB4                                                                          </w:t>
      </w:r>
    </w:p>
    <w:p w14:paraId="0880D61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1A11088">
      <w:pPr>
        <w:spacing w:line="360" w:lineRule="auto"/>
        <w:ind w:left="420"/>
        <w:rPr>
          <w:rFonts w:hint="default" w:ascii="Times New Roman" w:hAnsi="Times New Roman" w:cs="Times New Roman"/>
          <w:b/>
        </w:rPr>
      </w:pPr>
      <w:r>
        <w:rPr>
          <w:rFonts w:hint="default"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2B0420C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8693C71">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一项研究中，肺鳞癌患者按1:1随机分组接受阿法替尼或厄洛替尼，ERBB4（HER4）突变预测阿法替尼治疗的OS（HR=0.22）和PFS（HR=0.21）优于厄洛替尼[PMID: 29902295]。一项研究中，研究人员利用NAPPA蛋白微阵列平台，发现药物伊布替尼能够靶向ERBB4 [PMID: 29398709]。评估奈拉替尼治疗ERBB4突变的实体瘤患者疗效的临床研究正在开展中。</w:t>
      </w:r>
    </w:p>
    <w:p w14:paraId="58409AF5">
      <w:pPr>
        <w:spacing w:line="360" w:lineRule="auto"/>
        <w:ind w:left="420"/>
        <w:rPr>
          <w:rFonts w:hint="default" w:ascii="Times New Roman" w:hAnsi="Times New Roman" w:cs="Times New Roman"/>
          <w:sz w:val="18"/>
          <w:szCs w:val="18"/>
        </w:rPr>
      </w:pPr>
    </w:p>
    <w:p w14:paraId="41859606">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ERG                                                                         </w:t>
      </w:r>
    </w:p>
    <w:p w14:paraId="3CD9490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6D3A47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3059BDB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DD0678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3F1F9F06">
      <w:pPr>
        <w:spacing w:line="300" w:lineRule="auto"/>
        <w:ind w:left="420"/>
        <w:rPr>
          <w:rFonts w:hint="default" w:ascii="Times New Roman" w:hAnsi="Times New Roman" w:cs="Times New Roman"/>
          <w:sz w:val="18"/>
          <w:szCs w:val="18"/>
        </w:rPr>
      </w:pPr>
    </w:p>
    <w:p w14:paraId="3B247708">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ESR1                                                                          </w:t>
      </w:r>
    </w:p>
    <w:p w14:paraId="00F73D2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7F2EE4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2DAC924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073B93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雌激素受体阳性的乳腺癌对激素治疗有耐药性，ESR1的配体结合区域的许多突变与激素抵抗和抗雌激素治疗有关。氟维司群刺激ESR1蛋白降解的研究正处于临床试验阶段，并取得了一些成功。16例转移性乳腺癌患者通过哌柏西利联合来曲唑进行治疗，发现ESR1突变患者(5/16)，包括ESR1 D538G (n = 2)与野生型患者相比ESR1 (n = 11)，总体生存率无显著差异[PMID: 27556863]。哌柏西利和来曲唑治疗转移性乳腺癌的研究中，在初次采血时已经携带ESR1突变的患者（ESR1-de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029657C1">
      <w:pPr>
        <w:spacing w:line="300" w:lineRule="auto"/>
        <w:ind w:left="420"/>
        <w:rPr>
          <w:rFonts w:hint="default" w:ascii="Times New Roman" w:hAnsi="Times New Roman" w:cs="Times New Roman"/>
          <w:sz w:val="18"/>
          <w:szCs w:val="18"/>
          <w:highlight w:val="black"/>
        </w:rPr>
      </w:pPr>
    </w:p>
    <w:p w14:paraId="5CB14933">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ETV1                                                                          </w:t>
      </w:r>
    </w:p>
    <w:p w14:paraId="18520B5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E88C81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0071E86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CECEE5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TMPRSS2-ETV1融合在前列腺癌中反复出现[PMID: 16254181]，目前评估恩扎卢胺对TMPRSS2-ETV1基因突变的前列腺癌患者疗效的II期临床试验正在进行中。对结直肠癌的研究表明，ETV1表达影响细胞活力，ETV1高表达与较差的无复发生存期和总生存期相关[PMID: 30224643]。</w:t>
      </w:r>
    </w:p>
    <w:p w14:paraId="18813BCF">
      <w:pPr>
        <w:spacing w:line="300" w:lineRule="auto"/>
        <w:ind w:left="420"/>
        <w:rPr>
          <w:rFonts w:hint="default" w:ascii="Times New Roman" w:hAnsi="Times New Roman" w:cs="Times New Roman"/>
          <w:sz w:val="18"/>
          <w:szCs w:val="18"/>
          <w:highlight w:val="black"/>
        </w:rPr>
      </w:pPr>
    </w:p>
    <w:p w14:paraId="30E020E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ETV4                                                                          </w:t>
      </w:r>
    </w:p>
    <w:p w14:paraId="215AC53A">
      <w:pPr>
        <w:spacing w:line="300" w:lineRule="auto"/>
        <w:ind w:left="420"/>
        <w:rPr>
          <w:rFonts w:hint="default" w:ascii="Times New Roman" w:hAnsi="Times New Roman" w:cs="Times New Roman"/>
          <w:sz w:val="18"/>
          <w:szCs w:val="18"/>
        </w:rPr>
      </w:pPr>
      <w:r>
        <w:rPr>
          <w:rFonts w:hint="default" w:ascii="Times New Roman" w:hAnsi="Times New Roman" w:cs="Times New Roman"/>
          <w:b/>
          <w:szCs w:val="18"/>
        </w:rPr>
        <w:t>基因说明：</w:t>
      </w:r>
    </w:p>
    <w:p w14:paraId="324CFD9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4EA9CFA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38F2B0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28178529]。有研究表明，ETV4和MMP24水平升高，是肺癌和/或胃癌患者的肿瘤进展生物标志物，可能与较差预后相关[PMID: 27869830]。</w:t>
      </w:r>
    </w:p>
    <w:p w14:paraId="0673152C">
      <w:pPr>
        <w:spacing w:line="300" w:lineRule="auto"/>
        <w:ind w:left="420"/>
        <w:rPr>
          <w:rFonts w:hint="default" w:ascii="Times New Roman" w:hAnsi="Times New Roman" w:cs="Times New Roman"/>
          <w:sz w:val="18"/>
          <w:szCs w:val="18"/>
          <w:highlight w:val="black"/>
        </w:rPr>
      </w:pPr>
    </w:p>
    <w:p w14:paraId="07FFFA1A">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ETV5                                                                          </w:t>
      </w:r>
    </w:p>
    <w:p w14:paraId="022A650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F719BA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346C0ED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081093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 28178529]。研究表明，肺癌中ETV5、LPP或MMP15基因失活是增加肿瘤的恶性程度的预后标志物[PMID: 26028032]。临床前研究表明，EVT5可能是结直肠癌（CRC）中潜在的诊断和预后标志物[PMID: 30650178]。</w:t>
      </w:r>
    </w:p>
    <w:p w14:paraId="614A8F84">
      <w:pPr>
        <w:spacing w:line="360" w:lineRule="auto"/>
        <w:ind w:left="420"/>
        <w:rPr>
          <w:rFonts w:hint="default" w:ascii="Times New Roman" w:hAnsi="Times New Roman" w:cs="Times New Roman"/>
          <w:sz w:val="18"/>
          <w:szCs w:val="18"/>
        </w:rPr>
      </w:pPr>
    </w:p>
    <w:p w14:paraId="04709851">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FGFR1                                                                           </w:t>
      </w:r>
    </w:p>
    <w:p w14:paraId="6E901B5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975B02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22F2751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A82FFC5">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 26324363]。临床I期试验中，携带FGFR1扩增的肺鳞癌患者用Infigratinib治疗表现出50%的疾病控制率（18/36），其中14个病人疾病稳定，4个病人部分响应[PMID: 27870574]。在AZD4547单药治疗肺鳞癌的Ⅰb期国际多中心试验中，疾病控制率为39%。在携带FGFR1突变的细胞系和小鼠模型中，一些TKI和FGFR特异的小分子抑制剂表现出抑癌活性。在临床前研究中，PRN1371能够抑制具有FGFR1 V561M突变的细胞的增殖[PMID: 28978721]。目前评估舒尼替尼、安罗替尼、Erdafitinib、Infigratinib等用于携带FGFR1突变/扩增的非小细胞肺癌、结直肠癌等实体瘤患者疗效的临床试验正在开展。</w:t>
      </w:r>
    </w:p>
    <w:p w14:paraId="1E9B118B">
      <w:pPr>
        <w:spacing w:line="360" w:lineRule="auto"/>
        <w:ind w:left="420"/>
        <w:rPr>
          <w:rFonts w:hint="default" w:ascii="Times New Roman" w:hAnsi="Times New Roman" w:cs="Times New Roman"/>
          <w:sz w:val="18"/>
          <w:szCs w:val="18"/>
        </w:rPr>
      </w:pPr>
    </w:p>
    <w:p w14:paraId="3DFCC754">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FGFR2                                                                         </w:t>
      </w:r>
    </w:p>
    <w:p w14:paraId="2577C67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F04D096">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PMID: 20094046]。FGFR2基因的错义突变常发生在子宫内膜癌、宫颈癌、乳腺癌、肺癌以及胃癌中，在乳腺癌和胃癌中常发生FGFR2基因拷贝数的增加，使得FGFR2过表达从而导致FGFR2信号的激活。FGFR2在肺癌中的点突变频率约为1.08%。</w:t>
      </w:r>
    </w:p>
    <w:p w14:paraId="76C30E2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4025A77">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 26324363]。一项临床前研究中，FGFR2扩增的非小细胞肺癌的PDX模型中，PRN1371治疗产生了67.5%肿瘤抑制率[PMID: 28978721]。临床前研究表明，普纳替尼被证明能抑制所有四种FGFR的体外激酶活性，在用于表达激活的FGFR1-4的Ba/F3细胞中，普纳替尼有效地抑制FGFR介导的信号[PMID: 22238366]。FGF2 mRNA和FGFR2 mRNA的表达与淋巴结转移和TNM分期相关。FGF2 mRNA和FGFR2 mRNA的高表达与肺癌患者的肿瘤转移和不良预后有关[PMID: 30013642]。FGFR2表达与女性、组织亚型、年龄较小、低的肿瘤分期有关[PMID: 27785367]。目前评估舒尼替尼、安罗替尼、Erdafitinib、Infigratinib等用于携带FGFR2突变/扩增/融合的实体瘤患者疗效的临床试验正在开展。</w:t>
      </w:r>
    </w:p>
    <w:p w14:paraId="5955438C">
      <w:pPr>
        <w:spacing w:line="360" w:lineRule="auto"/>
        <w:ind w:left="420"/>
        <w:rPr>
          <w:rFonts w:hint="default" w:ascii="Times New Roman" w:hAnsi="Times New Roman" w:cs="Times New Roman"/>
          <w:sz w:val="18"/>
          <w:szCs w:val="18"/>
        </w:rPr>
      </w:pPr>
    </w:p>
    <w:p w14:paraId="370D342B">
      <w:pPr>
        <w:spacing w:before="120" w:beforeLines="50"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FGFR3                                                                          </w:t>
      </w:r>
    </w:p>
    <w:p w14:paraId="1097151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F10C111">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10CB550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3891187">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在一些肺腺癌患者中会有FGFR3-TACC3融合检出，这些病人可以考虑FGFR抑制剂的临床试验[PMID: 25294908]。在I期临床试验中，Erdafitinib治疗携带FGFR1-4激活突变（包括扩增，突变和易位）的晚期实体瘤患者，导致70％（16/23）患者疾病稳定，22％（5/23）患者部分缓解，在FGFR未知或FGFR未知变异患者中未观察到抗肿瘤活性[PMID: 26324363]。在一项临床前研究中，携带FGFR3突变的肿瘤细胞系对Infigratinib敏感[PMID: 23002168]。目前评估舒尼替尼、安罗替尼、Erdafitinib、Infigratinib等用于携带FGFR3突变/扩增/融合的实体瘤患者疗效的临床试验正在开展。</w:t>
      </w:r>
    </w:p>
    <w:p w14:paraId="1C726626">
      <w:pPr>
        <w:spacing w:line="360" w:lineRule="auto"/>
        <w:rPr>
          <w:rFonts w:hint="default" w:ascii="Times New Roman" w:hAnsi="Times New Roman" w:cs="Times New Roman"/>
          <w:sz w:val="18"/>
          <w:szCs w:val="18"/>
        </w:rPr>
      </w:pPr>
    </w:p>
    <w:p w14:paraId="6BC58E2D">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FGFR4                                                                          </w:t>
      </w:r>
    </w:p>
    <w:p w14:paraId="14EC546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96EB73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377814A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4BDD3D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在临床前研究中，FGFR4-R388的BON1肿瘤细胞对依维莫司的敏感性降低[PMID: 22986737]。Erdafitinib、LY2874455均为泛FGFR抑制剂，在初期的临床试验中表现出一定的疗效。FGFR4在非小细胞肺癌中高表达（46.8%，111/237），FGFR4表达与肿瘤直径显著相关（P=0.039）[PMID：26045670]。除此之外，还有Lucitanib等泛FGFR抑制剂具有相关的临床实验。目前评估安罗替尼、Erdafitinib、Infigratinib等用于携带FGFR4突变/扩增/融合的实体瘤患者疗效的临床试验正在开展。</w:t>
      </w:r>
    </w:p>
    <w:p w14:paraId="5174B246">
      <w:pPr>
        <w:spacing w:line="300" w:lineRule="auto"/>
        <w:ind w:left="420"/>
        <w:rPr>
          <w:rFonts w:hint="default" w:ascii="Times New Roman" w:hAnsi="Times New Roman" w:cs="Times New Roman"/>
          <w:sz w:val="18"/>
          <w:szCs w:val="18"/>
          <w:highlight w:val="black"/>
        </w:rPr>
      </w:pPr>
    </w:p>
    <w:p w14:paraId="04E8191A">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GNA11                                                                          </w:t>
      </w:r>
    </w:p>
    <w:p w14:paraId="57179C9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FE0064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 1328859; PMID: 2549426]。受体激活导致Gα亚基与Gßγ分离，继而Gα和Gßγ都可以激活下游细胞信号通路[PMID: 1328859; PMID: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105DCA6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92BA25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 24938562]。在一项临床前研究中，GNA11 Q209L突变体葡萄膜黑色素瘤细胞系生长与野生型细胞相比对曲美替尼更敏感；曲美替尼联合Omipalisib能够在大多数GNA11 Q209L突变葡萄膜黑色素瘤细胞系中强烈诱导凋亡性死亡[PMID: 22733540]。目前评估曲美替尼用于携带GNAQ和GNA11基因突变的实体瘤患者疗效的临床试验正在开展。</w:t>
      </w:r>
    </w:p>
    <w:p w14:paraId="1A00EA22">
      <w:pPr>
        <w:spacing w:line="300" w:lineRule="auto"/>
        <w:ind w:left="420"/>
        <w:rPr>
          <w:rFonts w:hint="default" w:ascii="Times New Roman" w:hAnsi="Times New Roman" w:cs="Times New Roman"/>
          <w:sz w:val="18"/>
          <w:szCs w:val="18"/>
        </w:rPr>
      </w:pPr>
    </w:p>
    <w:p w14:paraId="3022E91A">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 GNAQ                                                                         </w:t>
      </w:r>
    </w:p>
    <w:p w14:paraId="4655609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4683C87">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3DE6EA8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EC0DF17">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 24938562]。在一项临床研究中，曲美替尼与Omipalisib的组合在大多数GNAQ Q209L突变葡萄膜黑色素瘤细胞系中强烈诱导凋亡性死亡[PMID: 22733540]。目前小分子抑制剂IDE196、曲美替尼在携带GNAQ和GNA11基因突变的实体瘤患者的临床试验正在开展。</w:t>
      </w:r>
    </w:p>
    <w:p w14:paraId="283B5437">
      <w:pPr>
        <w:spacing w:line="300" w:lineRule="auto"/>
        <w:ind w:left="420"/>
        <w:rPr>
          <w:rFonts w:hint="default" w:ascii="Times New Roman" w:hAnsi="Times New Roman" w:cs="Times New Roman"/>
          <w:sz w:val="18"/>
          <w:szCs w:val="18"/>
        </w:rPr>
      </w:pPr>
    </w:p>
    <w:p w14:paraId="071A9A2D">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HRAS                                                                         </w:t>
      </w:r>
    </w:p>
    <w:p w14:paraId="22995BC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063D52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40F5723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32C812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在一项临床前研究中，司美替尼和依维莫司联合降低了ERK和S6的磷酸化，并协同抑制携带HRAS G12V的膀胱癌细胞系的生长[PMID: 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 26544513]。在临床前研究中，携带HRAS Q61R的转化细胞对依维莫司的处理敏感[PMID: 26544513]。在头颈部鳞状细胞癌和转移性尿路上皮癌中，HRAS突变对Tipifarnib敏感[Cancer Discov. 9, 1637–1638 (2019); PMID: 32636318]。目前索拉非尼、BPI27336用于HRAS突变实体瘤患者的临床试验正在展开。</w:t>
      </w:r>
    </w:p>
    <w:p w14:paraId="7D646E37">
      <w:pPr>
        <w:spacing w:line="300" w:lineRule="auto"/>
        <w:ind w:left="420"/>
        <w:rPr>
          <w:rFonts w:hint="default" w:ascii="Times New Roman" w:hAnsi="Times New Roman" w:cs="Times New Roman"/>
          <w:sz w:val="18"/>
          <w:szCs w:val="18"/>
        </w:rPr>
      </w:pPr>
    </w:p>
    <w:p w14:paraId="10E53024">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IDH1                                                                          </w:t>
      </w:r>
    </w:p>
    <w:p w14:paraId="437487C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88AC28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2E56777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631B45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 25910950]。Ivosidenib（AG-120）治疗携带IDH1突变的非增强型胶质瘤患者的I期研究发现，35例入组患者中，在剂量爬坡组（n=11）和剂量扩增组（n=24），分别有73%和88%的患者获得疾病稳定作为最佳反应[Neuro Oncol. 2017 Nov]。目前，阿贝西利、奥拉帕利用于胶质瘤或实体瘤患者的临床试验正在开展。</w:t>
      </w:r>
    </w:p>
    <w:p w14:paraId="7BE082EF">
      <w:pPr>
        <w:spacing w:line="300" w:lineRule="auto"/>
        <w:ind w:left="420"/>
        <w:rPr>
          <w:rFonts w:hint="default" w:ascii="Times New Roman" w:hAnsi="Times New Roman" w:cs="Times New Roman"/>
          <w:sz w:val="18"/>
          <w:szCs w:val="18"/>
        </w:rPr>
      </w:pPr>
    </w:p>
    <w:p w14:paraId="6F0C0B66">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IDH2                                                                         </w:t>
      </w:r>
    </w:p>
    <w:p w14:paraId="3C1E3C9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F0671E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IDH2基因编码的蛋白是线粒体中存在的NADP(+)依赖的异柠檬酸脱氢酶。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654C5B9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D63BF4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在1/2期试验中，复发或IDH2突变的AML患者接受恩西地平治疗。总有效率为40.3%，中位反应持续时间为5.8个月，复发/难治性患者中位总生存期为9.3个月，完全缓解34例（19.3%）患者的中位总生存期为19.7个月[PMID: 28588020]。此外IDH2(R140)与AML整体生存的改善相关[PMID: 20421455]，IDH2突变与神经胶质瘤的预后改善有关[PMID: 26061751]。OxPhos相关基因的研究表明，IDH1和IDH2表达之间的不平衡（被定义为一种亚型相对于另一种亚型的过表达）与CRC患者的预后较差有关[PMID: 25586680]。</w:t>
      </w:r>
    </w:p>
    <w:p w14:paraId="36AEACF6">
      <w:pPr>
        <w:spacing w:line="300" w:lineRule="auto"/>
        <w:ind w:left="420"/>
        <w:rPr>
          <w:rFonts w:hint="default" w:ascii="Times New Roman" w:hAnsi="Times New Roman" w:cs="Times New Roman"/>
          <w:sz w:val="18"/>
          <w:szCs w:val="18"/>
        </w:rPr>
      </w:pPr>
    </w:p>
    <w:p w14:paraId="662E37DA">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JAK1                                                                          </w:t>
      </w:r>
    </w:p>
    <w:p w14:paraId="162181E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E8187B6">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6A40103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6BA98D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一项临床前研究表明，在22个肺癌细胞系中，JAK1的过表达与PKC抑制剂恩扎妥林的敏感性有关[PMID: 22333600]。目前Itacitinib用于实体瘤患者的临床试验正在开展。</w:t>
      </w:r>
    </w:p>
    <w:p w14:paraId="2F867D46">
      <w:pPr>
        <w:spacing w:line="300" w:lineRule="auto"/>
        <w:ind w:left="420"/>
        <w:rPr>
          <w:rFonts w:hint="default" w:ascii="Times New Roman" w:hAnsi="Times New Roman" w:cs="Times New Roman"/>
          <w:b/>
          <w:szCs w:val="18"/>
        </w:rPr>
      </w:pPr>
    </w:p>
    <w:p w14:paraId="5580A1FF">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JAK2                                                                          </w:t>
      </w:r>
    </w:p>
    <w:p w14:paraId="42D39CF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B3A583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1857530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91928F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在一期试验中，使用Gandotinib (LY2784544)治疗JAK2 V617F的骨髓增生性肿瘤显示了安全性，29%(9/31)的骨髓纤维化患者得到了临床改善[PMID: 28934680]。在一项临床前研究中，带有G831R突变的ETV6-JAK2表达的免疫细胞在培养中表现出对吡啶酮6(CMP6)的耐药性[PMID: 22916261]。临床前研究表明，芦可替尼单药或联合顺铂可以抑制JAK2过表达及信号通路激活的非小细胞肺癌（NSCLC）细胞系生长，表现治疗作用[PMID: 22319590]，而联合用药对顺铂耐药的NSCLC细胞系产生有效的治疗作用[PMID: 25213670]。</w:t>
      </w:r>
    </w:p>
    <w:p w14:paraId="05450AAF">
      <w:pPr>
        <w:spacing w:line="300" w:lineRule="auto"/>
        <w:ind w:left="420"/>
        <w:rPr>
          <w:rFonts w:hint="default" w:ascii="Times New Roman" w:hAnsi="Times New Roman" w:cs="Times New Roman"/>
          <w:sz w:val="18"/>
          <w:szCs w:val="18"/>
        </w:rPr>
      </w:pPr>
    </w:p>
    <w:p w14:paraId="44B7A09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JAK3                                                                        </w:t>
      </w:r>
    </w:p>
    <w:p w14:paraId="5398592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6A0418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1CFD7E4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3E32FA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在一项临床前研究中，一种pan-JAK抑制剂Tofacitinib降低了JAK3 A572V突变型自然杀伤/t细胞淋巴瘤细胞系的细胞活力并增加了细胞凋亡[PMID: 22705984]。Tofacitinib治疗还可以将细胞培养中表达JAK3 V221I的细胞从因子独立生长转化为因子依赖生长[PMID: 25146434]。JAK3选择性抑制剂Tofacitinib对白血病小鼠的体内治疗降低了白细胞计数，导致白血病细胞凋亡[PMID: 25193870]。鼻型结外NK/t细胞淋巴瘤（ENTKL）中，ATM和JAK3突变等位基因频率与疾病分期显著相关，KMT2D、ASXL3和JAK3突变与患者的肿瘤代谢负荷呈正相关[PMID: 32695399]。</w:t>
      </w:r>
    </w:p>
    <w:p w14:paraId="7DA81825">
      <w:pPr>
        <w:spacing w:line="300" w:lineRule="auto"/>
        <w:ind w:left="420"/>
        <w:rPr>
          <w:rFonts w:hint="default" w:ascii="Times New Roman" w:hAnsi="Times New Roman" w:cs="Times New Roman"/>
          <w:sz w:val="18"/>
          <w:szCs w:val="18"/>
        </w:rPr>
      </w:pPr>
    </w:p>
    <w:p w14:paraId="34B334A9">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KIT                                                                          </w:t>
      </w:r>
    </w:p>
    <w:p w14:paraId="59F7FC8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9A0A02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422D372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伊马替尼*、舒尼替尼*、瑞戈非尼*、普纳替尼、培唑帕尼*（都是胃肠道间质瘤获益药物）</w:t>
      </w:r>
    </w:p>
    <w:p w14:paraId="5BA9F9CF">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FDA/NMPA批准伊马替尼用于不可切除或转移的KIT（CD117）阳性GIST患者，还可用于KIT（CD117）阳性的成年GIST患者手术切除后的辅助治疗。NCCN指南推荐伊马替尼用于KIT 11号外显子突变（除PDGFRA D842V以外），以及双倍剂量用于KIT 9号外显子突变的胃肠间质瘤患者的治疗。胃肠道间质瘤中，KIT 11号外显子突变对伊马替尼[PMID: 26687836]、培唑帕尼[PMID: 27068858]、普纳替尼[J Clin Oncol. 2015; 33(suppl 15): abstr 10535]、舒尼替尼[PMID: 30346846]瑞戈非尼[PMID: 27371698; PMID: 22614970]、尼洛替尼[PMID: 25882987]和达沙替尼[PMID: 29315500]敏感，与11号外显子突变相比，9号外显子突变对伊马替尼的敏感性中等[PMID: 14645423]；在皮肤黑色素瘤中，KIT激活突变对伊马替尼敏感[PMID: 23775962; PMID: 21642685]。</w:t>
      </w:r>
    </w:p>
    <w:p w14:paraId="22E152D7">
      <w:pPr>
        <w:spacing w:line="360" w:lineRule="auto"/>
        <w:ind w:left="420"/>
        <w:rPr>
          <w:rFonts w:hint="default" w:ascii="Times New Roman" w:hAnsi="Times New Roman" w:cs="Times New Roman"/>
          <w:sz w:val="18"/>
          <w:szCs w:val="18"/>
        </w:rPr>
      </w:pPr>
    </w:p>
    <w:p w14:paraId="3933D760">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MAP2K1                                                                          </w:t>
      </w:r>
    </w:p>
    <w:p w14:paraId="14DA4C7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5B4AC8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4F4C7AF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415EBC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 K57T或MAP2K1 K57N突变的RAS-WT结直肠癌（CRC）细胞系LIM1215，足以产生对西妥昔单抗或帕尼单抗的耐药性[PMID: 26644315; PMID: 26030179]，而帕尼单抗联合曲美替尼可以抑制具有MEK1突变的西妥昔单抗抗性克隆的结直肠癌细胞系的生长[PMID: 26644315]。临床前研究表明，具有MAP2K1 F53L突变的结肠癌细胞系对曲美替尼敏感，导致细胞活性降低[PMID: 26582713]，西妥昔单抗联合曲美替尼也可以降低具有MAP2K1 F53L突变的结肠癌细胞系的细胞活力</w:t>
      </w:r>
      <w:bookmarkStart w:id="15" w:name="OLE_LINK1"/>
      <w:r>
        <w:rPr>
          <w:rFonts w:hint="default" w:ascii="Times New Roman" w:hAnsi="Times New Roman" w:cs="Times New Roman"/>
          <w:sz w:val="18"/>
          <w:szCs w:val="18"/>
        </w:rPr>
        <w:t>[</w:t>
      </w:r>
      <w:bookmarkEnd w:id="15"/>
      <w:r>
        <w:rPr>
          <w:rFonts w:hint="default" w:ascii="Times New Roman" w:hAnsi="Times New Roman" w:cs="Times New Roman"/>
          <w:sz w:val="18"/>
          <w:szCs w:val="18"/>
        </w:rPr>
        <w:t>PMID: 28179366]。MAP2K抑制剂对很多癌种的疗效还未明确，临床前和临床上均在努力确认MAP2K1抑制剂对于其他适应症的疗效[PMID: 25435214]。</w:t>
      </w:r>
    </w:p>
    <w:p w14:paraId="18025AC1">
      <w:pPr>
        <w:spacing w:line="300" w:lineRule="auto"/>
        <w:ind w:left="420"/>
        <w:rPr>
          <w:rFonts w:hint="default" w:ascii="Times New Roman" w:hAnsi="Times New Roman" w:cs="Times New Roman"/>
          <w:sz w:val="18"/>
          <w:szCs w:val="18"/>
        </w:rPr>
      </w:pPr>
    </w:p>
    <w:p w14:paraId="2D60597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MAP2K2                                                                        </w:t>
      </w:r>
    </w:p>
    <w:p w14:paraId="6454B1F2">
      <w:pPr>
        <w:spacing w:line="300" w:lineRule="auto"/>
        <w:ind w:left="420"/>
        <w:rPr>
          <w:rFonts w:hint="default" w:ascii="Times New Roman" w:hAnsi="Times New Roman" w:cs="Times New Roman"/>
          <w:sz w:val="18"/>
          <w:szCs w:val="18"/>
        </w:rPr>
      </w:pPr>
      <w:r>
        <w:rPr>
          <w:rFonts w:hint="default" w:ascii="Times New Roman" w:hAnsi="Times New Roman" w:cs="Times New Roman"/>
          <w:b/>
          <w:szCs w:val="18"/>
        </w:rPr>
        <w:t>基因说明：</w:t>
      </w:r>
    </w:p>
    <w:p w14:paraId="203B85F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268EB0D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B2301B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一项临床前研究表明，具有BRAF V600E突变和MAP2K2 C125S突变的黑色素瘤细胞对达拉非尼和曲美替尼耐药[PMID: 24265153]。一项临床前研究表明，具有BRAF V600E突变和MAP2K2 C125S突变的黑色素瘤细胞对VRT11E敏感，可减缓细胞生长[PMID: 24265153]。</w:t>
      </w:r>
    </w:p>
    <w:p w14:paraId="1905D2FA">
      <w:pPr>
        <w:spacing w:line="360" w:lineRule="auto"/>
        <w:rPr>
          <w:rFonts w:hint="default" w:ascii="Times New Roman" w:hAnsi="Times New Roman" w:cs="Times New Roman"/>
          <w:sz w:val="18"/>
          <w:szCs w:val="18"/>
        </w:rPr>
      </w:pPr>
    </w:p>
    <w:p w14:paraId="0F7B8037">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hint="default" w:ascii="Times New Roman" w:hAnsi="Times New Roman" w:cs="Times New Roman"/>
          <w:b/>
        </w:rPr>
        <w:t>MET</w:t>
      </w:r>
      <w:r>
        <w:rPr>
          <w:rFonts w:hint="default" w:ascii="Times New Roman" w:hAnsi="Times New Roman" w:cs="Times New Roman"/>
          <w:b/>
          <w:color w:val="0000FF"/>
        </w:rPr>
        <w:t xml:space="preserve">     </w:t>
      </w:r>
      <w:r>
        <w:rPr>
          <w:rFonts w:hint="default" w:ascii="Times New Roman" w:hAnsi="Times New Roman" w:cs="Times New Roman"/>
          <w:b/>
        </w:rPr>
        <w:t xml:space="preserve">                                                                     </w:t>
      </w:r>
    </w:p>
    <w:p w14:paraId="0FF264B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10EBD2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0D7BB15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bookmarkStart w:id="16" w:name="OLE_LINK7"/>
      <w:r>
        <w:rPr>
          <w:rFonts w:hint="default" w:ascii="Times New Roman" w:hAnsi="Times New Roman" w:cs="Times New Roman"/>
          <w:b/>
          <w:color w:val="000000"/>
          <w:sz w:val="18"/>
          <w:szCs w:val="18"/>
        </w:rPr>
        <w:t>克唑替尼</w:t>
      </w:r>
      <w:bookmarkEnd w:id="16"/>
      <w:r>
        <w:rPr>
          <w:rFonts w:hint="default" w:ascii="Times New Roman" w:hAnsi="Times New Roman" w:cs="Times New Roman"/>
          <w:b/>
          <w:color w:val="000000"/>
          <w:sz w:val="18"/>
          <w:szCs w:val="18"/>
        </w:rPr>
        <w:t>*</w:t>
      </w:r>
      <w:r>
        <w:rPr>
          <w:rFonts w:hint="default" w:ascii="Times New Roman" w:hAnsi="Times New Roman" w:cs="Times New Roman"/>
          <w:color w:val="000000"/>
          <w:sz w:val="18"/>
          <w:szCs w:val="18"/>
        </w:rPr>
        <w:t>、</w:t>
      </w:r>
      <w:r>
        <w:rPr>
          <w:rFonts w:hint="default" w:ascii="Times New Roman" w:hAnsi="Times New Roman" w:cs="Times New Roman"/>
          <w:b/>
          <w:sz w:val="18"/>
          <w:szCs w:val="18"/>
        </w:rPr>
        <w:t>Tepotinib</w:t>
      </w:r>
      <w:r>
        <w:rPr>
          <w:rFonts w:hint="default" w:ascii="Times New Roman" w:hAnsi="Times New Roman" w:cs="Times New Roman"/>
          <w:sz w:val="18"/>
          <w:szCs w:val="18"/>
        </w:rPr>
        <w:t>、</w:t>
      </w:r>
      <w:r>
        <w:rPr>
          <w:rFonts w:hint="default" w:ascii="Times New Roman" w:hAnsi="Times New Roman" w:cs="Times New Roman"/>
          <w:b/>
          <w:sz w:val="18"/>
          <w:szCs w:val="18"/>
        </w:rPr>
        <w:t>Capmatinib</w:t>
      </w:r>
      <w:r>
        <w:rPr>
          <w:rFonts w:hint="default" w:ascii="Times New Roman" w:hAnsi="Times New Roman" w:cs="Times New Roman"/>
          <w:color w:val="000000"/>
          <w:sz w:val="18"/>
          <w:szCs w:val="18"/>
        </w:rPr>
        <w:t>、</w:t>
      </w:r>
      <w:r>
        <w:rPr>
          <w:rFonts w:hint="default" w:ascii="Times New Roman" w:hAnsi="Times New Roman" w:cs="Times New Roman"/>
          <w:b/>
          <w:color w:val="000000"/>
          <w:sz w:val="18"/>
          <w:szCs w:val="18"/>
        </w:rPr>
        <w:t>卡博替尼</w:t>
      </w:r>
      <w:r>
        <w:rPr>
          <w:rFonts w:hint="default" w:ascii="Times New Roman" w:hAnsi="Times New Roman" w:cs="Times New Roman"/>
          <w:color w:val="000000"/>
          <w:sz w:val="18"/>
          <w:szCs w:val="18"/>
        </w:rPr>
        <w:t>、沃利替尼</w:t>
      </w:r>
    </w:p>
    <w:p w14:paraId="5D4E986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MET常发生的变异主要包括14号外显子跳跃突变，尤其高发于肺肉瘤样癌。FDA批准Tepotinib、Capmatinib用于MET 14号外显子跳跃突变的非小细胞肺癌患者。NCCN指南推荐克唑替尼、Capmatinib用于有较高MET扩增或者MET 14号外显子跳跃突变的非小细胞肺癌患者的治疗；Tepotinib用于MET 14号外显子跳跃突变的非小细胞肺癌患者的一线或后续治疗[NCCN_Non-Small Cell Lung Cancer_2021_V5]。在II期试验中，沃利替尼治疗MET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目前卡博替尼、伯瑞替尼、Tepotinib、克唑替尼等用于非小细胞肺癌或实体瘤患者的临床试验正在开展。</w:t>
      </w:r>
    </w:p>
    <w:p w14:paraId="2B39FD7D">
      <w:pPr>
        <w:spacing w:line="300" w:lineRule="auto"/>
        <w:ind w:left="420"/>
        <w:rPr>
          <w:rFonts w:hint="default" w:ascii="Times New Roman" w:hAnsi="Times New Roman" w:cs="Times New Roman"/>
          <w:sz w:val="18"/>
          <w:szCs w:val="18"/>
        </w:rPr>
      </w:pPr>
    </w:p>
    <w:p w14:paraId="6ABE7C39">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MTOR                                                                          </w:t>
      </w:r>
    </w:p>
    <w:p w14:paraId="28B0926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8EDC21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743B3D5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FAE69F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 23291985]。mTOR通路的激活已被发现与不良临床预后、侵袭和转移相关[PMID: 32016810]。目前Sapanisertib、依维莫司用于MTOR突变实体瘤患者的临床试验正在开展。</w:t>
      </w:r>
    </w:p>
    <w:p w14:paraId="0124C7C9">
      <w:pPr>
        <w:spacing w:line="300" w:lineRule="auto"/>
        <w:ind w:left="420"/>
        <w:rPr>
          <w:rFonts w:hint="default" w:ascii="Times New Roman" w:hAnsi="Times New Roman" w:cs="Times New Roman"/>
          <w:sz w:val="18"/>
          <w:szCs w:val="18"/>
        </w:rPr>
      </w:pPr>
    </w:p>
    <w:p w14:paraId="7B111852">
      <w:pPr>
        <w:spacing w:line="360" w:lineRule="auto"/>
        <w:rPr>
          <w:rFonts w:hint="default" w:ascii="Times New Roman" w:hAnsi="Times New Roman" w:cs="Times New Roman"/>
          <w:b/>
          <w:color w:val="000000"/>
        </w:rPr>
      </w:pPr>
      <w:r>
        <w:rPr>
          <w:rFonts w:hint="default"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color w:val="000000"/>
        </w:rPr>
        <w:t xml:space="preserve">MYC                                                                         </w:t>
      </w:r>
    </w:p>
    <w:p w14:paraId="59DF0BBB">
      <w:pPr>
        <w:spacing w:line="300" w:lineRule="auto"/>
        <w:ind w:left="420"/>
        <w:rPr>
          <w:rFonts w:hint="default" w:ascii="Times New Roman" w:hAnsi="Times New Roman" w:cs="Times New Roman"/>
          <w:b/>
          <w:color w:val="000000"/>
          <w:szCs w:val="18"/>
        </w:rPr>
      </w:pPr>
      <w:r>
        <w:rPr>
          <w:rFonts w:hint="default" w:ascii="Times New Roman" w:hAnsi="Times New Roman" w:cs="Times New Roman"/>
          <w:b/>
          <w:color w:val="000000"/>
          <w:szCs w:val="18"/>
        </w:rPr>
        <w:t>基因说明：</w:t>
      </w:r>
    </w:p>
    <w:p w14:paraId="5CD1F9BF">
      <w:pPr>
        <w:spacing w:line="300" w:lineRule="auto"/>
        <w:ind w:left="420"/>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7E66F50A">
      <w:pPr>
        <w:spacing w:line="300" w:lineRule="auto"/>
        <w:ind w:left="420"/>
        <w:rPr>
          <w:rFonts w:hint="default" w:ascii="Times New Roman" w:hAnsi="Times New Roman" w:cs="Times New Roman"/>
          <w:b/>
          <w:color w:val="000000"/>
          <w:szCs w:val="18"/>
        </w:rPr>
      </w:pPr>
      <w:r>
        <w:rPr>
          <w:rFonts w:hint="default" w:ascii="Times New Roman" w:hAnsi="Times New Roman" w:cs="Times New Roman"/>
          <w:b/>
          <w:color w:val="000000"/>
          <w:szCs w:val="18"/>
        </w:rPr>
        <w:t>用药说明：</w:t>
      </w:r>
    </w:p>
    <w:p w14:paraId="4ED38CF9">
      <w:pPr>
        <w:spacing w:line="300" w:lineRule="auto"/>
        <w:ind w:left="420"/>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在小细胞肺癌的研究中发现，携带MYC扩增或过表达的肿瘤中，Prexasertib可以增强顺铂或者PARP抑制剂奥拉帕利的作用[PMID: 28490518]。临床前研究表明，ERBB2抑制剂来那替尼联合多西他赛以及Aurora抑制剂GSK1070916对于携带MYC扩增的肿瘤细胞系有协同抑制作用[PMID: 26018524]。对接受吉非替尼治疗的NSCLC患者的研究发现，MYC FISH阳性患者比MYC阴性患者有更高的反应率（p=0.003），更长的进展时间（p=0.01）和总生存率OS（p=0.02）[PMID: 19204574]。有研究表明，MYC的激活或者扩增是小细胞肺癌细胞对依维莫司（mTOR抑制剂）耐药的主要原因之一[PMID: 25884680; PMID: 25122428]。在结直肠癌患者中，c-MYC拷贝数增加是预后不良的独立因素[PMID: 26426996]。</w:t>
      </w:r>
      <w:r>
        <w:rPr>
          <w:rFonts w:hint="default" w:ascii="Times New Roman" w:hAnsi="Times New Roman" w:cs="Times New Roman"/>
          <w:sz w:val="18"/>
          <w:szCs w:val="18"/>
        </w:rPr>
        <w:t>目前KB0742用于MYC突变实体瘤患者的临床试验正在开展。</w:t>
      </w:r>
    </w:p>
    <w:p w14:paraId="24D40E8A">
      <w:pPr>
        <w:spacing w:line="300" w:lineRule="auto"/>
        <w:ind w:left="420"/>
        <w:rPr>
          <w:rFonts w:hint="default" w:ascii="Times New Roman" w:hAnsi="Times New Roman" w:cs="Times New Roman"/>
          <w:color w:val="000000"/>
          <w:sz w:val="18"/>
          <w:szCs w:val="18"/>
        </w:rPr>
      </w:pPr>
    </w:p>
    <w:p w14:paraId="763E950D">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MYCN                                                                          </w:t>
      </w:r>
    </w:p>
    <w:p w14:paraId="59E91A8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EAB3176">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 20399964]。该基因的扩增与多种肿瘤相关，尤其是神经母细胞瘤。已发现该基因存在多个编码不同亚型的交替剪接转录变体。与MYCN相关的疾病包括眼癌、神经母细胞瘤、子宫内膜癌、肠道癌症等。 </w:t>
      </w:r>
    </w:p>
    <w:p w14:paraId="6895713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824C2F7">
      <w:pPr>
        <w:spacing w:line="300" w:lineRule="auto"/>
        <w:ind w:left="420"/>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有研究报道，MYCN与非小细胞肺癌的复发时间有关[PMID: 26858029]。</w:t>
      </w:r>
    </w:p>
    <w:p w14:paraId="455846DC">
      <w:pPr>
        <w:spacing w:line="300" w:lineRule="auto"/>
        <w:ind w:left="420"/>
        <w:rPr>
          <w:rFonts w:hint="default" w:ascii="Times New Roman" w:hAnsi="Times New Roman" w:cs="Times New Roman"/>
          <w:sz w:val="18"/>
          <w:szCs w:val="18"/>
        </w:rPr>
      </w:pPr>
    </w:p>
    <w:p w14:paraId="66A34A8C">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NRAS                                                                          </w:t>
      </w:r>
    </w:p>
    <w:p w14:paraId="216FDAE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B2D243C">
      <w:pPr>
        <w:spacing w:line="300" w:lineRule="auto"/>
        <w:ind w:left="420"/>
        <w:rPr>
          <w:rFonts w:hint="default" w:ascii="Times New Roman" w:hAnsi="Times New Roman" w:cs="Times New Roman"/>
          <w:b/>
          <w:szCs w:val="18"/>
        </w:rPr>
      </w:pPr>
      <w:r>
        <w:rPr>
          <w:rFonts w:hint="default"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6DD3EF9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color w:val="000000"/>
          <w:sz w:val="18"/>
          <w:szCs w:val="18"/>
        </w:rPr>
        <w:t>西妥昔单抗*</w:t>
      </w:r>
      <w:r>
        <w:rPr>
          <w:rFonts w:hint="default" w:ascii="Times New Roman" w:hAnsi="Times New Roman" w:cs="Times New Roman"/>
          <w:color w:val="000000"/>
          <w:sz w:val="18"/>
          <w:szCs w:val="18"/>
        </w:rPr>
        <w:t>、</w:t>
      </w:r>
      <w:r>
        <w:rPr>
          <w:rFonts w:hint="default" w:ascii="Times New Roman" w:hAnsi="Times New Roman" w:cs="Times New Roman"/>
          <w:b/>
          <w:color w:val="000000"/>
          <w:sz w:val="18"/>
          <w:szCs w:val="18"/>
        </w:rPr>
        <w:t>帕尼单抗</w:t>
      </w:r>
      <w:r>
        <w:rPr>
          <w:rFonts w:hint="default" w:ascii="Times New Roman" w:hAnsi="Times New Roman" w:cs="Times New Roman"/>
          <w:color w:val="000000"/>
          <w:sz w:val="18"/>
          <w:szCs w:val="18"/>
        </w:rPr>
        <w:t>、Navitoclax + 曲美替尼、贝美替尼</w:t>
      </w:r>
    </w:p>
    <w:p w14:paraId="769BF708">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临床前模型中NRAS突变的NSCLC显示出对MEK抑制剂敏感。FDA批准西妥昔单抗和帕尼单抗用于RAS野生型(定义为KRAS和NRAS中的野生型)转移性结直肠癌(mCRC)患者。结直肠癌中，NRAS野生型对西妥昔单抗[PMID: 30463680]、帕尼单抗（EGFR单抗）[PMID: 29587749; PMID: 29737864]敏感性增加。案例研究报道，2例携带Q61K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24024839]。KRAS、NRAS及BRAF处于EGFR的下游通路中，NRAS的突变状态可能对于帕尼单抗的用药具有一定影响。目前HH2710、西罗莫司、贝美替尼用于NRAS突变的实体瘤患者的临床试验正在开展。</w:t>
      </w:r>
    </w:p>
    <w:p w14:paraId="5860D322">
      <w:pPr>
        <w:spacing w:line="300" w:lineRule="auto"/>
        <w:rPr>
          <w:rFonts w:hint="default" w:ascii="Times New Roman" w:hAnsi="Times New Roman" w:cs="Times New Roman"/>
          <w:sz w:val="18"/>
          <w:szCs w:val="18"/>
        </w:rPr>
      </w:pPr>
    </w:p>
    <w:p w14:paraId="1590A87B">
      <w:pPr>
        <w:spacing w:line="360" w:lineRule="auto"/>
        <w:rPr>
          <w:rFonts w:hint="default" w:ascii="Times New Roman" w:hAnsi="Times New Roman" w:cs="Times New Roman"/>
          <w:b/>
          <w:szCs w:val="18"/>
        </w:rPr>
      </w:pPr>
      <w:r>
        <w:rPr>
          <w:rFonts w:hint="default"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NTRK1                                                                    </w:t>
      </w:r>
    </w:p>
    <w:p w14:paraId="699C241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621630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激酶活性组成型激活。MPRIP-NTRK1(M21;N14)和CD74-NTRK1 (C8;N12)融合基因是肺腺癌的致癌基因，是肺癌新的癌基因靶点。</w:t>
      </w:r>
    </w:p>
    <w:p w14:paraId="69E16AE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恩曲替尼、拉罗替尼</w:t>
      </w:r>
    </w:p>
    <w:p w14:paraId="07CFB5FB">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Cancer_2021_V2]，拉罗替尼被推荐作为NTRK基因融合阳性转移性结肠癌患者的一线治疗选择[NCCN_Colon Cancer_2021_V2]和携带神经营养酪氨酸受体激酶（NTRK）基因融合的转移性小肠腺癌患者的后续治疗[NCCN-Small Bowel Adenocarcinoma-_2021_V1]。目前VMD928、TL118、Repotrectinib等用于NTRK1扩增或融合的实体瘤患者的临床试验正在开展。</w:t>
      </w:r>
    </w:p>
    <w:p w14:paraId="46851448">
      <w:pPr>
        <w:spacing w:line="360" w:lineRule="auto"/>
        <w:ind w:left="420"/>
        <w:rPr>
          <w:rFonts w:hint="default" w:ascii="Times New Roman" w:hAnsi="Times New Roman" w:cs="Times New Roman"/>
          <w:sz w:val="18"/>
          <w:szCs w:val="18"/>
        </w:rPr>
      </w:pPr>
    </w:p>
    <w:p w14:paraId="7A67ED89">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NTRK2</w:t>
      </w:r>
      <w:r>
        <w:rPr>
          <w:rFonts w:hint="default" w:ascii="Times New Roman" w:hAnsi="Times New Roman" w:cs="Times New Roman"/>
          <w:b/>
          <w:color w:val="FF0000"/>
        </w:rPr>
        <w:t xml:space="preserve"> </w:t>
      </w:r>
      <w:r>
        <w:rPr>
          <w:rFonts w:hint="default" w:ascii="Times New Roman" w:hAnsi="Times New Roman" w:cs="Times New Roman"/>
          <w:b/>
        </w:rPr>
        <w:t xml:space="preserve">                                                                        </w:t>
      </w:r>
    </w:p>
    <w:p w14:paraId="0010A9B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A4C930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NTRK2基因（神经营养受体酪氨酸激酶2）编码跨膜神经营养受体，该受体参与对正常神经发育重要的信号传导[PMID: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06B02A9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拉罗替尼、恩曲替尼</w:t>
      </w:r>
    </w:p>
    <w:p w14:paraId="2F5E9DD8">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Cancer_2021_V2]，拉罗替尼被推荐作为NTRK基因融合阳性转移性结肠癌患者的一线治疗选择[NCCN_Colon Cancer_2021_V2]和携带神经营养酪氨酸受体激酶（NTRK）基因融合的转移性小肠腺癌患者的后续治疗[NCCN-Small Bowel Adenocarcinoma-_2021_V1]。目前TL118、Repotrectinib等用于NTRK2融合的实体瘤患者的临床试验正在开展。</w:t>
      </w:r>
    </w:p>
    <w:p w14:paraId="5BDA3796">
      <w:pPr>
        <w:spacing w:line="300" w:lineRule="auto"/>
        <w:rPr>
          <w:rFonts w:hint="default" w:ascii="Times New Roman" w:hAnsi="Times New Roman" w:cs="Times New Roman"/>
          <w:sz w:val="18"/>
          <w:szCs w:val="18"/>
        </w:rPr>
      </w:pPr>
    </w:p>
    <w:p w14:paraId="5D934E22">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NTRK3                                                                         </w:t>
      </w:r>
    </w:p>
    <w:p w14:paraId="7729439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513F95E">
      <w:pPr>
        <w:spacing w:line="300" w:lineRule="auto"/>
        <w:ind w:left="420"/>
        <w:rPr>
          <w:rFonts w:hint="default" w:ascii="Times New Roman" w:hAnsi="Times New Roman" w:cs="Times New Roman"/>
          <w:b/>
          <w:szCs w:val="18"/>
        </w:rPr>
      </w:pPr>
      <w:r>
        <w:rPr>
          <w:rFonts w:hint="default" w:ascii="Times New Roman" w:hAnsi="Times New Roman" w:cs="Times New Roman"/>
          <w:sz w:val="18"/>
          <w:szCs w:val="18"/>
        </w:rPr>
        <w:t xml:space="preserve">NTRK3又称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；融合基因ETV6-NTRK3在分泌型乳腺癌中的表达率为90.9%，特异性达100%；食管癌组织标本中验证NTRK3基因的断裂频率为14.7%。 </w:t>
      </w:r>
    </w:p>
    <w:p w14:paraId="6A522D1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拉罗替尼、恩曲替尼</w:t>
      </w:r>
    </w:p>
    <w:p w14:paraId="6D98B00E">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Cancer_2021_V2]，拉罗替尼被推荐作为NTRK基因融合阳性转移性结肠癌患者的一线治疗选择[NCCN_Colon Cancer_2021_V2]和携带神经营养酪氨酸受体激酶（NTRK）基因融合的转移性小肠腺癌患者的后续治疗[NCCN-Small Bowel Adenocarcinoma-_2021_V1]。目前TL118、Repotrectinib等用于NTRK2融合的实体瘤患者的临床试验正在开展。</w:t>
      </w:r>
    </w:p>
    <w:p w14:paraId="15A70E16">
      <w:pPr>
        <w:spacing w:line="300" w:lineRule="auto"/>
        <w:ind w:left="420"/>
        <w:rPr>
          <w:rFonts w:hint="default" w:ascii="Times New Roman" w:hAnsi="Times New Roman" w:cs="Times New Roman"/>
          <w:b/>
          <w:szCs w:val="18"/>
        </w:rPr>
      </w:pPr>
    </w:p>
    <w:p w14:paraId="44D4255A">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PDGFRA                                                                         </w:t>
      </w:r>
    </w:p>
    <w:p w14:paraId="19A9D2D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30AB0E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6C31D1E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伊马替尼*、达沙替尼*、阿伐替尼*（主要都是胃肠道间质瘤获益药物）</w:t>
      </w:r>
    </w:p>
    <w:p w14:paraId="4E4F77E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FDA/NMPA批准阿伐替尼用于治疗携带PDGFRA 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对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59B75D56">
      <w:pPr>
        <w:spacing w:line="300" w:lineRule="auto"/>
        <w:ind w:left="420"/>
        <w:rPr>
          <w:rFonts w:hint="default" w:ascii="Times New Roman" w:hAnsi="Times New Roman" w:cs="Times New Roman"/>
          <w:sz w:val="18"/>
          <w:szCs w:val="18"/>
        </w:rPr>
      </w:pPr>
    </w:p>
    <w:p w14:paraId="6A84A194">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PPARG                                                                         </w:t>
      </w:r>
    </w:p>
    <w:p w14:paraId="7D3795D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87C223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γ1的DNA结合结构域之间的融合，已经在甲状腺滤泡癌的一个子集观察到[PMID: 10958784]。PPAR-γ已经涉及许多疾病的病理学，包括肥胖症、糖尿病、动脉粥样硬化和癌症。与PPARG相关的疾病包括子宫内膜癌、皮肤癌、胃癌等。 </w:t>
      </w:r>
    </w:p>
    <w:p w14:paraId="2D3A3C6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E2CF944">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9734400]。有研究表明，PPARG过表达的高浆液型卵巢癌患者的OS（总生存期）较差[PMID: 23200915]。有研究表明，PPARG多态性可能影响肝癌的易感性[PMID: 30122956]。</w:t>
      </w:r>
    </w:p>
    <w:p w14:paraId="0E636D1D">
      <w:pPr>
        <w:spacing w:line="300" w:lineRule="auto"/>
        <w:ind w:left="420"/>
        <w:rPr>
          <w:rFonts w:hint="default" w:ascii="Times New Roman" w:hAnsi="Times New Roman" w:cs="Times New Roman"/>
          <w:sz w:val="18"/>
          <w:szCs w:val="18"/>
        </w:rPr>
      </w:pPr>
    </w:p>
    <w:p w14:paraId="175DA8FC">
      <w:pPr>
        <w:spacing w:line="360" w:lineRule="auto"/>
        <w:rPr>
          <w:rFonts w:hint="default" w:ascii="Times New Roman" w:hAnsi="Times New Roman" w:cs="Times New Roman"/>
          <w:b/>
        </w:rPr>
      </w:pPr>
      <w:r>
        <w:rPr>
          <w:rFonts w:hint="default"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PTEN                                                                          </w:t>
      </w:r>
    </w:p>
    <w:p w14:paraId="7F288EE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1FF3F6F">
      <w:pPr>
        <w:spacing w:line="300" w:lineRule="auto"/>
        <w:ind w:left="440" w:leftChars="200" w:firstLine="59" w:firstLineChars="33"/>
        <w:rPr>
          <w:rFonts w:hint="default" w:ascii="Times New Roman" w:hAnsi="Times New Roman" w:cs="Times New Roman"/>
          <w:sz w:val="18"/>
          <w:szCs w:val="18"/>
        </w:rPr>
      </w:pPr>
      <w:r>
        <w:rPr>
          <w:rFonts w:hint="default"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4831678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A5E917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(HSP90抑制剂)敏感性增强。非霍奇金淋巴瘤和多发性骨髓瘤中，PTEN失活突变对替西罗莫司敏感[PMID: 16916489]。目前GSK2636771、Copanlisib、替西罗莫司、尼拉帕利等用于PTEN突变实体瘤患者的临床试验正在开展。</w:t>
      </w:r>
    </w:p>
    <w:p w14:paraId="08FE9A9C">
      <w:pPr>
        <w:spacing w:line="300" w:lineRule="auto"/>
        <w:ind w:left="420"/>
        <w:rPr>
          <w:rFonts w:hint="default" w:ascii="Times New Roman" w:hAnsi="Times New Roman" w:cs="Times New Roman"/>
          <w:sz w:val="18"/>
          <w:szCs w:val="18"/>
        </w:rPr>
      </w:pPr>
    </w:p>
    <w:p w14:paraId="2A7DFE22">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RAF1                                                                          </w:t>
      </w:r>
    </w:p>
    <w:p w14:paraId="3E8B1F5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A3D2C6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17DD84A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8369951">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RAF1作为对细胞外刺激的反应，RAS介导的信号传导诱导了CRAF同源二聚体或CRAF/BRAF异源二聚体的形成，CRAF激活的MAPK信号也与黑色素瘤中BRAF抑制剂维莫非尼的耐药性有关[PMID: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26307133]。研究表明，RAF1过表达与非小细胞肺癌（NSCLC）的早期进展相关。RAF1可能成为改善NSCLC患者长期预后的新预后因子和潜在靶标[PMID: 29484414]。目前瑞戈非尼、阿贝西利联合LY3214996用于实体瘤的临床试验正在开展。</w:t>
      </w:r>
    </w:p>
    <w:p w14:paraId="51A47711">
      <w:pPr>
        <w:spacing w:line="300" w:lineRule="auto"/>
        <w:ind w:left="420"/>
        <w:rPr>
          <w:rFonts w:hint="default" w:ascii="Times New Roman" w:hAnsi="Times New Roman" w:cs="Times New Roman"/>
          <w:sz w:val="18"/>
          <w:szCs w:val="18"/>
        </w:rPr>
      </w:pPr>
    </w:p>
    <w:p w14:paraId="2D789B52">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RET                                                                          </w:t>
      </w:r>
    </w:p>
    <w:p w14:paraId="06EB71F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17F7D5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inv(10)(p11;q11)引起10号染色体上驱动蛋白家族基因KIF5B和受体酪氨酸激酶基因RET之间形成的融合驱动基因KIF5B-RET，导致RET原癌基因的高表达。因此RET激活和过表达常见于家族性甲状腺样瘤、肺癌、结直肠癌[PMID: 20930041; PMID: 30257958; PMID: 30210625]。RET重排在肺癌中是一种非小细胞肺癌的新的驱动癌基因，发现于1-2%的NSCLC患者中。</w:t>
      </w:r>
    </w:p>
    <w:p w14:paraId="62F7B14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color w:val="000000"/>
          <w:sz w:val="18"/>
          <w:szCs w:val="18"/>
        </w:rPr>
        <w:t>凡德他尼</w:t>
      </w:r>
      <w:r>
        <w:rPr>
          <w:rFonts w:hint="default" w:ascii="Times New Roman" w:hAnsi="Times New Roman" w:cs="Times New Roman"/>
          <w:b/>
          <w:szCs w:val="18"/>
        </w:rPr>
        <w:t>、</w:t>
      </w:r>
      <w:r>
        <w:rPr>
          <w:rFonts w:hint="default" w:ascii="Times New Roman" w:hAnsi="Times New Roman" w:cs="Times New Roman"/>
          <w:b/>
          <w:color w:val="000000"/>
          <w:sz w:val="18"/>
          <w:szCs w:val="18"/>
        </w:rPr>
        <w:t>卡博替尼</w:t>
      </w:r>
      <w:r>
        <w:rPr>
          <w:rFonts w:hint="default" w:ascii="Times New Roman" w:hAnsi="Times New Roman" w:cs="Times New Roman"/>
          <w:b/>
          <w:szCs w:val="18"/>
        </w:rPr>
        <w:t>、</w:t>
      </w:r>
      <w:r>
        <w:rPr>
          <w:rFonts w:hint="default" w:ascii="Times New Roman" w:hAnsi="Times New Roman" w:cs="Times New Roman"/>
          <w:b/>
          <w:color w:val="000000"/>
          <w:sz w:val="18"/>
          <w:szCs w:val="18"/>
        </w:rPr>
        <w:t>仑伐替尼*</w:t>
      </w:r>
      <w:r>
        <w:rPr>
          <w:rFonts w:hint="default" w:ascii="Times New Roman" w:hAnsi="Times New Roman" w:cs="Times New Roman"/>
          <w:b/>
          <w:szCs w:val="18"/>
        </w:rPr>
        <w:t>、</w:t>
      </w:r>
      <w:r>
        <w:rPr>
          <w:rFonts w:hint="default" w:ascii="Times New Roman" w:hAnsi="Times New Roman" w:cs="Times New Roman"/>
          <w:b/>
          <w:color w:val="000000"/>
          <w:sz w:val="18"/>
          <w:szCs w:val="18"/>
        </w:rPr>
        <w:t>普拉替尼*、Selpercatinib</w:t>
      </w:r>
    </w:p>
    <w:p w14:paraId="53586EEB">
      <w:pPr>
        <w:adjustRightInd w:val="0"/>
        <w:snapToGrid w:val="0"/>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DA/NMPA批准普拉替尼用于治疗RET融合阳性的非小细胞肺癌（NSCLC）成人患者；FDA批准Selpercatinib用于RET融合阳性的转移性非小细胞肺癌（NSCLC）成人患者；FDA批准普拉替尼、Selpercatinib用于12岁及以上儿童及成人需要全身治疗的晚期或转移性RET突变的甲状腺髓样癌（MTC）患者或12岁及以上儿童及成人需要全身治疗且放射性碘难治性（如果放射性碘适合）、晚期或转移性RET融合阳性甲状腺癌患者。NCCN指南推荐携带RET融合的晚期非小细胞肺癌患者使用凡德他尼、卡博替尼、Selpercatinib、普拉替尼[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卡博替尼治疗晚期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]。目前舒尼替尼、卡博替尼、索拉非尼、Selpercatinib等用于RET突变/融合的实体瘤的临床试验正在开展。</w:t>
      </w:r>
    </w:p>
    <w:p w14:paraId="02A418D3">
      <w:pPr>
        <w:adjustRightInd w:val="0"/>
        <w:snapToGrid w:val="0"/>
        <w:spacing w:line="300" w:lineRule="auto"/>
        <w:ind w:left="420"/>
        <w:rPr>
          <w:rFonts w:hint="default" w:ascii="Times New Roman" w:hAnsi="Times New Roman" w:cs="Times New Roman"/>
          <w:sz w:val="18"/>
          <w:szCs w:val="18"/>
        </w:rPr>
      </w:pPr>
    </w:p>
    <w:p w14:paraId="6C58F5E5">
      <w:pPr>
        <w:spacing w:line="360" w:lineRule="auto"/>
        <w:rPr>
          <w:rFonts w:hint="default" w:ascii="Times New Roman" w:hAnsi="Times New Roman" w:cs="Times New Roman"/>
          <w:b/>
        </w:rPr>
      </w:pPr>
      <w:r>
        <w:rPr>
          <w:rFonts w:hint="default"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RB1                                                                        </w:t>
      </w:r>
    </w:p>
    <w:p w14:paraId="2BDE489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9934663">
      <w:pPr>
        <w:spacing w:line="300" w:lineRule="auto"/>
        <w:ind w:left="420"/>
        <w:rPr>
          <w:rFonts w:hint="default" w:ascii="Times New Roman" w:hAnsi="Times New Roman" w:cs="Times New Roman"/>
          <w:color w:val="404040"/>
        </w:rPr>
      </w:pPr>
      <w:r>
        <w:rPr>
          <w:rFonts w:hint="default"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hint="default" w:ascii="Times New Roman" w:hAnsi="Times New Roman" w:cs="Times New Roman"/>
          <w:color w:val="404040"/>
          <w:sz w:val="18"/>
          <w:szCs w:val="18"/>
        </w:rPr>
        <w:t xml:space="preserve"> </w:t>
      </w:r>
    </w:p>
    <w:p w14:paraId="71FFF7A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 xml:space="preserve">用药说明： </w:t>
      </w:r>
    </w:p>
    <w:p w14:paraId="03CD1B57">
      <w:pPr>
        <w:spacing w:line="300" w:lineRule="auto"/>
        <w:ind w:left="420"/>
        <w:rPr>
          <w:rFonts w:hint="default" w:ascii="Times New Roman" w:hAnsi="Times New Roman" w:cs="Times New Roman"/>
          <w:b/>
          <w:szCs w:val="18"/>
        </w:rPr>
      </w:pPr>
      <w:r>
        <w:rPr>
          <w:rFonts w:hint="default" w:ascii="Times New Roman" w:hAnsi="Times New Roman" w:cs="Times New Roman"/>
          <w:sz w:val="18"/>
          <w:szCs w:val="18"/>
        </w:rPr>
        <w:t>目前，FDA尚未批准任何靶向RB1突变的抗癌药物。针对RB1失活的靶向药物（如AURORA激酶抑制剂、BCL-2 抑制剂和NOTCH 通路激活剂）均处于临床前实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25758528]。临床前研究中，Trilaciclib和托泊替康的组合抑制RB1缺陷的小细胞肺癌（SCLC）异种移植模型中的肿瘤生长，比单独使用托泊替康更有效[PMID: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随机II期研究中，在140名基因变异的患者中，细胞周期调节因子（CDK6、RBL1、RBL2、RB1）突变的患者使用Alisertib/紫杉醇显著改善PFS（分别为3.68和1.80个月, p = 0.0003）和总生存期（分别为7.20和4.47个月, p = 0.00085）[PMID: 31655296]。</w:t>
      </w:r>
    </w:p>
    <w:p w14:paraId="6E9E7F57">
      <w:pPr>
        <w:spacing w:line="300" w:lineRule="auto"/>
        <w:ind w:left="420"/>
        <w:rPr>
          <w:rFonts w:hint="default" w:ascii="Times New Roman" w:hAnsi="Times New Roman" w:cs="Times New Roman"/>
          <w:sz w:val="18"/>
          <w:szCs w:val="18"/>
        </w:rPr>
      </w:pPr>
    </w:p>
    <w:p w14:paraId="51882949">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SMO                                                                        </w:t>
      </w:r>
    </w:p>
    <w:p w14:paraId="6FA4B8F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D581D8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58721A4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C666218">
      <w:pPr>
        <w:adjustRightInd w:val="0"/>
        <w:snapToGrid w:val="0"/>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 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25759019]。除此之外，SMO的配体结合口袋中的一组独特的突变赋予了对SMO抑制剂例如维莫德单抗和相关环巴胺药物的抗性[PMID：26960983]。研究表明，在结直肠癌中，SMO的表达与临床病理和预后有关[PMID: 25023548]。SMO过表达与结直肠癌患者吸烟、晚期疾病及淋巴结转移相关[PMID: 30784110]。结直肠癌中，激活SHH通路后，DFS更长(HR=0.49, p=0.032)[PMID: 30952759]。目前维莫德吉用于SMO突变的实体瘤的临床试验正在开展。</w:t>
      </w:r>
    </w:p>
    <w:p w14:paraId="6ECDFFD1">
      <w:pPr>
        <w:adjustRightInd w:val="0"/>
        <w:snapToGrid w:val="0"/>
        <w:spacing w:line="300" w:lineRule="auto"/>
        <w:ind w:left="420"/>
        <w:rPr>
          <w:rFonts w:hint="default" w:ascii="Times New Roman" w:hAnsi="Times New Roman" w:cs="Times New Roman"/>
          <w:sz w:val="18"/>
          <w:szCs w:val="18"/>
        </w:rPr>
      </w:pPr>
    </w:p>
    <w:p w14:paraId="6FDBF19B">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STK11                                                                         </w:t>
      </w:r>
    </w:p>
    <w:p w14:paraId="63D0AAB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732EFFF">
      <w:pPr>
        <w:adjustRightInd w:val="0"/>
        <w:snapToGrid w:val="0"/>
        <w:spacing w:line="300" w:lineRule="auto"/>
        <w:ind w:left="420"/>
        <w:jc w:val="both"/>
        <w:rPr>
          <w:rFonts w:hint="default" w:ascii="Times New Roman" w:hAnsi="Times New Roman" w:cs="Times New Roman"/>
          <w:sz w:val="18"/>
          <w:szCs w:val="18"/>
        </w:rPr>
      </w:pPr>
      <w:r>
        <w:rPr>
          <w:rFonts w:hint="default"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582DF39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5E6952F">
      <w:pPr>
        <w:adjustRightInd w:val="0"/>
        <w:snapToGrid w:val="0"/>
        <w:spacing w:line="300" w:lineRule="auto"/>
        <w:ind w:left="420"/>
        <w:jc w:val="both"/>
        <w:rPr>
          <w:rFonts w:hint="default" w:ascii="Times New Roman" w:hAnsi="Times New Roman" w:cs="Times New Roman"/>
          <w:sz w:val="18"/>
          <w:szCs w:val="18"/>
        </w:rPr>
      </w:pPr>
      <w:r>
        <w:rPr>
          <w:rFonts w:hint="default" w:ascii="Times New Roman" w:hAnsi="Times New Roman" w:cs="Times New Roman"/>
          <w:sz w:val="18"/>
          <w:szCs w:val="18"/>
        </w:rPr>
        <w:t>在一项Ib/II期试验中，携带STK11和/或KEAP1突变的非鳞NSCLC患者（n=14）接受卡瑞利珠单抗联合阿帕替尼治疗，相对于野生型STK11/KEAP1患者（n=32），12个月生存率得到了改善（85.1%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21325073]。有研究表明，STK11 1-2号外显子突变与不良预后相关（P=0.002）[PMID: 26625312]。目前替西罗莫司、Telaglenastat、Sirpiglenastat等用于STK11突变的实体瘤的临床试验正在开展。</w:t>
      </w:r>
    </w:p>
    <w:p w14:paraId="29F62828">
      <w:pPr>
        <w:adjustRightInd w:val="0"/>
        <w:snapToGrid w:val="0"/>
        <w:spacing w:line="300" w:lineRule="auto"/>
        <w:ind w:left="420"/>
        <w:jc w:val="both"/>
        <w:rPr>
          <w:rFonts w:hint="default" w:ascii="Times New Roman" w:hAnsi="Times New Roman" w:cs="Times New Roman"/>
          <w:sz w:val="18"/>
          <w:szCs w:val="18"/>
        </w:rPr>
      </w:pPr>
    </w:p>
    <w:p w14:paraId="636F5893">
      <w:pPr>
        <w:spacing w:before="120" w:beforeLines="50"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TP53                                                                               </w:t>
      </w:r>
    </w:p>
    <w:p w14:paraId="41A5FBA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7B355D6">
      <w:pPr>
        <w:adjustRightInd w:val="0"/>
        <w:snapToGrid w:val="0"/>
        <w:spacing w:line="300" w:lineRule="auto"/>
        <w:ind w:left="420"/>
        <w:jc w:val="both"/>
        <w:rPr>
          <w:rFonts w:hint="default" w:ascii="Times New Roman" w:hAnsi="Times New Roman" w:cs="Times New Roman"/>
          <w:sz w:val="18"/>
          <w:szCs w:val="18"/>
        </w:rPr>
      </w:pPr>
      <w:r>
        <w:rPr>
          <w:rFonts w:hint="default"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5F0C05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010B6E2">
      <w:pPr>
        <w:adjustRightInd w:val="0"/>
        <w:snapToGrid w:val="0"/>
        <w:spacing w:line="300" w:lineRule="auto"/>
        <w:ind w:left="420"/>
        <w:jc w:val="both"/>
        <w:rPr>
          <w:rFonts w:hint="default" w:ascii="Times New Roman" w:hAnsi="Times New Roman" w:cs="Times New Roman"/>
          <w:sz w:val="18"/>
          <w:szCs w:val="18"/>
          <w:lang w:bidi="zh-CN"/>
        </w:rPr>
      </w:pPr>
      <w:r>
        <w:rPr>
          <w:rFonts w:hint="default"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在靶向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hint="default" w:ascii="Times New Roman" w:hAnsi="Times New Roman" w:cs="Times New Roman"/>
          <w:sz w:val="18"/>
          <w:szCs w:val="18"/>
          <w:lang w:bidi="zh-CN"/>
        </w:rPr>
        <w:t>。目前APR246联合帕博利珠单抗治疗TP53突变的实体瘤患者的临床试验正在开展。</w:t>
      </w:r>
    </w:p>
    <w:p w14:paraId="6C44C2AE">
      <w:pPr>
        <w:adjustRightInd w:val="0"/>
        <w:snapToGrid w:val="0"/>
        <w:spacing w:line="300" w:lineRule="auto"/>
        <w:ind w:left="420"/>
        <w:jc w:val="both"/>
        <w:rPr>
          <w:rFonts w:hint="default" w:ascii="Times New Roman" w:hAnsi="Times New Roman" w:cs="Times New Roman"/>
          <w:sz w:val="18"/>
          <w:szCs w:val="18"/>
          <w:lang w:bidi="zh-CN"/>
        </w:rPr>
      </w:pPr>
    </w:p>
    <w:p w14:paraId="24ED9176">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UGT1A1                                                                          </w:t>
      </w:r>
    </w:p>
    <w:p w14:paraId="48F2264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CB30D1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征（先天性非溶血性黄疸）的发生。</w:t>
      </w:r>
    </w:p>
    <w:p w14:paraId="4C09238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5A4265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 24519753; PMID:18300238; PMID: 26862009]。携带 (TA)6/(TA)6 基因型的肿瘤患者，相比于(TA)6/(TA)7 和 (TA)7/(TA)7 基因型，毒副反应风险可能减小（包括嗜中性白血球减少症、腹泻、乏力）。文献证据支持嗜中性白血球减少症的毒副风险较腹泻和乏力更强[PMID: 24519753; PMID: 23529007; PMID: 26862009]。另外发现，UGT1A1的遗传多态性与血浆阿昔替尼水平显著相关，血浆阿昔替尼水平与转移性肾细胞癌（mRCC）患者的不良反应（AE）和总生存期（OS）显著相关[PMID: 29524031]。</w:t>
      </w:r>
    </w:p>
    <w:p w14:paraId="5560AC74">
      <w:pPr>
        <w:adjustRightInd w:val="0"/>
        <w:snapToGrid w:val="0"/>
        <w:spacing w:line="300" w:lineRule="auto"/>
        <w:jc w:val="both"/>
        <w:rPr>
          <w:rFonts w:hint="default" w:ascii="Times New Roman" w:hAnsi="Times New Roman" w:cs="Times New Roman"/>
          <w:sz w:val="18"/>
          <w:szCs w:val="18"/>
          <w:lang w:bidi="zh-CN"/>
        </w:rPr>
      </w:pPr>
    </w:p>
    <w:p w14:paraId="78C4C2D7">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FBXW7                                                                          </w:t>
      </w:r>
    </w:p>
    <w:p w14:paraId="2F73B71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5444A2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底物是被SCF复合物处理降解的原癌基因，因此FBXW7起到肿瘤抑制因子的作用。通过突变或拷贝数丢失使 FBXW7失活会导致癌蛋白的异常积累，进而导致恶性转化[PMID: 27399335]。FBXW7的交替剪接产生三种不同的蛋白质亚型（α、β、γ），每种都具有不同的定位[PMID: 22673505]。FBXW7中的突变会对同种型特异性功能、亚基二聚化、蛋白质定位、SCF组装或底物识别产生负面影响。FBXW7中的大多数突变是破坏底物结合的点突变，而&lt;10% 是小的缺失或插入[PMID: 17909001]。与FBXW7相关的疾病包括结直肠癌、非小细胞肺癌、乳腺癌等。</w:t>
      </w:r>
    </w:p>
    <w:p w14:paraId="27DE38C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334E60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24586741]。在一项案例研究中，携带FBXW7失活突变（例如R465H）的肺腺癌患者在已经接受多线系统治疗后，使用替西罗莫司治疗发现临床与影像学获益[PMID: 24360397]。有个案报道FBXW7突变而EGFR和ALK阴性的肺癌患者对mTOR抑制剂敏感[PMID: 24360397]。研究发现，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24165483]。目前替西罗莫司用于FBXW7突变的实体瘤的临床试验正在开展。</w:t>
      </w:r>
    </w:p>
    <w:p w14:paraId="6F68D203">
      <w:pPr>
        <w:adjustRightInd w:val="0"/>
        <w:snapToGrid w:val="0"/>
        <w:spacing w:line="300" w:lineRule="auto"/>
        <w:ind w:left="420"/>
        <w:jc w:val="both"/>
        <w:rPr>
          <w:rFonts w:hint="default" w:ascii="Times New Roman" w:hAnsi="Times New Roman" w:cs="Times New Roman"/>
          <w:sz w:val="18"/>
          <w:szCs w:val="18"/>
          <w:lang w:bidi="zh-CN"/>
        </w:rPr>
      </w:pPr>
    </w:p>
    <w:p w14:paraId="234D9D86">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NOTCH1                                                                          </w:t>
      </w:r>
    </w:p>
    <w:p w14:paraId="73A0EED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FF709F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24651013]。NOTCH家族成员经常在各种癌症中发生突变，这些突变可以是功能获得或功能丧失突变[PMID: 21948802]。已在T细胞急性淋巴细胞白血病 (T-ALL)、慢性淋巴细胞白血病和腺样囊性癌[PMID: 27870570]中发现了NOTCH1的易位和激活突变。这些NOTCH1激活突变要么增强了γ-分泌酶对NOTCH1的切割，要么延长了细胞内NOTCH1的半衰期[PMID: 15472075]。NOTCH1功能缺失突变在实体瘤中最常见，即鳞状细胞癌，并且在重要的NOTCH1功能域中以错义、移码或无义突变的形式出现[PMID: 30087145]。靶向γ-分泌酶的抑制剂目前正在进行临床试验，可能对激活NOTCH1突变的患者具有活性[PMID: 28539479]。</w:t>
      </w:r>
    </w:p>
    <w:p w14:paraId="43471A2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9C2617F">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在临床前研究中，γ分泌酶抑制剂Nirogacestat能够减少Notch1裂解，减弱Notch活性，并促进Notch活性增加的结直肠癌细胞凋亡[PMID: 23868008]。临床前试验研究表明NOTCH1的失活突变被证实对LGK974敏感[PMID: 24277854]。有研究表明，Notch信号成分与肺腺癌的预后相关，可作为潜在的肺腺癌预后的指示标志[PMID: 27196489]。有研究表明，在小细胞肺癌中，NOTCH1高表达与预后良好相关[PMID: 28060745]。高表达Notch1的结直肠癌患者的总生存率（OS）和无病生存率（DFS）均低于低表达Notch1的患者[PMID: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51230221">
      <w:pPr>
        <w:adjustRightInd w:val="0"/>
        <w:snapToGrid w:val="0"/>
        <w:spacing w:line="300" w:lineRule="auto"/>
        <w:ind w:left="420"/>
        <w:jc w:val="both"/>
        <w:rPr>
          <w:rFonts w:hint="default" w:ascii="Times New Roman" w:hAnsi="Times New Roman" w:cs="Times New Roman"/>
          <w:sz w:val="18"/>
          <w:szCs w:val="18"/>
          <w:lang w:bidi="zh-CN"/>
        </w:rPr>
      </w:pPr>
    </w:p>
    <w:p w14:paraId="47158048">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SMAD4                                                                          </w:t>
      </w:r>
    </w:p>
    <w:p w14:paraId="1EE7314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659886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11057902]。SMAD受体调节的信号分子（例如SMAD2和SMAD3）在与TGFß细胞因子超家族（例如TGFß1、TGFß2、TGFß3、激活素和节点）结合后被膜受体丝氨酸激酶激活[PMID: 9759503]。在TGFß受体二聚化和激活后，两种磷酸化受体调节的SMAD蛋白与SMAD4形成三聚体复合物，以允许与DNA结合 [PMID: 9759503]。SMAD三聚体复合物可以转移到细胞核并以细胞类型依赖的方式调节TGFß介导的基因转录，部分原因是转录共激活因子的可用性和染色质可及性[PMID: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18662538]相关。在胰腺癌中发现SMAD4表达缺失或SMAD4 体细胞突变，并且与肿瘤分级相关[PMID: 12821112]。在包括结肠和肺腺癌在内的多种肿瘤类型中，以较低频率观察到SMAD4的体细胞改变[PMID: 25890228]。</w:t>
      </w:r>
    </w:p>
    <w:p w14:paraId="53D349B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BC09B7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default" w:ascii="Times New Roman" w:hAnsi="Times New Roman" w:cs="Times New Roman"/>
        </w:rPr>
        <w:t>。</w:t>
      </w:r>
      <w:r>
        <w:rPr>
          <w:rFonts w:hint="default" w:ascii="Times New Roman" w:hAnsi="Times New Roman" w:cs="Times New Roman"/>
          <w:sz w:val="18"/>
          <w:szCs w:val="18"/>
        </w:rPr>
        <w:t>一项结直肠癌相关研究报道，SMAD4的缺失与较差的临床结果、对化疗的耐药性和免疫浸润的减少相关[PMID: 30587545]。究报道，SMAD4表达降低与结直肠癌不良预后相关[PMID: 25749173; PMID: 19478385; PMID: 25681512; PMID: 26861460]。临床前研究表明，SMAD4缺失促进肺癌的形成，但增加了对DNA拓扑异构酶抑制剂的敏感性[PMID: 25893305]。肺腺癌中，SMAD4表达缺失与肿瘤大小（P=0.033）、淋巴结转移（P=0.014）、病理分期（P=0.017）和肿瘤分化（P=0.022）有关，p16或SMAD4表达的缺失（P&lt;0.001）与总生存时间缩短显著相关[PMID: 25890228]。</w:t>
      </w:r>
    </w:p>
    <w:p w14:paraId="57193331">
      <w:pPr>
        <w:rPr>
          <w:rFonts w:hint="default" w:ascii="Times New Roman" w:hAnsi="Times New Roman" w:eastAsia="微软雅黑" w:cs="Times New Roman"/>
          <w:b/>
          <w:sz w:val="13"/>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Segoe Print"/>
    <w:panose1 w:val="00000000000000000000"/>
    <w:charset w:val="00"/>
    <w:family w:val="auto"/>
    <w:pitch w:val="default"/>
    <w:sig w:usb0="00000000" w:usb1="00000000" w:usb2="00000000" w:usb3="00000000" w:csb0="00000000" w:csb1="00000000"/>
  </w:font>
  <w:font w:name="FZLTXHJW--GB1-0">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lvetica">
    <w:altName w:val="Segoe Print"/>
    <w:panose1 w:val="00000000000000000000"/>
    <w:charset w:val="00"/>
    <w:family w:val="auto"/>
    <w:pitch w:val="default"/>
    <w:sig w:usb0="00000000" w:usb1="00000000" w:usb2="00000000" w:usb3="00000000" w:csb0="2000019F" w:csb1="4F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1EB3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79D4BE">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027923">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0F027923">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6CA5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44E9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54D6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47CAC"/>
    <w:rsid w:val="00B60F8C"/>
    <w:rsid w:val="00B720E9"/>
    <w:rsid w:val="00B970D4"/>
    <w:rsid w:val="00BA0AFE"/>
    <w:rsid w:val="00BB4B87"/>
    <w:rsid w:val="00BB4BB9"/>
    <w:rsid w:val="00BD2FFA"/>
    <w:rsid w:val="00BD3A5B"/>
    <w:rsid w:val="00BE1879"/>
    <w:rsid w:val="00C1426D"/>
    <w:rsid w:val="00C26F90"/>
    <w:rsid w:val="00C2709E"/>
    <w:rsid w:val="00C27D2F"/>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711243"/>
    <w:rsid w:val="030A1074"/>
    <w:rsid w:val="035C523B"/>
    <w:rsid w:val="03643579"/>
    <w:rsid w:val="03B74961"/>
    <w:rsid w:val="049237C4"/>
    <w:rsid w:val="053027D8"/>
    <w:rsid w:val="066A44EA"/>
    <w:rsid w:val="075229E7"/>
    <w:rsid w:val="084E6FBF"/>
    <w:rsid w:val="09C6569C"/>
    <w:rsid w:val="0AA910DA"/>
    <w:rsid w:val="0ACD30F7"/>
    <w:rsid w:val="0B697485"/>
    <w:rsid w:val="0EFE1601"/>
    <w:rsid w:val="0F6A208A"/>
    <w:rsid w:val="10286214"/>
    <w:rsid w:val="10952DF6"/>
    <w:rsid w:val="130C6140"/>
    <w:rsid w:val="134645CE"/>
    <w:rsid w:val="15AA1C40"/>
    <w:rsid w:val="174D31CB"/>
    <w:rsid w:val="175A7638"/>
    <w:rsid w:val="1836136A"/>
    <w:rsid w:val="195F7EBC"/>
    <w:rsid w:val="1A627D5C"/>
    <w:rsid w:val="1B125754"/>
    <w:rsid w:val="1C46724D"/>
    <w:rsid w:val="1D6327E7"/>
    <w:rsid w:val="1EDA2B4A"/>
    <w:rsid w:val="20A0049E"/>
    <w:rsid w:val="21E4370A"/>
    <w:rsid w:val="23AC2FFD"/>
    <w:rsid w:val="269E134D"/>
    <w:rsid w:val="271D2C97"/>
    <w:rsid w:val="293140D5"/>
    <w:rsid w:val="29CF0D5E"/>
    <w:rsid w:val="2AAA2D66"/>
    <w:rsid w:val="2C835CA7"/>
    <w:rsid w:val="2CAB7CC5"/>
    <w:rsid w:val="2CF7541B"/>
    <w:rsid w:val="2EAD435F"/>
    <w:rsid w:val="2F2B0C86"/>
    <w:rsid w:val="2F34284F"/>
    <w:rsid w:val="303209D9"/>
    <w:rsid w:val="317F3B29"/>
    <w:rsid w:val="319B5F0A"/>
    <w:rsid w:val="31EE517C"/>
    <w:rsid w:val="32A777DC"/>
    <w:rsid w:val="340C0A8D"/>
    <w:rsid w:val="343949EB"/>
    <w:rsid w:val="37934412"/>
    <w:rsid w:val="387A7805"/>
    <w:rsid w:val="39FA584D"/>
    <w:rsid w:val="3A0504C9"/>
    <w:rsid w:val="3A670D93"/>
    <w:rsid w:val="3A6D6FBD"/>
    <w:rsid w:val="3B361E49"/>
    <w:rsid w:val="3C573483"/>
    <w:rsid w:val="3C797AF3"/>
    <w:rsid w:val="3CE60F00"/>
    <w:rsid w:val="3E8A096F"/>
    <w:rsid w:val="3ED529B9"/>
    <w:rsid w:val="3F2D78C6"/>
    <w:rsid w:val="410A496E"/>
    <w:rsid w:val="41146FE8"/>
    <w:rsid w:val="415617C0"/>
    <w:rsid w:val="417E2988"/>
    <w:rsid w:val="41CA0DF1"/>
    <w:rsid w:val="42AB2BD6"/>
    <w:rsid w:val="42E2656E"/>
    <w:rsid w:val="43C2164A"/>
    <w:rsid w:val="43E31A09"/>
    <w:rsid w:val="44167D08"/>
    <w:rsid w:val="44D12FF3"/>
    <w:rsid w:val="451832ED"/>
    <w:rsid w:val="46862F64"/>
    <w:rsid w:val="4ACE6BD0"/>
    <w:rsid w:val="4B4C63D6"/>
    <w:rsid w:val="4BAD2017"/>
    <w:rsid w:val="4C7F4215"/>
    <w:rsid w:val="4D1F7D6E"/>
    <w:rsid w:val="4D2575CC"/>
    <w:rsid w:val="4E4361B3"/>
    <w:rsid w:val="4F1700B8"/>
    <w:rsid w:val="4F616CFF"/>
    <w:rsid w:val="4FA06224"/>
    <w:rsid w:val="4FC374CC"/>
    <w:rsid w:val="500619DA"/>
    <w:rsid w:val="5081012C"/>
    <w:rsid w:val="518B7F68"/>
    <w:rsid w:val="518D6A44"/>
    <w:rsid w:val="51FC6DA4"/>
    <w:rsid w:val="56D35F07"/>
    <w:rsid w:val="570B25AE"/>
    <w:rsid w:val="57117FB5"/>
    <w:rsid w:val="57307DE4"/>
    <w:rsid w:val="57974C8E"/>
    <w:rsid w:val="58162B65"/>
    <w:rsid w:val="58E35061"/>
    <w:rsid w:val="58FC26D7"/>
    <w:rsid w:val="59201E0F"/>
    <w:rsid w:val="59A860E0"/>
    <w:rsid w:val="5A33044A"/>
    <w:rsid w:val="5A3A4E3F"/>
    <w:rsid w:val="5B356BDD"/>
    <w:rsid w:val="5B976FC1"/>
    <w:rsid w:val="5D6D5411"/>
    <w:rsid w:val="5DF53F95"/>
    <w:rsid w:val="5E0448E8"/>
    <w:rsid w:val="5E3877B6"/>
    <w:rsid w:val="5E574FB2"/>
    <w:rsid w:val="5E59788A"/>
    <w:rsid w:val="60095BA6"/>
    <w:rsid w:val="60654544"/>
    <w:rsid w:val="62255007"/>
    <w:rsid w:val="635147E4"/>
    <w:rsid w:val="63543294"/>
    <w:rsid w:val="654F43C0"/>
    <w:rsid w:val="65B53A3E"/>
    <w:rsid w:val="6822110B"/>
    <w:rsid w:val="69182419"/>
    <w:rsid w:val="6976772C"/>
    <w:rsid w:val="69DB74AC"/>
    <w:rsid w:val="6BFA5082"/>
    <w:rsid w:val="6E75472D"/>
    <w:rsid w:val="6E9A7A0A"/>
    <w:rsid w:val="6F4C2AA5"/>
    <w:rsid w:val="70CF12BD"/>
    <w:rsid w:val="71BA61B5"/>
    <w:rsid w:val="71DF3A36"/>
    <w:rsid w:val="71F44ACA"/>
    <w:rsid w:val="723E266C"/>
    <w:rsid w:val="72653CB7"/>
    <w:rsid w:val="73BB2205"/>
    <w:rsid w:val="73F9408B"/>
    <w:rsid w:val="74692B38"/>
    <w:rsid w:val="74BA57F9"/>
    <w:rsid w:val="74C23FF5"/>
    <w:rsid w:val="75611117"/>
    <w:rsid w:val="765B0A6B"/>
    <w:rsid w:val="76CD26D9"/>
    <w:rsid w:val="78BA0E7B"/>
    <w:rsid w:val="7A9C7AB4"/>
    <w:rsid w:val="7B3E7DA0"/>
    <w:rsid w:val="7BA16014"/>
    <w:rsid w:val="7C735456"/>
    <w:rsid w:val="7DC37B21"/>
    <w:rsid w:val="7F081AF1"/>
    <w:rsid w:val="7FCE7BBB"/>
    <w:rsid w:val="7FEB4435"/>
    <w:rsid w:val="B7DBDDC0"/>
    <w:rsid w:val="DFFD102F"/>
    <w:rsid w:val="E28E459A"/>
    <w:rsid w:val="E7F377CA"/>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字符"/>
    <w:basedOn w:val="21"/>
    <w:link w:val="4"/>
    <w:autoRedefine/>
    <w:qFormat/>
    <w:uiPriority w:val="0"/>
    <w:rPr>
      <w:rFonts w:ascii="宋体" w:hAnsi="宋体" w:cs="宋体"/>
      <w:sz w:val="30"/>
      <w:szCs w:val="30"/>
    </w:rPr>
  </w:style>
  <w:style w:type="character" w:customStyle="1" w:styleId="25">
    <w:name w:val="批注文字 字符"/>
    <w:basedOn w:val="21"/>
    <w:link w:val="9"/>
    <w:autoRedefine/>
    <w:qFormat/>
    <w:uiPriority w:val="0"/>
    <w:rPr>
      <w:rFonts w:ascii="宋体" w:hAnsi="宋体" w:cs="宋体"/>
      <w:sz w:val="22"/>
      <w:szCs w:val="22"/>
    </w:rPr>
  </w:style>
  <w:style w:type="character" w:customStyle="1" w:styleId="26">
    <w:name w:val="批注框文本 字符"/>
    <w:link w:val="12"/>
    <w:autoRedefine/>
    <w:qFormat/>
    <w:uiPriority w:val="0"/>
    <w:rPr>
      <w:rFonts w:hint="default" w:ascii="宋体" w:hAnsi="宋体" w:cs="宋体"/>
      <w:sz w:val="18"/>
      <w:szCs w:val="18"/>
      <w:lang w:eastAsia="en-US"/>
    </w:rPr>
  </w:style>
  <w:style w:type="character" w:customStyle="1" w:styleId="27">
    <w:name w:val="页脚 字符"/>
    <w:link w:val="13"/>
    <w:autoRedefine/>
    <w:qFormat/>
    <w:uiPriority w:val="0"/>
    <w:rPr>
      <w:rFonts w:hint="default" w:ascii="宋体" w:hAnsi="宋体" w:eastAsia="宋体" w:cs="宋体"/>
      <w:sz w:val="18"/>
      <w:szCs w:val="18"/>
    </w:rPr>
  </w:style>
  <w:style w:type="character" w:customStyle="1" w:styleId="28">
    <w:name w:val="页眉 字符"/>
    <w:link w:val="14"/>
    <w:autoRedefine/>
    <w:qFormat/>
    <w:uiPriority w:val="0"/>
    <w:rPr>
      <w:rFonts w:hint="default" w:ascii="宋体" w:hAnsi="宋体" w:eastAsia="宋体" w:cs="宋体"/>
      <w:sz w:val="18"/>
      <w:szCs w:val="18"/>
    </w:rPr>
  </w:style>
  <w:style w:type="character" w:customStyle="1" w:styleId="29">
    <w:name w:val="批注主题 字符"/>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网格表 4 - 着色 12"/>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rPr>
  </w:style>
  <w:style w:type="paragraph" w:customStyle="1" w:styleId="49">
    <w:name w:val="p1"/>
    <w:basedOn w:val="1"/>
    <w:qFormat/>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character" w:customStyle="1" w:styleId="50">
    <w:name w:val="font41"/>
    <w:basedOn w:val="21"/>
    <w:qFormat/>
    <w:uiPriority w:val="0"/>
    <w:rPr>
      <w:rFonts w:ascii="宋体" w:hAnsi="宋体" w:eastAsia="宋体" w:cs="宋体"/>
      <w:b/>
      <w:bCs/>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35</Pages>
  <Words>2090</Words>
  <Characters>6512</Characters>
  <Lines>436</Lines>
  <Paragraphs>122</Paragraphs>
  <TotalTime>5</TotalTime>
  <ScaleCrop>false</ScaleCrop>
  <LinksUpToDate>false</LinksUpToDate>
  <CharactersWithSpaces>7309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2021-06-30T18:32:00Z</dcterms:created>
  <dc:creator>Administrator</dc:creator>
  <cp:lastModifiedBy>tassles-L</cp:lastModifiedBy>
  <dcterms:modified xsi:type="dcterms:W3CDTF">2025-12-25T06:11:40Z</dcterms:modified>
  <cp:revision>111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D8067B79DB7549E69B5AB4B4C10E9CA6_13</vt:lpwstr>
  </property>
  <property fmtid="{D5CDD505-2E9C-101B-9397-08002B2CF9AE}" pid="4" name="KSOTemplateDocerSaveRecord">
    <vt:lpwstr>eyJoZGlkIjoiY2Y2NjU5MGIzZGFmM2M5NTIxMmI2NjdmNGQ0NDdjMDUiLCJ1c2VySWQiOiI2MjE3NDUxNTQifQ==</vt:lpwstr>
  </property>
</Properties>
</file>