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11" w:name="_GoBack"/>
      <w:bookmarkEnd w:id="11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KIT_PDGFRA基因检测报告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KIT_PDGFRA基因检测报告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40EC2B0"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16594"/>
      <w:bookmarkStart w:id="2" w:name="_Toc1707_WPSOffice_Level1"/>
      <w:bookmarkStart w:id="3" w:name="_Toc28240"/>
      <w:bookmarkStart w:id="4" w:name="_Toc27302"/>
      <w:bookmarkStart w:id="5" w:name="_Toc12505"/>
      <w:bookmarkStart w:id="6" w:name="_Toc22658"/>
      <w:bookmarkStart w:id="7" w:name="_Toc21764_WPSOffice_Level1"/>
      <w:bookmarkStart w:id="8" w:name="_Toc2409"/>
      <w:bookmarkStart w:id="9" w:name="_Toc13196_WPSOffice_Level1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24"/>
        <w:gridCol w:w="8414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56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14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2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56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14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0083C3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6E5D09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C333A4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7054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A0ABA"/>
    <w:rsid w:val="5927169E"/>
    <w:rsid w:val="593A5122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D760CD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1D21951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68348B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1062</Words>
  <Characters>3927</Characters>
  <Lines>1</Lines>
  <Paragraphs>1</Paragraphs>
  <TotalTime>0</TotalTime>
  <ScaleCrop>false</ScaleCrop>
  <LinksUpToDate>false</LinksUpToDate>
  <CharactersWithSpaces>4451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2025-06-24T06:05:45Z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