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13FAD4">
      <w:pPr>
        <w:jc w:val="center"/>
        <w:rPr>
          <w:rFonts w:hint="default" w:ascii="Times New Roman" w:hAnsi="Times New Roman" w:eastAsia="微软雅黑" w:cs="Times New Roman"/>
        </w:rPr>
      </w:pPr>
    </w:p>
    <w:p w14:paraId="44A3BB7C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3961765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MET基因扩增检测报告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311.95pt;height:183.55pt;width:497.4pt;z-index:251668480;v-text-anchor:middle;mso-width-relative:page;mso-height-relative:page;" filled="f" stroked="f" coordsize="21600,21600" o:gfxdata="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NmVDoNgAAAAKAQAADwAAAAAAAAABACAAAAAiAAAAZHJz&#10;L2Rvd25yZXYueG1sUEsBAhQAFAAAAAgAh07iQF7RreU9AgAAaQQAAA4AAAAAAAAAAQAgAAAAJw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MET基因扩增检测报告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19685</wp:posOffset>
            </wp:positionH>
            <wp:positionV relativeFrom="paragraph">
              <wp:posOffset>-135890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5CAB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0083C3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83C3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BA24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7D944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color w:val="0083C3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color w:val="0083C3"/>
          <w:sz w:val="22"/>
          <w:szCs w:val="24"/>
          <w:lang w:eastAsia="zh-CN"/>
        </w:rPr>
      </w:sdtEndPr>
      <w:sdtContent>
        <w:p w14:paraId="23B3A33B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color w:val="0083C3"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color w:val="0083C3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color w:val="0083C3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color w:val="0083C3"/>
              <w:sz w:val="24"/>
              <w:szCs w:val="24"/>
            </w:rPr>
            <w:fldChar w:fldCharType="separate"/>
          </w:r>
        </w:p>
        <w:p w14:paraId="0B79BD0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_Toc10370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_Toc10370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7A83B428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_Toc28253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_Toc28253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708645E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_Toc21268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_Toc21268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0EB9E496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_Toc20745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_Toc20745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2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3DA0F466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_Toc9737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_Toc9737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A8D7605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color w:val="0083C3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color w:val="0083C3"/>
              <w:szCs w:val="24"/>
              <w:lang w:eastAsia="zh-CN"/>
            </w:rPr>
            <w:fldChar w:fldCharType="end"/>
          </w:r>
        </w:p>
      </w:sdtContent>
    </w:sdt>
    <w:p w14:paraId="61753331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4397"/>
      <w:bookmarkStart w:id="2" w:name="_Toc13806"/>
      <w:bookmarkStart w:id="3" w:name="_Toc24178_WPSOffice_Level1"/>
      <w:bookmarkStart w:id="4" w:name="_Toc32054"/>
      <w:bookmarkStart w:id="5" w:name="_Toc30143_WPSOffice_Level1"/>
      <w:bookmarkStart w:id="6" w:name="_Toc27500"/>
      <w:bookmarkStart w:id="7" w:name="_Toc21009_WPSOffice_Level1"/>
    </w:p>
    <w:p w14:paraId="646237F4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77309C9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0370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0EFC47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BBBE0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D01F7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6695C8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E6BA8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E7FD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211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9418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1A67E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FF85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F755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C30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38A1494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3CC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5900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87A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609EB64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268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25A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4FB2A43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3A04B85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8253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8BB2C9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477F750E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3B5B8F9F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C-MET基因扩增检测</w:t>
            </w:r>
          </w:p>
        </w:tc>
      </w:tr>
      <w:tr w14:paraId="606860B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093C39C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BF2CB1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4449571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57BF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F44212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166360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4E0EA2E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759DC2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582B3A9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359CED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52DFDA7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2111FD1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2148064A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35716C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126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1468E0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190C8F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05081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CC22A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met.met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3E6B31D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3B21A46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74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0083C3" w:sz="24" w:space="0"/>
          <w:left w:val="none" w:color="auto" w:sz="0" w:space="0"/>
          <w:bottom w:val="none" w:color="auto" w:sz="0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23FC956B">
        <w:tblPrEx>
          <w:tblBorders>
            <w:top w:val="single" w:color="0083C3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98EEA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432441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DAE5B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407CFD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60DFD871">
        <w:tblPrEx>
          <w:tblBorders>
            <w:top w:val="single" w:color="0083C3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00015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C-MET 基因扩增</w:t>
            </w:r>
          </w:p>
        </w:tc>
        <w:tc>
          <w:tcPr>
            <w:tcW w:w="237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EFF4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8A6886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C-MET/CEP7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326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393721">
            <w:pPr>
              <w:pStyle w:val="47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met.detection }}</w:t>
            </w:r>
          </w:p>
        </w:tc>
      </w:tr>
      <w:tr w14:paraId="79079A71">
        <w:tblPrEx>
          <w:tblBorders>
            <w:top w:val="single" w:color="0083C3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4D8AB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AE87A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C664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C-MET/Cell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26A347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279EBD4D">
        <w:tblPrEx>
          <w:tblBorders>
            <w:top w:val="single" w:color="0083C3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46691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A6FC0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309D59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CEP7/Cell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7D0FA7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25AC1A01">
        <w:tblPrEx>
          <w:tblBorders>
            <w:top w:val="single" w:color="0083C3" w:sz="24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278D81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3237FF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/CEP7≥2.0              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                                                      </w:t>
            </w:r>
          </w:p>
          <w:p w14:paraId="7EAEF2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/CEP7&lt;2.0，c-MET /Cell≥5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</w:p>
          <w:p w14:paraId="0B5616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 /CEP7&lt;2.0,  c-MET /Cell&lt;5             阴性</w:t>
            </w:r>
          </w:p>
        </w:tc>
      </w:tr>
    </w:tbl>
    <w:p w14:paraId="0FA96EFB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met.result }}</w:t>
      </w:r>
    </w:p>
    <w:p w14:paraId="0CA4B47D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44F4FE5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5D6D3D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tbl>
      <w:tblPr>
        <w:tblStyle w:val="53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6467F6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1C3D0B44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met.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0717D3A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D13CF55">
            <w:pPr>
              <w:jc w:val="both"/>
              <w:rPr>
                <w:b/>
                <w:sz w:val="16"/>
              </w:rPr>
            </w:pP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6432" behindDoc="0" locked="0" layoutInCell="1" allowOverlap="1">
                  <wp:simplePos x="0" y="0"/>
                  <wp:positionH relativeFrom="column">
                    <wp:posOffset>-44450</wp:posOffset>
                  </wp:positionH>
                  <wp:positionV relativeFrom="paragraph">
                    <wp:posOffset>-57785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58AD3095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765028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3AB6D31B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B35CD24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63EB9531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9737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p w14:paraId="6BE8D5D4">
      <w:pPr>
        <w:numPr>
          <w:ilvl w:val="0"/>
          <w:numId w:val="8"/>
        </w:numPr>
        <w:bidi w:val="0"/>
        <w:ind w:left="0" w:leftChars="0" w:firstLine="0" w:firstLineChars="0"/>
        <w:jc w:val="both"/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MET 基因扩增检测</w:t>
      </w:r>
    </w:p>
    <w:p w14:paraId="6C81B7EA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原癌基因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val="en-US" w:eastAsia="zh-CN"/>
        </w:rPr>
        <w:t>MET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位于人类第7号染色体7q31上，编码MET酪氨酸激酶。正常的生理条件下，MET酪氨酸激酶受体及其配体HGF（肝细胞生长因子）显著影响并控制组织内环境稳定。MET基因的突变类型有3种，分别是MET外显子14跳跃突变（1%~3%）、MET原发扩增（1%~5%）以及罕见的MET融合突变（＜1%）。</w:t>
      </w:r>
    </w:p>
    <w:p w14:paraId="71C977B6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MET 常发生的变异主要包括14 号外显子跳跃突变，NCCN指南推荐克唑替尼、卡帕替尼用于治疗此类突变的非小细胞肺癌。MET拷贝数增加是EGFR抑制剂的重要抗药机制之一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对此类耐药患者可考虑采取MET抑制剂与EGFR抑制剂靶向联合治疗，NCCN指南推荐克唑替尼。</w:t>
      </w:r>
    </w:p>
    <w:p w14:paraId="49EEBEBF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近年来，以MET激酶为靶标开发药物已经成为抗肿瘤治疗的重要方向。针对MET所开发的分子靶向药物主要分三类：（1）MET和HGF的生物拮抗剂：与MET/HGF结合，但是不激活其作用，进而起到拮抗的作用；（2）MET和HGF抗体：与MET/HGF结合后阻止其发挥作用；（3）小分子MET抑制剂：通过阻断酪氨酸磷酸化来阻止信号通路，进而抑制MET激酶作用。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1205A729">
      <w:pPr>
        <w:numPr>
          <w:ilvl w:val="0"/>
          <w:numId w:val="8"/>
        </w:numPr>
        <w:adjustRightInd w:val="0"/>
        <w:snapToGrid w:val="0"/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微软雅黑" w:cs="Times New Roman"/>
          <w:b/>
          <w:kern w:val="0"/>
          <w:szCs w:val="21"/>
        </w:rPr>
      </w:pPr>
      <w:r>
        <w:rPr>
          <w:rFonts w:hint="default" w:ascii="Times New Roman" w:hAnsi="Times New Roman" w:eastAsia="微软雅黑" w:cs="Times New Roman"/>
          <w:b/>
          <w:kern w:val="0"/>
          <w:szCs w:val="21"/>
        </w:rPr>
        <w:t>参考文献</w:t>
      </w:r>
    </w:p>
    <w:bookmarkEnd w:id="0"/>
    <w:bookmarkEnd w:id="1"/>
    <w:bookmarkEnd w:id="2"/>
    <w:bookmarkEnd w:id="3"/>
    <w:bookmarkEnd w:id="4"/>
    <w:bookmarkEnd w:id="5"/>
    <w:bookmarkEnd w:id="6"/>
    <w:bookmarkEnd w:id="7"/>
    <w:p w14:paraId="57B7F1D2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Frampton, G. M., Ali, S. M., Rosenzweig, M., Chmielecki, J., Lu, X., Bauer, T. M., Akimov, M., Bufill, J. A., Lee, C., Jentz, D.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 xml:space="preserve">, et al. 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(2015). Activation of MET via diverse exon 14 splicing alterations occurs in multiple tumor types and confers clinical sensitivity to MET inhibitors.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850-859. </w:t>
      </w:r>
    </w:p>
    <w:p w14:paraId="18EB69BC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Paik, P. K., Drilon, A., Fan, P. D., Yu, H., Rekhtman, N., Ginsberg, M. S., Borsu, L., Schultz, N., Berger, M. F., Rudin, C. M., and Ladanyi, M. (2015). Response to MET inhibitors in patients with stage IV lung adenocarcinomas harboring MET mutations causing exon 14 skipping.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842-849. </w:t>
      </w:r>
    </w:p>
    <w:p w14:paraId="0557A73A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Sanghui Park, Yoon-La Choi.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et al.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>(2012). High MET copy number and MET overexpression: poor outcome in non-small cell lung cancer patients Histol Histopathol.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2,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197-207. </w:t>
      </w:r>
    </w:p>
    <w:p w14:paraId="7615A1F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Dimou A, Non L, Chae YK, Tester WJ, Syrigos KN.MET gene copy number predicts worse overall survival in patients with non-small cell lung cancer (NSCLC); a systematic review and meta-analysis. (2012).PLoS One.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>9,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e107677. </w:t>
      </w:r>
    </w:p>
    <w:p w14:paraId="5E77B00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Ou SH, Kwak EL, Siwak-Tapp C, et al. Activity of crizotinib (PF02341066), a dual mesenchymal-epithelial transition (MET) and anaplastic lymphoma kinase (ALK) inhibitor, in a non-small cell lung cancer patient with de novo MET amplification. J Thorac Oncol 2011;6:942-946. </w:t>
      </w:r>
    </w:p>
    <w:p w14:paraId="496F5688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Camidge RD, Ou S-HI, Shapiro G, et al. Efficacy and safety of crizotinib in patients with advanced c-MET-amplified non-small cell lung cancer. J Clin Oncol 2014;32(Suppl 5): Abstract 8001. </w:t>
      </w:r>
    </w:p>
    <w:p w14:paraId="6AAB897F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Wolf J, Seto T, Han J-Y, et al. Capmatinib (INC280) in METΔex14-mutated advanced non-small cell lung cancer (NSCLC): Efficacy data from the phase II GEOMETRY mono-1 study [abstract]. J Clin Oncol 2019;37: Abstract 9004. </w:t>
      </w:r>
    </w:p>
    <w:p w14:paraId="6225DF8A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NCCN Clinical Practice Guidelines in Oncology</w:t>
      </w:r>
      <w:r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 2025</w:t>
      </w:r>
      <w:bookmarkStart w:id="13" w:name="_GoBack"/>
      <w:bookmarkEnd w:id="13"/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.</w:t>
      </w:r>
    </w:p>
    <w:p w14:paraId="6BC5CDCB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50C62D7D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FF32E8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33AABAEB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CFDB28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C73C4A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CC1613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3CA6B50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7B3C9810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22DB4E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E37D158">
      <w:pPr>
        <w:pStyle w:val="13"/>
        <w:widowControl/>
        <w:rPr>
          <w:rFonts w:ascii="Times New Roman" w:hAnsi="Times New Roman" w:eastAsia="等线"/>
          <w:b w:val="0"/>
          <w:bCs w:val="0"/>
        </w:rPr>
      </w:pPr>
    </w:p>
    <w:p w14:paraId="793E0158">
      <w:pPr>
        <w:pStyle w:val="13"/>
        <w:widowControl/>
        <w:rPr>
          <w:rFonts w:ascii="Times New Roman" w:hAnsi="Times New Roman" w:eastAsia="等线"/>
        </w:rPr>
      </w:pPr>
    </w:p>
    <w:p w14:paraId="6BE6F873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751F6B4">
      <w:pPr>
        <w:pStyle w:val="13"/>
        <w:widowControl/>
        <w:rPr>
          <w:rFonts w:ascii="Times New Roman" w:hAnsi="Times New Roman" w:eastAsia="等线"/>
        </w:rPr>
      </w:pPr>
    </w:p>
    <w:p w14:paraId="33431E61">
      <w:pPr>
        <w:pStyle w:val="13"/>
        <w:widowControl/>
        <w:rPr>
          <w:rFonts w:ascii="Times New Roman" w:hAnsi="Times New Roman" w:eastAsia="等线"/>
        </w:rPr>
      </w:pPr>
    </w:p>
    <w:p w14:paraId="210831FB">
      <w:pPr>
        <w:pStyle w:val="13"/>
        <w:widowControl/>
        <w:rPr>
          <w:rFonts w:ascii="Times New Roman" w:hAnsi="Times New Roman" w:eastAsia="等线"/>
        </w:rPr>
      </w:pPr>
    </w:p>
    <w:p w14:paraId="4258BE1B">
      <w:pPr>
        <w:pStyle w:val="13"/>
        <w:widowControl/>
        <w:rPr>
          <w:rFonts w:ascii="Times New Roman" w:hAnsi="Times New Roman" w:eastAsia="等线"/>
        </w:rPr>
      </w:pPr>
    </w:p>
    <w:p w14:paraId="3B3BA47C">
      <w:pPr>
        <w:pStyle w:val="13"/>
        <w:widowControl/>
        <w:rPr>
          <w:rFonts w:ascii="Times New Roman" w:hAnsi="Times New Roman" w:eastAsia="等线"/>
        </w:rPr>
      </w:pPr>
    </w:p>
    <w:p w14:paraId="4664E26B">
      <w:pPr>
        <w:pStyle w:val="13"/>
        <w:widowControl/>
        <w:rPr>
          <w:rFonts w:ascii="Times New Roman" w:hAnsi="Times New Roman" w:eastAsia="等线"/>
        </w:rPr>
      </w:pPr>
    </w:p>
    <w:p w14:paraId="3D524449">
      <w:pPr>
        <w:pStyle w:val="13"/>
        <w:widowControl/>
        <w:rPr>
          <w:rFonts w:ascii="Times New Roman" w:hAnsi="Times New Roman" w:eastAsia="等线"/>
        </w:rPr>
      </w:pPr>
    </w:p>
    <w:p w14:paraId="23536ACF">
      <w:pPr>
        <w:pStyle w:val="13"/>
        <w:widowControl/>
        <w:rPr>
          <w:rFonts w:ascii="Times New Roman" w:hAnsi="Times New Roman" w:eastAsia="等线"/>
        </w:rPr>
      </w:pPr>
    </w:p>
    <w:p w14:paraId="03A56188">
      <w:pPr>
        <w:pStyle w:val="13"/>
        <w:widowControl/>
        <w:rPr>
          <w:rFonts w:ascii="Times New Roman" w:hAnsi="Times New Roman" w:eastAsia="等线"/>
        </w:rPr>
      </w:pPr>
    </w:p>
    <w:p w14:paraId="25FBAD73">
      <w:pPr>
        <w:pStyle w:val="13"/>
        <w:widowControl/>
        <w:rPr>
          <w:rFonts w:ascii="Times New Roman" w:hAnsi="Times New Roman" w:eastAsia="等线"/>
        </w:rPr>
      </w:pPr>
    </w:p>
    <w:p w14:paraId="37CCD804">
      <w:pPr>
        <w:pStyle w:val="13"/>
        <w:widowControl/>
        <w:rPr>
          <w:rFonts w:ascii="Times New Roman" w:hAnsi="Times New Roman" w:eastAsia="等线"/>
        </w:rPr>
      </w:pPr>
    </w:p>
    <w:p w14:paraId="6AB4563B">
      <w:pPr>
        <w:pStyle w:val="13"/>
        <w:widowControl/>
        <w:rPr>
          <w:rFonts w:ascii="Times New Roman" w:hAnsi="Times New Roman" w:eastAsia="等线"/>
        </w:rPr>
      </w:pPr>
    </w:p>
    <w:p w14:paraId="6E1373ED">
      <w:pPr>
        <w:pStyle w:val="13"/>
        <w:widowControl/>
        <w:rPr>
          <w:rFonts w:ascii="Times New Roman" w:hAnsi="Times New Roman" w:eastAsia="等线"/>
        </w:rPr>
      </w:pPr>
    </w:p>
    <w:p w14:paraId="188C4AFC">
      <w:pPr>
        <w:pStyle w:val="13"/>
        <w:widowControl/>
        <w:rPr>
          <w:rFonts w:ascii="Times New Roman" w:hAnsi="Times New Roman" w:eastAsia="等线"/>
        </w:rPr>
      </w:pPr>
    </w:p>
    <w:p w14:paraId="50424D60">
      <w:pPr>
        <w:pStyle w:val="13"/>
        <w:widowControl/>
        <w:rPr>
          <w:rFonts w:ascii="Times New Roman" w:hAnsi="Times New Roman" w:eastAsia="等线"/>
        </w:rPr>
      </w:pPr>
    </w:p>
    <w:p w14:paraId="022A98F1">
      <w:pPr>
        <w:pStyle w:val="13"/>
        <w:widowControl/>
        <w:rPr>
          <w:rFonts w:ascii="Times New Roman" w:hAnsi="Times New Roman" w:eastAsia="等线"/>
        </w:rPr>
      </w:pPr>
    </w:p>
    <w:p w14:paraId="4DABCD4A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25D5A532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09D08F8D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5A819D99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405F0DFB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69397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583BA5E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583BA5E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565C6C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A19E1F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012E5707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3FA19E1F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012E5707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5C2F6A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posOffset>3200400</wp:posOffset>
              </wp:positionH>
              <wp:positionV relativeFrom="paragraph">
                <wp:posOffset>-10160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82EA23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pt;margin-top:-0.8pt;height:144pt;width:144pt;mso-position-horizontal-relative:margin;mso-wrap-style:none;z-index:251662336;mso-width-relative:page;mso-height-relative:page;" filled="f" stroked="f" coordsize="21600,21600" o:gfxdata="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1M5W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82EA23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7705EF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955599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4A0F7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06B17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72D806"/>
    <w:multiLevelType w:val="singleLevel"/>
    <w:tmpl w:val="0B72D806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BD4F5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8135C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0B736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65063E4"/>
    <w:rsid w:val="16BD5BE8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5D7143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4691230"/>
    <w:rsid w:val="250E3D96"/>
    <w:rsid w:val="25233303"/>
    <w:rsid w:val="253036C5"/>
    <w:rsid w:val="255B3E43"/>
    <w:rsid w:val="255C038A"/>
    <w:rsid w:val="256C4478"/>
    <w:rsid w:val="26393298"/>
    <w:rsid w:val="2675513D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3D03FDB"/>
    <w:rsid w:val="33F059CD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893921"/>
    <w:rsid w:val="38A6010A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8D69A4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7B3AA1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833817"/>
    <w:rsid w:val="510D07DF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37750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04F35"/>
    <w:rsid w:val="57345015"/>
    <w:rsid w:val="5748483A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DB1A53"/>
    <w:rsid w:val="58DE21CC"/>
    <w:rsid w:val="58E6455C"/>
    <w:rsid w:val="5927169E"/>
    <w:rsid w:val="59404CA7"/>
    <w:rsid w:val="5A1E7F3D"/>
    <w:rsid w:val="5A4E0F4C"/>
    <w:rsid w:val="5A575533"/>
    <w:rsid w:val="5AA74F94"/>
    <w:rsid w:val="5B201627"/>
    <w:rsid w:val="5B2616E5"/>
    <w:rsid w:val="5B3A4C3E"/>
    <w:rsid w:val="5B884B96"/>
    <w:rsid w:val="5C702399"/>
    <w:rsid w:val="5D090FC9"/>
    <w:rsid w:val="5D184CAE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E50B55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E2A91"/>
    <w:rsid w:val="7A590988"/>
    <w:rsid w:val="7A7E7572"/>
    <w:rsid w:val="7A992CC0"/>
    <w:rsid w:val="7B0918A9"/>
    <w:rsid w:val="7B3A50B0"/>
    <w:rsid w:val="7B7B235C"/>
    <w:rsid w:val="7B8B2C1D"/>
    <w:rsid w:val="7BC818FC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1135E0"/>
    <w:rsid w:val="7F653236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1219</Words>
  <Characters>2987</Characters>
  <Lines>399</Lines>
  <Paragraphs>112</Paragraphs>
  <TotalTime>5</TotalTime>
  <ScaleCrop>false</ScaleCrop>
  <LinksUpToDate>false</LinksUpToDate>
  <CharactersWithSpaces>3478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2025-06-25T03:21:59Z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571A23818E774FF9BECB798EE15A8D8C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