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67EDEBBB">
          <w:pPr>
            <w:pStyle w:val="11"/>
            <w:tabs>
              <w:tab w:val="right" w:leader="dot" w:pos="9871"/>
            </w:tabs>
            <w:rPr>
              <w:rFonts w:ascii="Times New Roman" w:hAnsi="Times New Roman" w:eastAsia="微软雅黑"/>
              <w:b/>
              <w:color w:val="62B541"/>
              <w:sz w:val="32"/>
            </w:rPr>
          </w:pPr>
          <w:r>
            <w:rPr>
              <w:lang w:eastAsia="zh-CN"/>
            </w:rPr>
            <w:fldChar w:fldCharType="begin"/>
          </w:r>
          <w:r>
            <w:rPr>
              <w:lang w:eastAsia="zh-CN"/>
            </w:rPr>
            <w:instrText xml:space="preserve">TOC \o "1-2" \h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_Toc1747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_Toc1747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7A1DA00">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_Toc17891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_Toc17891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7BC4029">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_Toc5065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_Toc5065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89D6F6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_Toc7425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检测结果小结</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_Toc7425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210720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_Toc11276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_Toc11276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D6769B">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_Toc13448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靶向药物用药提示</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_Toc13448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2</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81E52A">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_Toc6451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PD-L1检测结果</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_Toc6451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5</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2B6D3548">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_Toc21508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_Toc21508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FC6B511">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_Toc32646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变异位点结果解析</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_Toc32646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sz w:val="24"/>
              <w:szCs w:val="24"/>
              <w:lang w:eastAsia="zh-CN"/>
            </w:rPr>
            <w:t>{% endif %}</w:t>
          </w:r>
        </w:p>
        <w:p w14:paraId="6F739C96">
          <w:pPr>
            <w:pStyle w:val="11"/>
            <w:tabs>
              <w:tab w:val="right" w:leader="dot" w:pos="987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_Toc26059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_Toc26059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F08DB35">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_Toc17040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样本质控情况</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_Toc17040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10</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542E047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_Toc24502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变异位点检测列表</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_Toc24502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11</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50EFC1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_Toc1870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BRCA1&amp;BRCA2基因背景介绍</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_Toc1870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13</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2BEDC1CF">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_Toc1820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易感人群特征</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_Toc1820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14</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7C5A5AF4">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_Toc2275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检测方法与局限性</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_Toc2275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16</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305E67F6">
          <w:pPr>
            <w:pStyle w:val="12"/>
            <w:tabs>
              <w:tab w:val="right" w:leader="dot" w:pos="9871"/>
            </w:tabs>
            <w:rPr>
              <w:rFonts w:hint="eastAsia" w:ascii="Times New Roman" w:hAnsi="Times New Roman" w:eastAsia="微软雅黑"/>
              <w:color w:val="auto"/>
              <w:sz w:val="28"/>
              <w:szCs w:val="28"/>
              <w:lang w:eastAsia="zh-CN"/>
            </w:rPr>
          </w:pP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HYPERLINK \l _Toc4392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参考文献</w:t>
          </w:r>
          <w:r>
            <w:rPr>
              <w:rFonts w:hint="eastAsia" w:ascii="Times New Roman" w:hAnsi="Times New Roman" w:eastAsia="微软雅黑"/>
              <w:color w:val="auto"/>
              <w:sz w:val="28"/>
              <w:szCs w:val="28"/>
              <w:lang w:eastAsia="zh-CN"/>
            </w:rPr>
            <w:tab/>
          </w:r>
          <w:r>
            <w:rPr>
              <w:rFonts w:hint="eastAsia" w:ascii="Times New Roman" w:hAnsi="Times New Roman" w:eastAsia="微软雅黑"/>
              <w:color w:val="auto"/>
              <w:sz w:val="28"/>
              <w:szCs w:val="28"/>
              <w:lang w:eastAsia="zh-CN"/>
            </w:rPr>
            <w:fldChar w:fldCharType="begin"/>
          </w:r>
          <w:r>
            <w:rPr>
              <w:rFonts w:hint="eastAsia" w:ascii="Times New Roman" w:hAnsi="Times New Roman" w:eastAsia="微软雅黑"/>
              <w:color w:val="auto"/>
              <w:sz w:val="28"/>
              <w:szCs w:val="28"/>
              <w:lang w:eastAsia="zh-CN"/>
            </w:rPr>
            <w:instrText xml:space="preserve"> PAGEREF _Toc4392 \h </w:instrText>
          </w:r>
          <w:r>
            <w:rPr>
              <w:rFonts w:hint="eastAsia" w:ascii="Times New Roman" w:hAnsi="Times New Roman" w:eastAsia="微软雅黑"/>
              <w:color w:val="auto"/>
              <w:sz w:val="28"/>
              <w:szCs w:val="28"/>
              <w:lang w:eastAsia="zh-CN"/>
            </w:rPr>
            <w:fldChar w:fldCharType="separate"/>
          </w:r>
          <w:r>
            <w:rPr>
              <w:rFonts w:hint="eastAsia" w:ascii="Times New Roman" w:hAnsi="Times New Roman" w:eastAsia="微软雅黑"/>
              <w:color w:val="auto"/>
              <w:sz w:val="28"/>
              <w:szCs w:val="28"/>
              <w:lang w:eastAsia="zh-CN"/>
            </w:rPr>
            <w:t>17</w:t>
          </w:r>
          <w:r>
            <w:rPr>
              <w:rFonts w:hint="eastAsia" w:ascii="Times New Roman" w:hAnsi="Times New Roman" w:eastAsia="微软雅黑"/>
              <w:color w:val="auto"/>
              <w:sz w:val="28"/>
              <w:szCs w:val="28"/>
              <w:lang w:eastAsia="zh-CN"/>
            </w:rPr>
            <w:fldChar w:fldCharType="end"/>
          </w:r>
          <w:r>
            <w:rPr>
              <w:rFonts w:hint="eastAsia" w:ascii="Times New Roman" w:hAnsi="Times New Roman" w:eastAsia="微软雅黑"/>
              <w:color w:val="auto"/>
              <w:sz w:val="28"/>
              <w:szCs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24178_WPSOffice_Level1"/>
          <w:bookmarkStart w:id="1" w:name="_Toc21669"/>
          <w:bookmarkStart w:id="2" w:name="_Toc30143_WPSOffice_Level1"/>
          <w:bookmarkStart w:id="3" w:name="_Toc21009_WPSOffice_Level1"/>
          <w:bookmarkStart w:id="4" w:name="_Toc13806"/>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62"/>
      <w:bookmarkStart w:id="6" w:name="_Toc1747"/>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11015_WPSOffice_Level1"/>
      <w:bookmarkStart w:id="8" w:name="_Toc17451"/>
      <w:bookmarkStart w:id="9" w:name="_Toc30875"/>
      <w:bookmarkStart w:id="10" w:name="_Toc18062_WPSOffice_Level1"/>
      <w:bookmarkStart w:id="11" w:name="_Toc7021_WPSOffice_Level1"/>
      <w:bookmarkStart w:id="12" w:name="_Toc1789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5920"/>
      <w:bookmarkStart w:id="17" w:name="_Toc23369_WPSOffice_Level1"/>
      <w:bookmarkStart w:id="18" w:name="_Toc9759"/>
      <w:bookmarkStart w:id="19" w:name="_Toc5065"/>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149837254"/>
      <w:bookmarkStart w:id="22" w:name="_Toc31543"/>
      <w:bookmarkStart w:id="23" w:name="_Toc7425"/>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03E1592F">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p>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19898_WPSOffice_Level1"/>
      <w:bookmarkStart w:id="25" w:name="_Toc20136_WPSOffice_Level1"/>
      <w:bookmarkStart w:id="26" w:name="_Toc21428"/>
      <w:bookmarkStart w:id="27" w:name="_Toc2781"/>
      <w:bookmarkStart w:id="28" w:name="_Toc22132"/>
      <w:bookmarkStart w:id="29" w:name="_Toc1127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49837258"/>
      <w:bookmarkStart w:id="31" w:name="_Toc12516"/>
      <w:bookmarkStart w:id="32" w:name="_Toc13448"/>
      <w:bookmarkStart w:id="33" w:name="_Toc4331_WPSOffice_Level1"/>
      <w:bookmarkStart w:id="34" w:name="_Toc23846_WPSOffice_Level1"/>
      <w:bookmarkStart w:id="35" w:name="_Toc32443_WPSOffice_Level1"/>
      <w:bookmarkStart w:id="36" w:name="_Toc25727"/>
      <w:bookmarkStart w:id="37" w:name="_Toc23903"/>
      <w:r>
        <w:rPr>
          <w:rFonts w:hint="eastAsia"/>
          <w:color w:val="auto"/>
          <w:sz w:val="30"/>
          <w:lang w:eastAsia="zh-CN"/>
        </w:rPr>
        <w:t>靶向药物用药提示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B9CA1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lang w:eastAsia="zh-CN"/>
        </w:rPr>
        <w:t>{% if readsFlag == True %}</w:t>
      </w:r>
    </w:p>
    <w:p w14:paraId="3E1A342E">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6"/>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6"/>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38" w:name="_Toc106719764"/>
      <w:bookmarkStart w:id="39" w:name="_Toc20034"/>
      <w:bookmarkStart w:id="40" w:name="_Toc10223"/>
      <w:bookmarkStart w:id="41" w:name="_Toc29277"/>
      <w:bookmarkStart w:id="42" w:name="_Toc7657"/>
      <w:bookmarkStart w:id="43" w:name="_Toc6451"/>
      <w:r>
        <w:rPr>
          <w:rFonts w:hint="eastAsia"/>
          <w:color w:val="auto"/>
          <w:sz w:val="30"/>
          <w:lang w:eastAsia="zh-CN"/>
        </w:rPr>
        <w:t>PD-L1检测结果</w:t>
      </w:r>
      <w:bookmarkEnd w:id="38"/>
      <w:bookmarkEnd w:id="39"/>
      <w:bookmarkEnd w:id="40"/>
      <w:bookmarkEnd w:id="41"/>
      <w:bookmarkEnd w:id="42"/>
      <w:bookmarkEnd w:id="43"/>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4" w:name="_Toc4421"/>
      <w:bookmarkStart w:id="45" w:name="_Toc21508"/>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4"/>
      <w:bookmarkEnd w:id="45"/>
    </w:p>
    <w:p w14:paraId="4F71BCFB">
      <w:pPr>
        <w:pStyle w:val="3"/>
        <w:numPr>
          <w:ilvl w:val="255"/>
          <w:numId w:val="0"/>
        </w:numPr>
        <w:jc w:val="left"/>
        <w:rPr>
          <w:color w:val="auto"/>
          <w:sz w:val="30"/>
          <w:lang w:eastAsia="zh-CN"/>
        </w:rPr>
      </w:pPr>
      <w:bookmarkStart w:id="46" w:name="_Toc17534"/>
      <w:bookmarkStart w:id="47" w:name="_Toc23606"/>
      <w:bookmarkStart w:id="48" w:name="_Toc32443_WPSOffice_Level2"/>
      <w:bookmarkStart w:id="49" w:name="_Toc4331_WPSOffice_Level2"/>
      <w:bookmarkStart w:id="50" w:name="_Toc32302"/>
      <w:bookmarkStart w:id="51" w:name="_Toc32646"/>
      <w:bookmarkStart w:id="52" w:name="_Toc21349"/>
      <w:bookmarkStart w:id="53" w:name="_Toc149837264"/>
      <w:bookmarkStart w:id="54" w:name="_Toc21764_WPSOffice_Level1"/>
      <w:bookmarkStart w:id="55" w:name="_Toc13196_WPSOffice_Level1"/>
      <w:bookmarkStart w:id="56" w:name="_Toc1707_WPSOffice_Level1"/>
      <w:bookmarkStart w:id="57" w:name="_Toc28240"/>
      <w:bookmarkStart w:id="58" w:name="_Toc27302"/>
      <w:bookmarkStart w:id="114" w:name="_GoBack"/>
      <w:bookmarkEnd w:id="114"/>
      <w:r>
        <w:rPr>
          <w:rFonts w:hint="eastAsia"/>
          <w:color w:val="auto"/>
          <w:sz w:val="30"/>
          <w:lang w:eastAsia="zh-CN"/>
        </w:rPr>
        <w:t>变异位点</w:t>
      </w:r>
      <w:bookmarkEnd w:id="46"/>
      <w:r>
        <w:rPr>
          <w:rFonts w:hint="eastAsia"/>
          <w:color w:val="auto"/>
          <w:sz w:val="30"/>
          <w:lang w:eastAsia="zh-CN"/>
        </w:rPr>
        <w:t>结果解析</w:t>
      </w:r>
      <w:bookmarkEnd w:id="47"/>
      <w:bookmarkEnd w:id="48"/>
      <w:bookmarkEnd w:id="49"/>
      <w:bookmarkEnd w:id="50"/>
      <w:bookmarkEnd w:id="51"/>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bookmarkEnd w:id="53"/>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59"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59"/>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sz w:val="24"/>
          <w:szCs w:val="24"/>
          <w:lang w:eastAsia="zh-CN"/>
        </w:rPr>
        <w:t>{%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0" w:name="_Toc17734"/>
      <w:bookmarkStart w:id="61" w:name="_Toc2605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4"/>
      <w:bookmarkEnd w:id="55"/>
      <w:bookmarkEnd w:id="56"/>
      <w:bookmarkEnd w:id="57"/>
      <w:bookmarkEnd w:id="58"/>
    </w:p>
    <w:bookmarkEnd w:id="60"/>
    <w:bookmarkEnd w:id="61"/>
    <w:p w14:paraId="47C18062">
      <w:pPr>
        <w:pStyle w:val="3"/>
        <w:numPr>
          <w:ilvl w:val="255"/>
          <w:numId w:val="0"/>
        </w:numPr>
        <w:jc w:val="left"/>
        <w:rPr>
          <w:color w:val="auto"/>
          <w:sz w:val="30"/>
          <w:lang w:eastAsia="zh-CN"/>
        </w:rPr>
      </w:pPr>
      <w:bookmarkStart w:id="62" w:name="_Toc9066"/>
      <w:bookmarkStart w:id="63" w:name="_Toc14255_WPSOffice_Level1"/>
      <w:bookmarkStart w:id="64" w:name="_Toc24085_WPSOffice_Level1"/>
      <w:bookmarkStart w:id="65" w:name="_Toc15840_WPSOffice_Level1"/>
      <w:bookmarkStart w:id="66" w:name="_Toc3674"/>
      <w:bookmarkStart w:id="67" w:name="_Toc25043"/>
      <w:bookmarkStart w:id="68" w:name="_Toc17040"/>
      <w:bookmarkStart w:id="69" w:name="_Hlk33190413"/>
      <w:bookmarkStart w:id="70" w:name="_Toc18699"/>
      <w:bookmarkStart w:id="71" w:name="_Toc11896_WPSOffice_Level1"/>
      <w:bookmarkStart w:id="72" w:name="_Toc11193_WPSOffice_Level1"/>
      <w:bookmarkStart w:id="73" w:name="_Toc28810_WPSOffice_Level1"/>
      <w:r>
        <w:rPr>
          <w:rFonts w:hint="eastAsia"/>
          <w:color w:val="auto"/>
          <w:sz w:val="30"/>
          <w:lang w:eastAsia="zh-CN"/>
        </w:rPr>
        <w:t>样本质控情况</w:t>
      </w:r>
      <w:bookmarkEnd w:id="62"/>
      <w:bookmarkEnd w:id="63"/>
      <w:bookmarkEnd w:id="64"/>
      <w:bookmarkEnd w:id="65"/>
      <w:bookmarkEnd w:id="66"/>
      <w:bookmarkEnd w:id="67"/>
      <w:bookmarkEnd w:id="68"/>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74" w:name="_Toc24502"/>
      <w:bookmarkStart w:id="75" w:name="_Toc7713"/>
      <w:r>
        <w:rPr>
          <w:rFonts w:hint="eastAsia"/>
          <w:color w:val="auto"/>
          <w:sz w:val="30"/>
          <w:lang w:eastAsia="zh-CN"/>
        </w:rPr>
        <w:t>变异位点检测列表</w:t>
      </w:r>
      <w:bookmarkEnd w:id="74"/>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76" w:name="_Toc1870"/>
      <w:r>
        <w:rPr>
          <w:rFonts w:hint="eastAsia"/>
          <w:color w:val="auto"/>
          <w:sz w:val="30"/>
          <w:lang w:eastAsia="zh-CN"/>
        </w:rPr>
        <w:t>BRCA1&amp;BRCA2</w:t>
      </w:r>
      <w:bookmarkEnd w:id="69"/>
      <w:r>
        <w:rPr>
          <w:rFonts w:hint="eastAsia"/>
          <w:color w:val="auto"/>
          <w:sz w:val="30"/>
          <w:lang w:eastAsia="zh-CN"/>
        </w:rPr>
        <w:t>基因背景介绍</w:t>
      </w:r>
      <w:bookmarkEnd w:id="70"/>
      <w:bookmarkEnd w:id="75"/>
      <w:bookmarkEnd w:id="76"/>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77" w:name="_Toc26220"/>
      <w:r>
        <w:rPr>
          <w:rFonts w:ascii="Times New Roman" w:hAnsi="Times New Roman" w:eastAsia="微软雅黑" w:cs="Times New Roman"/>
          <w:b/>
          <w:bCs/>
          <w:sz w:val="24"/>
          <w:szCs w:val="24"/>
          <w:lang w:eastAsia="zh-CN"/>
        </w:rPr>
        <w:t>BRCA1&amp;BRCA2基因说明及用药提示</w:t>
      </w:r>
      <w:bookmarkStart w:id="78"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8"/>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0"/>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0"/>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79" w:name="_Toc14221"/>
      <w:bookmarkStart w:id="80" w:name="_Toc1820"/>
      <w:r>
        <w:rPr>
          <w:rFonts w:hint="eastAsia"/>
          <w:color w:val="auto"/>
          <w:sz w:val="30"/>
          <w:lang w:eastAsia="zh-CN"/>
        </w:rPr>
        <w:t>易感人群特征</w:t>
      </w:r>
      <w:bookmarkEnd w:id="77"/>
      <w:bookmarkEnd w:id="79"/>
      <w:bookmarkEnd w:id="80"/>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1"/>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1" w:name="_Toc13238"/>
      <w:bookmarkStart w:id="82" w:name="_Toc5114"/>
      <w:bookmarkStart w:id="83" w:name="_Toc27291"/>
      <w:bookmarkStart w:id="84" w:name="_Toc29484"/>
      <w:bookmarkStart w:id="85" w:name="_Toc32060"/>
      <w:bookmarkStart w:id="86" w:name="_Toc5400"/>
      <w:bookmarkStart w:id="87" w:name="_Toc29283"/>
      <w:bookmarkStart w:id="88" w:name="_Toc3846"/>
      <w:bookmarkStart w:id="89" w:name="_Toc4680"/>
      <w:r>
        <w:rPr>
          <w:b w:val="0"/>
          <w:bCs w:val="0"/>
          <w:color w:val="auto"/>
          <w:sz w:val="22"/>
          <w:szCs w:val="22"/>
        </w:rPr>
        <w:t>1 40岁以上，同时伴有≥1项下述者</w:t>
      </w:r>
      <w:bookmarkEnd w:id="81"/>
      <w:bookmarkEnd w:id="82"/>
      <w:bookmarkEnd w:id="83"/>
      <w:bookmarkEnd w:id="84"/>
      <w:bookmarkEnd w:id="85"/>
      <w:bookmarkEnd w:id="86"/>
      <w:bookmarkEnd w:id="87"/>
      <w:bookmarkEnd w:id="88"/>
      <w:bookmarkEnd w:id="89"/>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0" w:name="_Toc2976"/>
      <w:bookmarkStart w:id="91" w:name="_Toc32349"/>
      <w:bookmarkStart w:id="92" w:name="_Toc5838"/>
      <w:bookmarkStart w:id="93" w:name="_Toc1891"/>
      <w:bookmarkStart w:id="94" w:name="_Toc22196"/>
      <w:bookmarkStart w:id="95" w:name="_Toc21034"/>
      <w:bookmarkStart w:id="96" w:name="_Toc783"/>
      <w:bookmarkStart w:id="97" w:name="_Toc126"/>
      <w:bookmarkStart w:id="98" w:name="_Toc10299"/>
      <w:r>
        <w:rPr>
          <w:b w:val="0"/>
          <w:bCs w:val="0"/>
          <w:color w:val="auto"/>
          <w:sz w:val="22"/>
          <w:szCs w:val="22"/>
        </w:rPr>
        <w:t>2 有胰腺癌家族史、糖尿病史</w:t>
      </w:r>
      <w:bookmarkEnd w:id="90"/>
      <w:bookmarkEnd w:id="91"/>
      <w:bookmarkEnd w:id="92"/>
      <w:bookmarkEnd w:id="93"/>
      <w:bookmarkEnd w:id="94"/>
      <w:bookmarkEnd w:id="95"/>
      <w:bookmarkEnd w:id="96"/>
      <w:bookmarkEnd w:id="97"/>
      <w:bookmarkEnd w:id="98"/>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1"/>
    <w:bookmarkEnd w:id="72"/>
    <w:bookmarkEnd w:id="73"/>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99" w:name="_Toc26926"/>
      <w:bookmarkStart w:id="100" w:name="_Toc15114"/>
      <w:bookmarkStart w:id="101" w:name="_Toc28061"/>
      <w:bookmarkStart w:id="102" w:name="_Toc3409"/>
      <w:bookmarkStart w:id="103" w:name="_Toc2275"/>
      <w:bookmarkStart w:id="104" w:name="_Toc20170_WPSOffice_Level1"/>
      <w:bookmarkStart w:id="105" w:name="_Toc28454_WPSOffice_Level1"/>
      <w:bookmarkStart w:id="106" w:name="_Toc26985_WPSOffice_Level1"/>
      <w:r>
        <w:rPr>
          <w:rFonts w:hint="eastAsia"/>
          <w:color w:val="auto"/>
          <w:sz w:val="30"/>
          <w:lang w:eastAsia="zh-CN"/>
        </w:rPr>
        <w:t>检测方法与局限性</w:t>
      </w:r>
      <w:bookmarkEnd w:id="99"/>
      <w:bookmarkEnd w:id="100"/>
      <w:bookmarkEnd w:id="101"/>
      <w:bookmarkEnd w:id="102"/>
      <w:bookmarkEnd w:id="103"/>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0E4840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C3C9C1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5FB617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04"/>
    <w:bookmarkEnd w:id="105"/>
    <w:bookmarkEnd w:id="106"/>
    <w:p w14:paraId="07A13C2A">
      <w:pPr>
        <w:pStyle w:val="3"/>
        <w:numPr>
          <w:ilvl w:val="255"/>
          <w:numId w:val="0"/>
        </w:numPr>
        <w:jc w:val="left"/>
        <w:rPr>
          <w:color w:val="auto"/>
          <w:sz w:val="30"/>
          <w:lang w:eastAsia="zh-CN"/>
        </w:rPr>
      </w:pPr>
      <w:bookmarkStart w:id="107" w:name="_Toc22162_WPSOffice_Level1"/>
      <w:bookmarkStart w:id="108" w:name="_Toc13275"/>
      <w:bookmarkStart w:id="109" w:name="_Toc4605"/>
      <w:bookmarkStart w:id="110" w:name="_Toc19584_WPSOffice_Level1"/>
      <w:bookmarkStart w:id="111" w:name="_Toc4392"/>
      <w:bookmarkStart w:id="112" w:name="_Toc22623"/>
      <w:bookmarkStart w:id="113" w:name="_Toc14611_WPSOffice_Level1"/>
      <w:r>
        <w:rPr>
          <w:rFonts w:hint="eastAsia"/>
          <w:color w:val="auto"/>
          <w:sz w:val="30"/>
          <w:lang w:eastAsia="zh-CN"/>
        </w:rPr>
        <w:t>参考文献</w:t>
      </w:r>
      <w:bookmarkEnd w:id="107"/>
      <w:bookmarkEnd w:id="108"/>
      <w:bookmarkEnd w:id="109"/>
      <w:bookmarkEnd w:id="110"/>
      <w:bookmarkEnd w:id="111"/>
    </w:p>
    <w:p w14:paraId="6237A4D6">
      <w:pPr>
        <w:rPr>
          <w:lang w:eastAsia="zh-CN"/>
        </w:rPr>
      </w:pPr>
    </w:p>
    <w:bookmarkEnd w:id="112"/>
    <w:bookmarkEnd w:id="113"/>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496E17F">
      <w:pPr>
        <w:pStyle w:val="13"/>
        <w:widowControl/>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C2AC903">
      <w:pPr>
        <w:pStyle w:val="13"/>
        <w:widowControl/>
        <w:rPr>
          <w:rFonts w:ascii="Times New Roman" w:hAnsi="Times New Roman" w:eastAsia="微软雅黑" w:cs="Times New Roman"/>
          <w:sz w:val="15"/>
          <w:szCs w:val="15"/>
          <w:shd w:val="clear" w:color="auto" w:fill="FFFFFF"/>
          <w:lang w:eastAsia="zh-CN"/>
        </w:rPr>
      </w:pPr>
    </w:p>
    <w:p w14:paraId="28918E56">
      <w:pPr>
        <w:pStyle w:val="13"/>
        <w:widowControl/>
        <w:rPr>
          <w:rFonts w:ascii="Times New Roman" w:hAnsi="Times New Roman" w:eastAsia="微软雅黑" w:cs="Times New Roman"/>
          <w:sz w:val="15"/>
          <w:szCs w:val="15"/>
          <w:shd w:val="clear" w:color="auto" w:fill="FFFFFF"/>
          <w:lang w:eastAsia="zh-CN"/>
        </w:rPr>
      </w:pPr>
    </w:p>
    <w:p w14:paraId="65E7457C">
      <w:pPr>
        <w:pStyle w:val="13"/>
        <w:widowControl/>
        <w:rPr>
          <w:rFonts w:ascii="Times New Roman" w:hAnsi="Times New Roman" w:eastAsia="微软雅黑" w:cs="Times New Roman"/>
          <w:sz w:val="15"/>
          <w:szCs w:val="15"/>
          <w:shd w:val="clear" w:color="auto" w:fill="FFFFFF"/>
          <w:lang w:eastAsia="zh-CN"/>
        </w:rPr>
      </w:pPr>
    </w:p>
    <w:p w14:paraId="1D4480B7">
      <w:pPr>
        <w:pStyle w:val="13"/>
        <w:widowControl/>
        <w:rPr>
          <w:rFonts w:ascii="Times New Roman" w:hAnsi="Times New Roman" w:eastAsia="微软雅黑" w:cs="Times New Roman"/>
          <w:sz w:val="15"/>
          <w:szCs w:val="15"/>
          <w:shd w:val="clear" w:color="auto" w:fill="FFFFFF"/>
          <w:lang w:eastAsia="zh-CN"/>
        </w:rPr>
      </w:pPr>
    </w:p>
    <w:p w14:paraId="7834B561">
      <w:pPr>
        <w:pStyle w:val="13"/>
        <w:widowControl/>
        <w:rPr>
          <w:rFonts w:ascii="Times New Roman" w:hAnsi="Times New Roman" w:eastAsia="微软雅黑" w:cs="Times New Roman"/>
          <w:sz w:val="15"/>
          <w:szCs w:val="15"/>
          <w:shd w:val="clear" w:color="auto" w:fill="FFFFFF"/>
          <w:lang w:eastAsia="zh-CN"/>
        </w:rPr>
      </w:pPr>
    </w:p>
    <w:p w14:paraId="1986077D">
      <w:pPr>
        <w:pStyle w:val="13"/>
        <w:widowControl/>
        <w:rPr>
          <w:rFonts w:ascii="Times New Roman" w:hAnsi="Times New Roman" w:eastAsia="微软雅黑" w:cs="Times New Roman"/>
          <w:sz w:val="15"/>
          <w:szCs w:val="15"/>
          <w:shd w:val="clear" w:color="auto" w:fill="FFFFFF"/>
          <w:lang w:eastAsia="zh-CN"/>
        </w:rPr>
      </w:pPr>
    </w:p>
    <w:p w14:paraId="61086F33">
      <w:pPr>
        <w:widowControl/>
        <w:adjustRightInd w:val="0"/>
        <w:snapToGrid w:val="0"/>
        <w:spacing w:before="120" w:beforeLines="50"/>
        <w:rPr>
          <w:rFonts w:ascii="Times New Roman" w:hAnsi="Times New Roman" w:cs="Times New Roman"/>
          <w:sz w:val="15"/>
          <w:szCs w:val="15"/>
          <w:highlight w:val="none"/>
        </w:rPr>
      </w:pPr>
    </w:p>
    <w:p w14:paraId="5400F797">
      <w:pPr>
        <w:ind w:left="621" w:leftChars="155" w:hanging="280" w:hangingChars="100"/>
        <w:rPr>
          <w:rFonts w:eastAsia="微软雅黑"/>
          <w:b/>
          <w:color w:val="00B050"/>
          <w:sz w:val="28"/>
          <w:szCs w:val="28"/>
          <w:highlight w:val="none"/>
        </w:rPr>
      </w:pPr>
      <w:r>
        <w:rPr>
          <w:rFonts w:eastAsia="微软雅黑"/>
          <w:b/>
          <w:color w:val="00B050"/>
          <w:sz w:val="28"/>
          <w:szCs w:val="28"/>
          <w:highlight w:val="none"/>
          <w:lang w:eastAsia="zh-CN"/>
        </w:rPr>
        <w:drawing>
          <wp:anchor distT="0" distB="0" distL="114300" distR="114300" simplePos="0" relativeHeight="251661312"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2" name="图片 2"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highlight w:val="none"/>
        </w:rPr>
        <w:t>说明</w:t>
      </w:r>
    </w:p>
    <w:p w14:paraId="198889BC">
      <w:pPr>
        <w:widowControl/>
        <w:numPr>
          <w:ilvl w:val="0"/>
          <w:numId w:val="12"/>
        </w:numPr>
        <w:spacing w:after="160" w:line="259" w:lineRule="auto"/>
        <w:ind w:left="425"/>
        <w:rPr>
          <w:rFonts w:eastAsia="微软雅黑"/>
          <w:b/>
          <w:sz w:val="21"/>
          <w:szCs w:val="21"/>
          <w:highlight w:val="none"/>
          <w:lang w:eastAsia="zh-CN"/>
        </w:rPr>
      </w:pPr>
      <w:r>
        <w:rPr>
          <w:rFonts w:eastAsia="微软雅黑"/>
          <w:b/>
          <w:sz w:val="21"/>
          <w:szCs w:val="21"/>
          <w:highlight w:val="none"/>
          <w:lang w:eastAsia="zh-CN"/>
        </w:rPr>
        <w:t>本报告为基因检测结果，基因、药物等信息列举未按照重要性排序。</w:t>
      </w:r>
    </w:p>
    <w:p w14:paraId="2D35B9A7">
      <w:pPr>
        <w:widowControl/>
        <w:numPr>
          <w:ilvl w:val="0"/>
          <w:numId w:val="12"/>
        </w:numPr>
        <w:spacing w:after="160" w:line="259" w:lineRule="auto"/>
        <w:ind w:left="425"/>
        <w:rPr>
          <w:rFonts w:eastAsia="微软雅黑"/>
          <w:b/>
          <w:sz w:val="21"/>
          <w:szCs w:val="21"/>
          <w:highlight w:val="none"/>
          <w:lang w:eastAsia="zh-CN"/>
        </w:rPr>
      </w:pPr>
      <w:r>
        <w:rPr>
          <w:rFonts w:eastAsia="微软雅黑"/>
          <w:b/>
          <w:sz w:val="21"/>
          <w:szCs w:val="21"/>
          <w:highlight w:val="none"/>
          <w:lang w:eastAsia="zh-CN"/>
        </w:rPr>
        <w:t>检测结果仅供科学研究和临床用药参考，具体治疗方案请咨询主治医生。</w:t>
      </w:r>
    </w:p>
    <w:p w14:paraId="569368AA">
      <w:pPr>
        <w:keepNext w:val="0"/>
        <w:keepLines w:val="0"/>
        <w:pageBreakBefore w:val="0"/>
        <w:widowControl/>
        <w:numPr>
          <w:ilvl w:val="0"/>
          <w:numId w:val="12"/>
        </w:numPr>
        <w:kinsoku/>
        <w:wordWrap/>
        <w:overflowPunct/>
        <w:topLinePunct w:val="0"/>
        <w:autoSpaceDE/>
        <w:autoSpaceDN/>
        <w:bidi w:val="0"/>
        <w:adjustRightInd/>
        <w:snapToGrid/>
        <w:spacing w:line="260" w:lineRule="auto"/>
        <w:ind w:left="425" w:hanging="420"/>
        <w:textAlignment w:val="auto"/>
        <w:rPr>
          <w:rFonts w:eastAsia="微软雅黑"/>
          <w:b/>
          <w:sz w:val="21"/>
          <w:szCs w:val="21"/>
          <w:highlight w:val="none"/>
          <w:lang w:eastAsia="zh-CN"/>
        </w:rPr>
      </w:pPr>
      <w:r>
        <w:rPr>
          <w:rFonts w:eastAsia="微软雅黑"/>
          <w:b/>
          <w:sz w:val="21"/>
          <w:szCs w:val="21"/>
          <w:highlight w:val="none"/>
          <w:lang w:eastAsia="zh-CN"/>
        </w:rPr>
        <w:t>本报告只对本次采集样本负责，如有疑问，请在15个工作日内与我们联系</w:t>
      </w:r>
      <w:r>
        <w:rPr>
          <w:rFonts w:hint="eastAsia" w:eastAsia="微软雅黑"/>
          <w:b/>
          <w:sz w:val="21"/>
          <w:szCs w:val="21"/>
          <w:highlight w:val="none"/>
          <w:lang w:eastAsia="zh-CN"/>
        </w:rPr>
        <w:t>023-</w:t>
      </w:r>
      <w:r>
        <w:rPr>
          <w:rFonts w:eastAsia="微软雅黑"/>
          <w:b/>
          <w:sz w:val="21"/>
          <w:szCs w:val="21"/>
          <w:highlight w:val="none"/>
          <w:lang w:eastAsia="zh-CN"/>
        </w:rPr>
        <w:t>68</w:t>
      </w:r>
      <w:r>
        <w:rPr>
          <w:rFonts w:hint="eastAsia" w:eastAsia="微软雅黑"/>
          <w:b/>
          <w:sz w:val="21"/>
          <w:szCs w:val="21"/>
          <w:highlight w:val="none"/>
          <w:lang w:eastAsia="zh-CN"/>
        </w:rPr>
        <w:t>815186</w:t>
      </w:r>
      <w:r>
        <w:rPr>
          <w:rFonts w:eastAsia="微软雅黑"/>
          <w:b/>
          <w:sz w:val="21"/>
          <w:szCs w:val="21"/>
          <w:highlight w:val="none"/>
          <w:lang w:eastAsia="zh-CN"/>
        </w:rPr>
        <w:t>。</w:t>
      </w:r>
    </w:p>
    <w:p w14:paraId="1B36038F">
      <w:pPr>
        <w:rPr>
          <w:rFonts w:eastAsia="微软雅黑"/>
          <w:b/>
          <w:bCs/>
          <w:highlight w:val="none"/>
          <w:lang w:eastAsia="zh-CN"/>
        </w:rPr>
      </w:pPr>
    </w:p>
    <w:tbl>
      <w:tblPr>
        <w:tblStyle w:val="14"/>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4378"/>
        <w:gridCol w:w="5918"/>
      </w:tblGrid>
      <w:tr w14:paraId="74B8826C">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4378" w:type="dxa"/>
            <w:tcBorders>
              <w:top w:val="single" w:color="auto" w:sz="12" w:space="0"/>
            </w:tcBorders>
          </w:tcPr>
          <w:p w14:paraId="79388BE9">
            <w:pPr>
              <w:snapToGrid w:val="0"/>
              <w:spacing w:before="120" w:beforeLines="50"/>
              <w:rPr>
                <w:rFonts w:hint="eastAsia" w:eastAsia="宋体"/>
                <w:b/>
                <w:szCs w:val="21"/>
                <w:highlight w:val="none"/>
                <w:lang w:val="en-US" w:eastAsia="zh-CN"/>
              </w:rPr>
            </w:pPr>
            <w:r>
              <w:rPr>
                <w:rFonts w:hint="eastAsia"/>
                <w:b/>
                <w:highlight w:val="none"/>
              </w:rPr>
              <w:t>样本处理与分析：</w:t>
            </w:r>
            <w:r>
              <w:rPr>
                <w:rFonts w:hint="eastAsia"/>
                <w:b/>
                <w:highlight w:val="none"/>
                <w:lang w:val="en-US" w:eastAsia="zh-CN"/>
              </w:rPr>
              <w:t xml:space="preserve"> </w:t>
            </w:r>
          </w:p>
        </w:tc>
        <w:tc>
          <w:tcPr>
            <w:tcW w:w="5918" w:type="dxa"/>
            <w:tcBorders>
              <w:top w:val="single" w:color="auto" w:sz="12" w:space="0"/>
            </w:tcBorders>
          </w:tcPr>
          <w:p w14:paraId="558FE2E7">
            <w:pPr>
              <w:snapToGrid w:val="0"/>
              <w:spacing w:before="120" w:beforeLines="50"/>
              <w:rPr>
                <w:rFonts w:hint="eastAsia" w:eastAsia="宋体"/>
                <w:b/>
                <w:highlight w:val="none"/>
                <w:lang w:val="en-US" w:eastAsia="zh-CN"/>
              </w:rPr>
            </w:pPr>
            <w:r>
              <w:rPr>
                <w:rFonts w:hint="eastAsia"/>
                <w:b/>
                <w:highlight w:val="none"/>
              </w:rPr>
              <w:t xml:space="preserve">复核： </w:t>
            </w:r>
            <w:r>
              <w:rPr>
                <w:b/>
                <w:highlight w:val="none"/>
              </w:rPr>
              <w:t xml:space="preserve">                </w:t>
            </w:r>
            <w:r>
              <w:rPr>
                <w:rFonts w:hint="eastAsia"/>
                <w:b/>
                <w:highlight w:val="none"/>
              </w:rPr>
              <w:t>报告时间：</w:t>
            </w:r>
            <w:r>
              <w:rPr>
                <w:rFonts w:hint="eastAsia" w:ascii="宋体" w:hAnsi="宋体" w:eastAsia="宋体" w:cs="宋体"/>
                <w:b/>
                <w:highlight w:val="none"/>
                <w:lang w:eastAsia="zh-CN"/>
              </w:rPr>
              <w:t>{{ reportdate }}</w:t>
            </w:r>
          </w:p>
        </w:tc>
      </w:tr>
    </w:tbl>
    <w:p w14:paraId="772655D3">
      <w:pPr>
        <w:pStyle w:val="13"/>
        <w:widowControl/>
        <w:rPr>
          <w:rFonts w:ascii="Times New Roman" w:hAnsi="Times New Roman" w:eastAsia="微软雅黑" w:cs="Times New Roman"/>
          <w:sz w:val="15"/>
          <w:szCs w:val="15"/>
          <w:highlight w:val="none"/>
          <w:shd w:val="clear" w:color="auto" w:fill="FFFFFF"/>
          <w:lang w:eastAsia="zh-CN"/>
        </w:rPr>
      </w:pP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6BAC6FD5"/>
    <w:multiLevelType w:val="singleLevel"/>
    <w:tmpl w:val="6BAC6FD5"/>
    <w:lvl w:ilvl="0" w:tentative="0">
      <w:start w:val="1"/>
      <w:numFmt w:val="decimal"/>
      <w:suff w:val="space"/>
      <w:lvlText w:val="(%1)"/>
      <w:lvlJc w:val="left"/>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5"/>
  </w:num>
  <w:num w:numId="7">
    <w:abstractNumId w:val="1"/>
  </w:num>
  <w:num w:numId="8">
    <w:abstractNumId w:val="2"/>
  </w:num>
  <w:num w:numId="9">
    <w:abstractNumId w:val="7"/>
  </w:num>
  <w:num w:numId="10">
    <w:abstractNumId w:val="0"/>
  </w:num>
  <w:num w:numId="11">
    <w:abstractNumId w:val="1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196493"/>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8C05ED"/>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5264EF8"/>
    <w:rsid w:val="357E5409"/>
    <w:rsid w:val="35B3556B"/>
    <w:rsid w:val="35F5325E"/>
    <w:rsid w:val="36251143"/>
    <w:rsid w:val="362E0676"/>
    <w:rsid w:val="36350561"/>
    <w:rsid w:val="36870375"/>
    <w:rsid w:val="36961CA4"/>
    <w:rsid w:val="36D01D61"/>
    <w:rsid w:val="36DA6BC5"/>
    <w:rsid w:val="36EF2C35"/>
    <w:rsid w:val="370C757D"/>
    <w:rsid w:val="371E73E3"/>
    <w:rsid w:val="375E0130"/>
    <w:rsid w:val="37E81DE8"/>
    <w:rsid w:val="3848012E"/>
    <w:rsid w:val="38CD7870"/>
    <w:rsid w:val="3961721F"/>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543E89"/>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CF3615A"/>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6E35A06"/>
    <w:rsid w:val="573568BB"/>
    <w:rsid w:val="57445109"/>
    <w:rsid w:val="57AE4059"/>
    <w:rsid w:val="57B51456"/>
    <w:rsid w:val="57BB7D3A"/>
    <w:rsid w:val="57C733D2"/>
    <w:rsid w:val="57C96345"/>
    <w:rsid w:val="58021F7A"/>
    <w:rsid w:val="582735C7"/>
    <w:rsid w:val="5842572D"/>
    <w:rsid w:val="587A6546"/>
    <w:rsid w:val="58A44110"/>
    <w:rsid w:val="58E972C7"/>
    <w:rsid w:val="591E1CF6"/>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672428"/>
    <w:rsid w:val="63EC6B7E"/>
    <w:rsid w:val="640B7333"/>
    <w:rsid w:val="6469117D"/>
    <w:rsid w:val="64AC5747"/>
    <w:rsid w:val="64EC6C5A"/>
    <w:rsid w:val="6517290F"/>
    <w:rsid w:val="6584207D"/>
    <w:rsid w:val="65B119A5"/>
    <w:rsid w:val="65B14162"/>
    <w:rsid w:val="65C9041E"/>
    <w:rsid w:val="65FB0593"/>
    <w:rsid w:val="66286770"/>
    <w:rsid w:val="670E76D1"/>
    <w:rsid w:val="67244957"/>
    <w:rsid w:val="67620161"/>
    <w:rsid w:val="679C3EC4"/>
    <w:rsid w:val="67D77C44"/>
    <w:rsid w:val="67F15F78"/>
    <w:rsid w:val="69572814"/>
    <w:rsid w:val="69583BF5"/>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3345</Words>
  <Characters>8494</Characters>
  <Lines>195</Lines>
  <Paragraphs>54</Paragraphs>
  <TotalTime>2</TotalTime>
  <ScaleCrop>false</ScaleCrop>
  <LinksUpToDate>false</LinksUpToDate>
  <CharactersWithSpaces>9189</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2025-11-10T06:19:26Z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