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4AC0AF">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检测项目：肿瘤同源重组修复缺陷检测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检测项目：肿瘤同源重组修复缺陷检测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vAlign w:val="center"/>
          </w:tcPr>
          <w:p w14:paraId="6E2DAAE2">
            <w:pPr>
              <w:ind w:left="200" w:leftChars="100"/>
              <w:jc w:val="left"/>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vAlign w:val="center"/>
          </w:tcPr>
          <w:p w14:paraId="42BF9808">
            <w:pPr>
              <w:ind w:left="200" w:leftChars="100"/>
              <w:jc w:val="left"/>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vAlign w:val="center"/>
          </w:tcPr>
          <w:p w14:paraId="031610D5">
            <w:pPr>
              <w:keepNext w:val="0"/>
              <w:keepLines w:val="0"/>
              <w:pageBreakBefore w:val="0"/>
              <w:widowControl w:val="0"/>
              <w:kinsoku/>
              <w:wordWrap/>
              <w:overflowPunct/>
              <w:topLinePunct w:val="0"/>
              <w:autoSpaceDE/>
              <w:autoSpaceDN/>
              <w:bidi w:val="0"/>
              <w:adjustRightInd w:val="0"/>
              <w:snapToGrid w:val="0"/>
              <w:ind w:left="400" w:leftChars="200"/>
              <w:jc w:val="left"/>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vAlign w:val="center"/>
          </w:tcPr>
          <w:p w14:paraId="420E5688">
            <w:pPr>
              <w:keepNext w:val="0"/>
              <w:keepLines w:val="0"/>
              <w:pageBreakBefore w:val="0"/>
              <w:widowControl w:val="0"/>
              <w:kinsoku/>
              <w:wordWrap/>
              <w:overflowPunct/>
              <w:topLinePunct w:val="0"/>
              <w:autoSpaceDE/>
              <w:autoSpaceDN/>
              <w:bidi w:val="0"/>
              <w:adjustRightInd w:val="0"/>
              <w:snapToGrid w:val="0"/>
              <w:ind w:left="400" w:leftChars="200"/>
              <w:jc w:val="left"/>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vAlign w:val="center"/>
          </w:tcPr>
          <w:p w14:paraId="28055B51">
            <w:pPr>
              <w:ind w:left="400" w:leftChars="200"/>
              <w:jc w:val="left"/>
              <w:rPr>
                <w:rFonts w:hint="default"/>
                <w:color w:val="3F3F3F"/>
                <w:kern w:val="0"/>
                <w:sz w:val="21"/>
                <w:szCs w:val="21"/>
                <w:lang w:val="en-US" w:eastAsia="zh-CN"/>
              </w:rPr>
            </w:pPr>
            <w:r>
              <w:rPr>
                <w:rFonts w:hint="eastAsia"/>
                <w:color w:val="3F3F3F"/>
                <w:sz w:val="21"/>
                <w:szCs w:val="21"/>
                <w:lang w:val="en-US" w:eastAsia="zh-CN"/>
              </w:rPr>
              <w:t>检测结果小结</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vAlign w:val="center"/>
          </w:tcPr>
          <w:p w14:paraId="01377D1A">
            <w:pPr>
              <w:ind w:left="200" w:leftChars="100"/>
              <w:jc w:val="left"/>
              <w:rPr>
                <w:color w:val="3F3F3F"/>
                <w:kern w:val="0"/>
                <w:sz w:val="21"/>
                <w:szCs w:val="21"/>
              </w:rPr>
            </w:pPr>
            <w:r>
              <w:rPr>
                <w:rFonts w:hint="eastAsia"/>
                <w:color w:val="3F3F3F"/>
                <w:kern w:val="0"/>
                <w:sz w:val="24"/>
                <w:szCs w:val="24"/>
                <w:lang w:val="en-US" w:eastAsia="zh-CN"/>
              </w:rPr>
              <w:t>检测结果提示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vAlign w:val="center"/>
          </w:tcPr>
          <w:p w14:paraId="3C72E6AC">
            <w:pPr>
              <w:ind w:left="400" w:leftChars="200"/>
              <w:jc w:val="left"/>
              <w:rPr>
                <w:rFonts w:hint="eastAsia"/>
                <w:color w:val="3F3F3F"/>
                <w:sz w:val="21"/>
                <w:szCs w:val="21"/>
              </w:rPr>
            </w:pPr>
            <w:r>
              <w:rPr>
                <w:rFonts w:hint="eastAsia"/>
                <w:color w:val="3F3F3F"/>
                <w:sz w:val="21"/>
                <w:szCs w:val="21"/>
                <w:lang w:eastAsia="zh-CN"/>
              </w:rPr>
              <w:t>同源重组缺陷状态提示</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vAlign w:val="center"/>
          </w:tcPr>
          <w:p w14:paraId="540E3FC1">
            <w:pPr>
              <w:ind w:left="200" w:leftChars="100"/>
              <w:jc w:val="left"/>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vAlign w:val="center"/>
          </w:tcPr>
          <w:p w14:paraId="6CE78ADE">
            <w:pPr>
              <w:ind w:left="200" w:leftChars="100"/>
              <w:jc w:val="left"/>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vAlign w:val="center"/>
          </w:tcPr>
          <w:p w14:paraId="30B9858C">
            <w:pPr>
              <w:ind w:left="200" w:leftChars="100"/>
              <w:jc w:val="left"/>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vAlign w:val="center"/>
          </w:tcPr>
          <w:p w14:paraId="2D0850C6">
            <w:pPr>
              <w:ind w:left="200" w:leftChars="100"/>
              <w:jc w:val="left"/>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vAlign w:val="center"/>
          </w:tcPr>
          <w:p w14:paraId="6AC7CFDD">
            <w:pPr>
              <w:ind w:left="200" w:leftChars="100"/>
              <w:jc w:val="left"/>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center"/>
          </w:tcPr>
          <w:p w14:paraId="5E4659DE">
            <w:pPr>
              <w:ind w:left="200" w:leftChars="100"/>
              <w:jc w:val="left"/>
              <w:rPr>
                <w:rFonts w:hint="eastAsia"/>
                <w:color w:val="3F3F3F"/>
                <w:kern w:val="0"/>
                <w:sz w:val="21"/>
                <w:szCs w:val="21"/>
                <w:lang w:val="en-US" w:eastAsia="zh-CN"/>
              </w:rPr>
            </w:pPr>
            <w:r>
              <w:rPr>
                <w:rFonts w:hint="eastAsia"/>
                <w:color w:val="3F3F3F"/>
                <w:sz w:val="21"/>
                <w:szCs w:val="21"/>
              </w:rPr>
              <w:t>样本质控情况</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center"/>
          </w:tcPr>
          <w:p w14:paraId="3DBDA9BD">
            <w:pPr>
              <w:ind w:left="200" w:leftChars="100"/>
              <w:jc w:val="left"/>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center"/>
          </w:tcPr>
          <w:p w14:paraId="5C99F5CA">
            <w:pPr>
              <w:ind w:left="200" w:leftChars="100"/>
              <w:jc w:val="left"/>
              <w:rPr>
                <w:rFonts w:hint="eastAsia" w:eastAsia="微软雅黑"/>
                <w:color w:val="3F3F3F"/>
                <w:sz w:val="21"/>
                <w:szCs w:val="21"/>
                <w:lang w:eastAsia="zh-CN"/>
              </w:rPr>
            </w:pPr>
            <w:r>
              <w:rPr>
                <w:rFonts w:hint="eastAsia"/>
                <w:color w:val="3F3F3F"/>
                <w:sz w:val="21"/>
                <w:szCs w:val="21"/>
              </w:rPr>
              <w:t>同源重组缺陷（HRD）</w:t>
            </w:r>
            <w:r>
              <w:rPr>
                <w:rFonts w:hint="eastAsia"/>
                <w:color w:val="3F3F3F"/>
                <w:sz w:val="21"/>
                <w:szCs w:val="21"/>
                <w:lang w:val="en-US" w:eastAsia="zh-CN"/>
              </w:rPr>
              <w:t>介绍</w:t>
            </w:r>
            <w:bookmarkStart w:id="21" w:name="_GoBack"/>
            <w:bookmarkEnd w:id="21"/>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center"/>
          </w:tcPr>
          <w:p w14:paraId="5C243F85">
            <w:pPr>
              <w:ind w:left="200" w:leftChars="100"/>
              <w:jc w:val="left"/>
              <w:rPr>
                <w:rFonts w:hint="eastAsia"/>
                <w:color w:val="3F3F3F"/>
                <w:sz w:val="21"/>
                <w:szCs w:val="21"/>
              </w:rPr>
            </w:pPr>
            <w:r>
              <w:rPr>
                <w:rFonts w:hint="eastAsia"/>
                <w:color w:val="3F3F3F"/>
                <w:sz w:val="21"/>
                <w:szCs w:val="21"/>
              </w:rPr>
              <w:t>易感人群特征</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center"/>
          </w:tcPr>
          <w:p w14:paraId="0D0B4526">
            <w:pPr>
              <w:ind w:left="200" w:leftChars="100"/>
              <w:jc w:val="left"/>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center"/>
          </w:tcPr>
          <w:p w14:paraId="1CC2D688">
            <w:pPr>
              <w:ind w:left="200" w:leftChars="100"/>
              <w:jc w:val="left"/>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6B00A16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送检项目：肿瘤同源重组修复缺陷检测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本产品通过高通量测序，综合检测基因组杂合性缺失（LOH）、端粒等位基因不平衡（TAI）、大片段迁移（LST）三个指标进行基因不稳定状态（GIS）评分，根据GIS评分（HRD Score）全面评估同源重组修复缺陷状态，为BRCA基因检测结果为阴性的患者寻找PARP抑制剂获益的可能。本报告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summaryOfRresults.hrd</w:t>
            </w:r>
            <w:r>
              <w:rPr>
                <w:rFonts w:ascii="Times New Roman" w:hAnsi="Times New Roman" w:eastAsia="微软雅黑" w:cs="Times New Roman"/>
                <w:color w:val="262626"/>
                <w:sz w:val="21"/>
                <w:szCs w:val="21"/>
                <w:lang w:eastAsia="zh-CN"/>
              </w:rPr>
              <w:t>State</w:t>
            </w:r>
            <w:r>
              <w:rPr>
                <w:rFonts w:hint="eastAsia" w:ascii="Times New Roman" w:hAnsi="Times New Roman" w:eastAsia="微软雅黑" w:cs="Times New Roman"/>
                <w:color w:val="262626"/>
                <w:sz w:val="21"/>
                <w:szCs w:val="21"/>
                <w:lang w:eastAsia="zh-CN"/>
              </w:rPr>
              <w:t xml:space="preserve"> }}</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{%if hrd != undefined%}{{ hrd.sequencing_depth | oqa(200,150) }}{%endif%}</w:t>
            </w:r>
          </w:p>
        </w:tc>
      </w:tr>
    </w:tbl>
    <w:p w14:paraId="4AB986C0">
      <w:pPr>
        <w:adjustRightInd/>
        <w:snapToGrid/>
        <w:rPr>
          <w:rFonts w:ascii="微软雅黑" w:hAnsi="微软雅黑" w:eastAsia="微软雅黑" w:cs="微软雅黑"/>
          <w:b/>
          <w:bCs/>
          <w:color w:val="262626"/>
          <w:kern w:val="0"/>
          <w:sz w:val="18"/>
          <w:szCs w:val="18"/>
          <w:lang w:eastAsia="zh-CN" w:bidi="ar"/>
        </w:rPr>
      </w:pPr>
      <w:r>
        <w:rPr>
          <w:rFonts w:hint="eastAsia" w:ascii="微软雅黑" w:hAnsi="微软雅黑" w:eastAsia="微软雅黑" w:cs="微软雅黑"/>
          <w:b/>
          <w:bCs/>
          <w:color w:val="262626"/>
          <w:kern w:val="0"/>
          <w:sz w:val="18"/>
          <w:szCs w:val="18"/>
          <w:lang w:eastAsia="zh-CN" w:bidi="ar"/>
        </w:rPr>
        <w:t>注：</w:t>
      </w:r>
    </w:p>
    <w:p w14:paraId="21A103F5">
      <w:pPr>
        <w:numPr>
          <w:ilvl w:val="0"/>
          <w:numId w:val="3"/>
        </w:numPr>
        <w:adjustRightInd/>
        <w:snapToGrid/>
        <w:ind w:left="425" w:hanging="425"/>
        <w:rPr>
          <w:rFonts w:hint="eastAsia" w:ascii="Times New Roman" w:hAnsi="Times New Roman" w:eastAsia="微软雅黑" w:cs="Times New Roman"/>
          <w:kern w:val="0"/>
          <w:sz w:val="18"/>
          <w:lang w:eastAsia="zh-CN"/>
        </w:rPr>
      </w:pPr>
      <w:r>
        <w:rPr>
          <w:rFonts w:hint="eastAsia" w:ascii="Times New Roman" w:hAnsi="Times New Roman" w:eastAsia="微软雅黑" w:cs="Times New Roman"/>
          <w:kern w:val="0"/>
          <w:sz w:val="18"/>
          <w:lang w:eastAsia="zh-CN"/>
        </w:rPr>
        <w:t>本检测只针对DNA水平（包括点突变，小片段缺失和插入），不涉及蛋白、RNA水平。</w:t>
      </w:r>
    </w:p>
    <w:p w14:paraId="0A3A3DFA">
      <w:pPr>
        <w:numPr>
          <w:ilvl w:val="0"/>
          <w:numId w:val="3"/>
        </w:numPr>
        <w:adjustRightInd/>
        <w:snapToGrid/>
        <w:ind w:left="425" w:hanging="425"/>
        <w:rPr>
          <w:rFonts w:hint="eastAsia" w:ascii="Times New Roman" w:hAnsi="Times New Roman" w:eastAsia="微软雅黑" w:cs="Times New Roman"/>
          <w:kern w:val="0"/>
          <w:sz w:val="18"/>
          <w:lang w:eastAsia="zh-CN"/>
        </w:rPr>
      </w:pPr>
      <w:r>
        <w:rPr>
          <w:rFonts w:hint="eastAsia" w:ascii="Times New Roman" w:hAnsi="Times New Roman" w:eastAsia="微软雅黑" w:cs="Times New Roman"/>
          <w:kern w:val="0"/>
          <w:sz w:val="18"/>
          <w:lang w:eastAsia="zh-CN"/>
        </w:rPr>
        <w:t>本报告为基因检测结果，基因、药物等信息列举未按照重要性排序。</w:t>
      </w:r>
    </w:p>
    <w:p w14:paraId="25D410A3">
      <w:pPr>
        <w:numPr>
          <w:ilvl w:val="0"/>
          <w:numId w:val="3"/>
        </w:numPr>
        <w:adjustRightInd/>
        <w:snapToGrid/>
        <w:ind w:left="425" w:hanging="425"/>
        <w:rPr>
          <w:rFonts w:hint="eastAsia" w:ascii="Times New Roman" w:hAnsi="Times New Roman" w:eastAsia="微软雅黑" w:cs="Times New Roman"/>
          <w:kern w:val="0"/>
          <w:sz w:val="18"/>
          <w:lang w:eastAsia="zh-CN"/>
        </w:rPr>
      </w:pPr>
      <w:r>
        <w:rPr>
          <w:rFonts w:hint="eastAsia" w:ascii="Times New Roman" w:hAnsi="Times New Roman" w:eastAsia="微软雅黑" w:cs="Times New Roman"/>
          <w:kern w:val="0"/>
          <w:sz w:val="18"/>
          <w:lang w:eastAsia="zh-CN"/>
        </w:rPr>
        <w:t>检测结果仅供科学研究和临床用药参考，具体治疗方案请咨询主治医生。</w:t>
      </w:r>
    </w:p>
    <w:p w14:paraId="5571F3B1">
      <w:pPr>
        <w:numPr>
          <w:ilvl w:val="0"/>
          <w:numId w:val="3"/>
        </w:numPr>
        <w:adjustRightInd/>
        <w:snapToGrid/>
        <w:ind w:left="425" w:hanging="425"/>
        <w:rPr>
          <w:rFonts w:hint="eastAsia" w:ascii="Times New Roman" w:hAnsi="Times New Roman" w:eastAsia="微软雅黑" w:cs="Times New Roman"/>
          <w:kern w:val="0"/>
          <w:sz w:val="18"/>
          <w:lang w:eastAsia="zh-CN"/>
        </w:rPr>
      </w:pPr>
      <w:r>
        <w:rPr>
          <w:rFonts w:hint="eastAsia" w:ascii="Times New Roman" w:hAnsi="Times New Roman" w:eastAsia="微软雅黑" w:cs="Times New Roman"/>
          <w:kern w:val="0"/>
          <w:sz w:val="18"/>
          <w:lang w:eastAsia="zh-CN"/>
        </w:rPr>
        <w:t>本报告只对本次采集样本负责，如有疑问，请在7个工作日内与我们联系。</w:t>
      </w:r>
      <w:r>
        <w:rPr>
          <w:rFonts w:hint="eastAsia" w:ascii="Times New Roman" w:hAnsi="Times New Roman" w:eastAsia="微软雅黑" w:cs="Times New Roman"/>
          <w:kern w:val="0"/>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检测结果提示</w:t>
      </w:r>
    </w:p>
    <w:p w14:paraId="67BD3FC7">
      <w:pPr>
        <w:pStyle w:val="3"/>
        <w:keepNext/>
        <w:keepLines/>
        <w:pageBreakBefore w:val="0"/>
        <w:widowControl w:val="0"/>
        <w:numPr>
          <w:ilvl w:val="1"/>
          <w:numId w:val="0"/>
        </w:numPr>
        <w:kinsoku/>
        <w:wordWrap/>
        <w:overflowPunct/>
        <w:topLinePunct w:val="0"/>
        <w:autoSpaceDE/>
        <w:autoSpaceDN/>
        <w:bidi w:val="0"/>
        <w:adjustRightInd w:val="0"/>
        <w:snapToGrid w:val="0"/>
        <w:spacing w:before="0" w:beforeLines="0"/>
        <w:ind w:leftChars="0"/>
        <w:textAlignment w:val="auto"/>
        <w:rPr>
          <w:rFonts w:hint="eastAsia"/>
          <w:lang w:eastAsia="zh-CN"/>
        </w:rPr>
      </w:pPr>
      <w:bookmarkStart w:id="3" w:name="_Toc107825551"/>
      <w:bookmarkStart w:id="4" w:name="_Toc17240"/>
      <w:bookmarkStart w:id="5" w:name="_Toc13492"/>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828"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828"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059E1620">
      <w:pPr>
        <w:pStyle w:val="7"/>
        <w:numPr>
          <w:ilvl w:val="0"/>
          <w:numId w:val="4"/>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score）大于等于43分，同源重组缺陷状态“阴性”代表检测到该肿瘤患者基因组不稳定性评分（HRD score）小于43分。</w:t>
      </w:r>
    </w:p>
    <w:bookmarkEnd w:id="6"/>
    <w:bookmarkEnd w:id="7"/>
    <w:p w14:paraId="0265FA09">
      <w:pPr>
        <w:numPr>
          <w:ilvl w:val="0"/>
          <w:numId w:val="0"/>
        </w:numPr>
        <w:ind w:leftChars="0"/>
        <w:rPr>
          <w:rFonts w:ascii="Times New Roman" w:hAnsi="Times New Roman" w:eastAsia="微软雅黑" w:cs="Times New Roman"/>
          <w:color w:val="262626"/>
          <w:sz w:val="18"/>
          <w:szCs w:val="18"/>
          <w:lang w:eastAsia="zh-CN"/>
        </w:rPr>
      </w:pP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7456"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7456;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LgWm3QQ4AADwOAAAVAAAAZHJzL21lZGlh&#10;L2ltYWdlMS5qcGVnATwOw/H/2P/gABBKRklGAAEBAQDcANwAAP/bAEMACAYGBwYFCAcHBwkJCAoM&#10;FA0MCwsMGRITDxQdGh8eHRocHCAkLicgIiwjHBwoNyksMDE0NDQfJzk9ODI8LjM0Mv/bAEMBCQkJ&#10;DAsMGA0NGDIhHCEyMjIyMjIyMjIyMjIyMjIyMjIyMjIyMjIyMjIyMjIyMjIyMjIyMjIyMjIyMjIy&#10;MjIyMv/AABEIAK0A9w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MB4AABkcnMvbWVkaWEvaW1hZ2UxLmpwZWdQSwECFAAUAAAACACHTuJAnuAC5gl0AAAE&#10;dAAAFAAAAAAAAAABACAAAACFBA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8480"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8480;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Ce4ALmCXQAAAR0AAAUAAAAZHJzL21lZGlhL2ltYWdlMi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r3gAAGRycy9tZWRpYS9pbWFnZTEucG5nUEsBAhQAFAAAAAgAh07iQJ7gAuYJdAAA&#10;BHQAABQAAAAAAAAAAQAgAAAAdAQ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0"/>
        </w:numPr>
        <w:kinsoku/>
        <w:wordWrap/>
        <w:overflowPunct/>
        <w:topLinePunct w:val="0"/>
        <w:autoSpaceDE/>
        <w:autoSpaceDN/>
        <w:bidi w:val="0"/>
        <w:adjustRightInd w:val="0"/>
        <w:snapToGrid w:val="0"/>
        <w:spacing w:before="157" w:beforeLines="50"/>
        <w:ind w:leftChars="0"/>
        <w:textAlignment w:val="auto"/>
        <w:outlineLvl w:val="1"/>
        <w:rPr>
          <w:b/>
          <w:bCs/>
          <w:color w:val="31849B"/>
          <w:sz w:val="24"/>
          <w:szCs w:val="32"/>
        </w:rPr>
      </w:pPr>
      <w:r>
        <w:rPr>
          <w:rFonts w:hint="eastAsia"/>
          <w:b/>
          <w:bCs/>
          <w:color w:val="31849B"/>
          <w:sz w:val="24"/>
          <w:szCs w:val="32"/>
        </w:rPr>
        <w:t>同源重组缺陷状态解析</w:t>
      </w:r>
    </w:p>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%}检测到该肿瘤患者基因组不稳定性评分（HRD score）小于43分。{% endif %</w:t>
      </w:r>
      <w:r>
        <w:rPr>
          <w:rFonts w:hint="eastAsia" w:ascii="Times New Roman" w:hAnsi="Times New Roman" w:eastAsia="微软雅黑"/>
          <w:color w:val="262626"/>
          <w:sz w:val="24"/>
          <w:szCs w:val="24"/>
        </w:rPr>
        <w:t>}</w:t>
      </w: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8" w:name="_Toc26395"/>
      <w:bookmarkStart w:id="9" w:name="_Toc31324"/>
    </w:p>
    <w:bookmarkEnd w:id="8"/>
    <w:bookmarkEnd w:id="9"/>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5"/>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4DE5B805">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1718" w:type="pct"/>
            <w:tcBorders>
              <w:tl2br w:val="nil"/>
              <w:tr2bl w:val="nil"/>
            </w:tcBorders>
            <w:shd w:val="clear" w:color="auto" w:fill="auto"/>
            <w:vAlign w:val="center"/>
          </w:tcPr>
          <w:p w14:paraId="5406002C">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w:t>
            </w:r>
            <w:r>
              <w:rPr>
                <w:rFonts w:hint="eastAsia" w:ascii="Times New Roman" w:hAnsi="Times New Roman" w:eastAsia="微软雅黑" w:cs="Times New Roman"/>
                <w:color w:val="262626"/>
                <w:kern w:val="2"/>
                <w:sz w:val="21"/>
                <w:szCs w:val="21"/>
                <w:lang w:val="en-US" w:eastAsia="zh-CN" w:bidi="ar-SA"/>
              </w:rPr>
              <w:t>hrd.</w:t>
            </w:r>
            <w:r>
              <w:rPr>
                <w:rFonts w:hint="default" w:ascii="Times New Roman" w:hAnsi="Times New Roman" w:eastAsia="微软雅黑" w:cs="Times New Roman"/>
                <w:color w:val="262626"/>
                <w:kern w:val="2"/>
                <w:sz w:val="21"/>
                <w:szCs w:val="21"/>
                <w:lang w:val="en-US" w:eastAsia="zh-CN" w:bidi="ar-SA"/>
              </w:rPr>
              <w:t>tumorcellcontent and (</w:t>
            </w:r>
            <w:r>
              <w:rPr>
                <w:rFonts w:hint="eastAsia" w:ascii="Times New Roman" w:hAnsi="Times New Roman" w:eastAsia="微软雅黑" w:cs="Times New Roman"/>
                <w:color w:val="262626"/>
                <w:kern w:val="2"/>
                <w:sz w:val="21"/>
                <w:szCs w:val="21"/>
                <w:lang w:val="en-US" w:eastAsia="zh-CN" w:bidi="ar-SA"/>
              </w:rPr>
              <w:t>hrd.</w:t>
            </w:r>
            <w:r>
              <w:rPr>
                <w:rFonts w:hint="default" w:ascii="Times New Roman" w:hAnsi="Times New Roman" w:eastAsia="微软雅黑" w:cs="Times New Roman"/>
                <w:color w:val="262626"/>
                <w:kern w:val="2"/>
                <w:sz w:val="21"/>
                <w:szCs w:val="21"/>
                <w:lang w:val="en-US" w:eastAsia="zh-CN" w:bidi="ar-SA"/>
              </w:rPr>
              <w:t>tumorcellcontent|percent_to_float) &gt;= 10 %}合格</w:t>
            </w:r>
            <w:r>
              <w:rPr>
                <w:rFonts w:hint="eastAsia" w:ascii="Times New Roman" w:hAnsi="Times New Roman" w:eastAsia="微软雅黑" w:cs="Times New Roman"/>
                <w:color w:val="262626"/>
                <w:kern w:val="2"/>
                <w:sz w:val="21"/>
                <w:szCs w:val="21"/>
                <w:lang w:val="en-US" w:eastAsia="zh-CN" w:bidi="ar-SA"/>
              </w:rPr>
              <w:t>{% elif hrd.</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718" w:type="pct"/>
            <w:tcBorders>
              <w:tl2br w:val="nil"/>
              <w:tr2bl w:val="nil"/>
            </w:tcBorders>
            <w:shd w:val="clear" w:color="auto" w:fill="DAEEF3"/>
            <w:vAlign w:val="center"/>
          </w:tcPr>
          <w:p w14:paraId="74E53650">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1718" w:type="pct"/>
            <w:tcBorders>
              <w:tl2br w:val="nil"/>
              <w:tr2bl w:val="nil"/>
            </w:tcBorders>
            <w:shd w:val="clear" w:color="auto" w:fill="DAEEF3"/>
            <w:vAlign w:val="center"/>
          </w:tcPr>
          <w:p w14:paraId="5DA1E09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718" w:type="pct"/>
            <w:tcBorders>
              <w:tl2br w:val="nil"/>
              <w:tr2bl w:val="nil"/>
            </w:tcBorders>
            <w:shd w:val="clear" w:color="auto" w:fill="DAEEF3"/>
            <w:vAlign w:val="center"/>
          </w:tcPr>
          <w:p w14:paraId="5E469434">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平均测序深度</w:t>
            </w:r>
          </w:p>
        </w:tc>
        <w:tc>
          <w:tcPr>
            <w:tcW w:w="1718" w:type="pct"/>
            <w:tcBorders>
              <w:tl2br w:val="nil"/>
              <w:tr2bl w:val="nil"/>
            </w:tcBorders>
            <w:shd w:val="clear" w:color="auto" w:fill="auto"/>
            <w:vAlign w:val="center"/>
          </w:tcPr>
          <w:p w14:paraId="603EC8B6">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color w:val="262626"/>
                <w:sz w:val="21"/>
                <w:lang w:eastAsia="zh-CN"/>
              </w:rPr>
              <w:t>覆盖均一性</w:t>
            </w:r>
          </w:p>
        </w:tc>
        <w:tc>
          <w:tcPr>
            <w:tcW w:w="1718" w:type="pct"/>
            <w:tcBorders>
              <w:tl2br w:val="nil"/>
              <w:tr2bl w:val="nil"/>
            </w:tcBorders>
            <w:shd w:val="clear" w:color="auto" w:fill="auto"/>
            <w:vAlign w:val="center"/>
          </w:tcPr>
          <w:p w14:paraId="32EDC9D1">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1718" w:type="pct"/>
            <w:tcBorders>
              <w:tl2br w:val="nil"/>
              <w:tr2bl w:val="nil"/>
            </w:tcBorders>
            <w:shd w:val="clear" w:color="auto" w:fill="auto"/>
            <w:vAlign w:val="center"/>
          </w:tcPr>
          <w:p w14:paraId="36348DC1">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1718" w:type="pct"/>
            <w:tcBorders>
              <w:tl2br w:val="nil"/>
              <w:tr2bl w:val="nil"/>
            </w:tcBorders>
            <w:shd w:val="clear" w:color="auto" w:fill="auto"/>
            <w:vAlign w:val="center"/>
          </w:tcPr>
          <w:p w14:paraId="6DFC6871">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hrd.</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262626"/>
                <w:sz w:val="21"/>
                <w:szCs w:val="21"/>
                <w:lang w:eastAsia="zh-CN"/>
              </w:rPr>
              <w:t>{%if hrd != undefined%}{{ hrd.sequencing_depth | oqa(200,150) }}{%endif%}</w:t>
            </w:r>
          </w:p>
        </w:tc>
      </w:tr>
    </w:tbl>
    <w:p w14:paraId="6A58CFE8">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lang w:eastAsia="zh-CN"/>
        </w:rPr>
      </w:pPr>
      <w:r>
        <w:rPr>
          <w:rFonts w:hint="default" w:ascii="Times New Roman" w:hAnsi="Times New Roman" w:eastAsia="微软雅黑" w:cs="Times New Roman"/>
          <w:b/>
          <w:bCs/>
          <w:color w:val="262626"/>
          <w:sz w:val="18"/>
          <w:lang w:eastAsia="zh-CN"/>
        </w:rPr>
        <w:t>注：</w:t>
      </w:r>
    </w:p>
    <w:p w14:paraId="1CC02909">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肿瘤细胞含量：送检样本经HE染色评估的肿瘤细胞含量。如送检样本不满足病理评估所需条件，则不进行此项评估。</w:t>
      </w:r>
    </w:p>
    <w:p w14:paraId="10A5D3D4">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DNA总量：送检样本的DNA提取总量。</w:t>
      </w:r>
    </w:p>
    <w:p w14:paraId="3A130D30">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DNA降解程度：</w:t>
      </w:r>
    </w:p>
    <w:p w14:paraId="38F696F2">
      <w:pPr>
        <w:pStyle w:val="7"/>
        <w:numPr>
          <w:ilvl w:val="0"/>
          <w:numId w:val="7"/>
        </w:numPr>
        <w:spacing w:line="270" w:lineRule="exact"/>
        <w:ind w:left="583" w:leftChars="150" w:hanging="283"/>
        <w:rPr>
          <w:rFonts w:ascii="Times New Roman" w:hAnsi="Times New Roman" w:eastAsia="微软雅黑" w:cs="Times New Roman"/>
          <w:bCs/>
          <w:color w:val="262626"/>
          <w:lang w:eastAsia="zh-CN"/>
        </w:rPr>
      </w:pPr>
      <w:r>
        <w:rPr>
          <w:rFonts w:ascii="Times New Roman" w:hAnsi="Times New Roman" w:eastAsia="微软雅黑" w:cs="Times New Roman"/>
          <w:bCs/>
          <w:color w:val="262626"/>
          <w:lang w:eastAsia="zh-CN"/>
        </w:rPr>
        <w:t>A级：有主带，或降解均匀且降解区域主要集中在5000bp以上</w:t>
      </w:r>
      <w:r>
        <w:rPr>
          <w:rFonts w:hint="eastAsia" w:ascii="Times New Roman" w:hAnsi="Times New Roman" w:eastAsia="微软雅黑" w:cs="Times New Roman"/>
          <w:bCs/>
          <w:color w:val="262626"/>
          <w:lang w:eastAsia="zh-CN"/>
        </w:rPr>
        <w:t>；</w:t>
      </w:r>
    </w:p>
    <w:p w14:paraId="783B44EF">
      <w:pPr>
        <w:pStyle w:val="7"/>
        <w:numPr>
          <w:ilvl w:val="0"/>
          <w:numId w:val="7"/>
        </w:numPr>
        <w:spacing w:line="270" w:lineRule="exact"/>
        <w:ind w:left="583" w:leftChars="150" w:hanging="283"/>
        <w:rPr>
          <w:rFonts w:ascii="Times New Roman" w:hAnsi="Times New Roman" w:eastAsia="微软雅黑" w:cs="Times New Roman"/>
          <w:bCs/>
          <w:color w:val="262626"/>
          <w:lang w:eastAsia="zh-CN"/>
        </w:rPr>
      </w:pPr>
      <w:r>
        <w:rPr>
          <w:rFonts w:ascii="Times New Roman" w:hAnsi="Times New Roman" w:eastAsia="微软雅黑" w:cs="Times New Roman"/>
          <w:bCs/>
          <w:color w:val="262626"/>
          <w:lang w:eastAsia="zh-CN"/>
        </w:rPr>
        <w:t>B级：无主带，降解均匀且降解区域主要集中在1500-5000bp之间</w:t>
      </w:r>
      <w:r>
        <w:rPr>
          <w:rFonts w:hint="eastAsia" w:ascii="Times New Roman" w:hAnsi="Times New Roman" w:eastAsia="微软雅黑" w:cs="Times New Roman"/>
          <w:bCs/>
          <w:color w:val="262626"/>
          <w:lang w:eastAsia="zh-CN"/>
        </w:rPr>
        <w:t>；</w:t>
      </w:r>
    </w:p>
    <w:p w14:paraId="5C60B4F2">
      <w:pPr>
        <w:pStyle w:val="7"/>
        <w:numPr>
          <w:ilvl w:val="0"/>
          <w:numId w:val="7"/>
        </w:numPr>
        <w:spacing w:line="270" w:lineRule="exact"/>
        <w:ind w:left="583" w:leftChars="150" w:hanging="283"/>
        <w:rPr>
          <w:rFonts w:ascii="Times New Roman" w:hAnsi="Times New Roman" w:eastAsia="微软雅黑" w:cs="Times New Roman"/>
          <w:bCs/>
          <w:color w:val="262626"/>
          <w:lang w:eastAsia="zh-CN"/>
        </w:rPr>
      </w:pPr>
      <w:r>
        <w:rPr>
          <w:rFonts w:ascii="Times New Roman" w:hAnsi="Times New Roman" w:eastAsia="微软雅黑" w:cs="Times New Roman"/>
          <w:bCs/>
          <w:color w:val="262626"/>
          <w:lang w:eastAsia="zh-CN"/>
        </w:rPr>
        <w:t>C级：无主带，降解均匀且降解区域主要集中在500-1500bp之间</w:t>
      </w:r>
      <w:r>
        <w:rPr>
          <w:rFonts w:hint="eastAsia" w:ascii="Times New Roman" w:hAnsi="Times New Roman" w:eastAsia="微软雅黑" w:cs="Times New Roman"/>
          <w:bCs/>
          <w:color w:val="262626"/>
          <w:lang w:eastAsia="zh-CN"/>
        </w:rPr>
        <w:t>；</w:t>
      </w:r>
    </w:p>
    <w:p w14:paraId="15DB7856">
      <w:pPr>
        <w:pStyle w:val="7"/>
        <w:numPr>
          <w:ilvl w:val="0"/>
          <w:numId w:val="7"/>
        </w:numPr>
        <w:spacing w:line="270" w:lineRule="exact"/>
        <w:ind w:left="583" w:leftChars="150" w:hanging="283"/>
        <w:rPr>
          <w:rFonts w:ascii="Times New Roman" w:hAnsi="Times New Roman" w:eastAsia="微软雅黑" w:cs="Times New Roman"/>
          <w:bCs/>
          <w:color w:val="262626"/>
          <w:lang w:eastAsia="zh-CN"/>
        </w:rPr>
      </w:pPr>
      <w:r>
        <w:rPr>
          <w:rFonts w:ascii="Times New Roman" w:hAnsi="Times New Roman" w:eastAsia="微软雅黑" w:cs="Times New Roman"/>
          <w:bCs/>
          <w:color w:val="262626"/>
          <w:spacing w:val="3"/>
          <w:lang w:eastAsia="zh-CN"/>
        </w:rPr>
        <w:t>D级</w:t>
      </w:r>
      <w:r>
        <w:rPr>
          <w:rFonts w:ascii="Times New Roman" w:hAnsi="Times New Roman" w:eastAsia="微软雅黑" w:cs="Times New Roman"/>
          <w:bCs/>
          <w:color w:val="262626"/>
          <w:lang w:eastAsia="zh-CN"/>
        </w:rPr>
        <w:t>（</w:t>
      </w:r>
      <w:r>
        <w:rPr>
          <w:rFonts w:ascii="Times New Roman" w:hAnsi="Times New Roman" w:eastAsia="微软雅黑" w:cs="Times New Roman"/>
          <w:bCs/>
          <w:color w:val="262626"/>
          <w:spacing w:val="1"/>
          <w:lang w:eastAsia="zh-CN"/>
        </w:rPr>
        <w:t>不合格</w:t>
      </w:r>
      <w:r>
        <w:rPr>
          <w:rFonts w:ascii="Times New Roman" w:hAnsi="Times New Roman" w:eastAsia="微软雅黑" w:cs="Times New Roman"/>
          <w:bCs/>
          <w:color w:val="262626"/>
          <w:spacing w:val="-90"/>
          <w:lang w:eastAsia="zh-CN"/>
        </w:rPr>
        <w:t>）</w:t>
      </w:r>
      <w:r>
        <w:rPr>
          <w:rFonts w:ascii="Times New Roman" w:hAnsi="Times New Roman" w:eastAsia="微软雅黑" w:cs="Times New Roman"/>
          <w:bCs/>
          <w:color w:val="262626"/>
          <w:lang w:eastAsia="zh-CN"/>
        </w:rPr>
        <w:t>）：无主带，降解均匀且降解区域主要集中在500-1500bp</w:t>
      </w:r>
      <w:r>
        <w:rPr>
          <w:rFonts w:ascii="Times New Roman" w:hAnsi="Times New Roman" w:eastAsia="微软雅黑" w:cs="Times New Roman"/>
          <w:bCs/>
          <w:color w:val="262626"/>
          <w:spacing w:val="-1"/>
          <w:lang w:eastAsia="zh-CN"/>
        </w:rPr>
        <w:t>之间，但总量介于</w:t>
      </w:r>
      <w:r>
        <w:rPr>
          <w:rFonts w:ascii="Times New Roman" w:hAnsi="Times New Roman" w:eastAsia="微软雅黑" w:cs="Times New Roman"/>
          <w:bCs/>
          <w:color w:val="262626"/>
          <w:lang w:eastAsia="zh-CN"/>
        </w:rPr>
        <w:t>100ng</w:t>
      </w:r>
      <w:r>
        <w:rPr>
          <w:rFonts w:ascii="Times New Roman" w:hAnsi="Times New Roman" w:eastAsia="微软雅黑" w:cs="Times New Roman"/>
          <w:bCs/>
          <w:color w:val="262626"/>
          <w:spacing w:val="-3"/>
          <w:lang w:eastAsia="zh-CN"/>
        </w:rPr>
        <w:t>到</w:t>
      </w:r>
      <w:r>
        <w:rPr>
          <w:rFonts w:ascii="Times New Roman" w:hAnsi="Times New Roman" w:eastAsia="微软雅黑" w:cs="Times New Roman"/>
          <w:bCs/>
          <w:color w:val="262626"/>
          <w:lang w:eastAsia="zh-CN"/>
        </w:rPr>
        <w:t>300ng之间；或降解区</w:t>
      </w:r>
      <w:r>
        <w:rPr>
          <w:rFonts w:ascii="Times New Roman" w:hAnsi="Times New Roman" w:eastAsia="微软雅黑" w:cs="Times New Roman"/>
          <w:bCs/>
          <w:color w:val="262626"/>
          <w:spacing w:val="-2"/>
          <w:lang w:eastAsia="zh-CN"/>
        </w:rPr>
        <w:t>域弥散在</w:t>
      </w:r>
      <w:r>
        <w:rPr>
          <w:rFonts w:ascii="Times New Roman" w:hAnsi="Times New Roman" w:eastAsia="微软雅黑" w:cs="Times New Roman"/>
          <w:bCs/>
          <w:color w:val="262626"/>
          <w:lang w:eastAsia="zh-CN"/>
        </w:rPr>
        <w:t>150-1000bp</w:t>
      </w:r>
      <w:r>
        <w:rPr>
          <w:rFonts w:ascii="Times New Roman" w:hAnsi="Times New Roman" w:eastAsia="微软雅黑" w:cs="Times New Roman"/>
          <w:bCs/>
          <w:color w:val="262626"/>
          <w:spacing w:val="-2"/>
          <w:lang w:eastAsia="zh-CN"/>
        </w:rPr>
        <w:t>，或集中在</w:t>
      </w:r>
      <w:r>
        <w:rPr>
          <w:rFonts w:ascii="Times New Roman" w:hAnsi="Times New Roman" w:eastAsia="微软雅黑" w:cs="Times New Roman"/>
          <w:bCs/>
          <w:color w:val="262626"/>
          <w:lang w:eastAsia="zh-CN"/>
        </w:rPr>
        <w:t>500bp以下。</w:t>
      </w:r>
    </w:p>
    <w:p w14:paraId="7FBD175B">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预文库总量：核酸片段经过接头连接和扩增纯化后中间产物的总量。</w:t>
      </w:r>
    </w:p>
    <w:p w14:paraId="3B823ABE">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平均测序深度：目标区域每个碱基被测到的平均次数。</w:t>
      </w:r>
    </w:p>
    <w:p w14:paraId="4133E4A5">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覆盖均一性：测序深度达到平均测序深度20%的碱基占比。</w:t>
      </w:r>
    </w:p>
    <w:p w14:paraId="0B34B8A5">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基因组比对率：比对到参考基因组上的reads数目占比。</w:t>
      </w:r>
    </w:p>
    <w:p w14:paraId="71C77946">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碱基质量Q30占比：测序数据中碱基质量在Q30以上（即碱基识别错误率在千分之一以下）的占比。</w:t>
      </w:r>
    </w:p>
    <w:p w14:paraId="7A78C8E2">
      <w:pPr>
        <w:pStyle w:val="66"/>
        <w:numPr>
          <w:ilvl w:val="0"/>
          <w:numId w:val="6"/>
        </w:numPr>
        <w:autoSpaceDE w:val="0"/>
        <w:autoSpaceDN w:val="0"/>
        <w:ind w:firstLineChars="0"/>
        <w:rPr>
          <w:rFonts w:hint="eastAsia" w:ascii="Times New Roman" w:hAnsi="Times New Roman" w:eastAsia="微软雅黑"/>
          <w:color w:val="262626"/>
          <w:sz w:val="18"/>
          <w:szCs w:val="18"/>
          <w:lang w:eastAsia="zh-CN"/>
        </w:rPr>
      </w:pPr>
      <w:r>
        <w:rPr>
          <w:rFonts w:hint="eastAsia" w:ascii="Times New Roman" w:hAnsi="Times New Roman" w:eastAsia="微软雅黑"/>
          <w:color w:val="262626"/>
          <w:sz w:val="18"/>
          <w:szCs w:val="18"/>
          <w:lang w:eastAsia="zh-CN"/>
        </w:rPr>
        <w:t>总体质量评估：根据DNA平均测序深度进行评估，分为“合格”、“警戒”、“不合格”三个等级。总体质量评估为“警戒”或者“不合格”时，均会影响检测的准确性和敏感性。</w:t>
      </w:r>
    </w:p>
    <w:p w14:paraId="2B4437A8">
      <w:pPr>
        <w:rPr>
          <w:color w:val="262626"/>
          <w:sz w:val="21"/>
          <w:szCs w:val="21"/>
        </w:rPr>
      </w:pPr>
      <w:r>
        <w:rPr>
          <w:color w:val="262626"/>
        </w:rPr>
        <w:br w:type="page"/>
      </w:r>
    </w:p>
    <w:p w14:paraId="6624CDBD">
      <w:pPr>
        <w:pStyle w:val="3"/>
        <w:numPr>
          <w:ilvl w:val="0"/>
          <w:numId w:val="5"/>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5"/>
        </w:numPr>
        <w:spacing w:before="156" w:after="156"/>
        <w:ind w:left="425" w:leftChars="0" w:hanging="425" w:firstLineChars="0"/>
        <w:rPr>
          <w:rFonts w:hint="eastAsia"/>
        </w:rPr>
      </w:pPr>
      <w:r>
        <w:rPr>
          <w:rFonts w:hint="eastAsia"/>
        </w:rPr>
        <w:t>同源重组缺陷（HRD）</w:t>
      </w:r>
      <w:r>
        <w:rPr>
          <w:rFonts w:hint="eastAsia"/>
          <w:lang w:val="en-US" w:eastAsia="zh-CN"/>
        </w:rPr>
        <w:t>介绍</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0366505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AE0BAAB">
      <w:pPr>
        <w:pStyle w:val="3"/>
        <w:numPr>
          <w:ilvl w:val="0"/>
          <w:numId w:val="5"/>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8"/>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10" w:name="_Toc23705"/>
      <w:bookmarkStart w:id="11" w:name="_Toc15830"/>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10"/>
      <w:bookmarkEnd w:id="11"/>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12" w:name="_Toc5400"/>
      <w:bookmarkStart w:id="13" w:name="_Toc3846"/>
      <w:bookmarkStart w:id="14" w:name="_Toc32060"/>
      <w:bookmarkStart w:id="15" w:name="_Toc331"/>
      <w:r>
        <w:rPr>
          <w:rFonts w:ascii="Times New Roman" w:hAnsi="Times New Roman" w:eastAsia="微软雅黑" w:cs="Times New Roman"/>
          <w:lang w:eastAsia="zh-CN"/>
        </w:rPr>
        <w:t>1 40岁以上，同时伴有≥1项下述者</w:t>
      </w:r>
      <w:bookmarkEnd w:id="12"/>
      <w:bookmarkEnd w:id="13"/>
      <w:bookmarkEnd w:id="14"/>
      <w:bookmarkEnd w:id="15"/>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16" w:name="_Toc126"/>
      <w:bookmarkStart w:id="17" w:name="_Toc10299"/>
      <w:bookmarkStart w:id="18" w:name="_Toc5423"/>
      <w:bookmarkStart w:id="19" w:name="_Toc22196"/>
      <w:r>
        <w:rPr>
          <w:rFonts w:ascii="Times New Roman" w:hAnsi="Times New Roman" w:eastAsia="微软雅黑" w:cs="Times New Roman"/>
          <w:lang w:eastAsia="zh-CN"/>
        </w:rPr>
        <w:t>2 有胰腺癌家族史、糖尿病史</w:t>
      </w:r>
      <w:bookmarkEnd w:id="16"/>
      <w:bookmarkEnd w:id="17"/>
      <w:bookmarkEnd w:id="18"/>
      <w:bookmarkEnd w:id="19"/>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AA314B1">
      <w:pPr>
        <w:pStyle w:val="3"/>
        <w:numPr>
          <w:ilvl w:val="0"/>
          <w:numId w:val="5"/>
        </w:numPr>
        <w:spacing w:before="156" w:after="156"/>
        <w:ind w:left="425" w:leftChars="0" w:hanging="425" w:firstLineChars="0"/>
        <w:rPr>
          <w:color w:val="31849B"/>
          <w:sz w:val="24"/>
          <w:szCs w:val="24"/>
          <w:highlight w:val="none"/>
          <w:lang w:eastAsia="zh-CN"/>
        </w:rPr>
      </w:pPr>
      <w:bookmarkStart w:id="20" w:name="_Toc18978"/>
      <w:r>
        <w:rPr>
          <w:rFonts w:hint="eastAsia"/>
          <w:color w:val="31849B"/>
          <w:sz w:val="24"/>
          <w:szCs w:val="24"/>
          <w:highlight w:val="none"/>
          <w:lang w:eastAsia="zh-CN"/>
        </w:rPr>
        <w:t>检测方法与局限性</w:t>
      </w:r>
      <w:bookmarkEnd w:id="20"/>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5"/>
        </w:numPr>
        <w:spacing w:before="156" w:after="156"/>
        <w:ind w:left="425" w:leftChars="0" w:hanging="425" w:firstLineChars="0"/>
        <w:rPr>
          <w:rFonts w:hint="eastAsia"/>
        </w:rPr>
      </w:pPr>
      <w:r>
        <w:rPr>
          <w:rFonts w:hint="eastAsia"/>
        </w:rPr>
        <w:t>参考文献</w:t>
      </w:r>
    </w:p>
    <w:p w14:paraId="06B5B8BE">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Elit L, Hirte H. Palliative systemic therapy for women with recurrent epithelial ovarian cancer: current options[J]. OncoTargets and therapy, 2013, 6: 107. [PMID: 23459506]</w:t>
      </w:r>
    </w:p>
    <w:p w14:paraId="0DCA8B86">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Suh D H, Lee K H, Kim K, et al. Major clinical research advances in gynecologic cancer in 2014[J]. Journal of gynecologic oncology, 2015, 26(2): 156-167. [PMID: 25872896]</w:t>
      </w:r>
    </w:p>
    <w:p w14:paraId="30970208">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Arnold Lee. Fuzuloparib: First Approval[J]. Drugs. 2021, 81(10):1221-1226. [PMID: 34118019]</w:t>
      </w:r>
    </w:p>
    <w:p w14:paraId="6B0CBABE">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fldChar w:fldCharType="begin"/>
      </w:r>
      <w:r>
        <w:rPr>
          <w:rFonts w:hint="eastAsia" w:ascii="Times New Roman" w:hAnsi="Times New Roman" w:eastAsia="微软雅黑" w:cs="Times New Roman"/>
          <w:color w:val="262626"/>
          <w:sz w:val="15"/>
          <w:szCs w:val="15"/>
          <w:shd w:val="clear" w:color="auto" w:fill="FFFFFF"/>
          <w:lang w:eastAsia="zh-CN"/>
        </w:rPr>
        <w:instrText xml:space="preserve"> HYPERLINK "https://pubmed.ncbi.nlm.nih.gov/?sort=date&amp;term=Markham+A&amp;cauthor_id=34287805" </w:instrText>
      </w:r>
      <w:r>
        <w:rPr>
          <w:rFonts w:hint="eastAsia" w:ascii="Times New Roman" w:hAnsi="Times New Roman" w:eastAsia="微软雅黑" w:cs="Times New Roman"/>
          <w:color w:val="262626"/>
          <w:sz w:val="15"/>
          <w:szCs w:val="15"/>
          <w:shd w:val="clear" w:color="auto" w:fill="FFFFFF"/>
          <w:lang w:eastAsia="zh-CN"/>
        </w:rPr>
        <w:fldChar w:fldCharType="separate"/>
      </w:r>
      <w:r>
        <w:rPr>
          <w:rFonts w:hint="eastAsia" w:ascii="Times New Roman" w:hAnsi="Times New Roman" w:eastAsia="微软雅黑" w:cs="Times New Roman"/>
          <w:color w:val="262626"/>
          <w:sz w:val="15"/>
          <w:szCs w:val="15"/>
          <w:shd w:val="clear" w:color="auto" w:fill="FFFFFF"/>
          <w:lang w:eastAsia="zh-CN"/>
        </w:rPr>
        <w:t>Anthony Markham</w:t>
      </w:r>
      <w:r>
        <w:rPr>
          <w:rFonts w:hint="eastAsia" w:ascii="Times New Roman" w:hAnsi="Times New Roman" w:eastAsia="微软雅黑" w:cs="Times New Roman"/>
          <w:color w:val="262626"/>
          <w:sz w:val="15"/>
          <w:szCs w:val="15"/>
          <w:shd w:val="clear" w:color="auto" w:fill="FFFFFF"/>
          <w:lang w:eastAsia="zh-CN"/>
        </w:rPr>
        <w:fldChar w:fldCharType="end"/>
      </w:r>
      <w:r>
        <w:rPr>
          <w:rFonts w:hint="eastAsia" w:ascii="Times New Roman" w:hAnsi="Times New Roman" w:eastAsia="微软雅黑" w:cs="Times New Roman"/>
          <w:color w:val="262626"/>
          <w:sz w:val="15"/>
          <w:szCs w:val="15"/>
          <w:shd w:val="clear" w:color="auto" w:fill="FFFFFF"/>
          <w:lang w:eastAsia="zh-CN"/>
        </w:rPr>
        <w:t>. Pamiparib: First Approval[J]. Drugs. 2021. [PMID: 34287805]Muthiah Bose, Juliane Sachsenweger, Niina Laurila, et al. BRCA1 mislocalization leads to aberrant DNA damage response in heterozygous ABRAXAS1 mutation carrier cells[J]. Hum Mol Genet, 2019,28(24):4148-4160. [PMID: 31630195]</w:t>
      </w:r>
    </w:p>
    <w:p w14:paraId="608F5CF3">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Zdenek Kleibl, Vessela N Kristensen. Women at High Risk of Breast Cancer: Molecular Characteristics, Clinical Presentation and Management[J]. Breast, 2016, 28:136-44. [PMID: 27318168]</w:t>
      </w:r>
    </w:p>
    <w:p w14:paraId="5E3F0A4E">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Clare Turnbull, Sarah Hines, Anthony Renwick. Mutation and Association Analysis of GEN1 in Breast Cancer Susceptibility[J], Breast Cancer Res Treat, 2010, 124(1):283-8. [PMID: 20512659]</w:t>
      </w:r>
    </w:p>
    <w:p w14:paraId="1D4293D7">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Jackson, S.P. and J. Bartek, The DNA-damage response in human biology and disease. Nature, 2009. 461(7267): 1071-8. [PMID:19847258]</w:t>
      </w:r>
    </w:p>
    <w:p w14:paraId="7BCCC670">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Cancer Genome Atlas, N., Comprehensive molecular portraits of human breast tumours. Nature, 2012. 490(7418): 61-70. [PMID:23000897]</w:t>
      </w:r>
    </w:p>
    <w:p w14:paraId="18614004">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Nik-Zainal, S., et al., Landscape of somatic mutations in 560 breast cancer whole-genome sequences. Nature, 2016. 534(7605): 47-54. [PMID:27135926]</w:t>
      </w:r>
    </w:p>
    <w:p w14:paraId="4F65D004">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Vargas-Rondon, N., V.E. Villegas, and M. Rondon-Lagos, The Role of Chromosomal Instability in Cancer and Therapeutic Responses. Cancers (Basel), 2017. 10(1). [PMID:29283387]</w:t>
      </w:r>
    </w:p>
    <w:p w14:paraId="11DD8900">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Lord, C.J. and A. Ashworth, PARP inhibitors: Synthetic lethality in the clinic. Science, 2017. 355(6330): 1152-1158. [PMID:28302823]</w:t>
      </w:r>
    </w:p>
    <w:p w14:paraId="2FA1FAA1">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Fischer, K.E. and N.C. Riddle, Sex Differences in Aging: Genomic Instability. J Gerontol A Biol Sci Med Sci, 2018. 73(2): 166-174. [PMID:28575157]</w:t>
      </w:r>
    </w:p>
    <w:p w14:paraId="5AD18A10">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Ray-Coquard, I., et al., Olaparib plus Bevacizumab as First-Line Maintenance in Ovarian Cancer. N Engl J Med, 2019. 381(25): 2416-2428. [PMID:31851799]</w:t>
      </w:r>
    </w:p>
    <w:p w14:paraId="5964D219">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Gonzalez-Martin, A., et al., Niraparib in Patients with Newly Diagnosed Advanced Ovarian Cancer. N Engl J Med, 2019. 381(25): 2391-2402. [PMID:31562799]</w:t>
      </w:r>
    </w:p>
    <w:p w14:paraId="5CEDB60E">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Gradishar, W.J., et al., Breast Cancer, Version 3.202</w:t>
      </w:r>
      <w:r>
        <w:rPr>
          <w:rFonts w:hint="eastAsia" w:ascii="Times New Roman" w:hAnsi="Times New Roman" w:eastAsia="微软雅黑" w:cs="Times New Roman"/>
          <w:color w:val="262626"/>
          <w:sz w:val="15"/>
          <w:szCs w:val="15"/>
          <w:shd w:val="clear" w:color="auto" w:fill="FFFFFF"/>
          <w:lang w:val="en-US" w:eastAsia="zh-CN"/>
        </w:rPr>
        <w:t>0</w:t>
      </w:r>
      <w:r>
        <w:rPr>
          <w:rFonts w:hint="eastAsia" w:ascii="Times New Roman" w:hAnsi="Times New Roman" w:eastAsia="微软雅黑" w:cs="Times New Roman"/>
          <w:color w:val="262626"/>
          <w:sz w:val="15"/>
          <w:szCs w:val="15"/>
          <w:shd w:val="clear" w:color="auto" w:fill="FFFFFF"/>
          <w:lang w:eastAsia="zh-CN"/>
        </w:rPr>
        <w:t>, NCCN Clinical Practice Guidelines in Oncology. J Natl Compr Canc Netw, 2020. 18(4): 452-478. [PMID: 32259783]</w:t>
      </w:r>
    </w:p>
    <w:p w14:paraId="38C660B9">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Berek, J.S., et al., Cancer of the ovary, fallopian tube, and peritoneum: 2021 update. Int J Gynaecol Obstet, 2021. 155 Suppl 1: 61-85. [PMID: 30306591]</w:t>
      </w:r>
    </w:p>
    <w:p w14:paraId="73982931">
      <w:pPr>
        <w:keepNext w:val="0"/>
        <w:keepLines w:val="0"/>
        <w:pageBreakBefore w:val="0"/>
        <w:widowControl/>
        <w:numPr>
          <w:ilvl w:val="0"/>
          <w:numId w:val="9"/>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hint="eastAsia" w:ascii="Times New Roman" w:hAnsi="Times New Roman" w:eastAsia="微软雅黑" w:cs="Times New Roman"/>
          <w:color w:val="262626"/>
          <w:sz w:val="15"/>
          <w:szCs w:val="15"/>
          <w:shd w:val="clear" w:color="auto" w:fill="FFFFFF"/>
          <w:lang w:eastAsia="zh-CN"/>
        </w:rPr>
      </w:pPr>
      <w:r>
        <w:rPr>
          <w:rFonts w:hint="eastAsia" w:ascii="Times New Roman" w:hAnsi="Times New Roman" w:eastAsia="微软雅黑" w:cs="Times New Roman"/>
          <w:color w:val="262626"/>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2022A96D">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5"/>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3"/>
  </w:num>
  <w:num w:numId="2">
    <w:abstractNumId w:val="1"/>
  </w:num>
  <w:num w:numId="3">
    <w:abstractNumId w:val="6"/>
  </w:num>
  <w:num w:numId="4">
    <w:abstractNumId w:val="5"/>
  </w:num>
  <w:num w:numId="5">
    <w:abstractNumId w:val="2"/>
  </w:num>
  <w:num w:numId="6">
    <w:abstractNumId w:val="4"/>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9F20D2F"/>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32B5EBA"/>
    <w:rsid w:val="133533A0"/>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765D2B"/>
    <w:rsid w:val="18D00E88"/>
    <w:rsid w:val="18FB3186"/>
    <w:rsid w:val="1ABD39A5"/>
    <w:rsid w:val="1BD46564"/>
    <w:rsid w:val="1BED74F3"/>
    <w:rsid w:val="1C00080C"/>
    <w:rsid w:val="1C856F63"/>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439D1"/>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42EE7"/>
    <w:rsid w:val="2D850759"/>
    <w:rsid w:val="2DDB22FD"/>
    <w:rsid w:val="2E342143"/>
    <w:rsid w:val="2E9574DA"/>
    <w:rsid w:val="2F0E1BCD"/>
    <w:rsid w:val="2F256978"/>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2FA49E9"/>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6D4078"/>
    <w:rsid w:val="3971469F"/>
    <w:rsid w:val="3A914FF9"/>
    <w:rsid w:val="3A992D24"/>
    <w:rsid w:val="3AAC2335"/>
    <w:rsid w:val="3ACC06CC"/>
    <w:rsid w:val="3B3E385A"/>
    <w:rsid w:val="3B616481"/>
    <w:rsid w:val="3B802E42"/>
    <w:rsid w:val="3BE51D20"/>
    <w:rsid w:val="3C397B76"/>
    <w:rsid w:val="3C954A8C"/>
    <w:rsid w:val="3CCF6D49"/>
    <w:rsid w:val="3D7006EC"/>
    <w:rsid w:val="3D946D56"/>
    <w:rsid w:val="3DAE1A1E"/>
    <w:rsid w:val="3DCB0599"/>
    <w:rsid w:val="3E083824"/>
    <w:rsid w:val="3E201D96"/>
    <w:rsid w:val="3E3B313C"/>
    <w:rsid w:val="3EEE5EE0"/>
    <w:rsid w:val="3FD0746F"/>
    <w:rsid w:val="3FD958AF"/>
    <w:rsid w:val="410858E9"/>
    <w:rsid w:val="41384DDD"/>
    <w:rsid w:val="41921EB7"/>
    <w:rsid w:val="41C2018E"/>
    <w:rsid w:val="41EC6B66"/>
    <w:rsid w:val="41EF3869"/>
    <w:rsid w:val="42474B1D"/>
    <w:rsid w:val="424B3CDF"/>
    <w:rsid w:val="42962C4F"/>
    <w:rsid w:val="42CD2DB2"/>
    <w:rsid w:val="43AC7175"/>
    <w:rsid w:val="43E96868"/>
    <w:rsid w:val="443E4E5B"/>
    <w:rsid w:val="448718D0"/>
    <w:rsid w:val="44AE67A8"/>
    <w:rsid w:val="453C3DB3"/>
    <w:rsid w:val="46250724"/>
    <w:rsid w:val="46C25697"/>
    <w:rsid w:val="47061E9E"/>
    <w:rsid w:val="47680F28"/>
    <w:rsid w:val="47B75973"/>
    <w:rsid w:val="47BC7221"/>
    <w:rsid w:val="47E210AF"/>
    <w:rsid w:val="48004A62"/>
    <w:rsid w:val="483830D0"/>
    <w:rsid w:val="488A1FCF"/>
    <w:rsid w:val="48A577C5"/>
    <w:rsid w:val="493F4F1F"/>
    <w:rsid w:val="495963C1"/>
    <w:rsid w:val="495C2C76"/>
    <w:rsid w:val="4A384869"/>
    <w:rsid w:val="4A653DAC"/>
    <w:rsid w:val="4ACF647F"/>
    <w:rsid w:val="4AD1533A"/>
    <w:rsid w:val="4AD8375B"/>
    <w:rsid w:val="4B2C615A"/>
    <w:rsid w:val="4B7342A7"/>
    <w:rsid w:val="4C5058C9"/>
    <w:rsid w:val="4C8D5553"/>
    <w:rsid w:val="4CF24597"/>
    <w:rsid w:val="4D023B34"/>
    <w:rsid w:val="4EA970ED"/>
    <w:rsid w:val="4EBE3A8B"/>
    <w:rsid w:val="4F1704D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A72F73"/>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A31132"/>
    <w:rsid w:val="5AD57EED"/>
    <w:rsid w:val="5ADA1C4D"/>
    <w:rsid w:val="5C0C0D58"/>
    <w:rsid w:val="5C2A240A"/>
    <w:rsid w:val="5C4001D5"/>
    <w:rsid w:val="5C9F2D5E"/>
    <w:rsid w:val="5CCC18B7"/>
    <w:rsid w:val="5D403159"/>
    <w:rsid w:val="5D461E6D"/>
    <w:rsid w:val="5D656E41"/>
    <w:rsid w:val="5D7A42CF"/>
    <w:rsid w:val="5DCB3F53"/>
    <w:rsid w:val="5DE973E1"/>
    <w:rsid w:val="5ED66BCF"/>
    <w:rsid w:val="5EEF12AC"/>
    <w:rsid w:val="5F5079A7"/>
    <w:rsid w:val="5F69359F"/>
    <w:rsid w:val="605C728F"/>
    <w:rsid w:val="605F6E50"/>
    <w:rsid w:val="609E18C5"/>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7B5FF7"/>
    <w:rsid w:val="688D525E"/>
    <w:rsid w:val="68DB533D"/>
    <w:rsid w:val="695A2A86"/>
    <w:rsid w:val="69CE790A"/>
    <w:rsid w:val="69D65CD5"/>
    <w:rsid w:val="69DA0BD2"/>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111518"/>
    <w:rsid w:val="788947D3"/>
    <w:rsid w:val="78BE4504"/>
    <w:rsid w:val="79264FF8"/>
    <w:rsid w:val="793020E7"/>
    <w:rsid w:val="798259F2"/>
    <w:rsid w:val="798F63DB"/>
    <w:rsid w:val="79F24D77"/>
    <w:rsid w:val="7AAB2A8E"/>
    <w:rsid w:val="7ADB3377"/>
    <w:rsid w:val="7AE5221C"/>
    <w:rsid w:val="7AEF2DA3"/>
    <w:rsid w:val="7B09319D"/>
    <w:rsid w:val="7B1C44EF"/>
    <w:rsid w:val="7B3D3D0F"/>
    <w:rsid w:val="7B546B24"/>
    <w:rsid w:val="7B73126E"/>
    <w:rsid w:val="7BDE7397"/>
    <w:rsid w:val="7CEA36A3"/>
    <w:rsid w:val="7D347480"/>
    <w:rsid w:val="7DA13068"/>
    <w:rsid w:val="7DB069FE"/>
    <w:rsid w:val="7E7A7D59"/>
    <w:rsid w:val="7E921DED"/>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6.xml"/><Relationship Id="rId21" Type="http://schemas.openxmlformats.org/officeDocument/2006/relationships/customXml" Target="../customXml/item5.xml"/><Relationship Id="rId20" Type="http://schemas.openxmlformats.org/officeDocument/2006/relationships/customXml" Target="../customXml/item4.xml"/><Relationship Id="rId2" Type="http://schemas.openxmlformats.org/officeDocument/2006/relationships/settings" Target="settings.xml"/><Relationship Id="rId19" Type="http://schemas.openxmlformats.org/officeDocument/2006/relationships/customXml" Target="../customXml/item3.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4909</Words>
  <Characters>9138</Characters>
  <Lines>502</Lines>
  <Paragraphs>141</Paragraphs>
  <TotalTime>0</TotalTime>
  <ScaleCrop>false</ScaleCrop>
  <LinksUpToDate>false</LinksUpToDate>
  <CharactersWithSpaces>9682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2025-11-07T01:58:25Z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