
<file path=[Content_Types].xml><?xml version="1.0" encoding="utf-8"?>
<Types xmlns="http://schemas.openxmlformats.org/package/2006/content-types">
  <Default Extension="xml" ContentType="application/xml"/>
  <Default Extension="emf" ContentType="image/x-emf"/>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bookmarkStart w:id="0" w:name="_Toc9856"/>
    </w:p>
    <w:p>
      <w:pPr>
        <w:pStyle w:val="4"/>
        <w:jc w:val="center"/>
        <w:rPr>
          <w:sz w:val="48"/>
          <w:szCs w:val="48"/>
          <w:lang w:eastAsia="zh-CN"/>
        </w:rPr>
      </w:pPr>
      <w:bookmarkStart w:id="1" w:name="_Toc27538"/>
      <w:r>
        <w:rPr>
          <w:rFonts w:hint="eastAsia"/>
          <w:sz w:val="48"/>
          <w:szCs w:val="48"/>
          <w:lang w:eastAsia="zh-CN"/>
        </w:rPr>
        <w:t>结直肠癌</w:t>
      </w:r>
      <w:r>
        <w:rPr>
          <w:rFonts w:hint="eastAsia"/>
          <w:sz w:val="48"/>
          <w:szCs w:val="48"/>
          <w:lang w:val="en-US" w:eastAsia="zh-CN"/>
        </w:rPr>
        <w:t>11</w:t>
      </w:r>
      <w:r>
        <w:rPr>
          <w:rFonts w:hint="eastAsia"/>
          <w:sz w:val="48"/>
          <w:szCs w:val="48"/>
          <w:lang w:eastAsia="zh-CN"/>
        </w:rPr>
        <w:t>基因检测报告</w:t>
      </w:r>
      <w:bookmarkEnd w:id="0"/>
      <w:bookmarkEnd w:id="1"/>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Times New Roman" w:hAnsi="Times New Roman" w:eastAsia="微软雅黑" w:cs="Times New Roman"/>
          <w:sz w:val="30"/>
          <w:szCs w:val="30"/>
          <w:lang w:eastAsia="zh-CN"/>
        </w:rPr>
      </w:pPr>
    </w:p>
    <w:tbl>
      <w:tblPr>
        <w:tblStyle w:val="14"/>
        <w:tblpPr w:leftFromText="180" w:rightFromText="180" w:vertAnchor="text" w:horzAnchor="page" w:tblpX="2542" w:tblpY="537"/>
        <w:tblOverlap w:val="never"/>
        <w:tblW w:w="65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reportdate }}</w:t>
            </w:r>
          </w:p>
        </w:tc>
      </w:tr>
    </w:tbl>
    <w:p>
      <w:pPr>
        <w:tabs>
          <w:tab w:val="left" w:pos="6082"/>
          <w:tab w:val="left" w:pos="6324"/>
          <w:tab w:val="left" w:pos="9183"/>
        </w:tabs>
        <w:spacing w:before="411" w:line="308" w:lineRule="auto"/>
        <w:ind w:right="2699"/>
        <w:jc w:val="both"/>
        <w:rPr>
          <w:sz w:val="30"/>
          <w:u w:val="single"/>
          <w:lang w:eastAsia="zh-CN"/>
        </w:rPr>
        <w:sectPr>
          <w:pgSz w:w="11910" w:h="16840"/>
          <w:pgMar w:top="1580" w:right="0" w:bottom="280" w:left="20" w:header="720" w:footer="720" w:gutter="0"/>
          <w:pgNumType w:start="1"/>
          <w:cols w:space="720" w:num="1"/>
        </w:sectPr>
      </w:pPr>
    </w:p>
    <w:p>
      <w:pPr>
        <w:rPr>
          <w:rFonts w:ascii="Times New Roman" w:hAnsi="Times New Roman" w:eastAsia="微软雅黑" w:cs="Times New Roman"/>
          <w:lang w:eastAsia="zh-CN"/>
        </w:rPr>
      </w:pPr>
      <w:r>
        <w:rPr>
          <w:rFonts w:ascii="Times New Roman" w:hAnsi="Times New Roman" w:eastAsia="微软雅黑" w:cs="Times New Roman"/>
          <w:lang w:eastAsia="zh-CN"/>
        </w:rPr>
        <mc:AlternateContent>
          <mc:Choice Requires="wps">
            <w:drawing>
              <wp:anchor distT="0" distB="0" distL="114300" distR="114300" simplePos="0" relativeHeight="251670528" behindDoc="0" locked="0" layoutInCell="1" allowOverlap="1">
                <wp:simplePos x="0" y="0"/>
                <wp:positionH relativeFrom="column">
                  <wp:posOffset>-790575</wp:posOffset>
                </wp:positionH>
                <wp:positionV relativeFrom="paragraph">
                  <wp:posOffset>67945</wp:posOffset>
                </wp:positionV>
                <wp:extent cx="2209800" cy="485775"/>
                <wp:effectExtent l="0" t="0" r="0" b="9525"/>
                <wp:wrapNone/>
                <wp:docPr id="24" name="Rectangle 7"/>
                <wp:cNvGraphicFramePr/>
                <a:graphic xmlns:a="http://schemas.openxmlformats.org/drawingml/2006/main">
                  <a:graphicData uri="http://schemas.microsoft.com/office/word/2010/wordprocessingShape">
                    <wps:wsp>
                      <wps:cNvSpPr>
                        <a:spLocks noChangeArrowheads="1"/>
                      </wps:cNvSpPr>
                      <wps:spPr bwMode="auto">
                        <a:xfrm>
                          <a:off x="0" y="0"/>
                          <a:ext cx="2209800" cy="485775"/>
                        </a:xfrm>
                        <a:prstGeom prst="rect">
                          <a:avLst/>
                        </a:prstGeom>
                        <a:solidFill>
                          <a:srgbClr val="E7E6E6"/>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62.25pt;margin-top:5.35pt;height:38.25pt;width:174pt;z-index:251670528;mso-width-relative:page;mso-height-relative:page;" fillcolor="#E7E6E6" filled="t" stroked="f" coordsize="21600,21600" o:gfxdata="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Z35U9kAAAAK&#10;AQAADwAAAAAAAAABACAAAAAiAAAAZHJzL2Rvd25yZXYueG1sUEsBAhQAFAAAAAgAh07iQACRnQob&#10;AgAANQQAAA4AAAAAAAAAAQAgAAAAKAEAAGRycy9lMm9Eb2MueG1sUEsFBgAAAAAGAAYAWQEAALUF&#10;AAAA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2576" behindDoc="0" locked="0" layoutInCell="1" allowOverlap="1">
                <wp:simplePos x="0" y="0"/>
                <wp:positionH relativeFrom="column">
                  <wp:posOffset>-170815</wp:posOffset>
                </wp:positionH>
                <wp:positionV relativeFrom="paragraph">
                  <wp:posOffset>83185</wp:posOffset>
                </wp:positionV>
                <wp:extent cx="1543685" cy="649605"/>
                <wp:effectExtent l="0" t="0" r="0" b="0"/>
                <wp:wrapNone/>
                <wp:docPr id="21" name="Text Box 5"/>
                <wp:cNvGraphicFramePr/>
                <a:graphic xmlns:a="http://schemas.openxmlformats.org/drawingml/2006/main">
                  <a:graphicData uri="http://schemas.microsoft.com/office/word/2010/wordprocessingShape">
                    <wps:wsp>
                      <wps:cNvSpPr txBox="1">
                        <a:spLocks noChangeArrowheads="1"/>
                      </wps:cNvSpPr>
                      <wps:spPr bwMode="auto">
                        <a:xfrm>
                          <a:off x="0" y="0"/>
                          <a:ext cx="1543685" cy="649605"/>
                        </a:xfrm>
                        <a:prstGeom prst="rect">
                          <a:avLst/>
                        </a:prstGeom>
                        <a:noFill/>
                        <a:ln>
                          <a:noFill/>
                        </a:ln>
                      </wps:spPr>
                      <wps:txbx>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wps:txbx>
                      <wps:bodyPr rot="0" vert="horz" wrap="square" lIns="91440" tIns="45720" rIns="91440" bIns="45720" anchor="t" anchorCtr="0" upright="1">
                        <a:spAutoFit/>
                      </wps:bodyPr>
                    </wps:wsp>
                  </a:graphicData>
                </a:graphic>
              </wp:anchor>
            </w:drawing>
          </mc:Choice>
          <mc:Fallback>
            <w:pict>
              <v:shape id="Text Box 5" o:spid="_x0000_s1026" o:spt="202" type="#_x0000_t202" style="position:absolute;left:0pt;margin-left:-13.45pt;margin-top:6.55pt;height:51.15pt;width:121.55pt;z-index:251672576;mso-width-relative:page;mso-height-relative:page;" filled="f" stroked="f" coordsize="21600,21600" o:gfxdata="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&#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yQtZo1wAAAAoBAAAPAAAAAAAAAAEAIAAAACIAAABk&#10;cnMvZG93bnJldi54bWxQSwECFAAUAAAACACHTuJAvy20AQcCAAAVBAAADgAAAAAAAAABACAAAAAm&#10;AQAAZHJzL2Uyb0RvYy54bWxQSwUGAAAAAAYABgBZAQAAnwUAAAAA&#10;">
                <v:fill on="f" focussize="0,0"/>
                <v:stroke on="f"/>
                <v:imagedata o:title=""/>
                <o:lock v:ext="edit" aspectratio="f"/>
                <v:textbox style="mso-fit-shape-to-text:t;">
                  <w:txbxContent>
                    <w:p>
                      <w:pPr>
                        <w:rPr>
                          <w:rFonts w:ascii="微软雅黑" w:hAnsi="微软雅黑" w:eastAsia="微软雅黑" w:cs="微软雅黑"/>
                          <w:color w:val="767171"/>
                          <w:sz w:val="48"/>
                          <w:szCs w:val="48"/>
                        </w:rPr>
                      </w:pPr>
                      <w:r>
                        <w:rPr>
                          <w:rFonts w:ascii="Times New Roman" w:hAnsi="Times New Roman" w:eastAsia="微软雅黑" w:cs="Times New Roman"/>
                          <w:color w:val="767171"/>
                          <w:sz w:val="48"/>
                          <w:szCs w:val="48"/>
                          <w:lang w:eastAsia="zh-CN"/>
                        </w:rPr>
                        <w:t>Contents</w:t>
                      </w:r>
                    </w:p>
                  </w:txbxContent>
                </v:textbox>
              </v:shape>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1552" behindDoc="0" locked="0" layoutInCell="1" allowOverlap="1">
                <wp:simplePos x="0" y="0"/>
                <wp:positionH relativeFrom="column">
                  <wp:posOffset>1419225</wp:posOffset>
                </wp:positionH>
                <wp:positionV relativeFrom="paragraph">
                  <wp:posOffset>67945</wp:posOffset>
                </wp:positionV>
                <wp:extent cx="1104900" cy="485775"/>
                <wp:effectExtent l="0" t="0" r="0" b="9525"/>
                <wp:wrapNone/>
                <wp:docPr id="20" name="Rectangle 6"/>
                <wp:cNvGraphicFramePr/>
                <a:graphic xmlns:a="http://schemas.openxmlformats.org/drawingml/2006/main">
                  <a:graphicData uri="http://schemas.microsoft.com/office/word/2010/wordprocessingShape">
                    <wps:wsp>
                      <wps:cNvSpPr>
                        <a:spLocks noChangeArrowheads="1"/>
                      </wps:cNvSpPr>
                      <wps:spPr bwMode="auto">
                        <a:xfrm>
                          <a:off x="0" y="0"/>
                          <a:ext cx="1104900" cy="485775"/>
                        </a:xfrm>
                        <a:prstGeom prst="rect">
                          <a:avLst/>
                        </a:prstGeom>
                        <a:solidFill>
                          <a:srgbClr val="00B05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111.75pt;margin-top:5.35pt;height:38.25pt;width:87pt;z-index:251671552;mso-width-relative:page;mso-height-relative:page;" fillcolor="#00B050" filled="t" stroked="f" coordsize="21600,21600" o:gfxdata="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xKeldgAAAAJAQAA&#10;DwAAAAAAAAABACAAAAAiAAAAZHJzL2Rvd25yZXYueG1sUEsBAhQAFAAAAAgAh07iQPyefp8ZAgAA&#10;NQQAAA4AAAAAAAAAAQAgAAAAJwEAAGRycy9lMm9Eb2MueG1sUEsFBgAAAAAGAAYAWQEAALIFAAAA&#10;AA==&#10;">
                <v:fill on="t" focussize="0,0"/>
                <v:stroke on="f"/>
                <v:imagedata o:title=""/>
                <o:lock v:ext="edit" aspectratio="f"/>
                <v:textbox>
                  <w:txbxContent>
                    <w:p>
                      <w:pPr>
                        <w:jc w:val="center"/>
                      </w:pPr>
                    </w:p>
                  </w:txbxContent>
                </v:textbox>
              </v:rect>
            </w:pict>
          </mc:Fallback>
        </mc:AlternateContent>
      </w:r>
      <w:r>
        <w:rPr>
          <w:rFonts w:ascii="Times New Roman" w:hAnsi="Times New Roman" w:eastAsia="微软雅黑" w:cs="Times New Roman"/>
          <w:lang w:eastAsia="zh-CN"/>
        </w:rPr>
        <mc:AlternateContent>
          <mc:Choice Requires="wps">
            <w:drawing>
              <wp:anchor distT="0" distB="0" distL="114300" distR="114300" simplePos="0" relativeHeight="251673600" behindDoc="0" locked="0" layoutInCell="1" allowOverlap="1">
                <wp:simplePos x="0" y="0"/>
                <wp:positionH relativeFrom="column">
                  <wp:posOffset>1407795</wp:posOffset>
                </wp:positionH>
                <wp:positionV relativeFrom="paragraph">
                  <wp:posOffset>91440</wp:posOffset>
                </wp:positionV>
                <wp:extent cx="1191260" cy="570865"/>
                <wp:effectExtent l="0" t="0" r="0" b="0"/>
                <wp:wrapNone/>
                <wp:docPr id="25" name="Text Box 4"/>
                <wp:cNvGraphicFramePr/>
                <a:graphic xmlns:a="http://schemas.openxmlformats.org/drawingml/2006/main">
                  <a:graphicData uri="http://schemas.microsoft.com/office/word/2010/wordprocessingShape">
                    <wps:wsp>
                      <wps:cNvSpPr txBox="1">
                        <a:spLocks noChangeArrowheads="1"/>
                      </wps:cNvSpPr>
                      <wps:spPr bwMode="auto">
                        <a:xfrm>
                          <a:off x="0" y="0"/>
                          <a:ext cx="1191260" cy="570865"/>
                        </a:xfrm>
                        <a:prstGeom prst="rect">
                          <a:avLst/>
                        </a:prstGeom>
                        <a:noFill/>
                        <a:ln>
                          <a:noFill/>
                        </a:ln>
                      </wps:spPr>
                      <wps:txbx>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wps:txbx>
                      <wps:bodyPr rot="0" vert="horz" wrap="square" lIns="91440" tIns="45720" rIns="91440" bIns="45720" anchor="t" anchorCtr="0" upright="1">
                        <a:spAutoFit/>
                      </wps:bodyPr>
                    </wps:wsp>
                  </a:graphicData>
                </a:graphic>
              </wp:anchor>
            </w:drawing>
          </mc:Choice>
          <mc:Fallback>
            <w:pict>
              <v:shape id="Text Box 4" o:spid="_x0000_s1026" o:spt="202" type="#_x0000_t202" style="position:absolute;left:0pt;margin-left:110.85pt;margin-top:7.2pt;height:44.95pt;width:93.8pt;z-index:251673600;mso-width-relative:page;mso-height-relative:page;" filled="f" stroked="f" coordsize="21600,21600" o:gfxdata="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EMi+0vXAAAACgEAAA8AAAAAAAAAAQAgAAAAIgAAAGRy&#10;cy9kb3ducmV2LnhtbFBLAQIUABQAAAAIAIdO4kAi2Lb2BgIAABUEAAAOAAAAAAAAAAEAIAAAACYB&#10;AABkcnMvZTJvRG9jLnhtbFBLBQYAAAAABgAGAFkBAACeBQAAAAA=&#10;">
                <v:fill on="f" focussize="0,0"/>
                <v:stroke on="f"/>
                <v:imagedata o:title=""/>
                <o:lock v:ext="edit" aspectratio="f"/>
                <v:textbox style="mso-fit-shape-to-text:t;">
                  <w:txbxContent>
                    <w:p>
                      <w:pPr>
                        <w:rPr>
                          <w:rFonts w:ascii="微软雅黑" w:hAnsi="微软雅黑" w:eastAsia="微软雅黑" w:cs="微软雅黑"/>
                          <w:b/>
                          <w:color w:val="FFFFFF" w:themeColor="background1"/>
                          <w:sz w:val="32"/>
                          <w:szCs w:val="32"/>
                          <w14:textFill>
                            <w14:solidFill>
                              <w14:schemeClr w14:val="bg1"/>
                            </w14:solidFill>
                          </w14:textFill>
                        </w:rPr>
                      </w:pPr>
                      <w:r>
                        <w:rPr>
                          <w:rFonts w:ascii="Times New Roman" w:hAnsi="Times New Roman" w:eastAsia="微软雅黑" w:cs="Times New Roman"/>
                          <w:b/>
                          <w:color w:val="FFFFFF" w:themeColor="background1"/>
                          <w:sz w:val="32"/>
                          <w:szCs w:val="32"/>
                          <w:lang w:eastAsia="zh-CN"/>
                          <w14:textFill>
                            <w14:solidFill>
                              <w14:schemeClr w14:val="bg1"/>
                            </w14:solidFill>
                          </w14:textFill>
                        </w:rPr>
                        <w:t>目 录</w:t>
                      </w:r>
                    </w:p>
                  </w:txbxContent>
                </v:textbox>
              </v:shape>
            </w:pict>
          </mc:Fallback>
        </mc:AlternateContent>
      </w:r>
    </w:p>
    <w:p>
      <w:pPr>
        <w:rPr>
          <w:rFonts w:ascii="Times New Roman" w:hAnsi="Times New Roman" w:eastAsia="微软雅黑" w:cs="Times New Roman"/>
          <w:lang w:eastAsia="zh-CN"/>
        </w:rPr>
      </w:pPr>
    </w:p>
    <w:p>
      <w:pPr>
        <w:rPr>
          <w:lang w:eastAsia="zh-CN"/>
        </w:rPr>
      </w:pPr>
    </w:p>
    <w:sdt>
      <w:sdtPr>
        <w:rPr>
          <w:rFonts w:ascii="宋体" w:hAnsi="宋体" w:eastAsia="宋体" w:cs="宋体"/>
          <w:sz w:val="21"/>
          <w:szCs w:val="22"/>
          <w:lang w:val="en-US" w:eastAsia="en-US" w:bidi="ar-SA"/>
        </w:rPr>
        <w:id w:val="147467364"/>
        <w15:color w:val="DBDBDB"/>
        <w:docPartObj>
          <w:docPartGallery w:val="Table of Contents"/>
          <w:docPartUnique/>
        </w:docPartObj>
      </w:sdtPr>
      <w:sdtEndPr>
        <w:rPr>
          <w:rFonts w:ascii="Times New Roman" w:hAnsi="Times New Roman" w:eastAsia="微软雅黑" w:cs="Times New Roman"/>
          <w:b/>
          <w:sz w:val="22"/>
          <w:szCs w:val="24"/>
          <w:lang w:val="en-US" w:eastAsia="zh-CN" w:bidi="ar-SA"/>
        </w:rPr>
      </w:sdtEndPr>
      <w:sdtContent>
        <w:p>
          <w:pPr>
            <w:spacing w:before="0" w:beforeLines="0" w:after="0" w:afterLines="0" w:line="240" w:lineRule="auto"/>
            <w:ind w:left="0" w:leftChars="0" w:right="0" w:rightChars="0" w:firstLine="0" w:firstLineChars="0"/>
            <w:jc w:val="center"/>
          </w:pP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pPr>
          <w:r>
            <w:rPr>
              <w:rFonts w:ascii="Times New Roman" w:hAnsi="Times New Roman" w:eastAsia="微软雅黑" w:cs="Times New Roman"/>
              <w:sz w:val="24"/>
              <w:szCs w:val="24"/>
              <w:lang w:eastAsia="zh-CN"/>
            </w:rPr>
            <w:fldChar w:fldCharType="begin"/>
          </w:r>
          <w:r>
            <w:rPr>
              <w:rFonts w:ascii="Times New Roman" w:hAnsi="Times New Roman" w:eastAsia="微软雅黑" w:cs="Times New Roman"/>
              <w:sz w:val="24"/>
              <w:szCs w:val="24"/>
              <w:lang w:eastAsia="zh-CN"/>
            </w:rPr>
            <w:instrText xml:space="preserve">TOC \o "1-2" \h \u </w:instrText>
          </w:r>
          <w:r>
            <w:rPr>
              <w:rFonts w:ascii="Times New Roman" w:hAnsi="Times New Roman" w:eastAsia="微软雅黑" w:cs="Times New Roman"/>
              <w:sz w:val="24"/>
              <w:szCs w:val="24"/>
              <w:lang w:eastAsia="zh-CN"/>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_Toc11524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样本信息</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_Toc11524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2</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pP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_Toc4731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检测项目</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_Toc4731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2</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pP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_Toc4731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检测</w:t>
          </w:r>
          <w:r>
            <w:rPr>
              <w:rStyle w:val="16"/>
              <w:rFonts w:hint="eastAsia"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基因列表</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_Toc4731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2</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pP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_Toc30383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hint="eastAsia"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检测结果小结</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_Toc30383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2</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HYPERLINK \l _Toc18363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检测结果及用药提示</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instrText xml:space="preserve"> PAGEREF _Toc18363 \h </w:instrTex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t>3</w:t>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00B050"/>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pPr>
          <w:r>
            <w:rPr>
              <w:rFonts w:ascii="Times New Roman" w:hAnsi="Times New Roman" w:eastAsia="微软雅黑" w:cs="Times New Roman"/>
              <w:szCs w:val="24"/>
              <w:lang w:eastAsia="zh-CN"/>
            </w:rPr>
            <w:fldChar w:fldCharType="begin"/>
          </w:r>
          <w:r>
            <w:rPr>
              <w:rFonts w:ascii="Times New Roman" w:hAnsi="Times New Roman" w:eastAsia="微软雅黑" w:cs="Times New Roman"/>
              <w:szCs w:val="24"/>
              <w:lang w:eastAsia="zh-CN"/>
            </w:rPr>
            <w:instrText xml:space="preserve"> HYPERLINK \l _Toc26961 </w:instrText>
          </w:r>
          <w:r>
            <w:rPr>
              <w:rFonts w:ascii="Times New Roman" w:hAnsi="Times New Roman" w:eastAsia="微软雅黑" w:cs="Times New Roman"/>
              <w:szCs w:val="24"/>
              <w:lang w:eastAsia="zh-CN"/>
            </w:rPr>
            <w:fldChar w:fldCharType="separate"/>
          </w:r>
          <w:r>
            <w:rPr>
              <w:rFonts w:ascii="Times New Roman" w:hAnsi="Times New Roman" w:eastAsia="微软雅黑" w:cs="Times New Roman"/>
              <w:sz w:val="24"/>
              <w:szCs w:val="24"/>
              <w:lang w:val="en-US" w:eastAsia="en-US" w:bidi="ar-SA"/>
            </w:rPr>
            <w:t>靶向药物用药提示</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_Toc26961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3</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Cs w:val="24"/>
              <w:lang w:eastAsia="zh-CN"/>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instrText xml:space="preserve"> HYPERLINK \l _Toc23891 </w:instrText>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t>基因检测结果解析</w:t>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instrText xml:space="preserve"> PAGEREF _Toc23891 \h </w:instrText>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t>6</w:t>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45A3A7"/>
              <w:lang w:val="en-US" w:eastAsia="zh-CN" w:bidi="ar-SA"/>
              <w14:textFill>
                <w14:solidFill>
                  <w14:schemeClr w14:val="bg1"/>
                </w14:solidFill>
              </w14:textFill>
            </w:rPr>
            <w:fldChar w:fldCharType="end"/>
          </w:r>
          <w:r>
            <w:rPr>
              <w:rFonts w:hint="eastAsia" w:ascii="Times New Roman" w:hAnsi="Times New Roman" w:eastAsia="微软雅黑" w:cs="Times New Roman"/>
              <w:sz w:val="24"/>
              <w:szCs w:val="24"/>
              <w:lang w:eastAsia="zh-CN"/>
            </w:rPr>
            <w:t>{% if drugAnalysisIndex == 'true'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val="en-US" w:eastAsia="en-US" w:bidi="ar-SA"/>
            </w:rPr>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_Toc29231 </w:instrText>
          </w:r>
          <w:r>
            <w:rPr>
              <w:rFonts w:ascii="Times New Roman" w:hAnsi="Times New Roman" w:eastAsia="微软雅黑" w:cs="Times New Roman"/>
              <w:sz w:val="24"/>
              <w:szCs w:val="24"/>
              <w:lang w:val="en-US" w:eastAsia="zh-CN" w:bidi="ar-SA"/>
            </w:rPr>
            <w:fldChar w:fldCharType="separate"/>
          </w:r>
          <w:r>
            <w:rPr>
              <w:rFonts w:hint="eastAsia" w:ascii="Times New Roman" w:hAnsi="Times New Roman" w:eastAsia="微软雅黑" w:cs="Times New Roman"/>
              <w:sz w:val="24"/>
              <w:szCs w:val="24"/>
              <w:lang w:val="en-US" w:eastAsia="en-US" w:bidi="ar-SA"/>
            </w:rPr>
            <w:t>靶向药物检测解析</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_Toc29231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6</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r>
            <w:rPr>
              <w:rFonts w:hint="eastAsia" w:ascii="Times New Roman" w:hAnsi="Times New Roman" w:eastAsia="微软雅黑" w:cs="Times New Roman"/>
              <w:sz w:val="24"/>
              <w:szCs w:val="24"/>
              <w:lang w:eastAsia="zh-CN"/>
            </w:rPr>
            <w:t>{% endif %}</w:t>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_Toc12136 </w:instrText>
          </w:r>
          <w:r>
            <w:rPr>
              <w:rFonts w:ascii="Times New Roman" w:hAnsi="Times New Roman" w:eastAsia="微软雅黑" w:cs="Times New Roman"/>
              <w:sz w:val="24"/>
              <w:szCs w:val="24"/>
              <w:lang w:val="en-US" w:eastAsia="zh-CN" w:bidi="ar-SA"/>
            </w:rPr>
            <w:fldChar w:fldCharType="separate"/>
          </w:r>
          <w:r>
            <w:rPr>
              <w:rFonts w:hint="eastAsia" w:ascii="Times New Roman" w:hAnsi="Times New Roman" w:eastAsia="微软雅黑" w:cs="Times New Roman"/>
              <w:sz w:val="24"/>
              <w:szCs w:val="24"/>
              <w:lang w:val="en-US" w:eastAsia="en-US" w:bidi="ar-SA"/>
            </w:rPr>
            <w:t>化疗药物检测解析</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_Toc12136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9</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pStyle w:val="26"/>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b/>
            </w:rPr>
          </w:pP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instrText xml:space="preserve"> HYPERLINK \l _Toc22787 </w:instrText>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t>附录</w:t>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tab/>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begin"/>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instrText xml:space="preserve"> PAGEREF _Toc22787 \h </w:instrText>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separate"/>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t>10</w:t>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end"/>
          </w:r>
          <w:r>
            <w:rPr>
              <w:rStyle w:val="16"/>
              <w:rFonts w:ascii="Times New Roman" w:hAnsi="Times New Roman" w:eastAsia="微软雅黑" w:cs="Times New Roman"/>
              <w:color w:val="FFFFFF" w:themeColor="background1"/>
              <w:sz w:val="28"/>
              <w:szCs w:val="28"/>
              <w:shd w:val="clear" w:color="auto" w:fill="416AAB"/>
              <w:lang w:val="en-US" w:eastAsia="zh-CN" w:bidi="ar-SA"/>
              <w14:textFill>
                <w14:solidFill>
                  <w14:schemeClr w14:val="bg1"/>
                </w14:solidFill>
              </w14:textFill>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val="en-US" w:eastAsia="en-US" w:bidi="ar-SA"/>
            </w:rPr>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_Toc31309 </w:instrText>
          </w:r>
          <w:r>
            <w:rPr>
              <w:rFonts w:ascii="Times New Roman" w:hAnsi="Times New Roman" w:eastAsia="微软雅黑" w:cs="Times New Roman"/>
              <w:sz w:val="24"/>
              <w:szCs w:val="24"/>
              <w:lang w:val="en-US" w:eastAsia="zh-CN" w:bidi="ar-SA"/>
            </w:rPr>
            <w:fldChar w:fldCharType="separate"/>
          </w:r>
          <w:r>
            <w:rPr>
              <w:rFonts w:hint="eastAsia" w:ascii="Times New Roman" w:hAnsi="Times New Roman" w:eastAsia="微软雅黑" w:cs="Times New Roman"/>
              <w:sz w:val="24"/>
              <w:szCs w:val="24"/>
              <w:lang w:val="en-US" w:eastAsia="en-US" w:bidi="ar-SA"/>
            </w:rPr>
            <w:t>样本控制情况</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_Toc31309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10</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val="en-US" w:eastAsia="en-US" w:bidi="ar-SA"/>
            </w:rPr>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_Toc13908 </w:instrText>
          </w:r>
          <w:r>
            <w:rPr>
              <w:rFonts w:ascii="Times New Roman" w:hAnsi="Times New Roman" w:eastAsia="微软雅黑" w:cs="Times New Roman"/>
              <w:sz w:val="24"/>
              <w:szCs w:val="24"/>
              <w:lang w:val="en-US" w:eastAsia="zh-CN" w:bidi="ar-SA"/>
            </w:rPr>
            <w:fldChar w:fldCharType="separate"/>
          </w:r>
          <w:r>
            <w:rPr>
              <w:rFonts w:ascii="Times New Roman" w:hAnsi="Times New Roman" w:eastAsia="微软雅黑" w:cs="Times New Roman"/>
              <w:sz w:val="24"/>
              <w:szCs w:val="24"/>
              <w:lang w:val="en-US" w:eastAsia="en-US" w:bidi="ar-SA"/>
            </w:rPr>
            <w:t>常见靶向药物相关基因检测列表</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_Toc13908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11</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rPr>
              <w:rFonts w:ascii="Times New Roman" w:hAnsi="Times New Roman" w:eastAsia="微软雅黑" w:cs="Times New Roman"/>
              <w:sz w:val="24"/>
              <w:szCs w:val="24"/>
              <w:lang w:val="en-US" w:eastAsia="en-US" w:bidi="ar-SA"/>
            </w:rPr>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_Toc12659 </w:instrText>
          </w:r>
          <w:r>
            <w:rPr>
              <w:rFonts w:ascii="Times New Roman" w:hAnsi="Times New Roman" w:eastAsia="微软雅黑" w:cs="Times New Roman"/>
              <w:sz w:val="24"/>
              <w:szCs w:val="24"/>
              <w:lang w:val="en-US" w:eastAsia="zh-CN" w:bidi="ar-SA"/>
            </w:rPr>
            <w:fldChar w:fldCharType="separate"/>
          </w:r>
          <w:r>
            <w:rPr>
              <w:rFonts w:ascii="Times New Roman" w:hAnsi="Times New Roman" w:eastAsia="微软雅黑" w:cs="Times New Roman"/>
              <w:sz w:val="24"/>
              <w:szCs w:val="24"/>
              <w:lang w:val="en-US" w:eastAsia="en-US" w:bidi="ar-SA"/>
            </w:rPr>
            <w:t>检测流程</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_Toc12659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14</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pStyle w:val="27"/>
            <w:keepNext w:val="0"/>
            <w:keepLines w:val="0"/>
            <w:pageBreakBefore w:val="0"/>
            <w:widowControl/>
            <w:tabs>
              <w:tab w:val="right" w:leader="dot" w:pos="9870"/>
            </w:tabs>
            <w:kinsoku/>
            <w:wordWrap/>
            <w:overflowPunct/>
            <w:topLinePunct w:val="0"/>
            <w:autoSpaceDE/>
            <w:autoSpaceDN/>
            <w:bidi w:val="0"/>
            <w:adjustRightInd/>
            <w:snapToGrid/>
            <w:spacing w:line="360" w:lineRule="auto"/>
            <w:textAlignment w:val="auto"/>
          </w:pPr>
          <w:r>
            <w:rPr>
              <w:rFonts w:ascii="Times New Roman" w:hAnsi="Times New Roman" w:eastAsia="微软雅黑" w:cs="Times New Roman"/>
              <w:sz w:val="24"/>
              <w:szCs w:val="24"/>
              <w:lang w:val="en-US" w:eastAsia="zh-CN" w:bidi="ar-SA"/>
            </w:rPr>
            <w:fldChar w:fldCharType="begin"/>
          </w:r>
          <w:r>
            <w:rPr>
              <w:rFonts w:ascii="Times New Roman" w:hAnsi="Times New Roman" w:eastAsia="微软雅黑" w:cs="Times New Roman"/>
              <w:sz w:val="24"/>
              <w:szCs w:val="24"/>
              <w:lang w:val="en-US" w:eastAsia="zh-CN" w:bidi="ar-SA"/>
            </w:rPr>
            <w:instrText xml:space="preserve"> HYPERLINK \l _Toc29355 </w:instrText>
          </w:r>
          <w:r>
            <w:rPr>
              <w:rFonts w:ascii="Times New Roman" w:hAnsi="Times New Roman" w:eastAsia="微软雅黑" w:cs="Times New Roman"/>
              <w:sz w:val="24"/>
              <w:szCs w:val="24"/>
              <w:lang w:val="en-US" w:eastAsia="zh-CN" w:bidi="ar-SA"/>
            </w:rPr>
            <w:fldChar w:fldCharType="separate"/>
          </w:r>
          <w:r>
            <w:rPr>
              <w:rFonts w:ascii="Times New Roman" w:hAnsi="Times New Roman" w:eastAsia="微软雅黑" w:cs="Times New Roman"/>
              <w:sz w:val="24"/>
              <w:szCs w:val="24"/>
              <w:lang w:val="en-US" w:eastAsia="en-US" w:bidi="ar-SA"/>
            </w:rPr>
            <w:t>参考文献</w:t>
          </w:r>
          <w:r>
            <w:rPr>
              <w:rFonts w:ascii="Times New Roman" w:hAnsi="Times New Roman" w:eastAsia="微软雅黑" w:cs="Times New Roman"/>
              <w:sz w:val="24"/>
              <w:szCs w:val="24"/>
              <w:lang w:val="en-US" w:eastAsia="en-US" w:bidi="ar-SA"/>
            </w:rPr>
            <w:tab/>
          </w:r>
          <w:r>
            <w:rPr>
              <w:rFonts w:ascii="Times New Roman" w:hAnsi="Times New Roman" w:eastAsia="微软雅黑" w:cs="Times New Roman"/>
              <w:sz w:val="24"/>
              <w:szCs w:val="24"/>
              <w:lang w:val="en-US" w:eastAsia="en-US" w:bidi="ar-SA"/>
            </w:rPr>
            <w:fldChar w:fldCharType="begin"/>
          </w:r>
          <w:r>
            <w:rPr>
              <w:rFonts w:ascii="Times New Roman" w:hAnsi="Times New Roman" w:eastAsia="微软雅黑" w:cs="Times New Roman"/>
              <w:sz w:val="24"/>
              <w:szCs w:val="24"/>
              <w:lang w:val="en-US" w:eastAsia="en-US" w:bidi="ar-SA"/>
            </w:rPr>
            <w:instrText xml:space="preserve"> PAGEREF _Toc29355 \h </w:instrText>
          </w:r>
          <w:r>
            <w:rPr>
              <w:rFonts w:ascii="Times New Roman" w:hAnsi="Times New Roman" w:eastAsia="微软雅黑" w:cs="Times New Roman"/>
              <w:sz w:val="24"/>
              <w:szCs w:val="24"/>
              <w:lang w:val="en-US" w:eastAsia="en-US" w:bidi="ar-SA"/>
            </w:rPr>
            <w:fldChar w:fldCharType="separate"/>
          </w:r>
          <w:r>
            <w:rPr>
              <w:rFonts w:ascii="Times New Roman" w:hAnsi="Times New Roman" w:eastAsia="微软雅黑" w:cs="Times New Roman"/>
              <w:sz w:val="24"/>
              <w:szCs w:val="24"/>
              <w:lang w:val="en-US" w:eastAsia="en-US" w:bidi="ar-SA"/>
            </w:rPr>
            <w:t>15</w:t>
          </w:r>
          <w:r>
            <w:rPr>
              <w:rFonts w:ascii="Times New Roman" w:hAnsi="Times New Roman" w:eastAsia="微软雅黑" w:cs="Times New Roman"/>
              <w:sz w:val="24"/>
              <w:szCs w:val="24"/>
              <w:lang w:val="en-US" w:eastAsia="en-US" w:bidi="ar-SA"/>
            </w:rPr>
            <w:fldChar w:fldCharType="end"/>
          </w:r>
          <w:r>
            <w:rPr>
              <w:rFonts w:ascii="Times New Roman" w:hAnsi="Times New Roman" w:eastAsia="微软雅黑" w:cs="Times New Roman"/>
              <w:sz w:val="24"/>
              <w:szCs w:val="24"/>
              <w:lang w:val="en-US" w:eastAsia="zh-CN" w:bidi="ar-SA"/>
            </w:rPr>
            <w:fldChar w:fldCharType="end"/>
          </w:r>
        </w:p>
        <w:p>
          <w:pPr>
            <w:widowControl/>
            <w:rPr>
              <w:rFonts w:ascii="Times New Roman" w:hAnsi="Times New Roman" w:eastAsia="微软雅黑" w:cs="Times New Roman"/>
              <w:sz w:val="24"/>
              <w:szCs w:val="24"/>
              <w:lang w:eastAsia="zh-CN"/>
            </w:rPr>
          </w:pPr>
          <w:r>
            <w:rPr>
              <w:rFonts w:ascii="Times New Roman" w:hAnsi="Times New Roman" w:eastAsia="微软雅黑" w:cs="Times New Roman"/>
              <w:b/>
              <w:szCs w:val="24"/>
              <w:lang w:eastAsia="zh-CN"/>
            </w:rPr>
            <w:fldChar w:fldCharType="end"/>
          </w:r>
        </w:p>
      </w:sdtContent>
    </w:sdt>
    <w:p>
      <w:bookmarkStart w:id="2" w:name="_Toc21009_WPSOffice_Level1"/>
      <w:bookmarkStart w:id="3" w:name="_Toc21669"/>
      <w:bookmarkStart w:id="4" w:name="_Toc30143_WPSOffice_Level1"/>
      <w:bookmarkStart w:id="5" w:name="_Toc11524"/>
      <w:bookmarkStart w:id="6" w:name="_Toc27500"/>
      <w:bookmarkStart w:id="7" w:name="_Toc24178_WPSOffice_Level1"/>
      <w:bookmarkStart w:id="8" w:name="_Toc24397"/>
      <w:bookmarkStart w:id="9" w:name="_Toc13806"/>
      <w:bookmarkStart w:id="10" w:name="_Toc32054"/>
      <w:r>
        <w:br w:type="page"/>
      </w:r>
    </w:p>
    <w:p>
      <w:pPr>
        <w:pStyle w:val="2"/>
      </w:pPr>
      <w:r>
        <w:t>样本信息</w:t>
      </w:r>
      <w:bookmarkEnd w:id="2"/>
      <w:bookmarkEnd w:id="3"/>
      <w:bookmarkEnd w:id="4"/>
      <w:bookmarkEnd w:id="5"/>
      <w:bookmarkEnd w:id="6"/>
      <w:bookmarkEnd w:id="7"/>
      <w:bookmarkEnd w:id="8"/>
      <w:bookmarkEnd w:id="9"/>
      <w:bookmarkEnd w:id="10"/>
    </w:p>
    <w:p>
      <w:pPr>
        <w:pStyle w:val="6"/>
        <w:rPr>
          <w:rFonts w:ascii="Times New Roman" w:hAnsi="Times New Roman" w:eastAsia="微软雅黑" w:cs="Times New Roman"/>
          <w:b/>
          <w:sz w:val="20"/>
          <w:lang w:eastAsia="zh-CN"/>
        </w:rPr>
      </w:pPr>
    </w:p>
    <w:tbl>
      <w:tblPr>
        <w:tblStyle w:val="13"/>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sample_type }}</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87" w:hRule="atLeast"/>
        </w:trPr>
        <w:tc>
          <w:tcPr>
            <w:tcW w:w="3231"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shd w:val="clear" w:color="auto" w:fill="F2F2F2"/>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shd w:val="clear" w:color="auto" w:fill="F2F2F2"/>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pPr>
      <w:bookmarkStart w:id="11" w:name="_Toc10518"/>
      <w:bookmarkStart w:id="12" w:name="_Toc11015_WPSOffice_Level1"/>
      <w:bookmarkStart w:id="13" w:name="_Toc18062_WPSOffice_Level1"/>
      <w:bookmarkStart w:id="14" w:name="_Toc4731"/>
      <w:bookmarkStart w:id="15" w:name="_Toc17451"/>
      <w:bookmarkStart w:id="16" w:name="_Toc7021_WPSOffice_Level1"/>
      <w:bookmarkStart w:id="17" w:name="_Toc19594"/>
      <w:bookmarkStart w:id="18" w:name="_Toc11465"/>
      <w:bookmarkStart w:id="19" w:name="_Toc3823"/>
      <w:r>
        <w:t>检测项目</w:t>
      </w:r>
      <w:bookmarkEnd w:id="11"/>
      <w:bookmarkEnd w:id="12"/>
      <w:bookmarkEnd w:id="13"/>
      <w:bookmarkEnd w:id="14"/>
      <w:bookmarkEnd w:id="15"/>
      <w:bookmarkEnd w:id="16"/>
      <w:bookmarkEnd w:id="17"/>
      <w:bookmarkEnd w:id="18"/>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11</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检测突变形式为点突变（SNV）、小片段插入缺失（INDEL）以及融合（FUSION）</w:t>
      </w:r>
      <w:r>
        <w:rPr>
          <w:rFonts w:ascii="Times New Roman" w:hAnsi="Times New Roman" w:eastAsia="微软雅黑" w:cs="Times New Roman"/>
          <w:bCs/>
          <w:sz w:val="21"/>
          <w:szCs w:val="21"/>
          <w:lang w:eastAsia="zh-CN"/>
        </w:rPr>
        <w:t>。</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和</w:t>
      </w:r>
      <w:r>
        <w:rPr>
          <w:rFonts w:ascii="Times New Roman" w:hAnsi="Times New Roman" w:eastAsia="微软雅黑" w:cs="Times New Roman"/>
          <w:bCs/>
          <w:sz w:val="21"/>
          <w:szCs w:val="21"/>
          <w:lang w:eastAsia="zh-CN"/>
        </w:rPr>
        <w:t>化疗药物，给出靶向药物（FDA/NMPA批准药物、临床试验药物等）、化疗药物的用药提示信息，从而为临床制定治疗方案提供参考信息。</w:t>
      </w:r>
      <w:bookmarkStart w:id="20" w:name="_Toc534807930"/>
    </w:p>
    <w:p>
      <w:pPr>
        <w:spacing w:line="276" w:lineRule="auto"/>
        <w:ind w:firstLine="420" w:firstLineChars="200"/>
        <w:jc w:val="both"/>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pStyle w:val="2"/>
        <w:rPr>
          <w:rFonts w:ascii="Times New Roman" w:hAnsi="Times New Roman" w:eastAsia="微软雅黑" w:cs="Times New Roman"/>
          <w:bCs/>
          <w:sz w:val="21"/>
          <w:szCs w:val="21"/>
          <w:lang w:eastAsia="zh-CN"/>
        </w:rPr>
      </w:pPr>
      <w:r>
        <w:t>检测</w:t>
      </w:r>
      <w:r>
        <w:rPr>
          <w:rFonts w:hint="eastAsia"/>
          <w:lang w:val="en-US" w:eastAsia="zh-CN"/>
        </w:rPr>
        <w:t>基因列表</w:t>
      </w:r>
    </w:p>
    <w:p>
      <w:pPr>
        <w:spacing w:line="276" w:lineRule="auto"/>
        <w:jc w:val="both"/>
        <w:rPr>
          <w:rFonts w:ascii="Times New Roman" w:hAnsi="Times New Roman" w:eastAsia="微软雅黑" w:cs="Times New Roman"/>
          <w:bCs/>
          <w:sz w:val="21"/>
          <w:szCs w:val="21"/>
          <w:lang w:eastAsia="zh-CN"/>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widowControl/>
              <w:jc w:val="both"/>
              <w:rPr>
                <w:rFonts w:hint="eastAsia" w:ascii="Times New Roman" w:hAnsi="Times New Roman" w:eastAsia="微软雅黑" w:cs="Times New Roman"/>
                <w:i/>
                <w:sz w:val="21"/>
                <w:szCs w:val="21"/>
              </w:rPr>
            </w:pPr>
            <w:r>
              <w:rPr>
                <w:rFonts w:hint="eastAsia" w:ascii="Times New Roman" w:hAnsi="Times New Roman" w:eastAsia="微软雅黑" w:cs="Times New Roman"/>
                <w:sz w:val="18"/>
                <w:szCs w:val="18"/>
                <w:highlight w:val="none"/>
                <w:lang w:eastAsia="zh-CN"/>
              </w:rPr>
              <w:t xml:space="preserve">{%tr for Gene in </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BRAF,EGFR,ERBB2,KRAS,NRAS,PIK3CA,PTEN,NTRK1,NTRK2,NTRK3,UGT1A1</w:t>
            </w:r>
            <w:r>
              <w:rPr>
                <w:rFonts w:ascii="Times New Roman" w:hAnsi="Times New Roman" w:eastAsia="微软雅黑" w:cs="Times New Roman"/>
                <w:sz w:val="18"/>
                <w:szCs w:val="18"/>
                <w:highlight w:val="none"/>
                <w:lang w:eastAsia="zh-CN"/>
              </w:rPr>
              <w:t>”</w:t>
            </w:r>
            <w:r>
              <w:rPr>
                <w:rFonts w:hint="eastAsia" w:ascii="Times New Roman" w:hAnsi="Times New Roman" w:eastAsia="微软雅黑" w:cs="Times New Roman"/>
                <w:sz w:val="18"/>
                <w:szCs w:val="18"/>
                <w:highlight w:val="none"/>
                <w:lang w:eastAsia="zh-CN"/>
              </w:rPr>
              <w:t xml:space="preserve"> | red(</w:t>
            </w:r>
            <w:r>
              <w:rPr>
                <w:rFonts w:hint="eastAsia" w:ascii="Times New Roman" w:hAnsi="Times New Roman" w:eastAsia="微软雅黑" w:cs="Times New Roman"/>
                <w:sz w:val="18"/>
                <w:szCs w:val="18"/>
                <w:highlight w:val="none"/>
                <w:lang w:val="en-US" w:eastAsia="zh-CN"/>
              </w:rPr>
              <w:t>6</w:t>
            </w:r>
            <w:r>
              <w:rPr>
                <w:rFonts w:hint="eastAsia" w:ascii="Times New Roman" w:hAnsi="Times New Roman" w:eastAsia="微软雅黑" w:cs="Times New Roman"/>
                <w:sz w:val="18"/>
                <w:szCs w:val="18"/>
                <w:highlight w:val="none"/>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noWrap w:val="0"/>
            <w:vAlign w:val="center"/>
          </w:tcPr>
          <w:p>
            <w:pPr>
              <w:widowControl/>
              <w:jc w:val="center"/>
              <w:rPr>
                <w:rFonts w:hint="eastAsia"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noWrap w:val="0"/>
            <w:vAlign w:val="center"/>
          </w:tcPr>
          <w:p>
            <w:pPr>
              <w:spacing w:line="276" w:lineRule="auto"/>
              <w:jc w:val="both"/>
              <w:rPr>
                <w:rFonts w:ascii="Times New Roman" w:hAnsi="Times New Roman" w:eastAsia="微软雅黑" w:cs="Times New Roman"/>
                <w:bCs/>
                <w:sz w:val="21"/>
                <w:szCs w:val="21"/>
                <w:vertAlign w:val="baseline"/>
                <w:lang w:eastAsia="zh-CN"/>
              </w:rPr>
            </w:pPr>
            <w:r>
              <w:rPr>
                <w:rFonts w:hint="eastAsia" w:ascii="Times New Roman" w:hAnsi="Times New Roman" w:eastAsia="微软雅黑" w:cs="Times New Roman"/>
                <w:sz w:val="18"/>
                <w:szCs w:val="18"/>
                <w:highlight w:val="none"/>
                <w:lang w:eastAsia="zh-CN"/>
              </w:rPr>
              <w:t>{%tr endfor%}</w:t>
            </w:r>
          </w:p>
        </w:tc>
      </w:tr>
    </w:tbl>
    <w:p>
      <w:pPr>
        <w:spacing w:line="276" w:lineRule="auto"/>
        <w:ind w:firstLine="420" w:firstLineChars="200"/>
        <w:jc w:val="both"/>
        <w:rPr>
          <w:rFonts w:ascii="Times New Roman" w:hAnsi="Times New Roman" w:eastAsia="微软雅黑" w:cs="Times New Roman"/>
          <w:bCs/>
          <w:sz w:val="21"/>
          <w:szCs w:val="21"/>
          <w:lang w:eastAsia="zh-CN"/>
        </w:rPr>
      </w:pPr>
    </w:p>
    <w:p>
      <w:pPr>
        <w:rPr>
          <w:rFonts w:ascii="Times New Roman" w:hAnsi="Times New Roman" w:eastAsia="微软雅黑" w:cs="Times New Roman"/>
          <w:bCs/>
          <w:sz w:val="21"/>
          <w:szCs w:val="21"/>
          <w:lang w:eastAsia="zh-CN"/>
        </w:rPr>
      </w:pPr>
    </w:p>
    <w:p>
      <w:pPr>
        <w:spacing w:line="276" w:lineRule="auto"/>
        <w:ind w:firstLine="420" w:firstLineChars="200"/>
        <w:jc w:val="both"/>
        <w:rPr>
          <w:rFonts w:ascii="Times New Roman" w:hAnsi="Times New Roman" w:eastAsia="微软雅黑" w:cs="Times New Roman"/>
          <w:bCs/>
          <w:sz w:val="21"/>
          <w:szCs w:val="21"/>
          <w:lang w:eastAsia="zh-CN"/>
        </w:rPr>
      </w:pPr>
    </w:p>
    <w:p>
      <w:pPr>
        <w:pStyle w:val="2"/>
      </w:pPr>
      <w:bookmarkStart w:id="21" w:name="_Toc3871"/>
      <w:bookmarkStart w:id="22" w:name="_Toc4088"/>
      <w:bookmarkStart w:id="23" w:name="_Toc1410"/>
      <w:bookmarkStart w:id="24" w:name="_Toc6221_WPSOffice_Level1"/>
      <w:bookmarkStart w:id="25" w:name="_Toc18058"/>
      <w:bookmarkStart w:id="26" w:name="_Toc25920"/>
      <w:bookmarkStart w:id="27" w:name="_Toc23369_WPSOffice_Level1"/>
      <w:bookmarkStart w:id="28" w:name="_Toc30383"/>
      <w:r>
        <w:rPr>
          <w:rFonts w:hint="eastAsia"/>
        </w:rPr>
        <w:t>检测结果小结</w:t>
      </w:r>
      <w:bookmarkEnd w:id="21"/>
      <w:bookmarkEnd w:id="22"/>
      <w:bookmarkEnd w:id="23"/>
      <w:bookmarkEnd w:id="24"/>
      <w:bookmarkEnd w:id="25"/>
      <w:bookmarkEnd w:id="26"/>
      <w:bookmarkEnd w:id="27"/>
      <w:bookmarkEnd w:id="28"/>
    </w:p>
    <w:p>
      <w:pPr>
        <w:ind w:left="330" w:leftChars="150"/>
        <w:rPr>
          <w:rFonts w:ascii="微软雅黑" w:hAnsi="微软雅黑" w:eastAsia="微软雅黑" w:cs="微软雅黑"/>
          <w:sz w:val="18"/>
          <w:szCs w:val="18"/>
          <w:lang w:eastAsia="zh-CN" w:bidi="ar"/>
        </w:rPr>
      </w:pPr>
    </w:p>
    <w:tbl>
      <w:tblPr>
        <w:tblStyle w:val="13"/>
        <w:tblpPr w:leftFromText="180" w:rightFromText="180" w:vertAnchor="text" w:horzAnchor="page" w:tblpX="1293" w:tblpY="10"/>
        <w:tblOverlap w:val="never"/>
        <w:tblW w:w="9558" w:type="dxa"/>
        <w:tblInd w:w="0" w:type="dxa"/>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4154"/>
        <w:gridCol w:w="5404"/>
      </w:tblGrid>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bottom w:val="single" w:color="00AF50" w:sz="8" w:space="0"/>
            </w:tcBorders>
            <w:vAlign w:val="center"/>
          </w:tcPr>
          <w:p>
            <w:pPr>
              <w:jc w:val="center"/>
              <w:rPr>
                <w:rFonts w:ascii="微软雅黑" w:eastAsia="微软雅黑"/>
                <w:b/>
                <w:sz w:val="21"/>
              </w:rPr>
            </w:pPr>
            <w:r>
              <w:rPr>
                <w:rFonts w:hint="eastAsia" w:cs="黑体"/>
                <w:b/>
                <w:bCs/>
                <w:color w:val="00B050"/>
                <w:sz w:val="28"/>
                <w:szCs w:val="36"/>
                <w:lang w:eastAsia="zh-CN"/>
              </w:rPr>
              <w:br w:type="page"/>
            </w:r>
            <w:r>
              <w:rPr>
                <w:rFonts w:hint="eastAsia" w:ascii="微软雅黑" w:eastAsia="微软雅黑"/>
                <w:b/>
                <w:sz w:val="21"/>
              </w:rPr>
              <w:t>检测类型</w:t>
            </w:r>
          </w:p>
        </w:tc>
        <w:tc>
          <w:tcPr>
            <w:tcW w:w="5404" w:type="dxa"/>
            <w:tcBorders>
              <w:bottom w:val="single" w:color="00AF50" w:sz="8" w:space="0"/>
            </w:tcBorders>
            <w:vAlign w:val="center"/>
          </w:tcPr>
          <w:p>
            <w:pPr>
              <w:jc w:val="center"/>
              <w:rPr>
                <w:rFonts w:ascii="微软雅黑" w:eastAsia="微软雅黑"/>
                <w:b/>
              </w:rPr>
            </w:pPr>
            <w:r>
              <w:rPr>
                <w:rFonts w:ascii="Times New Roman" w:hAnsi="Times New Roman" w:eastAsia="微软雅黑" w:cs="黑体"/>
                <w:b/>
                <w:sz w:val="21"/>
              </w:rPr>
              <w:t>检测结果</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754" w:hRule="atLeast"/>
        </w:trPr>
        <w:tc>
          <w:tcPr>
            <w:tcW w:w="4154" w:type="dxa"/>
            <w:tcBorders>
              <w:top w:val="single" w:color="00AF50" w:sz="8" w:space="0"/>
              <w:tl2br w:val="nil"/>
              <w:tr2bl w:val="nil"/>
            </w:tcBorders>
            <w:shd w:val="clear" w:color="auto" w:fill="F1F1F1"/>
            <w:vAlign w:val="center"/>
          </w:tcPr>
          <w:p>
            <w:pPr>
              <w:pStyle w:val="18"/>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靶向用药指导</w:t>
            </w:r>
          </w:p>
        </w:tc>
        <w:tc>
          <w:tcPr>
            <w:tcW w:w="5404" w:type="dxa"/>
            <w:tcBorders>
              <w:top w:val="single" w:color="00AF50" w:sz="8" w:space="0"/>
              <w:tl2br w:val="nil"/>
              <w:tr2bl w:val="nil"/>
            </w:tcBorders>
            <w:shd w:val="clear" w:color="auto" w:fill="F1F1F1"/>
            <w:vAlign w:val="center"/>
          </w:tcPr>
          <w:p>
            <w:pPr>
              <w:pStyle w:val="18"/>
              <w:spacing w:before="100" w:line="187" w:lineRule="auto"/>
              <w:ind w:left="119" w:right="119"/>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tl2br w:val="nil"/>
              <w:tr2bl w:val="nil"/>
            </w:tcBorders>
            <w:shd w:val="clear" w:color="auto" w:fill="F1F1F1"/>
            <w:vAlign w:val="center"/>
          </w:tcPr>
          <w:p>
            <w:pPr>
              <w:pStyle w:val="18"/>
              <w:ind w:left="220" w:leftChars="100"/>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化疗药物检测</w:t>
            </w:r>
          </w:p>
        </w:tc>
        <w:tc>
          <w:tcPr>
            <w:tcW w:w="5404" w:type="dxa"/>
            <w:tcBorders>
              <w:tl2br w:val="nil"/>
              <w:tr2bl w:val="nil"/>
            </w:tcBorders>
            <w:shd w:val="clear" w:color="auto" w:fill="F1F1F1"/>
          </w:tcPr>
          <w:p>
            <w:pPr>
              <w:pStyle w:val="18"/>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详见“化疗药物检测解析”部分</w:t>
            </w:r>
          </w:p>
        </w:tc>
      </w:tr>
      <w:tr>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trPr>
        <w:tc>
          <w:tcPr>
            <w:tcW w:w="4154" w:type="dxa"/>
            <w:tcBorders>
              <w:tl2br w:val="nil"/>
              <w:tr2bl w:val="nil"/>
            </w:tcBorders>
            <w:shd w:val="clear" w:color="auto" w:fill="F1F1F1"/>
            <w:vAlign w:val="center"/>
          </w:tcPr>
          <w:p>
            <w:pPr>
              <w:pStyle w:val="18"/>
              <w:ind w:left="220" w:leftChars="100"/>
              <w:jc w:val="center"/>
              <w:rPr>
                <w:rFonts w:ascii="Times New Roman" w:hAnsi="Times New Roman" w:eastAsia="微软雅黑" w:cs="Times New Roman"/>
                <w:sz w:val="21"/>
                <w:szCs w:val="21"/>
              </w:rPr>
            </w:pPr>
            <w:r>
              <w:rPr>
                <w:rFonts w:ascii="Times New Roman" w:hAnsi="Times New Roman" w:eastAsia="微软雅黑" w:cs="Times New Roman"/>
                <w:sz w:val="21"/>
                <w:szCs w:val="21"/>
              </w:rPr>
              <w:t>样品总体质量评估</w:t>
            </w:r>
          </w:p>
        </w:tc>
        <w:tc>
          <w:tcPr>
            <w:tcW w:w="5404" w:type="dxa"/>
            <w:tcBorders>
              <w:tl2br w:val="nil"/>
              <w:tr2bl w:val="nil"/>
            </w:tcBorders>
            <w:shd w:val="clear" w:color="auto" w:fill="F1F1F1"/>
          </w:tcPr>
          <w:p>
            <w:pPr>
              <w:pStyle w:val="18"/>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合格</w:t>
            </w:r>
          </w:p>
        </w:tc>
      </w:tr>
    </w:tbl>
    <w:p>
      <w:pPr>
        <w:ind w:firstLine="219" w:firstLineChars="122"/>
        <w:rPr>
          <w:rFonts w:ascii="微软雅黑" w:hAnsi="微软雅黑" w:eastAsia="微软雅黑" w:cs="微软雅黑"/>
          <w:sz w:val="18"/>
          <w:szCs w:val="18"/>
          <w:lang w:eastAsia="zh-CN" w:bidi="ar"/>
        </w:rPr>
      </w:pPr>
    </w:p>
    <w:p>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numPr>
          <w:ilvl w:val="0"/>
          <w:numId w:val="0"/>
        </w:numPr>
        <w:rPr>
          <w:rFonts w:ascii="微软雅黑" w:hAnsi="微软雅黑" w:eastAsia="微软雅黑" w:cs="微软雅黑"/>
          <w:sz w:val="18"/>
          <w:szCs w:val="18"/>
          <w:lang w:eastAsia="zh-CN" w:bidi="ar"/>
        </w:rPr>
      </w:pPr>
    </w:p>
    <w:p>
      <w:pPr>
        <w:numPr>
          <w:ilvl w:val="0"/>
          <w:numId w:val="0"/>
        </w:numPr>
        <w:rPr>
          <w:rFonts w:hint="eastAsia" w:ascii="Times New Roman" w:hAnsi="Times New Roman" w:eastAsia="微软雅黑" w:cs="Times New Roman"/>
          <w:sz w:val="24"/>
          <w:szCs w:val="24"/>
          <w:lang w:eastAsia="zh-CN"/>
        </w:rPr>
      </w:pPr>
    </w:p>
    <w:p>
      <w:pPr>
        <w:rPr>
          <w:lang w:eastAsia="zh-CN"/>
        </w:rPr>
      </w:pPr>
      <w:r>
        <w:rPr>
          <w:lang w:eastAsia="zh-CN"/>
        </w:rPr>
        <w:br w:type="page"/>
      </w:r>
    </w:p>
    <w:p>
      <w:pPr>
        <w:pStyle w:val="2"/>
      </w:pPr>
      <w:bookmarkStart w:id="29" w:name="_Toc2781"/>
      <w:bookmarkStart w:id="30" w:name="_Toc19898_WPSOffice_Level1"/>
      <w:bookmarkStart w:id="31" w:name="_Toc20136_WPSOffice_Level1"/>
      <w:bookmarkStart w:id="32" w:name="_Toc22132"/>
      <w:bookmarkStart w:id="33" w:name="_Toc12381"/>
      <w:bookmarkStart w:id="34" w:name="_Toc18363"/>
      <w:bookmarkStart w:id="35" w:name="_Toc19184"/>
      <w:bookmarkStart w:id="36" w:name="_Toc14062"/>
      <w:r>
        <w:t>检测结果及用药提示</w:t>
      </w:r>
      <w:bookmarkEnd w:id="20"/>
      <w:bookmarkEnd w:id="29"/>
      <w:bookmarkEnd w:id="30"/>
      <w:bookmarkEnd w:id="31"/>
      <w:bookmarkEnd w:id="32"/>
      <w:bookmarkEnd w:id="33"/>
      <w:bookmarkEnd w:id="34"/>
      <w:bookmarkEnd w:id="35"/>
      <w:bookmarkEnd w:id="36"/>
    </w:p>
    <w:p>
      <w:pPr>
        <w:pStyle w:val="3"/>
      </w:pPr>
      <w:bookmarkStart w:id="37" w:name="_Toc11015_WPSOffice_Level2"/>
      <w:bookmarkStart w:id="38" w:name="_Toc22976"/>
      <w:bookmarkStart w:id="39" w:name="_Toc23375"/>
      <w:bookmarkStart w:id="40" w:name="_Toc24979"/>
      <w:bookmarkStart w:id="41" w:name="_Toc9088"/>
      <w:bookmarkStart w:id="42" w:name="_Toc26961"/>
      <w:bookmarkStart w:id="43" w:name="_Toc30265"/>
      <w:bookmarkStart w:id="44" w:name="_Toc18062_WPSOffice_Level2"/>
      <w:r>
        <w:t>靶向药物用药提示</w:t>
      </w:r>
      <w:bookmarkEnd w:id="37"/>
      <w:bookmarkEnd w:id="38"/>
      <w:bookmarkEnd w:id="39"/>
      <w:bookmarkEnd w:id="40"/>
      <w:bookmarkEnd w:id="41"/>
      <w:bookmarkEnd w:id="42"/>
      <w:bookmarkEnd w:id="43"/>
      <w:bookmarkEnd w:id="44"/>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summaryOfRresults.somaticCellMedicationNum}</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个与靶向药物相关。具体信息详见“基因检测结果解析”。</w:t>
      </w:r>
    </w:p>
    <w:tbl>
      <w:tblPr>
        <w:tblStyle w:val="19"/>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601"/>
        <w:gridCol w:w="1946"/>
        <w:gridCol w:w="1804"/>
        <w:gridCol w:w="1662"/>
        <w:gridCol w:w="1441"/>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vMerge w:val="restart"/>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突变基因</w:t>
            </w:r>
          </w:p>
        </w:tc>
        <w:tc>
          <w:tcPr>
            <w:tcW w:w="1378" w:type="dxa"/>
            <w:vMerge w:val="restart"/>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检测结果</w:t>
            </w:r>
          </w:p>
        </w:tc>
        <w:tc>
          <w:tcPr>
            <w:tcW w:w="601" w:type="dxa"/>
            <w:vMerge w:val="restart"/>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突变丰度</w:t>
            </w:r>
          </w:p>
        </w:tc>
        <w:tc>
          <w:tcPr>
            <w:tcW w:w="1661" w:type="dxa"/>
            <w:gridSpan w:val="3"/>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lang w:eastAsia="zh-CN"/>
              </w:rPr>
              <w:t>可能获益的药物</w:t>
            </w:r>
          </w:p>
        </w:tc>
        <w:tc>
          <w:tcPr>
            <w:tcW w:w="1440" w:type="dxa"/>
            <w:vMerge w:val="restart"/>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lang w:eastAsia="zh-CN"/>
              </w:rPr>
              <w:t>可能耐药药物</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31" w:hRule="exact"/>
          <w:tblHeader/>
        </w:trPr>
        <w:tc>
          <w:tcPr>
            <w:tcW w:w="947"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1378"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601" w:type="dxa"/>
            <w:vMerge w:val="continue"/>
            <w:shd w:val="clear" w:color="auto" w:fill="auto"/>
            <w:vAlign w:val="center"/>
          </w:tcPr>
          <w:p>
            <w:pPr>
              <w:jc w:val="center"/>
              <w:rPr>
                <w:rFonts w:ascii="Times New Roman" w:hAnsi="Times New Roman" w:eastAsia="微软雅黑" w:cs="Times New Roman"/>
                <w:color w:val="00B050"/>
                <w:sz w:val="21"/>
                <w:szCs w:val="21"/>
              </w:rPr>
            </w:pPr>
          </w:p>
        </w:tc>
        <w:tc>
          <w:tcPr>
            <w:tcW w:w="1945" w:type="dxa"/>
            <w:shd w:val="clear" w:color="auto" w:fill="auto"/>
            <w:vAlign w:val="center"/>
          </w:tcPr>
          <w:p>
            <w:pPr>
              <w:pStyle w:val="18"/>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rPr>
              <w:t>A级</w:t>
            </w:r>
          </w:p>
        </w:tc>
        <w:tc>
          <w:tcPr>
            <w:tcW w:w="1803" w:type="dxa"/>
            <w:shd w:val="clear" w:color="auto" w:fill="auto"/>
            <w:vAlign w:val="center"/>
          </w:tcPr>
          <w:p>
            <w:pPr>
              <w:pStyle w:val="18"/>
              <w:jc w:val="center"/>
              <w:rPr>
                <w:rFonts w:ascii="Times New Roman" w:hAnsi="Times New Roman" w:eastAsia="微软雅黑" w:cs="Times New Roman"/>
                <w:b/>
                <w:color w:val="00B050"/>
                <w:sz w:val="21"/>
                <w:szCs w:val="21"/>
              </w:rPr>
            </w:pPr>
            <w:r>
              <w:rPr>
                <w:rFonts w:ascii="Times New Roman" w:hAnsi="Times New Roman" w:eastAsia="微软雅黑" w:cs="Times New Roman"/>
                <w:b/>
                <w:color w:val="00B050"/>
                <w:sz w:val="21"/>
                <w:szCs w:val="21"/>
              </w:rPr>
              <w:t>B级</w:t>
            </w:r>
          </w:p>
        </w:tc>
        <w:tc>
          <w:tcPr>
            <w:tcW w:w="1661" w:type="dxa"/>
            <w:shd w:val="clear" w:color="auto" w:fill="auto"/>
            <w:vAlign w:val="center"/>
          </w:tcPr>
          <w:p>
            <w:pPr>
              <w:pStyle w:val="18"/>
              <w:jc w:val="center"/>
              <w:rPr>
                <w:rFonts w:ascii="Times New Roman" w:hAnsi="Times New Roman" w:eastAsia="微软雅黑" w:cs="Times New Roman"/>
                <w:b/>
                <w:color w:val="00B050"/>
                <w:sz w:val="21"/>
                <w:szCs w:val="21"/>
                <w:lang w:eastAsia="zh-CN"/>
              </w:rPr>
            </w:pPr>
            <w:r>
              <w:rPr>
                <w:rFonts w:ascii="Times New Roman" w:hAnsi="Times New Roman" w:eastAsia="微软雅黑" w:cs="Times New Roman"/>
                <w:b/>
                <w:color w:val="00B050"/>
                <w:sz w:val="21"/>
                <w:szCs w:val="21"/>
              </w:rPr>
              <w:t>C级</w:t>
            </w:r>
          </w:p>
        </w:tc>
        <w:tc>
          <w:tcPr>
            <w:tcW w:w="1440" w:type="dxa"/>
            <w:vMerge w:val="continue"/>
            <w:shd w:val="clear" w:color="auto" w:fill="auto"/>
          </w:tcPr>
          <w:p>
            <w:pPr>
              <w:rPr>
                <w:rFonts w:ascii="Times New Roman" w:hAnsi="Times New Roman" w:eastAsia="微软雅黑" w:cs="Times New Roman"/>
                <w:color w:val="00B050"/>
                <w:sz w:val="21"/>
                <w:szCs w:val="21"/>
              </w:rPr>
            </w:pP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{%tr if targetDrugTipLineStr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targetDrugTipLineStr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1366"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tip.DrugAStr == [] %}无{% else%}{% for d in tip.DrugAStr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tip.DrugBStr == [] %}无{% else%}{% for d in tip.DrugBStr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tip.DrugCStr == [] %}无{% else%}{% for d in tip.DrugCStr %}{%if loop.last%}{{r d.name | ms(d.isbold,d.isRed) }}{%else%}{{r d.name | ms(d.isbold,d.isRed)}}，</w:t>
            </w:r>
          </w:p>
          <w:p>
            <w:pPr>
              <w:spacing w:before="1" w:line="249" w:lineRule="auto"/>
              <w:ind w:left="262" w:right="131"/>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 endif%}</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tip.ResistantDrug == [] %}无{% else%}{% for d in tip.ResistantDrug %}{%if loop.last%}{{r d.name | ms(d.isbold,d.isRed) }}{%else%}{{r d.name | ms(d.isbold,d.isRed)}}，</w:t>
            </w:r>
          </w:p>
          <w:p>
            <w:pPr>
              <w:spacing w:before="1" w:line="249" w:lineRule="auto"/>
              <w:ind w:left="262" w:right="131"/>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 endfor %}{% endif%}</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947" w:type="dxa"/>
            <w:shd w:val="clear" w:color="auto" w:fill="F1F1F1" w:themeFill="background1" w:themeFillShade="F2"/>
            <w:vAlign w:val="center"/>
          </w:tcPr>
          <w:p>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8" w:type="dxa"/>
            <w:shd w:val="clear" w:color="auto" w:fill="F1F1F1" w:themeFill="background1" w:themeFillShade="F2"/>
            <w:vAlign w:val="center"/>
          </w:tcPr>
          <w:p>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01" w:type="dxa"/>
            <w:shd w:val="clear" w:color="auto" w:fill="F1F1F1" w:themeFill="background1" w:themeFillShade="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366"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661"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440" w:type="dxa"/>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864" w:hRule="atLeast"/>
        </w:trPr>
        <w:tc>
          <w:tcPr>
            <w:tcW w:w="1440" w:type="dxa"/>
            <w:gridSpan w:val="7"/>
            <w:shd w:val="clear" w:color="auto" w:fill="F1F1F1" w:themeFill="background1" w:themeFillShade="F2"/>
            <w:vAlign w:val="center"/>
          </w:tcPr>
          <w:p>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6"/>
        <w:ind w:left="420"/>
        <w:rPr>
          <w:rFonts w:ascii="Times New Roman" w:hAnsi="Times New Roman" w:eastAsia="微软雅黑" w:cs="Times New Roman"/>
          <w:b/>
          <w:sz w:val="20"/>
          <w:lang w:eastAsia="zh-CN"/>
        </w:rPr>
      </w:pPr>
    </w:p>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突变丰度：在某位点产生突变的等位基因在该位点全部等位基因中所占比率。</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可能获益药物：</w:t>
      </w:r>
      <w:r>
        <w:rPr>
          <w:rFonts w:hint="eastAsia" w:ascii="Times New Roman" w:hAnsi="Times New Roman" w:eastAsia="微软雅黑" w:cs="Times New Roman"/>
          <w:sz w:val="18"/>
          <w:szCs w:val="18"/>
          <w:lang w:eastAsia="zh-CN"/>
        </w:rPr>
        <w:t>A级：FDA/NMPA已经批准或各指南推荐在本癌种该靶点上可用的药物；B级：大型已注册II、III、IV期临床试验证实在本癌种该靶点可用的药物；C级：其他癌种A级证据，或I期临床试验/临床个例/研究者独立开展的多病例小型临床研究证实在本癌种该靶点可用的药物，或本癌种该靶点用药符合正在招募的大型已注册临床试验入组标准。</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可能耐药药物：FDA/NMPA已经批准的、NCCN指南推荐的、临床试验或者临床研究有明确结果的、药物敏感性可能降低或产生耐药的靶向药物。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黑色粗体药物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FDA/NMPA已批准药物，未加粗药物为未上市药物。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标注的药物：NMPA批准的靶向药物。</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标注的药物</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符合正在招募的大型已注册临床试验入组标准的药物。</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多靶点循证</w:t>
      </w:r>
      <w:r>
        <w:rPr>
          <w:rFonts w:hint="eastAsia" w:ascii="Times New Roman" w:hAnsi="Times New Roman" w:eastAsia="微软雅黑" w:cs="Times New Roman"/>
          <w:sz w:val="18"/>
          <w:szCs w:val="18"/>
          <w:lang w:eastAsia="zh-CN"/>
        </w:rPr>
        <w:t>检测结果中的符号意义：“+”表示“并且”，“/”表示“或者”，“!”表示“不满足”。</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redFlag == True %}</w:t>
      </w:r>
      <w:r>
        <w:rPr>
          <w:rFonts w:hint="eastAsia" w:ascii="Times New Roman" w:hAnsi="Times New Roman" w:eastAsia="微软雅黑" w:cs="Times New Roman"/>
          <w:sz w:val="18"/>
          <w:szCs w:val="18"/>
          <w:highlight w:val="lightGray"/>
          <w:lang w:eastAsia="zh-CN"/>
        </w:rPr>
        <w:t>靶向药物提示中的药物建议综合考虑患者的经治情况，灰色底纹标注药物建议综合考虑对应生物标志物的检测结果，仅供临床参考。</w:t>
      </w:r>
      <w:r>
        <w:rPr>
          <w:rFonts w:hint="eastAsia" w:ascii="Times New Roman" w:hAnsi="Times New Roman" w:eastAsia="微软雅黑" w:cs="Times New Roman"/>
          <w:sz w:val="18"/>
          <w:szCs w:val="18"/>
          <w:lang w:eastAsia="zh-CN"/>
        </w:rPr>
        <w:t>{% else %}靶向药物提示中的药物建议综合考虑患者的经治情况，灰色底纹标注药物建议综合考虑对应生物标志物的检测结果，仅供临床参考</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endif %}</w:t>
      </w:r>
      <w:bookmarkStart w:id="123" w:name="_GoBack"/>
      <w:bookmarkEnd w:id="123"/>
      <w:r>
        <w:rPr>
          <w:rFonts w:ascii="Times New Roman" w:hAnsi="Times New Roman" w:eastAsia="微软雅黑" w:cs="Times New Roman"/>
          <w:b/>
          <w:color w:val="00B050"/>
          <w:sz w:val="24"/>
          <w:szCs w:val="24"/>
          <w:lang w:eastAsia="zh-CN"/>
        </w:rPr>
        <w:br w:type="page"/>
      </w:r>
    </w:p>
    <w:p>
      <w:pPr>
        <w:spacing w:line="276" w:lineRule="auto"/>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t>无相关靶向用药的基因突变</w:t>
      </w:r>
    </w:p>
    <w:tbl>
      <w:tblPr>
        <w:tblStyle w:val="13"/>
        <w:tblW w:w="994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1823"/>
        <w:gridCol w:w="3583"/>
        <w:gridCol w:w="2235"/>
        <w:gridCol w:w="2299"/>
      </w:tblGrid>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182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基因名称</w:t>
            </w:r>
          </w:p>
        </w:tc>
        <w:tc>
          <w:tcPr>
            <w:tcW w:w="3583"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检测结果</w:t>
            </w:r>
          </w:p>
        </w:tc>
        <w:tc>
          <w:tcPr>
            <w:tcW w:w="2235"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突变类型</w:t>
            </w:r>
          </w:p>
        </w:tc>
        <w:tc>
          <w:tcPr>
            <w:tcW w:w="2299" w:type="dxa"/>
            <w:tcBorders>
              <w:top w:val="single" w:color="00B050" w:sz="18" w:space="0"/>
            </w:tcBorders>
            <w:shd w:val="clear" w:color="auto" w:fill="FFFFFF"/>
            <w:vAlign w:val="center"/>
          </w:tcPr>
          <w:p>
            <w:pPr>
              <w:jc w:val="center"/>
              <w:rPr>
                <w:rFonts w:ascii="Times New Roman" w:hAnsi="Times New Roman" w:eastAsia="微软雅黑" w:cs="Times New Roman"/>
                <w:b/>
                <w:color w:val="00B050"/>
                <w:sz w:val="20"/>
                <w:szCs w:val="20"/>
                <w:lang w:eastAsia="zh-CN"/>
              </w:rPr>
            </w:pPr>
            <w:r>
              <w:rPr>
                <w:rFonts w:ascii="Times New Roman" w:hAnsi="Times New Roman" w:eastAsia="微软雅黑" w:cs="Times New Roman"/>
                <w:b/>
                <w:color w:val="00B050"/>
                <w:sz w:val="20"/>
                <w:szCs w:val="20"/>
                <w:lang w:eastAsia="zh-CN"/>
              </w:rPr>
              <w:t>突变丰度</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unknownTipLineStr != []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for tip in unknownTipLineStr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tip.gene }}</w:t>
            </w:r>
          </w:p>
        </w:tc>
        <w:tc>
          <w:tcPr>
            <w:tcW w:w="3583" w:type="dxa"/>
            <w:shd w:val="clear" w:color="auto" w:fill="F2F2F2"/>
            <w:vAlign w:val="center"/>
          </w:tcPr>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tip.ori_variant }}</w:t>
            </w:r>
          </w:p>
        </w:tc>
        <w:tc>
          <w:tcPr>
            <w:tcW w:w="2235"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tip.ExonicFunc}}</w:t>
            </w:r>
          </w:p>
        </w:tc>
        <w:tc>
          <w:tcPr>
            <w:tcW w:w="2299" w:type="dxa"/>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tip.mutFreq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1823"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3583" w:type="dxa"/>
            <w:shd w:val="clear" w:color="auto" w:fill="F2F2F2"/>
            <w:vAlign w:val="center"/>
          </w:tcPr>
          <w:p>
            <w:pPr>
              <w:jc w:val="center"/>
              <w:rPr>
                <w:rFonts w:ascii="Times New Roman" w:hAnsi="Times New Roman" w:eastAsia="微软雅黑" w:cs="Times New Roman"/>
                <w:bCs/>
                <w:sz w:val="18"/>
                <w:szCs w:val="18"/>
              </w:rPr>
            </w:pPr>
            <w:r>
              <w:rPr>
                <w:rFonts w:ascii="Times New Roman" w:hAnsi="Times New Roman" w:eastAsia="微软雅黑" w:cs="Times New Roman"/>
                <w:sz w:val="18"/>
                <w:szCs w:val="18"/>
              </w:rPr>
              <w:t>/</w:t>
            </w:r>
          </w:p>
        </w:tc>
        <w:tc>
          <w:tcPr>
            <w:tcW w:w="2235"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c>
          <w:tcPr>
            <w:tcW w:w="2299" w:type="dxa"/>
            <w:shd w:val="clear" w:color="auto" w:fill="F2F2F2"/>
            <w:vAlign w:val="center"/>
          </w:tcPr>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rPr>
              <w:t>/</w:t>
            </w:r>
          </w:p>
        </w:tc>
      </w:tr>
      <w:tr>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940" w:type="dxa"/>
            <w:gridSpan w:val="4"/>
            <w:shd w:val="clear" w:color="auto" w:fill="F2F2F2"/>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pPr>
        <w:pStyle w:val="20"/>
        <w:ind w:left="420"/>
        <w:rPr>
          <w:rFonts w:ascii="Times New Roman" w:hAnsi="Times New Roman" w:eastAsia="微软雅黑" w:cs="Times New Roman"/>
          <w:b/>
          <w:lang w:eastAsia="zh-CN"/>
        </w:rPr>
      </w:pP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pStyle w:val="21"/>
      </w:pPr>
      <w:bookmarkStart w:id="45" w:name="_Toc23891"/>
      <w:bookmarkStart w:id="46" w:name="_Toc25727"/>
      <w:bookmarkStart w:id="47" w:name="_Toc28194"/>
      <w:bookmarkStart w:id="48" w:name="_Toc32443_WPSOffice_Level1"/>
      <w:bookmarkStart w:id="49" w:name="_Toc32661"/>
      <w:bookmarkStart w:id="50" w:name="_Toc23903"/>
      <w:bookmarkStart w:id="51" w:name="_Toc5598"/>
      <w:bookmarkStart w:id="52" w:name="_Toc4331_WPSOffice_Level1"/>
      <w:bookmarkStart w:id="53" w:name="_Toc23846_WPSOffice_Level1"/>
      <w:r>
        <w:t>基因检测结果解析</w:t>
      </w:r>
      <w:bookmarkEnd w:id="45"/>
      <w:bookmarkEnd w:id="46"/>
      <w:bookmarkEnd w:id="47"/>
      <w:bookmarkEnd w:id="48"/>
      <w:bookmarkEnd w:id="49"/>
      <w:bookmarkEnd w:id="50"/>
      <w:bookmarkEnd w:id="51"/>
      <w:bookmarkEnd w:id="52"/>
      <w:bookmarkEnd w:id="53"/>
    </w:p>
    <w:p>
      <w:pPr>
        <w:widowControl/>
        <w:rPr>
          <w:rFonts w:ascii="Times New Roman" w:hAnsi="Times New Roman" w:eastAsia="微软雅黑" w:cs="Times New Roman"/>
          <w:b/>
          <w:color w:val="45A3A7"/>
          <w:sz w:val="24"/>
          <w:szCs w:val="24"/>
          <w:lang w:eastAsia="zh-CN"/>
        </w:rPr>
      </w:pPr>
      <w:bookmarkStart w:id="54" w:name="_Toc2749"/>
      <w:bookmarkStart w:id="55" w:name="_Toc6988"/>
      <w:bookmarkStart w:id="56" w:name="_Toc16347"/>
      <w:bookmarkStart w:id="57" w:name="_Toc3782"/>
      <w:bookmarkStart w:id="58" w:name="_Toc15530"/>
      <w:bookmarkStart w:id="59" w:name="_Toc26649"/>
      <w:bookmarkStart w:id="60" w:name="_Toc21764_WPSOffice_Level2"/>
      <w:bookmarkStart w:id="61" w:name="_Toc1707_WPSOffice_Level2"/>
      <w:r>
        <w:rPr>
          <w:rFonts w:hint="eastAsia" w:ascii="Times New Roman" w:hAnsi="Times New Roman" w:eastAsia="微软雅黑" w:cs="Times New Roman"/>
          <w:b/>
          <w:color w:val="45A3A7"/>
          <w:sz w:val="24"/>
          <w:szCs w:val="24"/>
          <w:lang w:eastAsia="zh-CN"/>
        </w:rPr>
        <w:t>{% if drugAnalysisIndex == 'true' %}</w:t>
      </w:r>
    </w:p>
    <w:p>
      <w:pPr>
        <w:pStyle w:val="22"/>
      </w:pPr>
      <w:bookmarkStart w:id="62" w:name="_Toc4331_WPSOffice_Level2"/>
      <w:bookmarkStart w:id="63" w:name="_Toc32337"/>
      <w:bookmarkStart w:id="64" w:name="_Toc32443_WPSOffice_Level2"/>
      <w:bookmarkStart w:id="65" w:name="_Toc29231"/>
      <w:bookmarkStart w:id="66" w:name="_Toc23606"/>
      <w:r>
        <w:rPr>
          <w:rFonts w:hint="eastAsia"/>
        </w:rPr>
        <w:t>靶向药物检测解析</w:t>
      </w:r>
      <w:bookmarkEnd w:id="62"/>
      <w:bookmarkEnd w:id="63"/>
      <w:bookmarkEnd w:id="64"/>
      <w:bookmarkEnd w:id="65"/>
      <w:bookmarkEnd w:id="66"/>
    </w:p>
    <w:p>
      <w:pPr>
        <w:keepNext/>
        <w:spacing w:before="120" w:beforeLines="50" w:after="120" w:afterLines="50"/>
        <w:rPr>
          <w:rFonts w:ascii="Times New Roman" w:hAnsi="Times New Roman" w:eastAsia="微软雅黑" w:cs="Times New Roman"/>
          <w:b/>
          <w:color w:val="45A3A7"/>
          <w:sz w:val="24"/>
          <w:szCs w:val="24"/>
          <w:lang w:eastAsia="zh-CN"/>
        </w:rPr>
      </w:pPr>
      <w:bookmarkStart w:id="67" w:name="_Toc18091_WPSOffice_Level3"/>
      <w:bookmarkStart w:id="68" w:name="_Toc15289_WPSOffice_Level3"/>
      <w:bookmarkStart w:id="69" w:name="_Toc6931_WPSOffice_Level3"/>
      <w:r>
        <w:rPr>
          <w:rFonts w:hint="eastAsia" w:ascii="Times New Roman" w:hAnsi="Times New Roman" w:eastAsia="微软雅黑" w:cs="Times New Roman"/>
          <w:b/>
          <w:color w:val="45A3A7"/>
          <w:sz w:val="24"/>
          <w:szCs w:val="24"/>
          <w:lang w:eastAsia="zh-CN"/>
        </w:rPr>
        <w:t>{%if TargetedDrugDetectionStr != [] %}{% for tdd in TargetedDrugDetectionStr %}{{ tdd.gene }}</w:t>
      </w:r>
    </w:p>
    <w:tbl>
      <w:tblPr>
        <w:tblStyle w:val="13"/>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95"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{%tr if tdd.gene == </w:t>
            </w:r>
            <w:r>
              <w:rPr>
                <w:rFonts w:ascii="Times New Roman" w:hAnsi="Times New Roman" w:eastAsia="微软雅黑" w:cs="Times New Roman"/>
                <w:bCs/>
                <w:sz w:val="18"/>
                <w:szCs w:val="18"/>
                <w:lang w:eastAsia="zh-CN"/>
              </w:rPr>
              <w:t>‘</w:t>
            </w:r>
            <w:r>
              <w:rPr>
                <w:rFonts w:ascii="Times New Roman" w:hAnsi="Times New Roman" w:eastAsia="微软雅黑" w:cs="Times New Roman"/>
                <w:sz w:val="18"/>
                <w:szCs w:val="18"/>
                <w:lang w:eastAsia="zh-CN"/>
              </w:rPr>
              <w:t>多靶点循证</w:t>
            </w:r>
            <w:r>
              <w:rPr>
                <w:rFonts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突变位点</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if</w:t>
            </w:r>
            <w:r>
              <w:rPr>
                <w:rFonts w:hint="eastAsia" w:ascii="Times New Roman" w:hAnsi="Times New Roman" w:eastAsia="微软雅黑" w:cs="Times New Roman"/>
                <w:bCs/>
                <w:sz w:val="18"/>
                <w:szCs w:val="18"/>
                <w:lang w:eastAsia="zh-CN"/>
              </w:rPr>
              <w:t xml:space="preserve"> tdd.simple_vars</w:t>
            </w:r>
            <w:r>
              <w:rPr>
                <w:rFonts w:hint="eastAsia" w:ascii="Times New Roman" w:hAnsi="Times New Roman" w:eastAsia="微软雅黑" w:cs="Times New Roman"/>
                <w:sz w:val="18"/>
                <w:szCs w:val="18"/>
                <w:lang w:eastAsia="zh-CN"/>
              </w:rPr>
              <w:t xml:space="preserve"> == [] %}无{% else%}</w:t>
            </w:r>
            <w:r>
              <w:rPr>
                <w:rFonts w:hint="eastAsia" w:ascii="Times New Roman" w:hAnsi="Times New Roman" w:eastAsia="微软雅黑" w:cs="Times New Roman"/>
                <w:bCs/>
                <w:sz w:val="18"/>
                <w:szCs w:val="18"/>
                <w:lang w:eastAsia="zh-CN"/>
              </w:rPr>
              <w:t>{% for sv in tdd.simple_vars%}</w:t>
            </w:r>
            <w:r>
              <w:rPr>
                <w:rFonts w:hint="eastAsia" w:ascii="Times New Roman" w:hAnsi="Times New Roman" w:eastAsia="微软雅黑" w:cs="Times New Roman"/>
                <w:sz w:val="18"/>
                <w:szCs w:val="18"/>
                <w:lang w:eastAsia="zh-CN"/>
              </w:rPr>
              <w:t>{% if loop.last %}</w:t>
            </w:r>
            <w:r>
              <w:rPr>
                <w:rFonts w:hint="eastAsia" w:ascii="Times New Roman" w:hAnsi="Times New Roman" w:eastAsia="微软雅黑" w:cs="Times New Roman"/>
                <w:bCs/>
                <w:sz w:val="18"/>
                <w:szCs w:val="18"/>
                <w:lang w:eastAsia="zh-CN"/>
              </w:rPr>
              <w:t>{{ sv }}{% else %}{{ sv }}</w:t>
            </w:r>
          </w:p>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endif %}{% endfor %}{%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9870" w:type="dxa"/>
            <w:gridSpan w:val="3"/>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变异丰度</w:t>
            </w:r>
          </w:p>
        </w:tc>
        <w:tc>
          <w:tcPr>
            <w:tcW w:w="8247"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restart"/>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潜在获益药物</w:t>
            </w: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A级</w:t>
            </w:r>
          </w:p>
        </w:tc>
        <w:tc>
          <w:tcPr>
            <w:tcW w:w="8247" w:type="dxa"/>
            <w:vAlign w:val="center"/>
          </w:tcPr>
          <w:p>
            <w:pPr>
              <w:spacing w:before="1" w:line="250" w:lineRule="auto"/>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tdd.drugaStr == [] %}无{% else%}{% for d in tdd.drugaStr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B级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tdd.drugbStr == [] %}无{% else%}{% for d in tdd.drugbStr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432" w:type="dxa"/>
            <w:vMerge w:val="continue"/>
            <w:vAlign w:val="center"/>
          </w:tcPr>
          <w:p>
            <w:pPr>
              <w:keepNext/>
              <w:spacing w:before="26"/>
              <w:jc w:val="center"/>
              <w:rPr>
                <w:rFonts w:ascii="Times New Roman" w:hAnsi="Times New Roman" w:eastAsia="微软雅黑" w:cs="Times New Roman"/>
                <w:b/>
                <w:color w:val="45A3A7"/>
                <w:sz w:val="18"/>
                <w:szCs w:val="18"/>
                <w:lang w:eastAsia="zh-CN"/>
              </w:rPr>
            </w:pPr>
          </w:p>
        </w:tc>
        <w:tc>
          <w:tcPr>
            <w:tcW w:w="1191"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C级</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tdd.drugcStr == [] %}无{% else%}{% for d in tdd.drugcStr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潜在耐药信息</w:t>
            </w:r>
          </w:p>
        </w:tc>
        <w:tc>
          <w:tcPr>
            <w:tcW w:w="8247" w:type="dxa"/>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tdd.resistantStr == [] %}无{% else%}{% for d in tdd.resistantStr %}{%if loop.last%}{{r d.name | ms(d.isbold,d.isRed) }}{%else%}{{r d.name | ms(d.isbold,d.isRed)}}，{%endif%}{%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循证医学证据</w:t>
            </w:r>
          </w:p>
        </w:tc>
        <w:tc>
          <w:tcPr>
            <w:tcW w:w="8247" w:type="dxa"/>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'recommend:' %}</w:t>
            </w:r>
            <w:r>
              <w:rPr>
                <w:rFonts w:hint="eastAsia" w:ascii="Times New Roman" w:hAnsi="Times New Roman" w:eastAsia="微软雅黑" w:cs="Times New Roman"/>
                <w:b/>
                <w:bCs/>
                <w:sz w:val="18"/>
                <w:szCs w:val="18"/>
                <w:lang w:eastAsia="zh-CN"/>
              </w:rPr>
              <w:t>{{md.value}}</w:t>
            </w:r>
            <w:r>
              <w:rPr>
                <w:rFonts w:hint="eastAsia" w:ascii="Times New Roman" w:hAnsi="Times New Roman" w:eastAsia="微软雅黑" w:cs="Times New Roman"/>
                <w:sz w:val="18"/>
                <w:szCs w:val="18"/>
                <w:lang w:eastAsia="zh-CN"/>
              </w:rPr>
              <w:t>{%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endif %}{%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drugInformationStr != [] %}</w:t>
      </w:r>
    </w:p>
    <w:p>
      <w:pPr>
        <w:keepNext/>
        <w:spacing w:before="26" w:after="120" w:afterLines="50"/>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t>药物信息</w:t>
      </w:r>
    </w:p>
    <w:tbl>
      <w:tblPr>
        <w:tblStyle w:val="13"/>
        <w:tblpPr w:leftFromText="180" w:rightFromText="180" w:vertAnchor="text" w:horzAnchor="page" w:tblpX="1139" w:tblpY="7"/>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15"/>
        <w:gridCol w:w="825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药物名称</w:t>
            </w:r>
          </w:p>
        </w:tc>
        <w:tc>
          <w:tcPr>
            <w:tcW w:w="825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适应症</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tcPr>
          <w:p>
            <w:pPr>
              <w:keepNext/>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cs="Times New Roman"/>
                <w:b/>
                <w:color w:val="45A3A7"/>
                <w:sz w:val="18"/>
                <w:szCs w:val="18"/>
                <w:lang w:eastAsia="zh-CN"/>
              </w:rPr>
              <w:t>{%tr for dis in tdd.drugInformationStr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1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{{r </w:t>
            </w:r>
            <w:r>
              <w:rPr>
                <w:rFonts w:hint="eastAsia" w:ascii="Times New Roman" w:hAnsi="Times New Roman" w:eastAsia="微软雅黑" w:cs="Times New Roman"/>
                <w:bCs/>
                <w:sz w:val="18"/>
                <w:szCs w:val="18"/>
                <w:lang w:eastAsia="zh-CN"/>
              </w:rPr>
              <w:t>dis.name</w:t>
            </w:r>
            <w:r>
              <w:rPr>
                <w:rFonts w:hint="eastAsia" w:ascii="Times New Roman" w:hAnsi="Times New Roman" w:eastAsia="微软雅黑" w:cs="Times New Roman"/>
                <w:sz w:val="18"/>
                <w:szCs w:val="18"/>
                <w:lang w:eastAsia="zh-CN"/>
              </w:rPr>
              <w:t xml:space="preserve"> | ms(</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.isbold,</w:t>
            </w:r>
            <w:r>
              <w:rPr>
                <w:rFonts w:hint="eastAsia" w:ascii="Times New Roman" w:hAnsi="Times New Roman" w:eastAsia="微软雅黑" w:cs="Times New Roman"/>
                <w:bCs/>
                <w:sz w:val="18"/>
                <w:szCs w:val="18"/>
                <w:lang w:eastAsia="zh-CN"/>
              </w:rPr>
              <w:t>dis</w:t>
            </w:r>
            <w:r>
              <w:rPr>
                <w:rFonts w:hint="eastAsia" w:ascii="Times New Roman" w:hAnsi="Times New Roman" w:eastAsia="微软雅黑" w:cs="Times New Roman"/>
                <w:sz w:val="18"/>
                <w:szCs w:val="18"/>
                <w:lang w:eastAsia="zh-CN"/>
              </w:rPr>
              <w:t>.isRed)}}</w:t>
            </w:r>
          </w:p>
        </w:tc>
        <w:tc>
          <w:tcPr>
            <w:tcW w:w="8255" w:type="dxa"/>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for dd in </w:t>
            </w:r>
            <w:r>
              <w:rPr>
                <w:rFonts w:hint="eastAsia" w:ascii="Times New Roman" w:hAnsi="Times New Roman" w:eastAsia="微软雅黑" w:cs="Times New Roman"/>
                <w:bCs/>
                <w:sz w:val="18"/>
                <w:szCs w:val="18"/>
                <w:lang w:eastAsia="zh-CN"/>
              </w:rPr>
              <w:t>dis.drugInfo</w:t>
            </w:r>
            <w:r>
              <w:rPr>
                <w:rFonts w:hint="eastAsia" w:ascii="Times New Roman" w:hAnsi="Times New Roman" w:eastAsia="微软雅黑" w:cs="Times New Roman"/>
                <w:sz w:val="18"/>
                <w:szCs w:val="18"/>
                <w:lang w:eastAsia="zh-CN"/>
              </w:rPr>
              <w:t xml:space="preserve"> %}{%if loop.last%}</w:t>
            </w:r>
            <w:r>
              <w:rPr>
                <w:rFonts w:hint="eastAsia" w:ascii="Times New Roman" w:hAnsi="Times New Roman" w:eastAsia="微软雅黑" w:cs="Times New Roman"/>
                <w:bCs/>
                <w:sz w:val="18"/>
                <w:szCs w:val="18"/>
                <w:lang w:eastAsia="zh-CN"/>
              </w:rPr>
              <w:t>{{ dd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bCs/>
                <w:sz w:val="18"/>
                <w:szCs w:val="18"/>
                <w:lang w:eastAsia="zh-CN"/>
              </w:rPr>
              <w:t>{{ dd }}</w:t>
            </w:r>
          </w:p>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2"/>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color w:val="45A3A7"/>
          <w:sz w:val="24"/>
          <w:lang w:eastAsia="zh-CN"/>
        </w:rPr>
        <w:t xml:space="preserve">{% endif %}{%if </w:t>
      </w:r>
      <w:r>
        <w:rPr>
          <w:rFonts w:hint="eastAsia" w:ascii="Times New Roman" w:hAnsi="Times New Roman" w:eastAsia="微软雅黑" w:cs="Times New Roman"/>
          <w:b/>
          <w:color w:val="45A3A7"/>
          <w:sz w:val="24"/>
          <w:szCs w:val="24"/>
          <w:lang w:eastAsia="zh-CN"/>
        </w:rPr>
        <w:t>tdd.</w:t>
      </w:r>
      <w:r>
        <w:rPr>
          <w:rFonts w:hint="eastAsia" w:ascii="Times New Roman" w:hAnsi="Times New Roman" w:eastAsia="微软雅黑" w:cs="Times New Roman"/>
          <w:b/>
          <w:color w:val="45A3A7"/>
          <w:sz w:val="24"/>
          <w:lang w:eastAsia="zh-CN"/>
        </w:rPr>
        <w:t>clinicalTrialInformationStr!= [] %}</w:t>
      </w:r>
    </w:p>
    <w:p>
      <w:pPr>
        <w:keepNext/>
        <w:spacing w:before="26" w:after="120" w:afterLines="50"/>
        <w:rPr>
          <w:rFonts w:ascii="Times New Roman" w:hAnsi="Times New Roman" w:eastAsia="微软雅黑" w:cs="Times New Roman"/>
          <w:b/>
          <w:color w:val="45A3A7"/>
          <w:sz w:val="24"/>
          <w:lang w:eastAsia="zh-CN"/>
        </w:rPr>
      </w:pPr>
      <w:r>
        <w:rPr>
          <w:rFonts w:hint="eastAsia" w:ascii="Times New Roman" w:hAnsi="Times New Roman" w:eastAsia="微软雅黑" w:cs="Times New Roman"/>
          <w:b/>
          <w:color w:val="45A3A7"/>
          <w:sz w:val="24"/>
          <w:lang w:eastAsia="zh-CN"/>
        </w:rPr>
        <w:t>临床试验信息</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ID</w:t>
            </w:r>
          </w:p>
        </w:tc>
        <w:tc>
          <w:tcPr>
            <w:tcW w:w="3884" w:type="dxa"/>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临床试验名称</w:t>
            </w:r>
          </w:p>
        </w:tc>
        <w:tc>
          <w:tcPr>
            <w:tcW w:w="124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肿瘤类型</w:t>
            </w:r>
          </w:p>
        </w:tc>
        <w:tc>
          <w:tcPr>
            <w:tcW w:w="1035"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阶段</w:t>
            </w:r>
          </w:p>
        </w:tc>
        <w:tc>
          <w:tcPr>
            <w:tcW w:w="1204"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药物</w:t>
            </w:r>
          </w:p>
        </w:tc>
        <w:tc>
          <w:tcPr>
            <w:tcW w:w="856" w:type="dxa"/>
            <w:vAlign w:val="center"/>
          </w:tcPr>
          <w:p>
            <w:pPr>
              <w:keepNext/>
              <w:spacing w:before="26"/>
              <w:jc w:val="center"/>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45A3A7"/>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164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loop.last%}{{r d.name | ms(d.isbold,d.isRed) }}{%else%}{{r d.name | ms(d.isbold,d.isRed)}}</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cantSplit/>
        </w:trPr>
        <w:tc>
          <w:tcPr>
            <w:tcW w:w="9870" w:type="dxa"/>
            <w:gridSpan w:val="6"/>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bookmarkEnd w:id="67"/>
      <w:bookmarkEnd w:id="68"/>
      <w:bookmarkEnd w:id="69"/>
    </w:tbl>
    <w:p>
      <w:pPr>
        <w:widowControl/>
        <w:rPr>
          <w:rFonts w:ascii="Times New Roman" w:hAnsi="Times New Roman" w:eastAsia="微软雅黑" w:cs="Times New Roman"/>
          <w:b/>
          <w:lang w:eastAsia="zh-CN"/>
        </w:rPr>
      </w:pPr>
      <w:r>
        <w:rPr>
          <w:rFonts w:hint="eastAsia" w:ascii="Times New Roman" w:hAnsi="Times New Roman" w:eastAsia="微软雅黑" w:cs="Times New Roman"/>
          <w:b/>
          <w:color w:val="45A3A7"/>
          <w:sz w:val="24"/>
          <w:szCs w:val="24"/>
          <w:lang w:eastAsia="zh-CN"/>
        </w:rPr>
        <w:t>{% endif %}</w:t>
      </w:r>
      <w:r>
        <w:rPr>
          <w:rFonts w:hint="eastAsia" w:ascii="Times New Roman" w:hAnsi="Times New Roman" w:eastAsia="微软雅黑" w:cs="Times New Roman"/>
          <w:b/>
          <w:color w:val="45A3A7"/>
          <w:sz w:val="24"/>
          <w:szCs w:val="24"/>
          <w:lang w:eastAsia="zh-CN"/>
        </w:rPr>
        <w:br w:type="page"/>
      </w:r>
      <w:r>
        <w:rPr>
          <w:rFonts w:hint="eastAsia" w:ascii="Times New Roman" w:hAnsi="Times New Roman" w:eastAsia="微软雅黑" w:cs="Times New Roman"/>
          <w:b/>
          <w:color w:val="45A3A7"/>
          <w:sz w:val="24"/>
          <w:szCs w:val="24"/>
          <w:lang w:eastAsia="zh-CN"/>
        </w:rPr>
        <w:t>{% endfor %}{% endif %}{% endif %}{% if unknownVarAnalysisStr != [] %}无相关靶向用药的基因突变解析</w:t>
      </w:r>
      <w:r>
        <w:rPr>
          <w:rFonts w:hint="eastAsia" w:ascii="Times New Roman" w:hAnsi="Times New Roman" w:eastAsia="微软雅黑" w:cs="Times New Roman"/>
          <w:b/>
          <w:color w:val="45A3A7"/>
          <w:sz w:val="20"/>
          <w:szCs w:val="20"/>
          <w:lang w:eastAsia="zh-CN"/>
        </w:rPr>
        <w:t xml:space="preserve">{% for vus in </w:t>
      </w:r>
      <w:r>
        <w:rPr>
          <w:rFonts w:hint="eastAsia" w:ascii="Times New Roman" w:hAnsi="Times New Roman" w:eastAsia="微软雅黑" w:cs="Times New Roman"/>
          <w:b/>
          <w:color w:val="45A3A7"/>
          <w:sz w:val="24"/>
          <w:szCs w:val="24"/>
          <w:lang w:eastAsia="zh-CN"/>
        </w:rPr>
        <w:t xml:space="preserve">unknownVarAnalysisStr </w:t>
      </w:r>
      <w:r>
        <w:rPr>
          <w:rFonts w:hint="eastAsia" w:ascii="Times New Roman" w:hAnsi="Times New Roman" w:eastAsia="微软雅黑" w:cs="Times New Roman"/>
          <w:b/>
          <w:color w:val="45A3A7"/>
          <w:sz w:val="20"/>
          <w:szCs w:val="20"/>
          <w:lang w:eastAsia="zh-CN"/>
        </w:rPr>
        <w:t>%}</w:t>
      </w:r>
    </w:p>
    <w:p>
      <w:pPr>
        <w:keepNext/>
        <w:spacing w:before="240" w:beforeLines="100" w:line="360" w:lineRule="auto"/>
        <w:rPr>
          <w:rFonts w:ascii="Times New Roman" w:hAnsi="Times New Roman" w:eastAsia="微软雅黑" w:cs="Times New Roman"/>
          <w:b/>
          <w:color w:val="45A3A7"/>
          <w:sz w:val="20"/>
          <w:szCs w:val="20"/>
          <w:lang w:eastAsia="zh-CN"/>
        </w:rPr>
      </w:pPr>
      <w:r>
        <w:rPr>
          <w:rFonts w:hint="eastAsia" w:ascii="Times New Roman" w:hAnsi="Times New Roman" w:eastAsia="微软雅黑" w:cs="Times New Roman"/>
          <w:b/>
          <w:color w:val="45A3A7"/>
          <w:sz w:val="20"/>
          <w:szCs w:val="20"/>
          <w:lang w:eastAsia="zh-CN"/>
        </w:rPr>
        <w:t>{{ vus.gene}}</w:t>
      </w:r>
    </w:p>
    <w:tbl>
      <w:tblPr>
        <w:tblStyle w:val="13"/>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vAlign w:val="center"/>
          </w:tcPr>
          <w:p>
            <w:pPr>
              <w:keepNext/>
              <w:rPr>
                <w:rFonts w:ascii="Times New Roman" w:hAnsi="Times New Roman" w:eastAsia="微软雅黑" w:cs="Times New Roman"/>
                <w:b/>
                <w:color w:val="45A3A7"/>
                <w:sz w:val="18"/>
                <w:szCs w:val="18"/>
                <w:lang w:eastAsia="zh-CN"/>
              </w:rPr>
            </w:pPr>
            <w:r>
              <w:rPr>
                <w:rFonts w:ascii="Times New Roman" w:hAnsi="Times New Roman" w:eastAsia="微软雅黑" w:cs="Times New Roman"/>
                <w:b/>
                <w:color w:val="45A3A7"/>
                <w:sz w:val="18"/>
                <w:szCs w:val="18"/>
                <w:lang w:eastAsia="zh-CN"/>
              </w:rPr>
              <w:t>用药说明</w:t>
            </w:r>
          </w:p>
        </w:tc>
        <w:tc>
          <w:tcPr>
            <w:tcW w:w="8027" w:type="dxa"/>
            <w:vAlign w:val="center"/>
          </w:tcPr>
          <w:p>
            <w:pPr>
              <w:keepNext/>
              <w:spacing w:before="26"/>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 if </w:t>
            </w:r>
            <w:r>
              <w:rPr>
                <w:rFonts w:hint="eastAsia" w:ascii="Times New Roman" w:hAnsi="Times New Roman" w:eastAsia="微软雅黑" w:cs="Times New Roman"/>
                <w:color w:val="000000"/>
                <w:sz w:val="18"/>
                <w:szCs w:val="18"/>
                <w:lang w:eastAsia="zh-CN"/>
              </w:rPr>
              <w:t>vus.str_drug_desc</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color w:val="000000"/>
                <w:sz w:val="18"/>
                <w:szCs w:val="18"/>
                <w:lang w:eastAsia="zh-CN"/>
              </w:rPr>
              <w:t xml:space="preserve">= </w:t>
            </w:r>
            <w:r>
              <w:rPr>
                <w:rFonts w:ascii="Times New Roman" w:hAnsi="Times New Roman" w:eastAsia="微软雅黑" w:cs="Times New Roman"/>
                <w:color w:val="000000"/>
                <w:sz w:val="18"/>
                <w:szCs w:val="18"/>
                <w:lang w:eastAsia="zh-CN"/>
              </w:rPr>
              <w:t>‘’</w:t>
            </w:r>
            <w:r>
              <w:rPr>
                <w:rFonts w:hint="eastAsia" w:ascii="Times New Roman" w:hAnsi="Times New Roman" w:eastAsia="微软雅黑" w:cs="Times New Roman"/>
                <w:color w:val="000000"/>
                <w:sz w:val="18"/>
                <w:szCs w:val="18"/>
                <w:lang w:eastAsia="zh-CN"/>
              </w:rPr>
              <w:t xml:space="preserve"> </w:t>
            </w:r>
            <w:r>
              <w:rPr>
                <w:rFonts w:hint="eastAsia" w:ascii="Times New Roman" w:hAnsi="Times New Roman" w:eastAsia="微软雅黑" w:cs="Times New Roman"/>
                <w:sz w:val="18"/>
                <w:szCs w:val="18"/>
                <w:lang w:eastAsia="zh-CN"/>
              </w:rPr>
              <w:t>%}无{% else %}</w:t>
            </w:r>
            <w:r>
              <w:rPr>
                <w:rFonts w:hint="eastAsia" w:ascii="Times New Roman" w:hAnsi="Times New Roman" w:eastAsia="微软雅黑" w:cs="Times New Roman"/>
                <w:color w:val="000000"/>
                <w:sz w:val="18"/>
                <w:szCs w:val="18"/>
                <w:lang w:eastAsia="zh-CN"/>
              </w:rPr>
              <w:t>{{ vus.str_drug_desc }}{% endif %}</w:t>
            </w:r>
          </w:p>
        </w:tc>
      </w:tr>
    </w:tbl>
    <w:p>
      <w:pPr>
        <w:rPr>
          <w:rFonts w:ascii="Times New Roman" w:hAnsi="Times New Roman" w:eastAsia="微软雅黑" w:cs="Times New Roman"/>
          <w:b/>
          <w:lang w:eastAsia="zh-CN"/>
        </w:rPr>
      </w:pPr>
      <w:r>
        <w:rPr>
          <w:rFonts w:hint="eastAsia" w:ascii="Times New Roman" w:hAnsi="Times New Roman" w:eastAsia="微软雅黑" w:cs="Times New Roman"/>
          <w:b/>
          <w:color w:val="45A3A7"/>
          <w:sz w:val="20"/>
          <w:szCs w:val="20"/>
          <w:lang w:eastAsia="zh-CN"/>
        </w:rPr>
        <w:t>{% endfor %}</w:t>
      </w:r>
      <w:r>
        <w:rPr>
          <w:sz w:val="20"/>
          <w:szCs w:val="18"/>
        </w:rPr>
        <w:br w:type="page"/>
      </w:r>
      <w:r>
        <w:rPr>
          <w:rFonts w:hint="eastAsia"/>
          <w:lang w:eastAsia="zh-CN"/>
        </w:rPr>
        <w:t>{% endif %}</w:t>
      </w:r>
    </w:p>
    <w:bookmarkEnd w:id="54"/>
    <w:p>
      <w:pPr>
        <w:pStyle w:val="22"/>
        <w:rPr>
          <w:rFonts w:hint="eastAsia" w:ascii="Times New Roman" w:hAnsi="Times New Roman" w:cs="Times New Roman"/>
        </w:rPr>
      </w:pPr>
      <w:bookmarkStart w:id="70" w:name="_Toc12136"/>
      <w:r>
        <w:rPr>
          <w:rFonts w:hint="eastAsia" w:ascii="Times New Roman" w:hAnsi="Times New Roman" w:cs="Times New Roman"/>
        </w:rPr>
        <w:t>化疗药物检测解析</w:t>
      </w:r>
      <w:bookmarkEnd w:id="55"/>
      <w:bookmarkEnd w:id="56"/>
      <w:bookmarkEnd w:id="57"/>
      <w:bookmarkEnd w:id="58"/>
      <w:bookmarkEnd w:id="59"/>
      <w:bookmarkEnd w:id="60"/>
      <w:bookmarkEnd w:id="61"/>
      <w:bookmarkEnd w:id="70"/>
    </w:p>
    <w:p>
      <w:pPr>
        <w:rPr>
          <w:rFonts w:ascii="Times New Roman" w:hAnsi="Times New Roman" w:eastAsia="微软雅黑" w:cs="Times New Roman"/>
          <w:b/>
          <w:color w:val="45A3A7"/>
          <w:sz w:val="24"/>
          <w:szCs w:val="24"/>
          <w:lang w:eastAsia="zh-CN"/>
        </w:rPr>
      </w:pPr>
      <w:r>
        <w:rPr>
          <w:rFonts w:ascii="Times New Roman" w:hAnsi="Times New Roman" w:eastAsia="微软雅黑" w:cs="Times New Roman"/>
          <w:b/>
          <w:color w:val="45A3A7"/>
          <w:sz w:val="24"/>
          <w:szCs w:val="24"/>
          <w:lang w:eastAsia="zh-CN"/>
        </w:rPr>
        <w:t>化疗药物相关基因UGT1A1检测结果</w:t>
      </w:r>
    </w:p>
    <w:tbl>
      <w:tblPr>
        <w:tblStyle w:val="13"/>
        <w:tblW w:w="9998"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0" w:type="dxa"/>
          <w:bottom w:w="0" w:type="dxa"/>
          <w:right w:w="0" w:type="dxa"/>
        </w:tblCellMar>
      </w:tblPr>
      <w:tblGrid>
        <w:gridCol w:w="784"/>
        <w:gridCol w:w="1086"/>
        <w:gridCol w:w="919"/>
        <w:gridCol w:w="1275"/>
        <w:gridCol w:w="1514"/>
        <w:gridCol w:w="3675"/>
        <w:gridCol w:w="74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bookmarkStart w:id="71" w:name="_Toc12505"/>
            <w:bookmarkStart w:id="72" w:name="_Toc13196_WPSOffice_Level1"/>
            <w:bookmarkStart w:id="73" w:name="_Toc1707_WPSOffice_Level1"/>
            <w:bookmarkStart w:id="74" w:name="_Toc16594"/>
            <w:bookmarkStart w:id="75" w:name="_Toc21764_WPSOffice_Level1"/>
            <w:bookmarkStart w:id="76" w:name="_Toc2409"/>
            <w:bookmarkStart w:id="77" w:name="_Toc28240"/>
            <w:bookmarkStart w:id="78" w:name="_Toc27302"/>
            <w:r>
              <w:rPr>
                <w:rFonts w:hint="eastAsia" w:ascii="Times New Roman" w:hAnsi="Times New Roman" w:eastAsia="微软雅黑" w:cs="Times New Roman"/>
                <w:b/>
                <w:bCs/>
                <w:color w:val="45A3A7"/>
                <w:sz w:val="18"/>
                <w:szCs w:val="18"/>
                <w:lang w:eastAsia="zh-CN"/>
              </w:rPr>
              <w:t>{%tr for css in chemoEffectivenessStr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css.isFirstLine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b/>
                <w:bCs/>
                <w:color w:val="45A3A7"/>
                <w:sz w:val="18"/>
                <w:szCs w:val="18"/>
              </w:rPr>
            </w:pPr>
            <w:r>
              <w:rPr>
                <w:rFonts w:hint="eastAsia" w:ascii="Times New Roman" w:hAnsi="Times New Roman" w:eastAsia="微软雅黑" w:cs="Times New Roman"/>
                <w:b/>
                <w:bCs/>
                <w:color w:val="45A3A7"/>
                <w:sz w:val="18"/>
                <w:szCs w:val="18"/>
                <w:lang w:eastAsia="zh-CN"/>
              </w:rPr>
              <w:t>{{ css.chemotherapyDrugs }}</w:t>
            </w:r>
          </w:p>
        </w:tc>
        <w:tc>
          <w:tcPr>
            <w:tcW w:w="919"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css.detectionGene }}</w:t>
            </w:r>
          </w:p>
        </w:tc>
        <w:tc>
          <w:tcPr>
            <w:tcW w:w="127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css.detectionSite }}</w:t>
            </w:r>
          </w:p>
        </w:tc>
        <w:tc>
          <w:tcPr>
            <w:tcW w:w="1514"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css.detectionResult }}</w:t>
            </w:r>
          </w:p>
        </w:tc>
        <w:tc>
          <w:tcPr>
            <w:tcW w:w="3675" w:type="dxa"/>
            <w:shd w:val="clear" w:color="auto" w:fill="auto"/>
            <w:vAlign w:val="center"/>
          </w:tcPr>
          <w:p>
            <w:pPr>
              <w:spacing w:line="218" w:lineRule="exact"/>
              <w:ind w:right="36"/>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 css.medicationTips }}</w:t>
            </w:r>
          </w:p>
        </w:tc>
        <w:tc>
          <w:tcPr>
            <w:tcW w:w="745" w:type="dxa"/>
            <w:shd w:val="clear" w:color="auto" w:fill="auto"/>
            <w:vAlign w:val="center"/>
          </w:tcPr>
          <w:p>
            <w:pPr>
              <w:spacing w:line="204" w:lineRule="exact"/>
              <w:jc w:val="center"/>
              <w:rPr>
                <w:rFonts w:ascii="Times New Roman" w:hAnsi="Times New Roman" w:eastAsia="微软雅黑" w:cs="Times New Roman"/>
                <w:color w:val="45A3A7"/>
                <w:sz w:val="18"/>
                <w:szCs w:val="18"/>
                <w:lang w:eastAsia="zh-CN"/>
              </w:rPr>
            </w:pPr>
            <w:r>
              <w:rPr>
                <w:rFonts w:hint="eastAsia" w:ascii="Times New Roman" w:hAnsi="Times New Roman" w:eastAsia="微软雅黑" w:cs="Times New Roman"/>
                <w:b/>
                <w:bCs/>
                <w:color w:val="45A3A7"/>
                <w:sz w:val="18"/>
                <w:szCs w:val="18"/>
                <w:lang w:eastAsia="zh-CN"/>
              </w:rPr>
              <w:t>{{css.grade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tblHeader/>
          <w:jc w:val="center"/>
        </w:trPr>
        <w:tc>
          <w:tcPr>
            <w:tcW w:w="9998" w:type="dxa"/>
            <w:gridSpan w:val="7"/>
            <w:shd w:val="clear" w:color="auto" w:fill="auto"/>
            <w:vAlign w:val="center"/>
          </w:tcPr>
          <w:p>
            <w:pPr>
              <w:spacing w:line="204"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b/>
                <w:bCs/>
                <w:color w:val="45A3A7"/>
                <w:sz w:val="18"/>
                <w:szCs w:val="18"/>
                <w:lang w:eastAsia="zh-CN"/>
              </w:rPr>
            </w:pPr>
            <w:r>
              <w:rPr>
                <w:rFonts w:hint="eastAsia" w:ascii="Times New Roman" w:hAnsi="Times New Roman" w:eastAsia="微软雅黑" w:cs="Times New Roman"/>
                <w:b/>
                <w:bCs/>
                <w:color w:val="45A3A7"/>
                <w:sz w:val="18"/>
                <w:szCs w:val="18"/>
                <w:lang w:eastAsia="zh-CN"/>
              </w:rPr>
              <w:t>{%tr if css.isMerge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1870" w:type="dxa"/>
            <w:gridSpan w:val="2"/>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else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78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css.category }}</w:t>
            </w:r>
          </w:p>
        </w:tc>
        <w:tc>
          <w:tcPr>
            <w:tcW w:w="1086"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css.chemotherapyDrugs }}</w:t>
            </w:r>
          </w:p>
        </w:tc>
        <w:tc>
          <w:tcPr>
            <w:tcW w:w="919"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css.detectionGene }}</w:t>
            </w:r>
          </w:p>
        </w:tc>
        <w:tc>
          <w:tcPr>
            <w:tcW w:w="127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css.detectionSite }}</w:t>
            </w:r>
          </w:p>
        </w:tc>
        <w:tc>
          <w:tcPr>
            <w:tcW w:w="1514"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css.detectionResult }}</w:t>
            </w:r>
          </w:p>
        </w:tc>
        <w:tc>
          <w:tcPr>
            <w:tcW w:w="3675" w:type="dxa"/>
            <w:shd w:val="clear" w:color="auto" w:fill="auto"/>
            <w:vAlign w:val="center"/>
          </w:tcPr>
          <w:p>
            <w:pPr>
              <w:spacing w:line="206" w:lineRule="exact"/>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css.medicationTips }}</w:t>
            </w:r>
          </w:p>
        </w:tc>
        <w:tc>
          <w:tcPr>
            <w:tcW w:w="745" w:type="dxa"/>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 css.grade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{%tr endif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0" w:type="dxa"/>
            <w:bottom w:w="0" w:type="dxa"/>
            <w:right w:w="0" w:type="dxa"/>
          </w:tblCellMar>
        </w:tblPrEx>
        <w:trPr>
          <w:jc w:val="center"/>
        </w:trPr>
        <w:tc>
          <w:tcPr>
            <w:tcW w:w="9998" w:type="dxa"/>
            <w:gridSpan w:val="7"/>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bCs/>
                <w:color w:val="45A3A7"/>
                <w:sz w:val="18"/>
                <w:szCs w:val="18"/>
                <w:lang w:eastAsia="zh-CN"/>
              </w:rPr>
              <w:t>{%tr endfor%}</w:t>
            </w:r>
          </w:p>
        </w:tc>
      </w:tr>
    </w:tbl>
    <w:p>
      <w:pPr>
        <w:pStyle w:val="33"/>
        <w:adjustRightInd w:val="0"/>
        <w:snapToGrid w:val="0"/>
        <w:rPr>
          <w:rFonts w:hint="eastAsia" w:cs="宋体"/>
          <w:sz w:val="18"/>
          <w:szCs w:val="18"/>
        </w:rPr>
      </w:pPr>
    </w:p>
    <w:p>
      <w:pPr>
        <w:pStyle w:val="33"/>
        <w:adjustRightInd w:val="0"/>
        <w:snapToGrid w:val="0"/>
      </w:pPr>
      <w:r>
        <w:rPr>
          <w:rFonts w:hint="eastAsia" w:ascii="Times New Roman" w:hAnsi="Times New Roman" w:eastAsia="微软雅黑" w:cs="Times New Roman"/>
          <w:b/>
          <w:bCs/>
          <w:sz w:val="18"/>
          <w:szCs w:val="18"/>
          <w:lang w:val="en-US" w:eastAsia="zh-CN" w:bidi="ar-SA"/>
        </w:rPr>
        <w:t>注：</w:t>
      </w:r>
      <w:r>
        <w:rPr>
          <w:rFonts w:hint="eastAsia" w:ascii="Times New Roman" w:hAnsi="Times New Roman" w:eastAsia="微软雅黑" w:cs="Times New Roman"/>
          <w:sz w:val="18"/>
          <w:szCs w:val="18"/>
          <w:lang w:val="en-US" w:eastAsia="zh-CN" w:bidi="ar-SA"/>
        </w:rPr>
        <w:t>化疗信息引用参考文献询具体了解某个化疗药物用药信息，可根据 PMID 号在 pubmed 数据库（https://www.ncbi.nlm.nih.gov/pubmed）中搜索对应的文章。</w:t>
      </w:r>
    </w:p>
    <w:p>
      <w:pPr>
        <w:widowControl/>
        <w:rPr>
          <w:rFonts w:ascii="Times New Roman" w:hAnsi="Times New Roman" w:eastAsia="微软雅黑" w:cs="Times New Roman"/>
          <w:b/>
          <w:bCs/>
          <w:color w:val="416AAB"/>
          <w:sz w:val="28"/>
          <w:szCs w:val="32"/>
          <w:lang w:eastAsia="zh-CN"/>
        </w:rPr>
      </w:pPr>
      <w:r>
        <w:rPr>
          <w:lang w:eastAsia="zh-CN"/>
        </w:rPr>
        <w:br w:type="page"/>
      </w:r>
    </w:p>
    <w:p>
      <w:pPr>
        <w:pStyle w:val="24"/>
      </w:pPr>
      <w:bookmarkStart w:id="79" w:name="_Toc22787"/>
      <w:r>
        <w:t>附录</w:t>
      </w:r>
      <w:bookmarkEnd w:id="71"/>
      <w:bookmarkEnd w:id="72"/>
      <w:bookmarkEnd w:id="73"/>
      <w:bookmarkEnd w:id="74"/>
      <w:bookmarkEnd w:id="75"/>
      <w:bookmarkEnd w:id="76"/>
      <w:bookmarkEnd w:id="77"/>
      <w:bookmarkEnd w:id="78"/>
      <w:bookmarkEnd w:id="79"/>
    </w:p>
    <w:p>
      <w:pPr>
        <w:pStyle w:val="25"/>
      </w:pPr>
      <w:bookmarkStart w:id="80" w:name="_Toc15840_WPSOffice_Level1"/>
      <w:bookmarkStart w:id="81" w:name="_Toc27075"/>
      <w:bookmarkStart w:id="82" w:name="_Toc24085_WPSOffice_Level1"/>
      <w:bookmarkStart w:id="83" w:name="_Toc14255_WPSOffice_Level1"/>
      <w:bookmarkStart w:id="84" w:name="_Toc31309"/>
      <w:bookmarkStart w:id="85" w:name="_Toc4168"/>
      <w:bookmarkStart w:id="86" w:name="_Toc31490"/>
      <w:r>
        <w:rPr>
          <w:rFonts w:hint="eastAsia"/>
        </w:rPr>
        <w:t>样本控制情况</w:t>
      </w:r>
      <w:bookmarkEnd w:id="80"/>
      <w:bookmarkEnd w:id="81"/>
      <w:bookmarkEnd w:id="82"/>
      <w:bookmarkEnd w:id="83"/>
      <w:bookmarkEnd w:id="84"/>
      <w:bookmarkEnd w:id="85"/>
      <w:bookmarkEnd w:id="86"/>
    </w:p>
    <w:p>
      <w:pPr>
        <w:rPr>
          <w:lang w:eastAsia="zh-CN"/>
        </w:rPr>
      </w:pPr>
    </w:p>
    <w:tbl>
      <w:tblPr>
        <w:tblStyle w:val="13"/>
        <w:tblW w:w="9805" w:type="dxa"/>
        <w:tblInd w:w="141"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3078"/>
        <w:gridCol w:w="3649"/>
        <w:gridCol w:w="3078"/>
      </w:tblGrid>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3078" w:type="dxa"/>
            <w:tcBorders>
              <w:left w:val="nil"/>
              <w:bottom w:val="single" w:color="416AAB" w:sz="4" w:space="0"/>
              <w:right w:val="single" w:color="416AAB" w:sz="4" w:space="0"/>
            </w:tcBorders>
          </w:tcPr>
          <w:p>
            <w:pPr>
              <w:spacing w:before="95"/>
              <w:ind w:left="119"/>
              <w:rPr>
                <w:rFonts w:ascii="Times New Roman" w:hAnsi="Times New Roman" w:eastAsia="微软雅黑" w:cs="Times New Roman"/>
                <w:b/>
                <w:sz w:val="21"/>
              </w:rPr>
            </w:pPr>
            <w:r>
              <w:rPr>
                <w:rFonts w:ascii="Times New Roman" w:hAnsi="Times New Roman" w:eastAsia="微软雅黑" w:cs="Times New Roman"/>
                <w:b/>
                <w:sz w:val="21"/>
              </w:rPr>
              <w:t>质控环节</w:t>
            </w:r>
          </w:p>
        </w:tc>
        <w:tc>
          <w:tcPr>
            <w:tcW w:w="3649" w:type="dxa"/>
            <w:tcBorders>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b/>
                <w:sz w:val="21"/>
              </w:rPr>
            </w:pPr>
            <w:r>
              <w:rPr>
                <w:rFonts w:ascii="Times New Roman" w:hAnsi="Times New Roman" w:eastAsia="微软雅黑" w:cs="Times New Roman"/>
                <w:b/>
                <w:sz w:val="21"/>
              </w:rPr>
              <w:t>质控参数</w:t>
            </w:r>
          </w:p>
        </w:tc>
        <w:tc>
          <w:tcPr>
            <w:tcW w:w="3078" w:type="dxa"/>
            <w:tcBorders>
              <w:left w:val="single" w:color="416AAB" w:sz="4" w:space="0"/>
              <w:bottom w:val="single" w:color="416AAB" w:sz="4" w:space="0"/>
              <w:right w:val="nil"/>
            </w:tcBorders>
          </w:tcPr>
          <w:p>
            <w:pPr>
              <w:spacing w:before="95"/>
              <w:ind w:left="118"/>
              <w:rPr>
                <w:rFonts w:ascii="Times New Roman" w:hAnsi="Times New Roman" w:eastAsia="微软雅黑" w:cs="Times New Roman"/>
                <w:b/>
                <w:sz w:val="21"/>
              </w:rPr>
            </w:pPr>
            <w:r>
              <w:rPr>
                <w:rFonts w:ascii="Times New Roman" w:hAnsi="Times New Roman" w:eastAsia="微软雅黑" w:cs="Times New Roman"/>
                <w:b/>
                <w:sz w:val="21"/>
              </w:rPr>
              <w:t>质控标准</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tcBorders>
              <w:top w:val="single" w:color="416AAB" w:sz="4" w:space="0"/>
              <w:left w:val="nil"/>
              <w:bottom w:val="single" w:color="416AAB" w:sz="4" w:space="0"/>
              <w:right w:val="single" w:color="416AAB" w:sz="4" w:space="0"/>
            </w:tcBorders>
          </w:tcPr>
          <w:p>
            <w:pPr>
              <w:spacing w:before="94"/>
              <w:ind w:left="119"/>
              <w:rPr>
                <w:rFonts w:ascii="Times New Roman" w:hAnsi="Times New Roman" w:eastAsia="微软雅黑" w:cs="Times New Roman"/>
                <w:sz w:val="21"/>
              </w:rPr>
            </w:pPr>
            <w:r>
              <w:rPr>
                <w:rFonts w:ascii="Times New Roman" w:hAnsi="Times New Roman" w:eastAsia="微软雅黑" w:cs="Times New Roman"/>
                <w:sz w:val="21"/>
              </w:rPr>
              <w:t>病理质控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肿瘤细胞含量</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lang w:eastAsia="zh-CN"/>
              </w:rPr>
            </w:pPr>
            <w:r>
              <w:rPr>
                <w:rFonts w:ascii="Times New Roman" w:hAnsi="Times New Roman" w:eastAsia="微软雅黑" w:cs="Times New Roman"/>
                <w:sz w:val="21"/>
              </w:rPr>
              <w:t>&gt;=</w:t>
            </w:r>
            <w:r>
              <w:rPr>
                <w:rFonts w:hint="eastAsia" w:ascii="Times New Roman" w:hAnsi="Times New Roman" w:eastAsia="微软雅黑" w:cs="Times New Roman"/>
                <w:sz w:val="21"/>
                <w:lang w:eastAsia="zh-CN"/>
              </w:rPr>
              <w:t>20</w:t>
            </w:r>
            <w:r>
              <w:rPr>
                <w:rFonts w:ascii="Times New Roman" w:hAnsi="Times New Roman" w:eastAsia="微软雅黑" w:cs="Times New Roman"/>
                <w:sz w:val="21"/>
              </w:rPr>
              <w:t>%</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ind w:left="119"/>
              <w:jc w:val="both"/>
              <w:rPr>
                <w:sz w:val="21"/>
              </w:rPr>
            </w:pPr>
            <w:r>
              <w:rPr>
                <w:rFonts w:ascii="Times New Roman" w:hAnsi="Times New Roman" w:eastAsia="微软雅黑" w:cs="Times New Roman"/>
                <w:sz w:val="21"/>
              </w:rPr>
              <w:t>DNA质量</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DNA总量</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rPr>
              <w:t>&gt;=</w:t>
            </w:r>
            <w:r>
              <w:rPr>
                <w:rFonts w:hint="eastAsia" w:ascii="Times New Roman" w:hAnsi="Times New Roman" w:eastAsia="微软雅黑" w:cs="Times New Roman"/>
                <w:sz w:val="21"/>
                <w:highlight w:val="none"/>
                <w:lang w:val="en-US" w:eastAsia="zh-CN"/>
              </w:rPr>
              <w:t>2</w:t>
            </w:r>
            <w:r>
              <w:rPr>
                <w:rFonts w:hint="eastAsia" w:ascii="Times New Roman" w:hAnsi="Times New Roman" w:eastAsia="微软雅黑" w:cs="Times New Roman"/>
                <w:sz w:val="21"/>
                <w:highlight w:val="none"/>
              </w:rPr>
              <w:t>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DNA降解程度</w:t>
            </w:r>
          </w:p>
        </w:tc>
        <w:tc>
          <w:tcPr>
            <w:tcW w:w="3078" w:type="dxa"/>
            <w:tcBorders>
              <w:top w:val="single" w:color="416AAB" w:sz="4" w:space="0"/>
              <w:left w:val="single" w:color="416AAB" w:sz="4" w:space="0"/>
              <w:bottom w:val="single" w:color="416AAB" w:sz="4" w:space="0"/>
              <w:right w:val="nil"/>
            </w:tcBorders>
          </w:tcPr>
          <w:p>
            <w:pPr>
              <w:spacing w:before="94"/>
              <w:ind w:left="118"/>
              <w:rPr>
                <w:rFonts w:ascii="Times New Roman" w:hAnsi="Times New Roman" w:eastAsia="微软雅黑" w:cs="Times New Roman"/>
                <w:sz w:val="21"/>
                <w:lang w:eastAsia="zh-CN"/>
              </w:rPr>
            </w:pPr>
            <w:r>
              <w:rPr>
                <w:rFonts w:hint="eastAsia" w:ascii="Times New Roman" w:hAnsi="Times New Roman" w:eastAsia="微软雅黑" w:cs="Times New Roman"/>
                <w:sz w:val="21"/>
              </w:rPr>
              <w:t>&gt;=C级</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nil"/>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文库出库量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val="en-US" w:eastAsia="zh-CN"/>
              </w:rPr>
              <w:t>25-</w:t>
            </w:r>
            <w:r>
              <w:rPr>
                <w:rFonts w:ascii="Times New Roman" w:hAnsi="Times New Roman" w:eastAsia="微软雅黑" w:cs="Times New Roman"/>
                <w:sz w:val="21"/>
                <w:highlight w:val="none"/>
              </w:rPr>
              <w:t>500ng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restart"/>
            <w:tcBorders>
              <w:top w:val="single" w:color="416AAB" w:sz="4" w:space="0"/>
              <w:left w:val="nil"/>
              <w:bottom w:val="single" w:color="416AAB" w:sz="4" w:space="0"/>
              <w:right w:val="single" w:color="416AAB" w:sz="4" w:space="0"/>
            </w:tcBorders>
            <w:vAlign w:val="center"/>
          </w:tcPr>
          <w:p>
            <w:pPr>
              <w:spacing w:before="1"/>
              <w:ind w:left="119"/>
              <w:jc w:val="both"/>
              <w:rPr>
                <w:rFonts w:ascii="Times New Roman" w:hAnsi="Times New Roman" w:eastAsia="微软雅黑" w:cs="Times New Roman"/>
                <w:sz w:val="21"/>
              </w:rPr>
            </w:pPr>
            <w:r>
              <w:rPr>
                <w:rFonts w:ascii="Times New Roman" w:hAnsi="Times New Roman" w:eastAsia="微软雅黑" w:cs="Times New Roman"/>
                <w:sz w:val="21"/>
              </w:rPr>
              <w:t>测序质控</w:t>
            </w: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下机数据量</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highlight w:val="none"/>
                <w:lang w:eastAsia="zh-CN"/>
              </w:rPr>
            </w:pPr>
            <w:r>
              <w:rPr>
                <w:rFonts w:hint="eastAsia" w:ascii="微软雅黑" w:hAnsi="微软雅黑" w:eastAsia="微软雅黑" w:cs="微软雅黑"/>
                <w:sz w:val="21"/>
                <w:highlight w:val="none"/>
              </w:rPr>
              <w:t>&gt;</w:t>
            </w:r>
            <w:r>
              <w:rPr>
                <w:rFonts w:ascii="Times New Roman" w:hAnsi="Times New Roman" w:eastAsia="微软雅黑" w:cs="Times New Roman"/>
                <w:sz w:val="21"/>
                <w:highlight w:val="none"/>
              </w:rPr>
              <w:t>=</w:t>
            </w:r>
            <w:r>
              <w:rPr>
                <w:rFonts w:hint="eastAsia" w:ascii="Times New Roman" w:hAnsi="Times New Roman" w:eastAsia="微软雅黑" w:cs="Times New Roman"/>
                <w:sz w:val="21"/>
                <w:highlight w:val="none"/>
                <w:lang w:val="en-US" w:eastAsia="zh-CN"/>
              </w:rPr>
              <w:t>0.78</w:t>
            </w:r>
            <w:r>
              <w:rPr>
                <w:rFonts w:ascii="Times New Roman" w:hAnsi="Times New Roman" w:eastAsia="微软雅黑" w:cs="Times New Roman"/>
                <w:sz w:val="21"/>
                <w:highlight w:val="none"/>
              </w:rPr>
              <w:t>G</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4"/>
              <w:ind w:left="118"/>
              <w:rPr>
                <w:rFonts w:ascii="Times New Roman" w:hAnsi="Times New Roman" w:eastAsia="微软雅黑" w:cs="Times New Roman"/>
                <w:sz w:val="21"/>
              </w:rPr>
            </w:pPr>
            <w:r>
              <w:rPr>
                <w:rFonts w:ascii="Times New Roman" w:hAnsi="Times New Roman" w:eastAsia="微软雅黑" w:cs="Times New Roman"/>
                <w:sz w:val="21"/>
              </w:rPr>
              <w:t>平均有效测序深度</w:t>
            </w:r>
          </w:p>
        </w:tc>
        <w:tc>
          <w:tcPr>
            <w:tcW w:w="3078" w:type="dxa"/>
            <w:tcBorders>
              <w:top w:val="single" w:color="416AAB" w:sz="4" w:space="0"/>
              <w:left w:val="single" w:color="416AAB" w:sz="4" w:space="0"/>
              <w:bottom w:val="single" w:color="416AAB" w:sz="4" w:space="0"/>
              <w:right w:val="nil"/>
            </w:tcBorders>
          </w:tcPr>
          <w:p>
            <w:pPr>
              <w:spacing w:before="175"/>
              <w:ind w:left="118"/>
              <w:rPr>
                <w:rFonts w:ascii="Times New Roman" w:hAnsi="Times New Roman" w:eastAsia="微软雅黑" w:cs="Times New Roman"/>
                <w:sz w:val="21"/>
                <w:lang w:eastAsia="zh-CN"/>
              </w:rPr>
            </w:pPr>
            <w:r>
              <w:rPr>
                <w:rFonts w:hint="eastAsia" w:ascii="微软雅黑" w:hAnsi="微软雅黑" w:eastAsia="微软雅黑" w:cs="微软雅黑"/>
                <w:sz w:val="21"/>
              </w:rPr>
              <w:t>&gt;</w:t>
            </w:r>
            <w:r>
              <w:rPr>
                <w:rFonts w:ascii="Times New Roman" w:hAnsi="Times New Roman" w:eastAsia="微软雅黑" w:cs="Times New Roman"/>
                <w:sz w:val="21"/>
              </w:rPr>
              <w:t>=1</w:t>
            </w:r>
            <w:r>
              <w:rPr>
                <w:rFonts w:hint="eastAsia" w:ascii="Times New Roman" w:hAnsi="Times New Roman" w:eastAsia="微软雅黑" w:cs="Times New Roman"/>
                <w:sz w:val="21"/>
                <w:lang w:eastAsia="zh-CN"/>
              </w:rPr>
              <w:t>000</w:t>
            </w:r>
            <w:r>
              <w:rPr>
                <w:rFonts w:ascii="Times New Roman" w:hAnsi="Times New Roman" w:eastAsia="微软雅黑" w:cs="Times New Roman"/>
                <w:sz w:val="21"/>
              </w:rPr>
              <w:t>X</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34"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rPr>
            </w:pPr>
            <w:r>
              <w:rPr>
                <w:rFonts w:ascii="Times New Roman" w:hAnsi="Times New Roman" w:eastAsia="微软雅黑" w:cs="Times New Roman"/>
                <w:sz w:val="21"/>
              </w:rPr>
              <w:t>目标区域覆盖度</w:t>
            </w:r>
          </w:p>
        </w:tc>
        <w:tc>
          <w:tcPr>
            <w:tcW w:w="3078" w:type="dxa"/>
            <w:tcBorders>
              <w:top w:val="single" w:color="416AAB" w:sz="4" w:space="0"/>
              <w:left w:val="single" w:color="416AAB" w:sz="4" w:space="0"/>
              <w:bottom w:val="single" w:color="416AAB" w:sz="4" w:space="0"/>
              <w:right w:val="nil"/>
            </w:tcBorders>
          </w:tcPr>
          <w:p>
            <w:pPr>
              <w:spacing w:before="95"/>
              <w:ind w:left="118"/>
              <w:rPr>
                <w:sz w:val="21"/>
                <w:highlight w:val="none"/>
              </w:rPr>
            </w:pPr>
            <w:r>
              <w:rPr>
                <w:rFonts w:ascii="Times New Roman" w:hAnsi="Times New Roman" w:eastAsia="微软雅黑" w:cs="Times New Roman"/>
                <w:sz w:val="21"/>
                <w:highlight w:val="none"/>
              </w:rPr>
              <w:t>9</w:t>
            </w:r>
            <w:r>
              <w:rPr>
                <w:rFonts w:hint="eastAsia" w:ascii="Times New Roman" w:hAnsi="Times New Roman" w:eastAsia="微软雅黑" w:cs="Times New Roman"/>
                <w:sz w:val="21"/>
                <w:highlight w:val="none"/>
                <w:lang w:val="en-US" w:eastAsia="zh-CN"/>
              </w:rPr>
              <w:t>5</w:t>
            </w:r>
            <w:r>
              <w:rPr>
                <w:rFonts w:ascii="Times New Roman" w:hAnsi="Times New Roman" w:eastAsia="微软雅黑" w:cs="Times New Roman"/>
                <w:sz w:val="21"/>
                <w:highlight w:val="none"/>
              </w:rPr>
              <w:t>%以上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3078" w:type="dxa"/>
            <w:vMerge w:val="continue"/>
            <w:tcBorders>
              <w:top w:val="single" w:color="416AAB" w:sz="4" w:space="0"/>
              <w:left w:val="nil"/>
              <w:bottom w:val="single" w:color="416AAB" w:sz="4" w:space="0"/>
              <w:right w:val="single" w:color="416AAB" w:sz="4" w:space="0"/>
            </w:tcBorders>
          </w:tcPr>
          <w:p>
            <w:pPr>
              <w:rPr>
                <w:sz w:val="2"/>
                <w:szCs w:val="2"/>
              </w:rPr>
            </w:pPr>
          </w:p>
        </w:tc>
        <w:tc>
          <w:tcPr>
            <w:tcW w:w="3649" w:type="dxa"/>
            <w:tcBorders>
              <w:top w:val="single" w:color="416AAB" w:sz="4" w:space="0"/>
              <w:left w:val="single" w:color="416AAB" w:sz="4" w:space="0"/>
              <w:bottom w:val="single" w:color="416AAB" w:sz="4" w:space="0"/>
              <w:right w:val="single" w:color="416AAB" w:sz="4" w:space="0"/>
            </w:tcBorders>
          </w:tcPr>
          <w:p>
            <w:pPr>
              <w:spacing w:before="95"/>
              <w:ind w:left="118"/>
              <w:rPr>
                <w:rFonts w:ascii="Times New Roman" w:hAnsi="Times New Roman" w:eastAsia="微软雅黑" w:cs="Times New Roman"/>
                <w:sz w:val="21"/>
              </w:rPr>
            </w:pPr>
            <w:r>
              <w:rPr>
                <w:rFonts w:ascii="Times New Roman" w:hAnsi="Times New Roman" w:eastAsia="微软雅黑" w:cs="Times New Roman"/>
                <w:sz w:val="21"/>
              </w:rPr>
              <w:t>碱基质量Q30</w:t>
            </w:r>
          </w:p>
        </w:tc>
        <w:tc>
          <w:tcPr>
            <w:tcW w:w="3078" w:type="dxa"/>
            <w:tcBorders>
              <w:top w:val="single" w:color="416AAB" w:sz="4" w:space="0"/>
              <w:left w:val="single" w:color="416AAB" w:sz="4" w:space="0"/>
              <w:bottom w:val="single" w:color="416AAB" w:sz="4" w:space="0"/>
              <w:right w:val="nil"/>
            </w:tcBorders>
          </w:tcPr>
          <w:p>
            <w:pPr>
              <w:spacing w:before="95"/>
              <w:ind w:left="118"/>
              <w:rPr>
                <w:sz w:val="21"/>
              </w:rPr>
            </w:pPr>
            <w:r>
              <w:rPr>
                <w:rFonts w:ascii="Times New Roman" w:hAnsi="Times New Roman" w:eastAsia="微软雅黑" w:cs="Times New Roman"/>
                <w:sz w:val="21"/>
              </w:rPr>
              <w:t>85%以上</w:t>
            </w:r>
          </w:p>
        </w:tc>
      </w:tr>
      <w:tr>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0" w:hRule="atLeast"/>
        </w:trPr>
        <w:tc>
          <w:tcPr>
            <w:tcW w:w="3078" w:type="dxa"/>
            <w:tcBorders>
              <w:top w:val="single" w:color="416AAB" w:sz="4" w:space="0"/>
              <w:left w:val="nil"/>
              <w:right w:val="single" w:color="416AAB" w:sz="4" w:space="0"/>
            </w:tcBorders>
            <w:shd w:val="clear" w:color="auto" w:fill="F1F1F1"/>
            <w:vAlign w:val="center"/>
          </w:tcPr>
          <w:p>
            <w:pPr>
              <w:spacing w:before="94"/>
              <w:ind w:left="119"/>
              <w:jc w:val="both"/>
              <w:rPr>
                <w:rFonts w:ascii="Times New Roman" w:hAnsi="Times New Roman" w:eastAsia="微软雅黑" w:cs="Times New Roman"/>
                <w:sz w:val="21"/>
              </w:rPr>
            </w:pPr>
            <w:r>
              <w:rPr>
                <w:rFonts w:ascii="Times New Roman" w:hAnsi="Times New Roman" w:eastAsia="微软雅黑" w:cs="Times New Roman"/>
                <w:sz w:val="21"/>
              </w:rPr>
              <w:t>总体质量评估</w:t>
            </w:r>
          </w:p>
        </w:tc>
        <w:tc>
          <w:tcPr>
            <w:tcW w:w="6727" w:type="dxa"/>
            <w:gridSpan w:val="2"/>
            <w:tcBorders>
              <w:top w:val="single" w:color="416AAB" w:sz="4" w:space="0"/>
              <w:left w:val="single" w:color="416AAB" w:sz="4" w:space="0"/>
              <w:right w:val="nil"/>
            </w:tcBorders>
            <w:shd w:val="clear" w:color="auto" w:fill="F1F1F1"/>
            <w:vAlign w:val="center"/>
          </w:tcPr>
          <w:p>
            <w:pPr>
              <w:spacing w:before="52"/>
              <w:jc w:val="center"/>
              <w:rPr>
                <w:rFonts w:ascii="Times New Roman" w:hAnsi="Times New Roman" w:eastAsia="微软雅黑" w:cs="Times New Roman"/>
                <w:sz w:val="21"/>
              </w:rPr>
            </w:pPr>
            <w:r>
              <w:rPr>
                <w:rFonts w:hint="eastAsia" w:ascii="Times New Roman" w:hAnsi="Times New Roman" w:eastAsia="微软雅黑" w:cs="黑体"/>
                <w:sz w:val="21"/>
                <w:lang w:eastAsia="zh-CN"/>
              </w:rPr>
              <w:t>合格</w:t>
            </w:r>
          </w:p>
        </w:tc>
      </w:tr>
    </w:tbl>
    <w:p>
      <w:pPr>
        <w:pStyle w:val="6"/>
        <w:rPr>
          <w:b/>
          <w:sz w:val="6"/>
        </w:rPr>
      </w:pPr>
    </w:p>
    <w:p>
      <w:pPr>
        <w:spacing w:before="53" w:line="301" w:lineRule="exact"/>
        <w:ind w:left="133"/>
        <w:rPr>
          <w:rFonts w:ascii="微软雅黑" w:hAnsi="微软雅黑" w:eastAsia="微软雅黑" w:cs="微软雅黑"/>
          <w:b/>
          <w:sz w:val="18"/>
        </w:rPr>
      </w:pPr>
      <w:r>
        <w:rPr>
          <w:rFonts w:ascii="Times New Roman" w:hAnsi="Times New Roman" w:eastAsia="微软雅黑" w:cs="Times New Roman"/>
          <w:b/>
          <w:sz w:val="18"/>
        </w:rPr>
        <w:t>DNA 降解程度说明:</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A级：有主带，或降解均匀且降解区域主要集中在5000bp以上。</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B级：无主带，降解均匀且降解区域主要集中在1500-5000bp之间。</w:t>
      </w:r>
    </w:p>
    <w:p>
      <w:pPr>
        <w:pStyle w:val="6"/>
        <w:spacing w:line="270" w:lineRule="exact"/>
        <w:ind w:left="133"/>
        <w:rPr>
          <w:rFonts w:ascii="微软雅黑" w:hAnsi="微软雅黑" w:eastAsia="微软雅黑" w:cs="微软雅黑"/>
          <w:lang w:eastAsia="zh-CN"/>
        </w:rPr>
      </w:pPr>
      <w:r>
        <w:rPr>
          <w:rFonts w:ascii="Times New Roman" w:hAnsi="Times New Roman" w:eastAsia="微软雅黑" w:cs="Times New Roman"/>
          <w:lang w:eastAsia="zh-CN"/>
        </w:rPr>
        <w:t>C级：无主带，降解均匀且降解区域主要集中在500-1500bp之间。</w:t>
      </w:r>
    </w:p>
    <w:p>
      <w:pPr>
        <w:pStyle w:val="6"/>
        <w:spacing w:line="270" w:lineRule="exact"/>
        <w:ind w:left="133"/>
        <w:rPr>
          <w:rFonts w:ascii="Times New Roman" w:hAnsi="Times New Roman" w:eastAsia="微软雅黑" w:cs="Times New Roman"/>
          <w:lang w:eastAsia="zh-CN"/>
        </w:rPr>
      </w:pPr>
      <w:r>
        <w:rPr>
          <w:rFonts w:ascii="Times New Roman" w:hAnsi="Times New Roman" w:eastAsia="微软雅黑" w:cs="Times New Roman"/>
          <w:lang w:eastAsia="zh-CN"/>
        </w:rPr>
        <w:t>D</w:t>
      </w:r>
      <w:r>
        <w:rPr>
          <w:rFonts w:ascii="Times New Roman" w:hAnsi="Times New Roman" w:eastAsia="微软雅黑" w:cs="Times New Roman"/>
          <w:spacing w:val="3"/>
          <w:lang w:eastAsia="zh-CN"/>
        </w:rPr>
        <w:t>级</w:t>
      </w:r>
      <w:r>
        <w:rPr>
          <w:rFonts w:ascii="Times New Roman" w:hAnsi="Times New Roman" w:eastAsia="微软雅黑" w:cs="Times New Roman"/>
          <w:lang w:eastAsia="zh-CN"/>
        </w:rPr>
        <w:t>（</w:t>
      </w:r>
      <w:r>
        <w:rPr>
          <w:rFonts w:ascii="Times New Roman" w:hAnsi="Times New Roman" w:eastAsia="微软雅黑" w:cs="Times New Roman"/>
          <w:spacing w:val="1"/>
          <w:lang w:eastAsia="zh-CN"/>
        </w:rPr>
        <w:t>不合格</w:t>
      </w:r>
      <w:r>
        <w:rPr>
          <w:rFonts w:ascii="Times New Roman" w:hAnsi="Times New Roman" w:eastAsia="微软雅黑" w:cs="Times New Roman"/>
          <w:spacing w:val="-90"/>
          <w:lang w:eastAsia="zh-CN"/>
        </w:rPr>
        <w:t>）</w:t>
      </w:r>
      <w:r>
        <w:rPr>
          <w:rFonts w:ascii="微软雅黑" w:hAnsi="微软雅黑" w:eastAsia="微软雅黑" w:cs="微软雅黑"/>
          <w:lang w:eastAsia="zh-CN"/>
        </w:rPr>
        <w:t>）</w:t>
      </w:r>
      <w:r>
        <w:rPr>
          <w:rFonts w:ascii="Times New Roman" w:hAnsi="Times New Roman" w:eastAsia="微软雅黑" w:cs="Times New Roman"/>
          <w:lang w:eastAsia="zh-CN"/>
        </w:rPr>
        <w:t>：无主带，降解均匀且降解区域主要集中在500-1500bp</w:t>
      </w:r>
      <w:r>
        <w:rPr>
          <w:rFonts w:ascii="Times New Roman" w:hAnsi="Times New Roman" w:eastAsia="微软雅黑" w:cs="Times New Roman"/>
          <w:spacing w:val="-1"/>
          <w:lang w:eastAsia="zh-CN"/>
        </w:rPr>
        <w:t>之间，但总量介于</w:t>
      </w:r>
      <w:r>
        <w:rPr>
          <w:rFonts w:ascii="Times New Roman" w:hAnsi="Times New Roman" w:eastAsia="微软雅黑" w:cs="Times New Roman"/>
          <w:lang w:eastAsia="zh-CN"/>
        </w:rPr>
        <w:t>100ng</w:t>
      </w:r>
      <w:r>
        <w:rPr>
          <w:rFonts w:ascii="Times New Roman" w:hAnsi="Times New Roman" w:eastAsia="微软雅黑" w:cs="Times New Roman"/>
          <w:spacing w:val="-3"/>
          <w:lang w:eastAsia="zh-CN"/>
        </w:rPr>
        <w:t>到</w:t>
      </w:r>
      <w:r>
        <w:rPr>
          <w:rFonts w:ascii="Times New Roman" w:hAnsi="Times New Roman" w:eastAsia="微软雅黑" w:cs="Times New Roman"/>
          <w:lang w:eastAsia="zh-CN"/>
        </w:rPr>
        <w:t>300ng之间；或降解区</w:t>
      </w:r>
      <w:r>
        <w:rPr>
          <w:rFonts w:ascii="Times New Roman" w:hAnsi="Times New Roman" w:eastAsia="微软雅黑" w:cs="Times New Roman"/>
          <w:spacing w:val="-2"/>
          <w:lang w:eastAsia="zh-CN"/>
        </w:rPr>
        <w:t>域弥散在</w:t>
      </w:r>
      <w:r>
        <w:rPr>
          <w:rFonts w:ascii="Times New Roman" w:hAnsi="Times New Roman" w:eastAsia="微软雅黑" w:cs="Times New Roman"/>
          <w:lang w:eastAsia="zh-CN"/>
        </w:rPr>
        <w:t>150-1000bp</w:t>
      </w:r>
      <w:r>
        <w:rPr>
          <w:rFonts w:ascii="Times New Roman" w:hAnsi="Times New Roman" w:eastAsia="微软雅黑" w:cs="Times New Roman"/>
          <w:spacing w:val="-2"/>
          <w:lang w:eastAsia="zh-CN"/>
        </w:rPr>
        <w:t>，或集中在</w:t>
      </w:r>
      <w:r>
        <w:rPr>
          <w:rFonts w:ascii="Times New Roman" w:hAnsi="Times New Roman" w:eastAsia="微软雅黑" w:cs="Times New Roman"/>
          <w:lang w:eastAsia="zh-CN"/>
        </w:rPr>
        <w:t>500bp以下。</w:t>
      </w:r>
    </w:p>
    <w:p>
      <w:pPr>
        <w:pStyle w:val="6"/>
        <w:spacing w:line="270" w:lineRule="exact"/>
        <w:ind w:left="133"/>
        <w:rPr>
          <w:rFonts w:ascii="Times New Roman" w:hAnsi="Times New Roman" w:eastAsia="微软雅黑" w:cs="Times New Roman"/>
          <w:lang w:eastAsia="zh-CN"/>
        </w:rPr>
      </w:pPr>
    </w:p>
    <w:p>
      <w:pPr>
        <w:pStyle w:val="6"/>
        <w:spacing w:line="270" w:lineRule="exact"/>
        <w:ind w:left="133"/>
        <w:rPr>
          <w:rFonts w:ascii="Times New Roman" w:hAnsi="Times New Roman" w:eastAsia="微软雅黑" w:cs="Times New Roman"/>
          <w:lang w:eastAsia="zh-CN"/>
        </w:rPr>
        <w:sectPr>
          <w:headerReference r:id="rId3" w:type="default"/>
          <w:footerReference r:id="rId4" w:type="default"/>
          <w:pgSz w:w="11910" w:h="16840"/>
          <w:pgMar w:top="1037" w:right="1020" w:bottom="981" w:left="1020" w:header="454" w:footer="567" w:gutter="0"/>
          <w:pgNumType w:start="1"/>
          <w:cols w:space="720" w:num="1"/>
        </w:sectPr>
      </w:pPr>
    </w:p>
    <w:p>
      <w:pPr>
        <w:pStyle w:val="25"/>
        <w:spacing w:line="240" w:lineRule="exact"/>
      </w:pPr>
      <w:bookmarkStart w:id="87" w:name="_Toc11812"/>
      <w:bookmarkStart w:id="88" w:name="_Toc13908"/>
      <w:bookmarkStart w:id="89" w:name="_Toc1779"/>
      <w:bookmarkStart w:id="90" w:name="_Toc11896_WPSOffice_Level1"/>
      <w:bookmarkStart w:id="91" w:name="_Toc20303"/>
      <w:bookmarkStart w:id="92" w:name="_Toc11193_WPSOffice_Level1"/>
      <w:bookmarkStart w:id="93" w:name="_Toc28810_WPSOffice_Level1"/>
      <w:r>
        <w:t>常见靶向药物相关基因检测列表</w:t>
      </w:r>
      <w:bookmarkEnd w:id="87"/>
      <w:bookmarkEnd w:id="88"/>
      <w:bookmarkEnd w:id="89"/>
      <w:bookmarkEnd w:id="90"/>
      <w:bookmarkEnd w:id="91"/>
    </w:p>
    <w:bookmarkEnd w:id="92"/>
    <w:bookmarkEnd w:id="93"/>
    <w:tbl>
      <w:tblPr>
        <w:tblStyle w:val="14"/>
        <w:tblpPr w:leftFromText="180" w:rightFromText="180" w:vertAnchor="text" w:horzAnchor="page" w:tblpXSpec="center" w:tblpY="224"/>
        <w:tblOverlap w:val="never"/>
        <w:tblW w:w="10113" w:type="dxa"/>
        <w:jc w:val="center"/>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Layout w:type="fixed"/>
        <w:tblCellMar>
          <w:top w:w="0" w:type="dxa"/>
          <w:left w:w="113" w:type="dxa"/>
          <w:bottom w:w="0" w:type="dxa"/>
          <w:right w:w="113" w:type="dxa"/>
        </w:tblCellMar>
      </w:tblPr>
      <w:tblGrid>
        <w:gridCol w:w="929"/>
        <w:gridCol w:w="688"/>
        <w:gridCol w:w="4634"/>
        <w:gridCol w:w="3862"/>
      </w:tblGrid>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699" w:hRule="exact"/>
          <w:tblHeader/>
          <w:jc w:val="center"/>
        </w:trPr>
        <w:tc>
          <w:tcPr>
            <w:tcW w:w="929" w:type="dxa"/>
            <w:shd w:val="clear" w:color="auto" w:fill="auto"/>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bookmarkStart w:id="94" w:name="OLE_LINK59"/>
            <w:bookmarkStart w:id="95" w:name="OLE_LINK74"/>
            <w:bookmarkStart w:id="96" w:name="OLE_LINK57"/>
            <w:bookmarkStart w:id="97" w:name="OLE_LINK58"/>
            <w:bookmarkStart w:id="98" w:name="OLE_LINK66"/>
            <w:bookmarkStart w:id="99" w:name="OLE_LINK73"/>
            <w:bookmarkStart w:id="100" w:name="OLE_LINK65"/>
            <w:r>
              <w:rPr>
                <w:rFonts w:ascii="Times New Roman" w:hAnsi="Times New Roman" w:eastAsia="微软雅黑" w:cs="Times New Roman"/>
                <w:b/>
                <w:bCs/>
                <w:color w:val="416AAB"/>
                <w:sz w:val="18"/>
                <w:szCs w:val="18"/>
                <w:highlight w:val="none"/>
              </w:rPr>
              <w:t>基因</w:t>
            </w:r>
          </w:p>
        </w:tc>
        <w:tc>
          <w:tcPr>
            <w:tcW w:w="688" w:type="dxa"/>
            <w:vAlign w:val="center"/>
          </w:tcPr>
          <w:p>
            <w:pPr>
              <w:spacing w:line="206" w:lineRule="exact"/>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检测内容</w:t>
            </w:r>
          </w:p>
        </w:tc>
        <w:tc>
          <w:tcPr>
            <w:tcW w:w="4634" w:type="dxa"/>
            <w:shd w:val="clear" w:color="auto" w:fill="auto"/>
            <w:vAlign w:val="center"/>
          </w:tcPr>
          <w:p>
            <w:pPr>
              <w:tabs>
                <w:tab w:val="left" w:pos="562"/>
              </w:tabs>
              <w:spacing w:line="206" w:lineRule="exact"/>
              <w:ind w:left="-2" w:leftChars="-1"/>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靶向药物</w:t>
            </w:r>
          </w:p>
        </w:tc>
        <w:tc>
          <w:tcPr>
            <w:tcW w:w="3862" w:type="dxa"/>
            <w:shd w:val="clear" w:color="auto" w:fill="auto"/>
            <w:vAlign w:val="center"/>
          </w:tcPr>
          <w:p>
            <w:pPr>
              <w:spacing w:line="206" w:lineRule="exact"/>
              <w:ind w:left="365"/>
              <w:jc w:val="center"/>
              <w:rPr>
                <w:rFonts w:ascii="Times New Roman" w:hAnsi="Times New Roman" w:eastAsia="微软雅黑" w:cs="Times New Roman"/>
                <w:b/>
                <w:bCs/>
                <w:color w:val="416AAB"/>
                <w:sz w:val="18"/>
                <w:szCs w:val="18"/>
                <w:highlight w:val="none"/>
                <w:lang w:eastAsia="zh-CN"/>
              </w:rPr>
            </w:pPr>
            <w:r>
              <w:rPr>
                <w:rFonts w:ascii="Times New Roman" w:hAnsi="Times New Roman" w:eastAsia="微软雅黑" w:cs="Times New Roman"/>
                <w:b/>
                <w:bCs/>
                <w:color w:val="416AAB"/>
                <w:sz w:val="18"/>
                <w:szCs w:val="18"/>
                <w:highlight w:val="none"/>
                <w:lang w:eastAsia="zh-CN"/>
              </w:rPr>
              <w:t>用药提示（仅供参考）</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3994" w:hRule="atLeast"/>
          <w:tblHeader/>
          <w:jc w:val="center"/>
        </w:trPr>
        <w:tc>
          <w:tcPr>
            <w:tcW w:w="92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BRAF</w:t>
            </w:r>
          </w:p>
        </w:tc>
        <w:tc>
          <w:tcPr>
            <w:tcW w:w="688" w:type="dxa"/>
            <w:vAlign w:val="center"/>
          </w:tcPr>
          <w:p>
            <w:pPr>
              <w:spacing w:before="161"/>
              <w:jc w:val="center"/>
              <w:rPr>
                <w:rFonts w:ascii="Times New Roman" w:hAnsi="Times New Roman" w:eastAsia="微软雅黑" w:cs="Times New Roman"/>
                <w:sz w:val="9"/>
                <w:szCs w:val="9"/>
                <w:highlight w:val="none"/>
              </w:rPr>
            </w:pPr>
            <w:r>
              <w:rPr>
                <w:rFonts w:ascii="Times New Roman" w:hAnsi="Times New Roman" w:eastAsia="微软雅黑" w:cs="Times New Roman"/>
                <w:sz w:val="18"/>
                <w:szCs w:val="18"/>
                <w:highlight w:val="none"/>
              </w:rPr>
              <w:t>突变</w:t>
            </w:r>
          </w:p>
        </w:tc>
        <w:tc>
          <w:tcPr>
            <w:tcW w:w="463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康奈非尼+帕尼单抗（Encorafenib+Panitumumab）（NCCN指南推荐用于结直肠癌）；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康奈非尼+西妥昔单抗（Encorafenib +Cetuximab）</w:t>
            </w:r>
            <w:r>
              <w:rPr>
                <w:rFonts w:ascii="Times New Roman" w:hAnsi="Times New Roman" w:eastAsia="微软雅黑" w:cs="Times New Roman"/>
                <w:spacing w:val="-1"/>
                <w:sz w:val="18"/>
                <w:szCs w:val="18"/>
                <w:highlight w:val="none"/>
              </w:rPr>
              <w:t>（FDA批准用于结直肠癌）；</w:t>
            </w:r>
          </w:p>
          <w:p>
            <w:pPr>
              <w:widowControl/>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康奈非尼+贝美替尼+西妥昔单抗</w:t>
            </w:r>
          </w:p>
          <w:p>
            <w:pPr>
              <w:jc w:val="both"/>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rPr>
              <w:t>（Encorafenib+Binimetinib+Cetuximab）（临床III期）</w:t>
            </w:r>
            <w:r>
              <w:rPr>
                <w:rFonts w:ascii="Times New Roman" w:hAnsi="Times New Roman" w:eastAsia="微软雅黑" w:cs="Times New Roman"/>
                <w:spacing w:val="-1"/>
                <w:sz w:val="18"/>
                <w:szCs w:val="18"/>
                <w:highlight w:val="none"/>
                <w:lang w:eastAsia="zh-CN"/>
              </w:rPr>
              <w:t>；</w:t>
            </w:r>
          </w:p>
          <w:p>
            <w:pPr>
              <w:keepNext w:val="0"/>
              <w:keepLines w:val="0"/>
              <w:suppressLineNumbers w:val="0"/>
              <w:spacing w:before="0" w:beforeAutospacing="0" w:after="0" w:afterAutospacing="0"/>
              <w:ind w:left="0" w:right="0"/>
              <w:jc w:val="both"/>
              <w:rPr>
                <w:rFonts w:hint="eastAsia" w:ascii="Times New Roman" w:hAnsi="Times New Roman" w:eastAsia="微软雅黑" w:cs="Times New Roman"/>
                <w:spacing w:val="-1"/>
                <w:sz w:val="18"/>
                <w:szCs w:val="18"/>
                <w:highlight w:val="none"/>
                <w:lang w:eastAsia="zh-CN"/>
              </w:rPr>
            </w:pPr>
            <w:r>
              <w:rPr>
                <w:rFonts w:hint="eastAsia" w:ascii="Times New Roman" w:hAnsi="Times New Roman" w:eastAsia="微软雅黑" w:cs="Times New Roman"/>
                <w:spacing w:val="-1"/>
                <w:sz w:val="18"/>
                <w:szCs w:val="18"/>
                <w:highlight w:val="none"/>
                <w:lang w:eastAsia="zh-CN"/>
              </w:rPr>
              <w:t>维莫非尼+伊立替康+西妥昔单抗</w:t>
            </w:r>
          </w:p>
          <w:p>
            <w:pPr>
              <w:jc w:val="both"/>
              <w:rPr>
                <w:rFonts w:ascii="Times New Roman" w:hAnsi="Times New Roman" w:eastAsia="微软雅黑" w:cs="Times New Roman"/>
                <w:spacing w:val="-1"/>
                <w:sz w:val="18"/>
                <w:szCs w:val="18"/>
                <w:highlight w:val="none"/>
                <w:lang w:eastAsia="zh-CN"/>
              </w:rPr>
            </w:pPr>
            <w:r>
              <w:rPr>
                <w:rFonts w:hint="eastAsia"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Vemurafenib</w:t>
            </w:r>
            <w:r>
              <w:rPr>
                <w:rFonts w:hint="default"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Irinotecan</w:t>
            </w:r>
            <w:r>
              <w:rPr>
                <w:rFonts w:hint="default" w:ascii="Times New Roman" w:hAnsi="Times New Roman" w:eastAsia="微软雅黑" w:cs="Times New Roman"/>
                <w:spacing w:val="-1"/>
                <w:sz w:val="18"/>
                <w:szCs w:val="18"/>
                <w:highlight w:val="none"/>
              </w:rPr>
              <w:t>+Cetuximab</w:t>
            </w:r>
            <w:r>
              <w:rPr>
                <w:rFonts w:hint="eastAsia" w:ascii="微软雅黑" w:hAnsi="微软雅黑" w:eastAsia="微软雅黑" w:cs="Times New Roman"/>
                <w:spacing w:val="-1"/>
                <w:sz w:val="18"/>
                <w:szCs w:val="18"/>
                <w:highlight w:val="none"/>
              </w:rPr>
              <w:t>）</w:t>
            </w:r>
            <w:r>
              <w:rPr>
                <w:rFonts w:hint="default"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临床</w:t>
            </w:r>
            <w:r>
              <w:rPr>
                <w:rFonts w:hint="default" w:ascii="Times New Roman" w:hAnsi="Times New Roman" w:eastAsia="微软雅黑" w:cs="Times New Roman"/>
                <w:spacing w:val="-1"/>
                <w:sz w:val="18"/>
                <w:szCs w:val="18"/>
                <w:highlight w:val="none"/>
              </w:rPr>
              <w:t>II</w:t>
            </w:r>
            <w:r>
              <w:rPr>
                <w:rFonts w:hint="eastAsia" w:ascii="微软雅黑" w:hAnsi="微软雅黑" w:eastAsia="微软雅黑" w:cs="Times New Roman"/>
                <w:spacing w:val="-1"/>
                <w:sz w:val="18"/>
                <w:szCs w:val="18"/>
                <w:highlight w:val="none"/>
              </w:rPr>
              <w:t>期）</w:t>
            </w:r>
            <w:r>
              <w:rPr>
                <w:rFonts w:hint="eastAsia" w:ascii="Times New Roman" w:hAnsi="Times New Roman" w:eastAsia="微软雅黑" w:cs="Times New Roman"/>
                <w:spacing w:val="-1"/>
                <w:sz w:val="18"/>
                <w:szCs w:val="18"/>
                <w:highlight w:val="none"/>
                <w:lang w:eastAsia="zh-CN"/>
              </w:rPr>
              <w:t>；</w:t>
            </w:r>
          </w:p>
          <w:p>
            <w:pPr>
              <w:jc w:val="left"/>
              <w:rPr>
                <w:rFonts w:ascii="Times New Roman" w:hAnsi="Times New Roman" w:eastAsia="微软雅黑" w:cs="Times New Roman"/>
                <w:sz w:val="18"/>
                <w:szCs w:val="18"/>
                <w:highlight w:val="none"/>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帕尼单抗（Panitumumab）</w:t>
            </w:r>
            <w:r>
              <w:rPr>
                <w:rFonts w:ascii="Times New Roman" w:hAnsi="Times New Roman" w:eastAsia="微软雅黑" w:cs="Times New Roman"/>
                <w:spacing w:val="-1"/>
                <w:sz w:val="18"/>
                <w:szCs w:val="18"/>
                <w:highlight w:val="none"/>
                <w:lang w:eastAsia="zh-CN"/>
              </w:rPr>
              <w:t>（FDA批准用于结直肠癌）、</w:t>
            </w:r>
            <w:r>
              <w:rPr>
                <w:rFonts w:ascii="Times New Roman" w:hAnsi="Times New Roman" w:eastAsia="微软雅黑" w:cs="Times New Roman"/>
                <w:b/>
                <w:spacing w:val="-1"/>
                <w:sz w:val="18"/>
                <w:szCs w:val="18"/>
                <w:highlight w:val="none"/>
                <w:lang w:eastAsia="zh-CN"/>
              </w:rPr>
              <w:t>西妥昔单抗*（Cetuximab）</w:t>
            </w:r>
            <w:r>
              <w:rPr>
                <w:rFonts w:ascii="Times New Roman" w:hAnsi="Times New Roman" w:eastAsia="微软雅黑" w:cs="Times New Roman"/>
                <w:spacing w:val="-1"/>
                <w:sz w:val="18"/>
                <w:szCs w:val="18"/>
                <w:highlight w:val="none"/>
                <w:lang w:eastAsia="zh-CN"/>
              </w:rPr>
              <w:t>（FDA/NMPA批准用于结直肠癌；FDA批准用于头颈部鳞状细胞癌）</w:t>
            </w:r>
          </w:p>
        </w:tc>
        <w:tc>
          <w:tcPr>
            <w:tcW w:w="3862"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在结直肠癌中，BRAF V600E突变的患者对康奈非尼+帕尼单抗、康奈非尼+西妥昔单抗、康奈非尼+贝美替尼+西妥昔单抗</w:t>
            </w:r>
            <w:r>
              <w:rPr>
                <w:rFonts w:hint="eastAsia" w:ascii="Times New Roman" w:hAnsi="Times New Roman" w:eastAsia="微软雅黑" w:cs="Times New Roman"/>
                <w:spacing w:val="-1"/>
                <w:sz w:val="18"/>
                <w:szCs w:val="18"/>
                <w:highlight w:val="none"/>
                <w:lang w:eastAsia="zh-CN"/>
              </w:rPr>
              <w:t>、维莫非尼+伊立替康+西妥昔单抗</w:t>
            </w:r>
            <w:r>
              <w:rPr>
                <w:rFonts w:ascii="Times New Roman" w:hAnsi="Times New Roman" w:eastAsia="微软雅黑" w:cs="Times New Roman"/>
                <w:spacing w:val="-1"/>
                <w:sz w:val="18"/>
                <w:szCs w:val="18"/>
                <w:highlight w:val="none"/>
                <w:lang w:eastAsia="zh-CN"/>
              </w:rPr>
              <w:t xml:space="preserve">敏感[PMID: 30892987; PMID: 31566309; </w:t>
            </w:r>
            <w:r>
              <w:rPr>
                <w:rFonts w:ascii="Times New Roman" w:hAnsi="Times New Roman" w:eastAsia="微软雅黑" w:cs="Times New Roman"/>
                <w:sz w:val="18"/>
                <w:szCs w:val="18"/>
                <w:highlight w:val="none"/>
              </w:rPr>
              <w:t>J Clin Oncol</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rPr>
              <w:t xml:space="preserve"> 2020;38(suppl 4</w:t>
            </w:r>
            <w:r>
              <w:rPr>
                <w:rFonts w:hint="eastAsia" w:ascii="Times New Roman" w:hAnsi="Times New Roman" w:eastAsia="微软雅黑" w:cs="Times New Roman"/>
                <w:sz w:val="18"/>
                <w:szCs w:val="18"/>
                <w:highlight w:val="none"/>
                <w:lang w:eastAsia="zh-CN"/>
              </w:rPr>
              <w:t>):</w:t>
            </w:r>
            <w:r>
              <w:rPr>
                <w:rFonts w:ascii="Times New Roman" w:hAnsi="Times New Roman" w:eastAsia="微软雅黑" w:cs="Times New Roman"/>
                <w:sz w:val="18"/>
                <w:szCs w:val="18"/>
                <w:highlight w:val="none"/>
              </w:rPr>
              <w:t xml:space="preserve"> abstr 8</w:t>
            </w:r>
            <w:r>
              <w:rPr>
                <w:rFonts w:hint="eastAsia" w:ascii="Times New Roman" w:hAnsi="Times New Roman" w:eastAsia="微软雅黑" w:cs="Times New Roman"/>
                <w:sz w:val="18"/>
                <w:szCs w:val="18"/>
                <w:highlight w:val="none"/>
                <w:lang w:val="en-US" w:eastAsia="zh-CN"/>
              </w:rPr>
              <w:t xml:space="preserve">; </w:t>
            </w:r>
            <w:r>
              <w:rPr>
                <w:rFonts w:hint="eastAsia" w:ascii="Times New Roman" w:hAnsi="Times New Roman" w:eastAsia="微软雅黑" w:cs="Times New Roman"/>
                <w:spacing w:val="-1"/>
                <w:sz w:val="18"/>
                <w:szCs w:val="18"/>
                <w:highlight w:val="none"/>
                <w:lang w:val="en-US" w:eastAsia="zh-CN"/>
              </w:rPr>
              <w:t>PMID: 33356422</w:t>
            </w:r>
            <w:r>
              <w:rPr>
                <w:rFonts w:ascii="Times New Roman" w:hAnsi="Times New Roman" w:eastAsia="微软雅黑" w:cs="Times New Roman"/>
                <w:spacing w:val="-1"/>
                <w:sz w:val="18"/>
                <w:szCs w:val="18"/>
                <w:highlight w:val="none"/>
                <w:lang w:eastAsia="zh-CN"/>
              </w:rPr>
              <w:t>]，携带B</w:t>
            </w:r>
            <w:r>
              <w:rPr>
                <w:rFonts w:ascii="Times New Roman" w:hAnsi="Times New Roman" w:eastAsia="微软雅黑" w:cs="Times New Roman"/>
                <w:color w:val="000000"/>
                <w:spacing w:val="-1"/>
                <w:sz w:val="18"/>
                <w:szCs w:val="18"/>
                <w:highlight w:val="none"/>
                <w:lang w:eastAsia="zh-CN"/>
              </w:rPr>
              <w:t>RAF V600的患者对维莫非尼+西妥昔单抗敏感[PMID: 26287849]</w:t>
            </w:r>
            <w:r>
              <w:rPr>
                <w:rFonts w:ascii="Times New Roman" w:hAnsi="Times New Roman" w:eastAsia="微软雅黑" w:cs="Times New Roman"/>
                <w:spacing w:val="-1"/>
                <w:sz w:val="18"/>
                <w:szCs w:val="18"/>
                <w:highlight w:val="none"/>
                <w:lang w:eastAsia="zh-CN"/>
              </w:rPr>
              <w:t>，携带BRAF V600的患者使用帕尼单抗、西妥昔单抗产生耐药性[PMID: 25673558]</w:t>
            </w:r>
            <w:r>
              <w:rPr>
                <w:rFonts w:hint="eastAsia" w:ascii="Times New Roman" w:hAnsi="Times New Roman" w:eastAsia="微软雅黑" w:cs="Times New Roman"/>
                <w:spacing w:val="-1"/>
                <w:sz w:val="18"/>
                <w:szCs w:val="18"/>
                <w:highlight w:val="none"/>
                <w:lang w:eastAsia="zh-CN"/>
              </w:rPr>
              <w:t>。</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224" w:hRule="atLeast"/>
          <w:tblHeader/>
          <w:jc w:val="center"/>
        </w:trPr>
        <w:tc>
          <w:tcPr>
            <w:tcW w:w="929"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EGFR</w:t>
            </w:r>
          </w:p>
        </w:tc>
        <w:tc>
          <w:tcPr>
            <w:tcW w:w="688"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634" w:type="dxa"/>
            <w:vAlign w:val="center"/>
          </w:tcPr>
          <w:p>
            <w:pPr>
              <w:spacing w:before="19"/>
              <w:ind w:right="-6" w:rightChars="0"/>
              <w:jc w:val="left"/>
              <w:rPr>
                <w:rFonts w:hint="eastAsia"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EGFR单抗：</w:t>
            </w:r>
            <w:r>
              <w:rPr>
                <w:rFonts w:ascii="Times New Roman" w:hAnsi="Times New Roman" w:eastAsia="微软雅黑" w:cs="Times New Roman"/>
                <w:b/>
                <w:spacing w:val="-1"/>
                <w:sz w:val="18"/>
                <w:szCs w:val="18"/>
                <w:highlight w:val="none"/>
              </w:rPr>
              <w:t>西妥昔单抗</w:t>
            </w:r>
            <w:r>
              <w:rPr>
                <w:rFonts w:hint="eastAsia" w:ascii="Times New Roman" w:hAnsi="Times New Roman" w:eastAsia="微软雅黑" w:cs="Times New Roman"/>
                <w:b/>
                <w:spacing w:val="-1"/>
                <w:sz w:val="18"/>
                <w:szCs w:val="18"/>
                <w:highlight w:val="none"/>
              </w:rPr>
              <w:t>*（</w:t>
            </w:r>
            <w:r>
              <w:rPr>
                <w:rFonts w:ascii="Times New Roman" w:hAnsi="Times New Roman" w:eastAsia="微软雅黑" w:cs="Times New Roman"/>
                <w:b/>
                <w:spacing w:val="-1"/>
                <w:sz w:val="18"/>
                <w:szCs w:val="18"/>
                <w:highlight w:val="none"/>
              </w:rPr>
              <w:t>Cetuximab）</w:t>
            </w:r>
            <w:r>
              <w:rPr>
                <w:rFonts w:ascii="Times New Roman" w:hAnsi="Times New Roman"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Times New Roman" w:hAnsi="Times New Roman" w:eastAsia="微软雅黑" w:cs="Times New Roman"/>
                <w:spacing w:val="-1"/>
                <w:sz w:val="18"/>
                <w:szCs w:val="18"/>
                <w:highlight w:val="none"/>
              </w:rPr>
              <w:t>批准</w:t>
            </w:r>
            <w:r>
              <w:rPr>
                <w:rFonts w:ascii="Times New Roman" w:hAnsi="Times New Roman" w:eastAsia="微软雅黑" w:cs="Times New Roman"/>
                <w:spacing w:val="-1"/>
                <w:sz w:val="18"/>
                <w:szCs w:val="18"/>
                <w:highlight w:val="none"/>
              </w:rPr>
              <w:t>用于</w:t>
            </w:r>
            <w:r>
              <w:rPr>
                <w:rFonts w:hint="eastAsia" w:ascii="Times New Roman" w:hAnsi="Times New Roman" w:eastAsia="微软雅黑" w:cs="Times New Roman"/>
                <w:spacing w:val="-1"/>
                <w:sz w:val="18"/>
                <w:szCs w:val="18"/>
                <w:highlight w:val="none"/>
              </w:rPr>
              <w:t>结直肠癌</w:t>
            </w:r>
            <w:r>
              <w:rPr>
                <w:rFonts w:ascii="Times New Roman" w:hAnsi="Times New Roman"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p>
        </w:tc>
        <w:tc>
          <w:tcPr>
            <w:tcW w:w="3862" w:type="dxa"/>
            <w:vAlign w:val="center"/>
          </w:tcPr>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西妥昔单抗</w:t>
            </w:r>
            <w:r>
              <w:rPr>
                <w:rFonts w:hint="eastAsia" w:ascii="Times New Roman" w:hAnsi="Times New Roman" w:eastAsia="微软雅黑" w:cs="Times New Roman"/>
                <w:spacing w:val="-1"/>
                <w:sz w:val="18"/>
                <w:szCs w:val="18"/>
                <w:highlight w:val="none"/>
                <w:lang w:eastAsia="zh-CN"/>
              </w:rPr>
              <w:t>[PMID: 17488734]和</w:t>
            </w:r>
            <w:r>
              <w:rPr>
                <w:rFonts w:ascii="微软雅黑" w:hAnsi="微软雅黑" w:eastAsia="微软雅黑" w:cs="Times New Roman"/>
                <w:spacing w:val="-1"/>
                <w:sz w:val="18"/>
                <w:szCs w:val="18"/>
                <w:highlight w:val="none"/>
                <w:lang w:eastAsia="zh-CN"/>
              </w:rPr>
              <w:t>帕尼单抗</w:t>
            </w:r>
            <w:r>
              <w:rPr>
                <w:rFonts w:hint="default" w:ascii="Times New Roman" w:hAnsi="Times New Roman" w:eastAsia="微软雅黑" w:cs="Times New Roman"/>
                <w:spacing w:val="-1"/>
                <w:sz w:val="18"/>
                <w:szCs w:val="18"/>
                <w:highlight w:val="none"/>
                <w:lang w:eastAsia="zh-CN"/>
              </w:rPr>
              <w:t>[PMID: 28633089]</w:t>
            </w:r>
            <w:r>
              <w:rPr>
                <w:rFonts w:ascii="Times New Roman" w:hAnsi="Times New Roman" w:eastAsia="微软雅黑" w:cs="Times New Roman"/>
                <w:spacing w:val="-1"/>
                <w:sz w:val="18"/>
                <w:szCs w:val="18"/>
                <w:highlight w:val="none"/>
                <w:lang w:eastAsia="zh-CN"/>
              </w:rPr>
              <w:t>是EGFR的单克隆抗体。</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764" w:hRule="atLeast"/>
          <w:tblHeader/>
          <w:jc w:val="center"/>
        </w:trPr>
        <w:tc>
          <w:tcPr>
            <w:tcW w:w="929" w:type="dxa"/>
            <w:vAlign w:val="center"/>
          </w:tcPr>
          <w:p>
            <w:pPr>
              <w:spacing w:line="206" w:lineRule="exact"/>
              <w:ind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ERBB2</w:t>
            </w:r>
          </w:p>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（HER2）</w:t>
            </w:r>
          </w:p>
        </w:tc>
        <w:tc>
          <w:tcPr>
            <w:tcW w:w="688" w:type="dxa"/>
            <w:vAlign w:val="center"/>
          </w:tcPr>
          <w:p>
            <w:pPr>
              <w:spacing w:before="161"/>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p>
            <w:pPr>
              <w:spacing w:before="1"/>
              <w:jc w:val="center"/>
              <w:rPr>
                <w:rFonts w:ascii="Times New Roman" w:hAnsi="Times New Roman" w:eastAsia="微软雅黑" w:cs="Times New Roman"/>
                <w:sz w:val="18"/>
                <w:szCs w:val="18"/>
                <w:highlight w:val="none"/>
              </w:rPr>
            </w:pPr>
            <w:r>
              <w:rPr>
                <w:rFonts w:ascii="Times New Roman" w:hAnsi="Times New Roman" w:eastAsia="微软雅黑" w:cs="Times New Roman"/>
                <w:sz w:val="17"/>
                <w:szCs w:val="17"/>
                <w:highlight w:val="none"/>
              </w:rPr>
              <w:t>扩增</w:t>
            </w:r>
          </w:p>
        </w:tc>
        <w:tc>
          <w:tcPr>
            <w:tcW w:w="4634" w:type="dxa"/>
            <w:vAlign w:val="center"/>
          </w:tcPr>
          <w:p>
            <w:pPr>
              <w:spacing w:before="19"/>
              <w:ind w:right="-6"/>
              <w:jc w:val="both"/>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rPr>
              <w:t>EGFR</w:t>
            </w:r>
            <w:r>
              <w:rPr>
                <w:rFonts w:ascii="微软雅黑" w:hAnsi="微软雅黑" w:eastAsia="微软雅黑" w:cs="Times New Roman"/>
                <w:spacing w:val="-1"/>
                <w:sz w:val="18"/>
                <w:szCs w:val="18"/>
                <w:highlight w:val="none"/>
              </w:rPr>
              <w:t>单抗：</w:t>
            </w:r>
            <w:r>
              <w:rPr>
                <w:rFonts w:ascii="微软雅黑" w:hAnsi="微软雅黑" w:eastAsia="微软雅黑" w:cs="Times New Roman"/>
                <w:b/>
                <w:bCs/>
                <w:spacing w:val="-1"/>
                <w:sz w:val="18"/>
                <w:szCs w:val="18"/>
                <w:highlight w:val="none"/>
              </w:rPr>
              <w:t>西妥昔单抗</w:t>
            </w:r>
            <w:r>
              <w:rPr>
                <w:rFonts w:hint="eastAsia" w:ascii="Times New Roman" w:hAnsi="Times New Roman" w:eastAsia="微软雅黑" w:cs="Times New Roman"/>
                <w:b/>
                <w:bCs/>
                <w:spacing w:val="-1"/>
                <w:sz w:val="18"/>
                <w:szCs w:val="18"/>
                <w:highlight w:val="none"/>
              </w:rPr>
              <w:t>*</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Cetuximab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hint="eastAsia" w:ascii="Times New Roman" w:hAnsi="Times New Roman" w:eastAsia="微软雅黑" w:cs="Times New Roman"/>
                <w:spacing w:val="-1"/>
                <w:sz w:val="18"/>
                <w:szCs w:val="18"/>
                <w:highlight w:val="none"/>
              </w:rPr>
              <w:t>F</w:t>
            </w:r>
            <w:r>
              <w:rPr>
                <w:rFonts w:ascii="Times New Roman" w:hAnsi="Times New Roman" w:eastAsia="微软雅黑" w:cs="Times New Roman"/>
                <w:spacing w:val="-1"/>
                <w:sz w:val="18"/>
                <w:szCs w:val="18"/>
                <w:highlight w:val="none"/>
              </w:rPr>
              <w:t>DA/NMPA</w:t>
            </w:r>
            <w:r>
              <w:rPr>
                <w:rFonts w:hint="eastAsia" w:ascii="微软雅黑" w:hAnsi="微软雅黑" w:eastAsia="微软雅黑" w:cs="Times New Roman"/>
                <w:spacing w:val="-1"/>
                <w:sz w:val="18"/>
                <w:szCs w:val="18"/>
                <w:highlight w:val="none"/>
              </w:rPr>
              <w:t>批准</w:t>
            </w:r>
            <w:r>
              <w:rPr>
                <w:rFonts w:ascii="微软雅黑" w:hAnsi="微软雅黑" w:eastAsia="微软雅黑" w:cs="Times New Roman"/>
                <w:spacing w:val="-1"/>
                <w:sz w:val="18"/>
                <w:szCs w:val="18"/>
                <w:highlight w:val="none"/>
              </w:rPr>
              <w:t>用于</w:t>
            </w:r>
            <w:r>
              <w:rPr>
                <w:rFonts w:hint="eastAsia" w:ascii="微软雅黑" w:hAnsi="微软雅黑" w:eastAsia="微软雅黑" w:cs="Times New Roman"/>
                <w:spacing w:val="-1"/>
                <w:sz w:val="18"/>
                <w:szCs w:val="18"/>
                <w:highlight w:val="none"/>
              </w:rPr>
              <w:t>结直肠癌</w:t>
            </w:r>
            <w:r>
              <w:rPr>
                <w:rFonts w:ascii="微软雅黑" w:hAnsi="微软雅黑" w:eastAsia="微软雅黑" w:cs="Times New Roman"/>
                <w:spacing w:val="-1"/>
                <w:sz w:val="18"/>
                <w:szCs w:val="18"/>
                <w:highlight w:val="none"/>
              </w:rPr>
              <w:t>）</w:t>
            </w:r>
            <w:r>
              <w:rPr>
                <w:rFonts w:hint="eastAsia" w:ascii="微软雅黑" w:hAnsi="微软雅黑" w:eastAsia="微软雅黑" w:cs="Times New Roman"/>
                <w:spacing w:val="-1"/>
                <w:sz w:val="18"/>
                <w:szCs w:val="18"/>
                <w:highlight w:val="none"/>
              </w:rPr>
              <w:t>、</w:t>
            </w:r>
            <w:r>
              <w:rPr>
                <w:rFonts w:ascii="微软雅黑" w:hAnsi="微软雅黑" w:eastAsia="微软雅黑" w:cs="Times New Roman"/>
                <w:b/>
                <w:bCs/>
                <w:spacing w:val="-1"/>
                <w:sz w:val="18"/>
                <w:szCs w:val="18"/>
                <w:highlight w:val="none"/>
              </w:rPr>
              <w:t>帕尼单抗</w:t>
            </w:r>
            <w:r>
              <w:rPr>
                <w:rFonts w:hint="eastAsia" w:ascii="微软雅黑" w:hAnsi="微软雅黑"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Panitumumab</w:t>
            </w:r>
            <w:r>
              <w:rPr>
                <w:rFonts w:ascii="微软雅黑" w:hAnsi="微软雅黑" w:eastAsia="微软雅黑" w:cs="Times New Roman"/>
                <w:b/>
                <w:bCs/>
                <w:spacing w:val="-1"/>
                <w:sz w:val="18"/>
                <w:szCs w:val="18"/>
                <w:highlight w:val="none"/>
              </w:rPr>
              <w:t>）</w:t>
            </w:r>
            <w:r>
              <w:rPr>
                <w:rFonts w:ascii="微软雅黑" w:hAnsi="微软雅黑"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FDA</w:t>
            </w:r>
            <w:r>
              <w:rPr>
                <w:rFonts w:ascii="微软雅黑" w:hAnsi="微软雅黑" w:eastAsia="微软雅黑" w:cs="Times New Roman"/>
                <w:spacing w:val="-1"/>
                <w:sz w:val="18"/>
                <w:szCs w:val="18"/>
                <w:highlight w:val="none"/>
              </w:rPr>
              <w:t>批准用于结直肠癌）</w:t>
            </w:r>
            <w:r>
              <w:rPr>
                <w:rFonts w:hint="eastAsia" w:ascii="微软雅黑" w:hAnsi="微软雅黑" w:eastAsia="微软雅黑" w:cs="Times New Roman"/>
                <w:spacing w:val="-1"/>
                <w:sz w:val="18"/>
                <w:szCs w:val="18"/>
                <w:highlight w:val="none"/>
              </w:rPr>
              <w:t>；</w:t>
            </w:r>
          </w:p>
          <w:p>
            <w:pPr>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bCs/>
                <w:spacing w:val="-1"/>
                <w:sz w:val="18"/>
                <w:szCs w:val="18"/>
                <w:highlight w:val="none"/>
              </w:rPr>
              <w:t>曲妥珠单抗+拉帕替尼（Trastuzumab+Lapatinib）（NCCN指南推荐用于结直肠癌）</w:t>
            </w:r>
            <w:r>
              <w:rPr>
                <w:rFonts w:hint="eastAsia" w:ascii="Times New Roman" w:hAnsi="Times New Roman" w:eastAsia="微软雅黑" w:cs="Times New Roman"/>
                <w:bCs/>
                <w:spacing w:val="-1"/>
                <w:sz w:val="18"/>
                <w:szCs w:val="18"/>
                <w:highlight w:val="none"/>
                <w:lang w:eastAsia="zh-CN"/>
              </w:rPr>
              <w:t>、</w:t>
            </w:r>
            <w:r>
              <w:rPr>
                <w:rFonts w:hint="eastAsia" w:ascii="Times New Roman" w:hAnsi="Times New Roman" w:eastAsia="微软雅黑" w:cs="Times New Roman"/>
                <w:b/>
                <w:bCs w:val="0"/>
                <w:spacing w:val="-1"/>
                <w:sz w:val="18"/>
                <w:szCs w:val="18"/>
                <w:highlight w:val="none"/>
                <w:lang w:eastAsia="zh-CN"/>
              </w:rPr>
              <w:t>曲妥珠单抗 + 帕妥珠单抗</w:t>
            </w:r>
            <w:r>
              <w:rPr>
                <w:rFonts w:hint="eastAsia" w:ascii="Times New Roman" w:hAnsi="Times New Roman" w:eastAsia="微软雅黑" w:cs="Times New Roman"/>
                <w:b/>
                <w:bCs w:val="0"/>
                <w:spacing w:val="-1"/>
                <w:kern w:val="0"/>
                <w:sz w:val="18"/>
                <w:szCs w:val="18"/>
                <w:highlight w:val="none"/>
                <w:lang w:val="en-US" w:eastAsia="zh-CN" w:bidi="ar"/>
              </w:rPr>
              <w:t>（</w:t>
            </w:r>
            <w:r>
              <w:rPr>
                <w:rFonts w:hint="default" w:ascii="Times New Roman" w:hAnsi="Times New Roman" w:eastAsia="微软雅黑" w:cs="Times New Roman"/>
                <w:b/>
                <w:bCs w:val="0"/>
                <w:spacing w:val="-1"/>
                <w:kern w:val="0"/>
                <w:sz w:val="18"/>
                <w:szCs w:val="18"/>
                <w:highlight w:val="none"/>
                <w:lang w:val="en-US" w:eastAsia="zh-CN" w:bidi="ar"/>
              </w:rPr>
              <w:t>Trastuzumab+Pertuzumab</w:t>
            </w:r>
            <w:r>
              <w:rPr>
                <w:rFonts w:hint="eastAsia" w:ascii="Times New Roman" w:hAnsi="Times New Roman" w:eastAsia="微软雅黑" w:cs="Times New Roman"/>
                <w:b/>
                <w:bCs w:val="0"/>
                <w:spacing w:val="-1"/>
                <w:kern w:val="0"/>
                <w:sz w:val="18"/>
                <w:szCs w:val="18"/>
                <w:highlight w:val="none"/>
                <w:lang w:val="en-US" w:eastAsia="zh-CN" w:bidi="ar"/>
              </w:rPr>
              <w:t>）</w:t>
            </w:r>
            <w:r>
              <w:rPr>
                <w:rFonts w:ascii="Times New Roman" w:hAnsi="Times New Roman" w:eastAsia="微软雅黑" w:cs="Times New Roman"/>
                <w:bCs/>
                <w:spacing w:val="-1"/>
                <w:sz w:val="18"/>
                <w:szCs w:val="18"/>
                <w:highlight w:val="none"/>
              </w:rPr>
              <w:t>（NCCN指南推荐用于结直肠癌）</w:t>
            </w:r>
            <w:r>
              <w:rPr>
                <w:rFonts w:hint="eastAsia" w:ascii="Times New Roman" w:hAnsi="Times New Roman" w:eastAsia="微软雅黑" w:cs="Times New Roman"/>
                <w:bCs/>
                <w:spacing w:val="-1"/>
                <w:sz w:val="18"/>
                <w:szCs w:val="18"/>
                <w:highlight w:val="none"/>
                <w:lang w:eastAsia="zh-CN"/>
              </w:rPr>
              <w:t>、</w:t>
            </w:r>
            <w:r>
              <w:rPr>
                <w:rFonts w:hint="default" w:ascii="Times New Roman" w:hAnsi="Times New Roman" w:eastAsia="微软雅黑" w:cs="Times New Roman"/>
                <w:b/>
                <w:bCs w:val="0"/>
                <w:spacing w:val="-1"/>
                <w:kern w:val="0"/>
                <w:sz w:val="18"/>
                <w:szCs w:val="18"/>
                <w:highlight w:val="none"/>
                <w:lang w:val="en-US" w:eastAsia="zh-CN" w:bidi="ar"/>
              </w:rPr>
              <w:t>Trastuzumab deruxtecan</w:t>
            </w:r>
            <w:r>
              <w:rPr>
                <w:rFonts w:ascii="Times New Roman" w:hAnsi="Times New Roman" w:eastAsia="微软雅黑" w:cs="Times New Roman"/>
                <w:bCs/>
                <w:spacing w:val="-1"/>
                <w:sz w:val="18"/>
                <w:szCs w:val="18"/>
                <w:highlight w:val="none"/>
              </w:rPr>
              <w:t>（NCCN指南推荐用于结直肠癌）</w:t>
            </w:r>
          </w:p>
        </w:tc>
        <w:tc>
          <w:tcPr>
            <w:tcW w:w="3862" w:type="dxa"/>
            <w:vAlign w:val="center"/>
          </w:tcPr>
          <w:p>
            <w:pPr>
              <w:jc w:val="left"/>
              <w:rPr>
                <w:rFonts w:hint="default" w:ascii="Times New Roman" w:hAnsi="Times New Roman" w:eastAsia="微软雅黑" w:cs="Times New Roman"/>
                <w:spacing w:val="-1"/>
                <w:sz w:val="18"/>
                <w:szCs w:val="18"/>
                <w:highlight w:val="none"/>
                <w:lang w:val="en-US" w:eastAsia="zh-CN"/>
              </w:rPr>
            </w:pPr>
            <w:r>
              <w:rPr>
                <w:rFonts w:ascii="Times New Roman" w:hAnsi="Times New Roman" w:eastAsia="微软雅黑" w:cs="Times New Roman"/>
                <w:spacing w:val="-1"/>
                <w:sz w:val="18"/>
                <w:szCs w:val="18"/>
                <w:highlight w:val="none"/>
                <w:lang w:eastAsia="zh-CN"/>
              </w:rPr>
              <w:t>在结直肠癌中，</w:t>
            </w:r>
            <w:r>
              <w:rPr>
                <w:rFonts w:hint="eastAsia" w:ascii="Times New Roman" w:hAnsi="Times New Roman" w:eastAsia="微软雅黑" w:cs="Times New Roman"/>
                <w:spacing w:val="-1"/>
                <w:sz w:val="18"/>
                <w:szCs w:val="18"/>
                <w:highlight w:val="none"/>
                <w:lang w:val="en-US" w:eastAsia="zh-CN"/>
              </w:rPr>
              <w:t>ERBB2扩增的患者对曲妥珠单抗+帕妥珠单抗[PMID: 30857956]、曲妥珠单抗+拉帕替尼[PMID: 27108243]、Trastuzumab deruxtecan[PMID: 33961795]敏感；</w:t>
            </w:r>
            <w:r>
              <w:rPr>
                <w:rFonts w:ascii="Times New Roman" w:hAnsi="Times New Roman" w:eastAsia="微软雅黑" w:cs="Times New Roman"/>
                <w:spacing w:val="-1"/>
                <w:sz w:val="18"/>
                <w:szCs w:val="18"/>
                <w:highlight w:val="none"/>
                <w:lang w:eastAsia="zh-CN"/>
              </w:rPr>
              <w:t>携带</w:t>
            </w:r>
            <w:r>
              <w:rPr>
                <w:rFonts w:hint="eastAsia" w:ascii="Times New Roman" w:hAnsi="Times New Roman" w:eastAsia="微软雅黑" w:cs="Times New Roman"/>
                <w:spacing w:val="-1"/>
                <w:sz w:val="18"/>
                <w:szCs w:val="18"/>
                <w:highlight w:val="none"/>
                <w:lang w:val="en-US" w:eastAsia="zh-CN"/>
              </w:rPr>
              <w:t>ERBB2扩增</w:t>
            </w:r>
            <w:r>
              <w:rPr>
                <w:rFonts w:ascii="Times New Roman" w:hAnsi="Times New Roman" w:eastAsia="微软雅黑" w:cs="Times New Roman"/>
                <w:spacing w:val="-1"/>
                <w:sz w:val="18"/>
                <w:szCs w:val="18"/>
                <w:highlight w:val="none"/>
                <w:lang w:eastAsia="zh-CN"/>
              </w:rPr>
              <w:t>的患者</w:t>
            </w:r>
            <w:r>
              <w:rPr>
                <w:rFonts w:hint="eastAsia" w:ascii="Times New Roman" w:hAnsi="Times New Roman" w:eastAsia="微软雅黑" w:cs="Times New Roman"/>
                <w:spacing w:val="-1"/>
                <w:sz w:val="18"/>
                <w:szCs w:val="18"/>
                <w:highlight w:val="none"/>
                <w:lang w:val="en-US" w:eastAsia="zh-CN"/>
              </w:rPr>
              <w:t>对</w:t>
            </w:r>
            <w:r>
              <w:rPr>
                <w:rFonts w:ascii="Times New Roman" w:hAnsi="Times New Roman" w:eastAsia="微软雅黑" w:cs="Times New Roman"/>
                <w:spacing w:val="-1"/>
                <w:sz w:val="18"/>
                <w:szCs w:val="18"/>
                <w:highlight w:val="none"/>
                <w:lang w:eastAsia="zh-CN"/>
              </w:rPr>
              <w:t>帕尼单抗、西妥昔单抗</w:t>
            </w:r>
            <w:r>
              <w:rPr>
                <w:rFonts w:hint="eastAsia" w:ascii="Times New Roman" w:hAnsi="Times New Roman" w:eastAsia="微软雅黑" w:cs="Times New Roman"/>
                <w:spacing w:val="-1"/>
                <w:sz w:val="18"/>
                <w:szCs w:val="18"/>
                <w:highlight w:val="none"/>
                <w:lang w:val="en-US" w:eastAsia="zh-CN"/>
              </w:rPr>
              <w:t>具有</w:t>
            </w:r>
            <w:r>
              <w:rPr>
                <w:rFonts w:ascii="Times New Roman" w:hAnsi="Times New Roman" w:eastAsia="微软雅黑" w:cs="Times New Roman"/>
                <w:spacing w:val="-1"/>
                <w:sz w:val="18"/>
                <w:szCs w:val="18"/>
                <w:highlight w:val="none"/>
                <w:lang w:eastAsia="zh-CN"/>
              </w:rPr>
              <w:t>耐药性</w:t>
            </w:r>
            <w:r>
              <w:rPr>
                <w:rFonts w:hint="eastAsia" w:ascii="Times New Roman" w:hAnsi="Times New Roman" w:eastAsia="微软雅黑" w:cs="Times New Roman"/>
                <w:spacing w:val="-1"/>
                <w:sz w:val="18"/>
                <w:szCs w:val="18"/>
                <w:highlight w:val="none"/>
                <w:lang w:eastAsia="zh-CN"/>
              </w:rPr>
              <w:t>[PMID: 23348520]。</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524" w:hRule="atLeast"/>
          <w:tblHeader/>
          <w:jc w:val="center"/>
        </w:trPr>
        <w:tc>
          <w:tcPr>
            <w:tcW w:w="929"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KRAS</w:t>
            </w:r>
          </w:p>
        </w:tc>
        <w:tc>
          <w:tcPr>
            <w:tcW w:w="688" w:type="dxa"/>
            <w:vAlign w:val="center"/>
          </w:tcPr>
          <w:p>
            <w:pPr>
              <w:jc w:val="center"/>
              <w:rPr>
                <w:rFonts w:ascii="Times New Roman" w:hAnsi="Times New Roman" w:eastAsia="微软雅黑" w:cs="Times New Roman"/>
                <w:sz w:val="17"/>
                <w:szCs w:val="17"/>
                <w:highlight w:val="none"/>
              </w:rPr>
            </w:pPr>
            <w:r>
              <w:rPr>
                <w:rFonts w:ascii="Times New Roman" w:hAnsi="Times New Roman" w:eastAsia="微软雅黑" w:cs="Times New Roman"/>
                <w:sz w:val="18"/>
                <w:szCs w:val="18"/>
                <w:highlight w:val="none"/>
              </w:rPr>
              <w:t>突变</w:t>
            </w:r>
          </w:p>
        </w:tc>
        <w:tc>
          <w:tcPr>
            <w:tcW w:w="4634" w:type="dxa"/>
            <w:vAlign w:val="center"/>
          </w:tcPr>
          <w:p>
            <w:pPr>
              <w:spacing w:before="19"/>
              <w:ind w:right="-8" w:rightChars="0"/>
              <w:jc w:val="left"/>
              <w:rPr>
                <w:rFonts w:ascii="Times New Roman" w:hAnsi="Times New Roman" w:eastAsia="微软雅黑" w:cs="Times New Roman"/>
                <w:bCs/>
                <w:spacing w:val="-1"/>
                <w:sz w:val="18"/>
                <w:szCs w:val="18"/>
                <w:highlight w:val="none"/>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西妥昔单抗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Times New Roman" w:hAnsi="Times New Roman" w:eastAsia="微软雅黑" w:cs="Times New Roman"/>
                <w:spacing w:val="-1"/>
                <w:sz w:val="18"/>
                <w:szCs w:val="18"/>
                <w:highlight w:val="none"/>
                <w:lang w:eastAsia="zh-CN"/>
              </w:rPr>
              <w:t>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结直肠癌；FDA批准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帕尼单抗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Panitumumab）</w:t>
            </w:r>
            <w:r>
              <w:rPr>
                <w:rFonts w:ascii="Times New Roman" w:hAnsi="Times New Roman" w:eastAsia="微软雅黑" w:cs="Times New Roman"/>
                <w:spacing w:val="-1"/>
                <w:sz w:val="18"/>
                <w:szCs w:val="18"/>
                <w:highlight w:val="none"/>
                <w:lang w:eastAsia="zh-CN"/>
              </w:rPr>
              <w:t>（FDA批准用于结直肠癌）</w:t>
            </w:r>
          </w:p>
        </w:tc>
        <w:tc>
          <w:tcPr>
            <w:tcW w:w="3862" w:type="dxa"/>
            <w:vAlign w:val="center"/>
          </w:tcPr>
          <w:p>
            <w:pPr>
              <w:spacing w:before="19"/>
              <w:ind w:right="-8" w:rightChars="0"/>
              <w:jc w:val="left"/>
              <w:rPr>
                <w:rFonts w:hint="eastAsia"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结直肠癌中，KRAS野生型对EGFR抗体类药物西妥昔单抗</w:t>
            </w:r>
            <w:r>
              <w:rPr>
                <w:rFonts w:hint="eastAsia" w:ascii="Times New Roman" w:hAnsi="Times New Roman" w:eastAsia="微软雅黑" w:cs="Times New Roman"/>
                <w:spacing w:val="-1"/>
                <w:sz w:val="18"/>
                <w:szCs w:val="18"/>
                <w:highlight w:val="none"/>
                <w:lang w:eastAsia="zh-CN"/>
              </w:rPr>
              <w:t>和</w:t>
            </w:r>
            <w:r>
              <w:rPr>
                <w:rFonts w:ascii="Times New Roman" w:hAnsi="Times New Roman" w:eastAsia="微软雅黑" w:cs="Times New Roman"/>
                <w:spacing w:val="-1"/>
                <w:sz w:val="18"/>
                <w:szCs w:val="18"/>
                <w:highlight w:val="none"/>
                <w:lang w:eastAsia="zh-CN"/>
              </w:rPr>
              <w:t>帕尼单抗敏感</w:t>
            </w:r>
            <w:r>
              <w:rPr>
                <w:rFonts w:hint="eastAsia" w:ascii="Times New Roman" w:hAnsi="Times New Roman" w:eastAsia="微软雅黑" w:cs="Times New Roman"/>
                <w:spacing w:val="-1"/>
                <w:sz w:val="18"/>
                <w:szCs w:val="18"/>
                <w:highlight w:val="none"/>
                <w:lang w:eastAsia="zh-CN"/>
              </w:rPr>
              <w:t>[PMID: 18202412; PMID: 18316791]，</w:t>
            </w:r>
            <w:r>
              <w:rPr>
                <w:rFonts w:ascii="Times New Roman" w:hAnsi="Times New Roman" w:eastAsia="微软雅黑" w:cs="Times New Roman"/>
                <w:spacing w:val="-1"/>
                <w:sz w:val="18"/>
                <w:szCs w:val="18"/>
                <w:highlight w:val="none"/>
                <w:lang w:eastAsia="zh-CN"/>
              </w:rPr>
              <w:t>12、13、61密码子突变导致KRAS信号通路持续激活，可能无法从EGFR抗体类药物获益。</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524" w:hRule="atLeast"/>
          <w:tblHeader/>
          <w:jc w:val="center"/>
        </w:trPr>
        <w:tc>
          <w:tcPr>
            <w:tcW w:w="929"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NRAS</w:t>
            </w:r>
          </w:p>
        </w:tc>
        <w:tc>
          <w:tcPr>
            <w:tcW w:w="688"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突变</w:t>
            </w:r>
          </w:p>
        </w:tc>
        <w:tc>
          <w:tcPr>
            <w:tcW w:w="463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spacing w:val="-1"/>
                <w:sz w:val="18"/>
                <w:szCs w:val="18"/>
                <w:highlight w:val="none"/>
                <w:lang w:eastAsia="zh-CN"/>
              </w:rPr>
              <w:t>EGFR单抗：</w:t>
            </w:r>
            <w:r>
              <w:rPr>
                <w:rFonts w:ascii="Times New Roman" w:hAnsi="Times New Roman" w:eastAsia="微软雅黑" w:cs="Times New Roman"/>
                <w:b/>
                <w:spacing w:val="-1"/>
                <w:sz w:val="18"/>
                <w:szCs w:val="18"/>
                <w:highlight w:val="none"/>
                <w:lang w:eastAsia="zh-CN"/>
              </w:rPr>
              <w:t>西妥昔单抗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Cetuximab）</w:t>
            </w:r>
            <w:r>
              <w:rPr>
                <w:rFonts w:ascii="Times New Roman" w:hAnsi="Times New Roman" w:eastAsia="微软雅黑" w:cs="Times New Roman"/>
                <w:spacing w:val="-1"/>
                <w:sz w:val="18"/>
                <w:szCs w:val="18"/>
                <w:highlight w:val="none"/>
                <w:lang w:eastAsia="zh-CN"/>
              </w:rPr>
              <w:t>（</w:t>
            </w:r>
            <w:r>
              <w:rPr>
                <w:rFonts w:hint="eastAsia" w:ascii="Times New Roman" w:hAnsi="Times New Roman" w:eastAsia="微软雅黑" w:cs="Times New Roman"/>
                <w:spacing w:val="-1"/>
                <w:sz w:val="18"/>
                <w:szCs w:val="18"/>
                <w:highlight w:val="none"/>
                <w:lang w:eastAsia="zh-CN"/>
              </w:rPr>
              <w:t>F</w:t>
            </w:r>
            <w:r>
              <w:rPr>
                <w:rFonts w:ascii="Times New Roman" w:hAnsi="Times New Roman" w:eastAsia="微软雅黑" w:cs="Times New Roman"/>
                <w:spacing w:val="-1"/>
                <w:sz w:val="18"/>
                <w:szCs w:val="18"/>
                <w:highlight w:val="none"/>
                <w:lang w:eastAsia="zh-CN"/>
              </w:rPr>
              <w:t>DA/NMPA</w:t>
            </w:r>
            <w:r>
              <w:rPr>
                <w:rFonts w:hint="eastAsia" w:ascii="Times New Roman" w:hAnsi="Times New Roman" w:eastAsia="微软雅黑" w:cs="Times New Roman"/>
                <w:spacing w:val="-1"/>
                <w:sz w:val="18"/>
                <w:szCs w:val="18"/>
                <w:highlight w:val="none"/>
                <w:lang w:eastAsia="zh-CN"/>
              </w:rPr>
              <w:t>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结直肠癌；FDA批准</w:t>
            </w:r>
            <w:r>
              <w:rPr>
                <w:rFonts w:ascii="Times New Roman" w:hAnsi="Times New Roman" w:eastAsia="微软雅黑" w:cs="Times New Roman"/>
                <w:spacing w:val="-1"/>
                <w:sz w:val="18"/>
                <w:szCs w:val="18"/>
                <w:highlight w:val="none"/>
                <w:lang w:eastAsia="zh-CN"/>
              </w:rPr>
              <w:t>用于</w:t>
            </w:r>
            <w:r>
              <w:rPr>
                <w:rFonts w:hint="eastAsia" w:ascii="Times New Roman" w:hAnsi="Times New Roman" w:eastAsia="微软雅黑" w:cs="Times New Roman"/>
                <w:spacing w:val="-1"/>
                <w:sz w:val="18"/>
                <w:szCs w:val="18"/>
                <w:highlight w:val="none"/>
                <w:lang w:eastAsia="zh-CN"/>
              </w:rPr>
              <w:t>头颈部鳞状细胞癌</w:t>
            </w:r>
            <w:r>
              <w:rPr>
                <w:rFonts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帕尼单抗</w:t>
            </w:r>
            <w:r>
              <w:rPr>
                <w:rFonts w:hint="eastAsia" w:ascii="Times New Roman" w:hAnsi="Times New Roman" w:eastAsia="微软雅黑" w:cs="Times New Roman"/>
                <w:b/>
                <w:spacing w:val="-1"/>
                <w:sz w:val="18"/>
                <w:szCs w:val="18"/>
                <w:highlight w:val="none"/>
                <w:lang w:eastAsia="zh-CN"/>
              </w:rPr>
              <w:t>（</w:t>
            </w:r>
            <w:r>
              <w:rPr>
                <w:rFonts w:ascii="Times New Roman" w:hAnsi="Times New Roman" w:eastAsia="微软雅黑" w:cs="Times New Roman"/>
                <w:b/>
                <w:spacing w:val="-1"/>
                <w:sz w:val="18"/>
                <w:szCs w:val="18"/>
                <w:highlight w:val="none"/>
                <w:lang w:eastAsia="zh-CN"/>
              </w:rPr>
              <w:t>Panitumumab）</w:t>
            </w:r>
            <w:r>
              <w:rPr>
                <w:rFonts w:ascii="Times New Roman" w:hAnsi="Times New Roman" w:eastAsia="微软雅黑" w:cs="Times New Roman"/>
                <w:spacing w:val="-1"/>
                <w:sz w:val="18"/>
                <w:szCs w:val="18"/>
                <w:highlight w:val="none"/>
                <w:lang w:eastAsia="zh-CN"/>
              </w:rPr>
              <w:t>（FDA批准用于结直肠癌）</w:t>
            </w:r>
          </w:p>
        </w:tc>
        <w:tc>
          <w:tcPr>
            <w:tcW w:w="3862" w:type="dxa"/>
            <w:vAlign w:val="center"/>
          </w:tcPr>
          <w:p>
            <w:pPr>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结直肠癌中，NRAS野生型对西妥昔单抗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30463680]、帕尼单抗（EGFR单抗）</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29587749; PMID: 29737864]敏感性增加。</w:t>
            </w:r>
          </w:p>
        </w:tc>
      </w:tr>
      <w:tr>
        <w:tblPrEx>
          <w:tblBorders>
            <w:top w:val="single" w:color="416AAB" w:sz="18" w:space="0"/>
            <w:left w:val="none" w:color="auto" w:sz="0" w:space="0"/>
            <w:bottom w:val="dotted" w:color="416AAB" w:sz="4" w:space="0"/>
            <w:right w:val="none" w:color="auto" w:sz="0" w:space="0"/>
            <w:insideH w:val="dotted" w:color="416AAB" w:sz="4" w:space="0"/>
            <w:insideV w:val="dotted" w:color="416AAB" w:sz="4" w:space="0"/>
          </w:tblBorders>
          <w:tblCellMar>
            <w:top w:w="0" w:type="dxa"/>
            <w:left w:w="113" w:type="dxa"/>
            <w:bottom w:w="0" w:type="dxa"/>
            <w:right w:w="113" w:type="dxa"/>
          </w:tblCellMar>
        </w:tblPrEx>
        <w:trPr>
          <w:trHeight w:val="1354" w:hRule="atLeast"/>
          <w:tblHeader/>
          <w:jc w:val="center"/>
        </w:trPr>
        <w:tc>
          <w:tcPr>
            <w:tcW w:w="929" w:type="dxa"/>
            <w:vAlign w:val="center"/>
          </w:tcPr>
          <w:p>
            <w:pPr>
              <w:spacing w:line="206" w:lineRule="exact"/>
              <w:ind w:left="0" w:leftChars="-4" w:hanging="9" w:hangingChars="5"/>
              <w:jc w:val="center"/>
              <w:rPr>
                <w:rFonts w:ascii="Times New Roman" w:hAnsi="Times New Roman" w:eastAsia="微软雅黑" w:cs="Times New Roman"/>
                <w:b/>
                <w:bCs/>
                <w:color w:val="416AAB"/>
                <w:sz w:val="18"/>
                <w:szCs w:val="18"/>
                <w:highlight w:val="none"/>
              </w:rPr>
            </w:pPr>
            <w:r>
              <w:rPr>
                <w:rFonts w:ascii="Times New Roman" w:hAnsi="Times New Roman" w:eastAsia="微软雅黑" w:cs="Times New Roman"/>
                <w:b/>
                <w:bCs/>
                <w:color w:val="416AAB"/>
                <w:sz w:val="18"/>
                <w:szCs w:val="18"/>
                <w:highlight w:val="none"/>
              </w:rPr>
              <w:t>NTRK</w:t>
            </w:r>
          </w:p>
        </w:tc>
        <w:tc>
          <w:tcPr>
            <w:tcW w:w="688" w:type="dxa"/>
            <w:vAlign w:val="center"/>
          </w:tcPr>
          <w:p>
            <w:pPr>
              <w:jc w:val="center"/>
              <w:rPr>
                <w:rFonts w:ascii="Times New Roman" w:hAnsi="Times New Roman" w:eastAsia="微软雅黑" w:cs="Times New Roman"/>
                <w:sz w:val="18"/>
                <w:szCs w:val="18"/>
                <w:highlight w:val="none"/>
              </w:rPr>
            </w:pPr>
            <w:r>
              <w:rPr>
                <w:rFonts w:ascii="Times New Roman" w:hAnsi="Times New Roman" w:eastAsia="微软雅黑" w:cs="Times New Roman"/>
                <w:sz w:val="18"/>
                <w:szCs w:val="18"/>
                <w:highlight w:val="none"/>
              </w:rPr>
              <w:t>融合</w:t>
            </w:r>
          </w:p>
        </w:tc>
        <w:tc>
          <w:tcPr>
            <w:tcW w:w="4634" w:type="dxa"/>
            <w:vAlign w:val="center"/>
          </w:tcPr>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bCs/>
                <w:spacing w:val="-1"/>
                <w:sz w:val="18"/>
                <w:szCs w:val="18"/>
                <w:highlight w:val="none"/>
              </w:rPr>
              <w:t>恩曲替尼</w:t>
            </w:r>
            <w:r>
              <w:rPr>
                <w:rFonts w:hint="eastAsia" w:ascii="Times New Roman" w:hAnsi="Times New Roman" w:eastAsia="微软雅黑" w:cs="Times New Roman"/>
                <w:b/>
                <w:bCs/>
                <w:spacing w:val="-1"/>
                <w:sz w:val="18"/>
                <w:szCs w:val="18"/>
                <w:highlight w:val="none"/>
              </w:rPr>
              <w:t>（</w:t>
            </w:r>
            <w:r>
              <w:rPr>
                <w:rFonts w:ascii="Times New Roman" w:hAnsi="Times New Roman" w:eastAsia="微软雅黑" w:cs="Times New Roman"/>
                <w:b/>
                <w:bCs/>
                <w:spacing w:val="-1"/>
                <w:sz w:val="18"/>
                <w:szCs w:val="18"/>
                <w:highlight w:val="none"/>
              </w:rPr>
              <w:t>Entrectinib）</w:t>
            </w:r>
            <w:r>
              <w:rPr>
                <w:rFonts w:ascii="Times New Roman" w:hAnsi="Times New Roman" w:eastAsia="微软雅黑" w:cs="Times New Roman"/>
                <w:spacing w:val="-1"/>
                <w:sz w:val="18"/>
                <w:szCs w:val="18"/>
                <w:highlight w:val="none"/>
              </w:rPr>
              <w:t>（FDA批准用于实体瘤</w:t>
            </w:r>
            <w:r>
              <w:rPr>
                <w:rFonts w:hint="eastAsia" w:ascii="Times New Roman" w:hAnsi="Times New Roman" w:eastAsia="微软雅黑" w:cs="Times New Roman"/>
                <w:spacing w:val="-1"/>
                <w:sz w:val="18"/>
                <w:szCs w:val="18"/>
                <w:highlight w:val="none"/>
              </w:rPr>
              <w:t>、</w:t>
            </w:r>
            <w:r>
              <w:rPr>
                <w:rFonts w:ascii="Times New Roman" w:hAnsi="Times New Roman" w:eastAsia="微软雅黑" w:cs="Times New Roman"/>
                <w:spacing w:val="-1"/>
                <w:sz w:val="18"/>
                <w:szCs w:val="18"/>
                <w:highlight w:val="none"/>
              </w:rPr>
              <w:t>非小细胞肺癌）；</w:t>
            </w:r>
          </w:p>
          <w:p>
            <w:pPr>
              <w:jc w:val="left"/>
              <w:rPr>
                <w:rFonts w:ascii="Times New Roman" w:hAnsi="Times New Roman" w:eastAsia="微软雅黑" w:cs="Times New Roman"/>
                <w:spacing w:val="-1"/>
                <w:sz w:val="18"/>
                <w:szCs w:val="18"/>
                <w:highlight w:val="none"/>
              </w:rPr>
            </w:pPr>
            <w:r>
              <w:rPr>
                <w:rFonts w:ascii="Times New Roman" w:hAnsi="Times New Roman" w:eastAsia="微软雅黑" w:cs="Times New Roman"/>
                <w:b/>
                <w:spacing w:val="-1"/>
                <w:sz w:val="18"/>
                <w:szCs w:val="18"/>
                <w:highlight w:val="none"/>
              </w:rPr>
              <w:t>拉罗替尼</w:t>
            </w:r>
            <w:r>
              <w:rPr>
                <w:rFonts w:hint="eastAsia" w:ascii="Times New Roman" w:hAnsi="Times New Roman" w:eastAsia="微软雅黑" w:cs="Times New Roman"/>
                <w:b/>
                <w:spacing w:val="-1"/>
                <w:sz w:val="18"/>
                <w:szCs w:val="18"/>
                <w:highlight w:val="none"/>
              </w:rPr>
              <w:t>（Larotrectinib</w:t>
            </w:r>
            <w:r>
              <w:rPr>
                <w:rFonts w:ascii="Times New Roman" w:hAnsi="Times New Roman" w:eastAsia="微软雅黑" w:cs="Times New Roman"/>
                <w:b/>
                <w:spacing w:val="-1"/>
                <w:sz w:val="18"/>
                <w:szCs w:val="18"/>
                <w:highlight w:val="none"/>
              </w:rPr>
              <w:t>）</w:t>
            </w:r>
            <w:r>
              <w:rPr>
                <w:rFonts w:ascii="Times New Roman" w:hAnsi="Times New Roman" w:eastAsia="微软雅黑" w:cs="Times New Roman"/>
                <w:spacing w:val="-1"/>
                <w:sz w:val="18"/>
                <w:szCs w:val="18"/>
                <w:highlight w:val="none"/>
              </w:rPr>
              <w:t>（FDA批准用于实体瘤）</w:t>
            </w:r>
          </w:p>
        </w:tc>
        <w:tc>
          <w:tcPr>
            <w:tcW w:w="3862" w:type="dxa"/>
            <w:vAlign w:val="center"/>
          </w:tcPr>
          <w:p>
            <w:pPr>
              <w:spacing w:before="19"/>
              <w:ind w:right="-8" w:rightChars="0"/>
              <w:jc w:val="left"/>
              <w:rPr>
                <w:rFonts w:ascii="Times New Roman" w:hAnsi="Times New Roman" w:eastAsia="微软雅黑" w:cs="Times New Roman"/>
                <w:spacing w:val="-1"/>
                <w:sz w:val="18"/>
                <w:szCs w:val="18"/>
                <w:highlight w:val="none"/>
                <w:lang w:eastAsia="zh-CN"/>
              </w:rPr>
            </w:pPr>
            <w:r>
              <w:rPr>
                <w:rFonts w:ascii="Times New Roman" w:hAnsi="Times New Roman" w:eastAsia="微软雅黑" w:cs="Times New Roman"/>
                <w:spacing w:val="-1"/>
                <w:sz w:val="18"/>
                <w:szCs w:val="18"/>
                <w:highlight w:val="none"/>
                <w:lang w:eastAsia="zh-CN"/>
              </w:rPr>
              <w:t>局部晚期或转移性实体瘤中，NTRK融合的成人或者儿童患者对恩曲替尼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31838007]和拉罗替尼</w:t>
            </w:r>
            <w:r>
              <w:rPr>
                <w:rFonts w:hint="eastAsia" w:ascii="Times New Roman" w:hAnsi="Times New Roman" w:eastAsia="微软雅黑" w:cs="Times New Roman"/>
                <w:spacing w:val="-1"/>
                <w:sz w:val="18"/>
                <w:szCs w:val="18"/>
                <w:highlight w:val="none"/>
                <w:lang w:eastAsia="zh-CN"/>
              </w:rPr>
              <w:t>[</w:t>
            </w:r>
            <w:r>
              <w:rPr>
                <w:rFonts w:ascii="Times New Roman" w:hAnsi="Times New Roman" w:eastAsia="微软雅黑" w:cs="Times New Roman"/>
                <w:spacing w:val="-1"/>
                <w:sz w:val="18"/>
                <w:szCs w:val="18"/>
                <w:highlight w:val="none"/>
                <w:lang w:eastAsia="zh-CN"/>
              </w:rPr>
              <w:t>PMID: 32105622]敏感。</w:t>
            </w:r>
          </w:p>
        </w:tc>
      </w:tr>
    </w:tbl>
    <w:p>
      <w:pPr>
        <w:rPr>
          <w:rFonts w:ascii="Times New Roman" w:hAnsi="Times New Roman" w:eastAsia="微软雅黑" w:cs="Times New Roman"/>
          <w:sz w:val="20"/>
          <w:szCs w:val="20"/>
          <w:lang w:eastAsia="zh-CN"/>
        </w:rPr>
      </w:pPr>
    </w:p>
    <w:p>
      <w:pPr>
        <w:widowControl/>
        <w:rPr>
          <w:rFonts w:ascii="Times New Roman" w:hAnsi="Times New Roman" w:eastAsia="微软雅黑" w:cs="Times New Roman"/>
          <w:sz w:val="24"/>
          <w:szCs w:val="24"/>
          <w:lang w:eastAsia="zh-CN"/>
        </w:rPr>
      </w:pPr>
    </w:p>
    <w:p>
      <w:pPr>
        <w:widowControl/>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94"/>
    <w:bookmarkEnd w:id="95"/>
    <w:bookmarkEnd w:id="96"/>
    <w:bookmarkEnd w:id="97"/>
    <w:bookmarkEnd w:id="98"/>
    <w:bookmarkEnd w:id="99"/>
    <w:bookmarkEnd w:id="100"/>
    <w:p>
      <w:pPr>
        <w:rPr>
          <w:rFonts w:ascii="Times New Roman" w:hAnsi="Times New Roman" w:eastAsia="微软雅黑" w:cs="Times New Roman"/>
          <w:b/>
          <w:bCs/>
          <w:color w:val="416AAB"/>
          <w:sz w:val="24"/>
          <w:szCs w:val="24"/>
          <w:lang w:eastAsia="zh-CN"/>
        </w:rPr>
      </w:pPr>
    </w:p>
    <w:bookmarkEnd w:id="19"/>
    <w:p>
      <w:pPr>
        <w:pStyle w:val="25"/>
      </w:pPr>
      <w:bookmarkStart w:id="101" w:name="_Toc28454_WPSOffice_Level1"/>
      <w:bookmarkStart w:id="102" w:name="_Toc26985_WPSOffice_Level1"/>
      <w:bookmarkStart w:id="103" w:name="_Toc20924"/>
      <w:bookmarkStart w:id="104" w:name="_Toc12659"/>
      <w:bookmarkStart w:id="105" w:name="_Toc20170_WPSOffice_Level1"/>
      <w:bookmarkStart w:id="106" w:name="_Toc31185"/>
      <w:bookmarkStart w:id="107" w:name="_Toc27693"/>
      <w:r>
        <w:t>检测流程</w:t>
      </w:r>
      <w:bookmarkEnd w:id="101"/>
      <w:bookmarkEnd w:id="102"/>
      <w:bookmarkEnd w:id="103"/>
      <w:bookmarkEnd w:id="104"/>
      <w:bookmarkEnd w:id="105"/>
      <w:bookmarkEnd w:id="106"/>
      <w:bookmarkEnd w:id="107"/>
    </w:p>
    <w:p>
      <w:pP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ind w:firstLine="3740" w:firstLineChars="1700"/>
        <w:rPr>
          <w:rFonts w:ascii="Times New Roman" w:hAnsi="Times New Roman" w:eastAsia="微软雅黑" w:cs="Times New Roman"/>
          <w:lang w:eastAsia="zh-CN"/>
        </w:rPr>
      </w:pPr>
      <w:r>
        <w:rPr>
          <w:rFonts w:ascii="Times New Roman" w:hAnsi="Times New Roman" w:eastAsia="微软雅黑" w:cs="Times New Roman"/>
          <w:lang w:eastAsia="zh-CN"/>
        </w:rPr>
        <w:drawing>
          <wp:anchor distT="0" distB="0" distL="114300" distR="114300" simplePos="0" relativeHeight="251659264" behindDoc="0" locked="0" layoutInCell="1" allowOverlap="1">
            <wp:simplePos x="0" y="0"/>
            <wp:positionH relativeFrom="column">
              <wp:posOffset>1196975</wp:posOffset>
            </wp:positionH>
            <wp:positionV relativeFrom="paragraph">
              <wp:posOffset>18415</wp:posOffset>
            </wp:positionV>
            <wp:extent cx="647700" cy="593090"/>
            <wp:effectExtent l="0" t="0" r="0" b="16510"/>
            <wp:wrapNone/>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7700" cy="593090"/>
                    </a:xfrm>
                    <a:prstGeom prst="rect">
                      <a:avLst/>
                    </a:prstGeom>
                    <a:noFill/>
                  </pic:spPr>
                </pic:pic>
              </a:graphicData>
            </a:graphic>
          </wp:anchor>
        </w:drawing>
      </w:r>
      <w:r>
        <w:rPr>
          <w:rFonts w:ascii="Times New Roman" w:hAnsi="Times New Roman" w:eastAsia="微软雅黑" w:cs="Times New Roman"/>
          <w:color w:val="416AAB"/>
          <w:sz w:val="48"/>
          <w:szCs w:val="48"/>
          <w:lang w:eastAsia="zh-CN"/>
        </w:rPr>
        <mc:AlternateContent>
          <mc:Choice Requires="wps">
            <w:drawing>
              <wp:anchor distT="0" distB="0" distL="114300" distR="114300" simplePos="0" relativeHeight="251660288" behindDoc="0" locked="0" layoutInCell="1" allowOverlap="1">
                <wp:simplePos x="0" y="0"/>
                <wp:positionH relativeFrom="column">
                  <wp:posOffset>745490</wp:posOffset>
                </wp:positionH>
                <wp:positionV relativeFrom="paragraph">
                  <wp:posOffset>3810</wp:posOffset>
                </wp:positionV>
                <wp:extent cx="0" cy="6440805"/>
                <wp:effectExtent l="38100" t="0" r="38100" b="17145"/>
                <wp:wrapNone/>
                <wp:docPr id="9" name="AutoShape 149"/>
                <wp:cNvGraphicFramePr/>
                <a:graphic xmlns:a="http://schemas.openxmlformats.org/drawingml/2006/main">
                  <a:graphicData uri="http://schemas.microsoft.com/office/word/2010/wordprocessingShape">
                    <wps:wsp>
                      <wps:cNvCnPr>
                        <a:cxnSpLocks noChangeShapeType="1"/>
                      </wps:cNvCnPr>
                      <wps:spPr bwMode="auto">
                        <a:xfrm>
                          <a:off x="0" y="0"/>
                          <a:ext cx="0" cy="6440805"/>
                        </a:xfrm>
                        <a:prstGeom prst="straightConnector1">
                          <a:avLst/>
                        </a:prstGeom>
                        <a:noFill/>
                        <a:ln w="19050">
                          <a:solidFill>
                            <a:srgbClr val="0070C0"/>
                          </a:solidFill>
                          <a:round/>
                          <a:tailEnd type="triangle" w="med" len="med"/>
                        </a:ln>
                      </wps:spPr>
                      <wps:bodyPr/>
                    </wps:wsp>
                  </a:graphicData>
                </a:graphic>
              </wp:anchor>
            </w:drawing>
          </mc:Choice>
          <mc:Fallback>
            <w:pict>
              <v:shape id="AutoShape 149" o:spid="_x0000_s1026" o:spt="32" type="#_x0000_t32" style="position:absolute;left:0pt;margin-left:58.7pt;margin-top:0.3pt;height:507.15pt;width:0pt;z-index:251660288;mso-width-relative:page;mso-height-relative:page;" filled="f" stroked="t" coordsize="21600,21600" o:gfxdata="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TG0hPVAAAACQEAAA8AAAAAAAAAAQAgAAAAIgAAAGRycy9kb3ducmV2LnhtbFBLAQIUABQA&#10;AAAIAIdO4kCSSzj98wEAAOMDAAAOAAAAAAAAAAEAIAAAACQBAABkcnMvZTJvRG9jLnhtbFBLBQYA&#10;AAAABgAGAFkBAACJBQAAAAA=&#10;">
                <v:fill on="f" focussize="0,0"/>
                <v:stroke weight="1.5pt" color="#0070C0" joinstyle="round" endarrow="block"/>
                <v:imagedata o:title=""/>
                <o:lock v:ext="edit" aspectratio="f"/>
              </v:shape>
            </w:pict>
          </mc:Fallback>
        </mc:AlternateContent>
      </w:r>
      <w:r>
        <w:rPr>
          <w:rFonts w:ascii="Times New Roman" w:hAnsi="Times New Roman" w:eastAsia="微软雅黑" w:cs="Times New Roman"/>
          <w:color w:val="416AAB"/>
          <w:sz w:val="48"/>
          <w:szCs w:val="48"/>
          <w:lang w:eastAsia="zh-CN"/>
        </w:rPr>
        <mc:AlternateContent>
          <mc:Choice Requires="wps">
            <w:drawing>
              <wp:anchor distT="45720" distB="45720" distL="114300" distR="114300" simplePos="0" relativeHeight="251661312" behindDoc="0" locked="0" layoutInCell="1" allowOverlap="1">
                <wp:simplePos x="0" y="0"/>
                <wp:positionH relativeFrom="column">
                  <wp:posOffset>3114675</wp:posOffset>
                </wp:positionH>
                <wp:positionV relativeFrom="paragraph">
                  <wp:posOffset>29210</wp:posOffset>
                </wp:positionV>
                <wp:extent cx="2278380" cy="617855"/>
                <wp:effectExtent l="0" t="0" r="7620" b="10795"/>
                <wp:wrapSquare wrapText="bothSides"/>
                <wp:docPr id="10"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2278380" cy="6178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wps:txbx>
                      <wps:bodyPr rot="0" vert="horz" wrap="square" lIns="91440" tIns="45720" rIns="91440" bIns="45720" anchor="t" anchorCtr="0" upright="1">
                        <a:noAutofit/>
                      </wps:bodyPr>
                    </wps:wsp>
                  </a:graphicData>
                </a:graphic>
              </wp:anchor>
            </w:drawing>
          </mc:Choice>
          <mc:Fallback>
            <w:pict>
              <v:shape id="Text Box 113" o:spid="_x0000_s1026" o:spt="202" type="#_x0000_t202" style="position:absolute;left:0pt;margin-left:245.25pt;margin-top:2.3pt;height:48.65pt;width:179.4pt;mso-wrap-distance-bottom:3.6pt;mso-wrap-distance-left:9pt;mso-wrap-distance-right:9pt;mso-wrap-distance-top:3.6pt;z-index:251661312;mso-width-relative:page;mso-height-relative:page;" fillcolor="#FFFFFF" filled="t" stroked="f" coordsize="21600,21600" o:gfxdata="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d1wodcAAAAJ&#10;AQAADwAAAAAAAAABACAAAAAiAAAAZHJzL2Rvd25yZXYueG1sUEsBAhQAFAAAAAgAh07iQLA9zbQd&#10;AgAAQAQAAA4AAAAAAAAAAQAgAAAAJgEAAGRycy9lMm9Eb2MueG1sUEsFBgAAAAAGAAYAWQEAALUF&#10;A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样本收集</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样本采集、寄送及接收</w:t>
                      </w:r>
                    </w:p>
                  </w:txbxContent>
                </v:textbox>
                <w10:wrap type="square"/>
              </v:shape>
            </w:pict>
          </mc:Fallback>
        </mc:AlternateContent>
      </w:r>
      <w:r>
        <w:rPr>
          <w:rFonts w:ascii="Times New Roman" w:hAnsi="Times New Roman" w:eastAsia="微软雅黑" w:cs="Times New Roman"/>
          <w:color w:val="416AAB"/>
          <w:sz w:val="72"/>
          <w:szCs w:val="72"/>
          <w:lang w:eastAsia="zh-CN"/>
        </w:rPr>
        <w:t>1</w:t>
      </w: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2336" behindDoc="0" locked="0" layoutInCell="1" allowOverlap="1">
                <wp:simplePos x="0" y="0"/>
                <wp:positionH relativeFrom="column">
                  <wp:posOffset>3114675</wp:posOffset>
                </wp:positionH>
                <wp:positionV relativeFrom="paragraph">
                  <wp:posOffset>260985</wp:posOffset>
                </wp:positionV>
                <wp:extent cx="2058035" cy="1087120"/>
                <wp:effectExtent l="0" t="0" r="18415" b="17780"/>
                <wp:wrapSquare wrapText="bothSides"/>
                <wp:docPr id="11" name="Text Box 114"/>
                <wp:cNvGraphicFramePr/>
                <a:graphic xmlns:a="http://schemas.openxmlformats.org/drawingml/2006/main">
                  <a:graphicData uri="http://schemas.microsoft.com/office/word/2010/wordprocessingShape">
                    <wps:wsp>
                      <wps:cNvSpPr txBox="1">
                        <a:spLocks noChangeArrowheads="1"/>
                      </wps:cNvSpPr>
                      <wps:spPr bwMode="auto">
                        <a:xfrm>
                          <a:off x="0" y="0"/>
                          <a:ext cx="2058035" cy="108712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8"/>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wps:txbx>
                      <wps:bodyPr rot="0" vert="horz" wrap="square" lIns="91440" tIns="45720" rIns="91440" bIns="45720" anchor="t" anchorCtr="0" upright="1">
                        <a:noAutofit/>
                      </wps:bodyPr>
                    </wps:wsp>
                  </a:graphicData>
                </a:graphic>
              </wp:anchor>
            </w:drawing>
          </mc:Choice>
          <mc:Fallback>
            <w:pict>
              <v:shape id="Text Box 114" o:spid="_x0000_s1026" o:spt="202" type="#_x0000_t202" style="position:absolute;left:0pt;margin-left:245.25pt;margin-top:20.55pt;height:85.6pt;width:162.05pt;mso-wrap-distance-bottom:3.6pt;mso-wrap-distance-left:9pt;mso-wrap-distance-right:9pt;mso-wrap-distance-top:3.6pt;z-index:251662336;mso-width-relative:page;mso-height-relative:page;" fillcolor="#FFFFFF" filled="t" stroked="f" coordsize="21600,21600" o:gfxdata="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rsZne2QAA&#10;AAoBAAAPAAAAAAAAAAEAIAAAACIAAABkcnMvZG93bnJldi54bWxQSwECFAAUAAAACACHTuJAXo6Y&#10;UR0CAABBBAAADgAAAAAAAAABACAAAAAoAQAAZHJzL2Uyb0RvYy54bWxQSwUGAAAAAAYABgBZAQAA&#10;twU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实验过程</w:t>
                      </w:r>
                    </w:p>
                    <w:p>
                      <w:pP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DNA提取、质量控制</w:t>
                      </w:r>
                    </w:p>
                    <w:p>
                      <w:pPr>
                        <w:numPr>
                          <w:ilvl w:val="0"/>
                          <w:numId w:val="8"/>
                        </w:numPr>
                        <w:ind w:left="0"/>
                        <w:rPr>
                          <w:rFonts w:ascii="微软雅黑" w:hAnsi="微软雅黑" w:eastAsia="微软雅黑" w:cs="微软雅黑"/>
                          <w:color w:val="000000"/>
                          <w:sz w:val="21"/>
                          <w:szCs w:val="21"/>
                          <w:lang w:eastAsia="zh-CN"/>
                        </w:rPr>
                      </w:pPr>
                      <w:r>
                        <w:rPr>
                          <w:rFonts w:ascii="Times New Roman" w:hAnsi="Times New Roman" w:eastAsia="微软雅黑" w:cs="Times New Roman"/>
                          <w:color w:val="000000"/>
                          <w:sz w:val="21"/>
                          <w:szCs w:val="21"/>
                          <w:lang w:eastAsia="zh-CN"/>
                        </w:rPr>
                        <w:t>文库构建、质量控制</w:t>
                      </w:r>
                    </w:p>
                    <w:p>
                      <w:pPr>
                        <w:rPr>
                          <w:rFonts w:ascii="微软雅黑" w:hAnsi="微软雅黑" w:eastAsia="微软雅黑" w:cs="微软雅黑"/>
                          <w:sz w:val="21"/>
                          <w:szCs w:val="21"/>
                          <w:lang w:eastAsia="zh-CN"/>
                        </w:rPr>
                      </w:pPr>
                      <w:r>
                        <w:rPr>
                          <w:rFonts w:ascii="Times New Roman" w:hAnsi="Times New Roman" w:eastAsia="微软雅黑" w:cs="Times New Roman"/>
                          <w:color w:val="000000"/>
                          <w:sz w:val="21"/>
                          <w:szCs w:val="21"/>
                          <w:lang w:eastAsia="zh-CN"/>
                        </w:rPr>
                        <w:t>基因测序</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3360" behindDoc="0" locked="0" layoutInCell="1" allowOverlap="1">
            <wp:simplePos x="0" y="0"/>
            <wp:positionH relativeFrom="column">
              <wp:posOffset>1196975</wp:posOffset>
            </wp:positionH>
            <wp:positionV relativeFrom="paragraph">
              <wp:posOffset>386080</wp:posOffset>
            </wp:positionV>
            <wp:extent cx="647700" cy="706120"/>
            <wp:effectExtent l="0" t="0" r="0" b="17780"/>
            <wp:wrapNone/>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47700" cy="706120"/>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108" w:name="_Toc3149_WPSOffice_Level2"/>
      <w:bookmarkStart w:id="109" w:name="_Toc19277_WPSOffice_Level2"/>
      <w:r>
        <w:rPr>
          <w:rFonts w:ascii="Times New Roman" w:hAnsi="Times New Roman" w:eastAsia="微软雅黑" w:cs="Times New Roman"/>
          <w:color w:val="416AAB"/>
          <w:sz w:val="72"/>
          <w:szCs w:val="72"/>
          <w:lang w:eastAsia="zh-CN"/>
        </w:rPr>
        <w:t>2</w:t>
      </w:r>
      <w:bookmarkEnd w:id="108"/>
      <w:bookmarkEnd w:id="109"/>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mc:AlternateContent>
          <mc:Choice Requires="wps">
            <w:drawing>
              <wp:anchor distT="45720" distB="45720" distL="114300" distR="114300" simplePos="0" relativeHeight="251664384" behindDoc="0" locked="0" layoutInCell="1" allowOverlap="1">
                <wp:simplePos x="0" y="0"/>
                <wp:positionH relativeFrom="column">
                  <wp:posOffset>3114675</wp:posOffset>
                </wp:positionH>
                <wp:positionV relativeFrom="paragraph">
                  <wp:posOffset>245110</wp:posOffset>
                </wp:positionV>
                <wp:extent cx="2171700" cy="1303655"/>
                <wp:effectExtent l="0" t="0" r="0" b="10795"/>
                <wp:wrapSquare wrapText="bothSides"/>
                <wp:docPr id="12" name="Text Box 115"/>
                <wp:cNvGraphicFramePr/>
                <a:graphic xmlns:a="http://schemas.openxmlformats.org/drawingml/2006/main">
                  <a:graphicData uri="http://schemas.microsoft.com/office/word/2010/wordprocessingShape">
                    <wps:wsp>
                      <wps:cNvSpPr txBox="1">
                        <a:spLocks noChangeArrowheads="1"/>
                      </wps:cNvSpPr>
                      <wps:spPr bwMode="auto">
                        <a:xfrm>
                          <a:off x="0" y="0"/>
                          <a:ext cx="2171700" cy="1303655"/>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wps:txbx>
                      <wps:bodyPr rot="0" vert="horz" wrap="square" lIns="91440" tIns="45720" rIns="91440" bIns="45720" anchor="t" anchorCtr="0" upright="1">
                        <a:noAutofit/>
                      </wps:bodyPr>
                    </wps:wsp>
                  </a:graphicData>
                </a:graphic>
              </wp:anchor>
            </w:drawing>
          </mc:Choice>
          <mc:Fallback>
            <w:pict>
              <v:shape id="Text Box 115" o:spid="_x0000_s1026" o:spt="202" type="#_x0000_t202" style="position:absolute;left:0pt;margin-left:245.25pt;margin-top:19.3pt;height:102.65pt;width:171pt;mso-wrap-distance-bottom:3.6pt;mso-wrap-distance-left:9pt;mso-wrap-distance-right:9pt;mso-wrap-distance-top:3.6pt;z-index:251664384;mso-width-relative:page;mso-height-relative:page;" fillcolor="#FFFFFF" filled="t" stroked="f" coordsize="21600,21600" o:gfxdata="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ddo5zYAAAA&#10;CgEAAA8AAAAAAAAAAQAgAAAAIgAAAGRycy9kb3ducmV2LnhtbFBLAQIUABQAAAAIAIdO4kCLdYwN&#10;HQIAAEE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数据分析</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预处理、质量控制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对比、质量控制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注解、质量控制</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过滤检测</w:t>
                      </w:r>
                    </w:p>
                  </w:txbxContent>
                </v:textbox>
                <w10:wrap type="square"/>
              </v:shape>
            </w:pict>
          </mc:Fallback>
        </mc:AlternateContent>
      </w:r>
      <w:r>
        <w:rPr>
          <w:rFonts w:ascii="Times New Roman" w:hAnsi="Times New Roman" w:eastAsia="微软雅黑" w:cs="Times New Roman"/>
          <w:lang w:eastAsia="zh-CN"/>
        </w:rPr>
        <w:drawing>
          <wp:anchor distT="0" distB="0" distL="114300" distR="114300" simplePos="0" relativeHeight="251665408" behindDoc="0" locked="0" layoutInCell="1" allowOverlap="1">
            <wp:simplePos x="0" y="0"/>
            <wp:positionH relativeFrom="column">
              <wp:posOffset>1196975</wp:posOffset>
            </wp:positionH>
            <wp:positionV relativeFrom="paragraph">
              <wp:posOffset>414020</wp:posOffset>
            </wp:positionV>
            <wp:extent cx="647700" cy="633095"/>
            <wp:effectExtent l="0" t="0" r="0" b="14605"/>
            <wp:wrapNone/>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47700" cy="63309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bookmarkStart w:id="110" w:name="_Toc206_WPSOffice_Level2"/>
      <w:bookmarkStart w:id="111" w:name="_Toc17014_WPSOffice_Level2"/>
      <w:r>
        <w:rPr>
          <w:rFonts w:ascii="Times New Roman" w:hAnsi="Times New Roman" w:eastAsia="微软雅黑" w:cs="Times New Roman"/>
          <w:color w:val="416AAB"/>
          <w:sz w:val="72"/>
          <w:szCs w:val="72"/>
          <w:lang w:eastAsia="zh-CN"/>
        </w:rPr>
        <w:t>3</w:t>
      </w:r>
      <w:bookmarkEnd w:id="110"/>
      <w:bookmarkEnd w:id="111"/>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6432" behindDoc="0" locked="0" layoutInCell="1" allowOverlap="1">
            <wp:simplePos x="0" y="0"/>
            <wp:positionH relativeFrom="column">
              <wp:posOffset>1196975</wp:posOffset>
            </wp:positionH>
            <wp:positionV relativeFrom="paragraph">
              <wp:posOffset>398780</wp:posOffset>
            </wp:positionV>
            <wp:extent cx="647700" cy="650240"/>
            <wp:effectExtent l="0" t="0" r="0" b="1651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47700" cy="650240"/>
                    </a:xfrm>
                    <a:prstGeom prst="rect">
                      <a:avLst/>
                    </a:prstGeom>
                    <a:noFill/>
                  </pic:spPr>
                </pic:pic>
              </a:graphicData>
            </a:graphic>
          </wp:anchor>
        </w:drawing>
      </w:r>
      <w:r>
        <w:rPr>
          <w:rFonts w:ascii="Times New Roman" w:hAnsi="Times New Roman" w:eastAsia="微软雅黑" w:cs="Times New Roman"/>
          <w:lang w:eastAsia="zh-CN"/>
        </w:rPr>
        <mc:AlternateContent>
          <mc:Choice Requires="wps">
            <w:drawing>
              <wp:anchor distT="45720" distB="45720" distL="114300" distR="114300" simplePos="0" relativeHeight="251667456" behindDoc="0" locked="0" layoutInCell="1" allowOverlap="1">
                <wp:simplePos x="0" y="0"/>
                <wp:positionH relativeFrom="column">
                  <wp:posOffset>3114675</wp:posOffset>
                </wp:positionH>
                <wp:positionV relativeFrom="paragraph">
                  <wp:posOffset>398780</wp:posOffset>
                </wp:positionV>
                <wp:extent cx="1637665" cy="736600"/>
                <wp:effectExtent l="0" t="0" r="635" b="6350"/>
                <wp:wrapSquare wrapText="bothSides"/>
                <wp:docPr id="14" name="Text Box 116"/>
                <wp:cNvGraphicFramePr/>
                <a:graphic xmlns:a="http://schemas.openxmlformats.org/drawingml/2006/main">
                  <a:graphicData uri="http://schemas.microsoft.com/office/word/2010/wordprocessingShape">
                    <wps:wsp>
                      <wps:cNvSpPr txBox="1">
                        <a:spLocks noChangeArrowheads="1"/>
                      </wps:cNvSpPr>
                      <wps:spPr bwMode="auto">
                        <a:xfrm>
                          <a:off x="0" y="0"/>
                          <a:ext cx="1637665" cy="736600"/>
                        </a:xfrm>
                        <a:prstGeom prst="rect">
                          <a:avLst/>
                        </a:prstGeom>
                        <a:solidFill>
                          <a:srgbClr val="FFFFFF"/>
                        </a:solidFill>
                        <a:ln>
                          <a:noFill/>
                        </a:ln>
                      </wps:spPr>
                      <wps:txb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wps:txbx>
                      <wps:bodyPr rot="0" vert="horz" wrap="square" lIns="91440" tIns="45720" rIns="91440" bIns="45720" anchor="t" anchorCtr="0" upright="1">
                        <a:noAutofit/>
                      </wps:bodyPr>
                    </wps:wsp>
                  </a:graphicData>
                </a:graphic>
              </wp:anchor>
            </w:drawing>
          </mc:Choice>
          <mc:Fallback>
            <w:pict>
              <v:shape id="Text Box 116" o:spid="_x0000_s1026" o:spt="202" type="#_x0000_t202" style="position:absolute;left:0pt;margin-left:245.25pt;margin-top:31.4pt;height:58pt;width:128.95pt;mso-wrap-distance-bottom:3.6pt;mso-wrap-distance-left:9pt;mso-wrap-distance-right:9pt;mso-wrap-distance-top:3.6pt;z-index:251667456;mso-width-relative:page;mso-height-relative:page;" fillcolor="#FFFFFF" filled="t" stroked="f" coordsize="21600,21600" o:gfxdata="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VhIAjYAAAA&#10;CgEAAA8AAAAAAAAAAQAgAAAAIgAAAGRycy9kb3ducmV2LnhtbFBLAQIUABQAAAAIAIdO4kCsmgf6&#10;HQIAAEAEAAAOAAAAAAAAAAEAIAAAACcBAABkcnMvZTJvRG9jLnhtbFBLBQYAAAAABgAGAFkBAAC2&#10;BQAAAAA=&#10;">
                <v:fill on="t" focussize="0,0"/>
                <v:stroke on="f"/>
                <v:imagedata o:title=""/>
                <o:lock v:ext="edit" aspectratio="f"/>
                <v:textbox>
                  <w:txbxContent>
                    <w:p>
                      <w:pPr>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lang w:eastAsia="zh-CN"/>
                        </w:rPr>
                        <w:t>医学解读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医学报告解读</w:t>
                      </w:r>
                    </w:p>
                    <w:p>
                      <w:pPr>
                        <w:numPr>
                          <w:ilvl w:val="0"/>
                          <w:numId w:val="8"/>
                        </w:numPr>
                        <w:ind w:left="0"/>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报告审核</w:t>
                      </w:r>
                    </w:p>
                  </w:txbxContent>
                </v:textbox>
                <w10:wrap type="square"/>
              </v:shape>
            </w:pict>
          </mc:Fallback>
        </mc:AlternateContent>
      </w:r>
    </w:p>
    <w:p>
      <w:pPr>
        <w:ind w:firstLine="3823" w:firstLineChars="531"/>
        <w:rPr>
          <w:rFonts w:ascii="Times New Roman" w:hAnsi="Times New Roman" w:eastAsia="微软雅黑" w:cs="Times New Roman"/>
          <w:color w:val="416AAB"/>
          <w:sz w:val="72"/>
          <w:szCs w:val="72"/>
          <w:lang w:eastAsia="zh-CN"/>
        </w:rPr>
      </w:pPr>
      <w:bookmarkStart w:id="112" w:name="_Toc50_WPSOffice_Level2"/>
      <w:bookmarkStart w:id="113" w:name="_Toc17792_WPSOffice_Level2"/>
      <w:r>
        <w:rPr>
          <w:rFonts w:ascii="Times New Roman" w:hAnsi="Times New Roman" w:eastAsia="微软雅黑" w:cs="Times New Roman"/>
          <w:color w:val="416AAB"/>
          <w:sz w:val="72"/>
          <w:szCs w:val="72"/>
          <w:lang w:eastAsia="zh-CN"/>
        </w:rPr>
        <w:t>4</w:t>
      </w:r>
      <w:bookmarkEnd w:id="112"/>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p>
    <w:p>
      <w:pPr>
        <w:ind w:left="4400" w:leftChars="2000"/>
        <w:rPr>
          <w:rFonts w:ascii="Times New Roman" w:hAnsi="Times New Roman" w:eastAsia="微软雅黑" w:cs="Times New Roman"/>
          <w:sz w:val="40"/>
          <w:szCs w:val="40"/>
          <w:lang w:eastAsia="zh-CN"/>
        </w:rPr>
      </w:pPr>
      <w:r>
        <w:rPr>
          <w:rFonts w:ascii="Times New Roman" w:hAnsi="Times New Roman" w:eastAsia="微软雅黑" w:cs="Times New Roman"/>
          <w:lang w:eastAsia="zh-CN"/>
        </w:rPr>
        <w:drawing>
          <wp:anchor distT="0" distB="0" distL="114300" distR="114300" simplePos="0" relativeHeight="251668480" behindDoc="0" locked="0" layoutInCell="1" allowOverlap="1">
            <wp:simplePos x="0" y="0"/>
            <wp:positionH relativeFrom="column">
              <wp:posOffset>1196975</wp:posOffset>
            </wp:positionH>
            <wp:positionV relativeFrom="paragraph">
              <wp:posOffset>378460</wp:posOffset>
            </wp:positionV>
            <wp:extent cx="647700" cy="669925"/>
            <wp:effectExtent l="0" t="0" r="0" b="15875"/>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47700" cy="669925"/>
                    </a:xfrm>
                    <a:prstGeom prst="rect">
                      <a:avLst/>
                    </a:prstGeom>
                    <a:noFill/>
                  </pic:spPr>
                </pic:pic>
              </a:graphicData>
            </a:graphic>
          </wp:anchor>
        </w:drawing>
      </w:r>
    </w:p>
    <w:p>
      <w:pPr>
        <w:ind w:firstLine="3823" w:firstLineChars="531"/>
        <w:rPr>
          <w:rFonts w:ascii="Times New Roman" w:hAnsi="Times New Roman" w:eastAsia="微软雅黑" w:cs="Times New Roman"/>
          <w:color w:val="416AAB"/>
          <w:sz w:val="72"/>
          <w:szCs w:val="72"/>
          <w:lang w:eastAsia="zh-CN"/>
        </w:rPr>
      </w:pPr>
      <w:r>
        <w:rPr>
          <w:rFonts w:ascii="Times New Roman" w:hAnsi="Times New Roman" w:eastAsia="微软雅黑" w:cs="Times New Roman"/>
          <w:color w:val="416AAB"/>
          <w:sz w:val="72"/>
          <w:szCs w:val="72"/>
          <w:lang w:eastAsia="zh-CN"/>
        </w:rPr>
        <mc:AlternateContent>
          <mc:Choice Requires="wps">
            <w:drawing>
              <wp:anchor distT="45720" distB="45720" distL="114300" distR="114300" simplePos="0" relativeHeight="251669504" behindDoc="0" locked="0" layoutInCell="1" allowOverlap="1">
                <wp:simplePos x="0" y="0"/>
                <wp:positionH relativeFrom="column">
                  <wp:posOffset>3123565</wp:posOffset>
                </wp:positionH>
                <wp:positionV relativeFrom="paragraph">
                  <wp:posOffset>106045</wp:posOffset>
                </wp:positionV>
                <wp:extent cx="946150" cy="368300"/>
                <wp:effectExtent l="0" t="0" r="6350" b="12700"/>
                <wp:wrapSquare wrapText="bothSides"/>
                <wp:docPr id="16" name="Text Box 118"/>
                <wp:cNvGraphicFramePr/>
                <a:graphic xmlns:a="http://schemas.openxmlformats.org/drawingml/2006/main">
                  <a:graphicData uri="http://schemas.microsoft.com/office/word/2010/wordprocessingShape">
                    <wps:wsp>
                      <wps:cNvSpPr txBox="1">
                        <a:spLocks noChangeArrowheads="1"/>
                      </wps:cNvSpPr>
                      <wps:spPr bwMode="auto">
                        <a:xfrm>
                          <a:off x="0" y="0"/>
                          <a:ext cx="946150" cy="368300"/>
                        </a:xfrm>
                        <a:prstGeom prst="rect">
                          <a:avLst/>
                        </a:prstGeom>
                        <a:solidFill>
                          <a:srgbClr val="FFFFFF"/>
                        </a:solidFill>
                        <a:ln>
                          <a:noFill/>
                        </a:ln>
                      </wps:spPr>
                      <wps:txb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wps:txbx>
                      <wps:bodyPr rot="0" vert="horz" wrap="square" lIns="91440" tIns="45720" rIns="91440" bIns="45720" anchor="t" anchorCtr="0" upright="1">
                        <a:noAutofit/>
                      </wps:bodyPr>
                    </wps:wsp>
                  </a:graphicData>
                </a:graphic>
              </wp:anchor>
            </w:drawing>
          </mc:Choice>
          <mc:Fallback>
            <w:pict>
              <v:shape id="Text Box 118" o:spid="_x0000_s1026" o:spt="202" type="#_x0000_t202" style="position:absolute;left:0pt;margin-left:245.95pt;margin-top:8.35pt;height:29pt;width:74.5pt;mso-wrap-distance-bottom:3.6pt;mso-wrap-distance-left:9pt;mso-wrap-distance-right:9pt;mso-wrap-distance-top:3.6pt;z-index:251669504;mso-width-relative:page;mso-height-relative:page;" fillcolor="#FFFFFF" filled="t" stroked="f" coordsize="21600,21600" o:gfxdata="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uFLoHWAAAACQEA&#10;AA8AAAAAAAAAAQAgAAAAIgAAAGRycy9kb3ducmV2LnhtbFBLAQIUABQAAAAIAIdO4kCMS75JHAIA&#10;AD8EAAAOAAAAAAAAAAEAIAAAACUBAABkcnMvZTJvRG9jLnhtbFBLBQYAAAAABgAGAFkBAACzBQAA&#10;AAA=&#10;">
                <v:fill on="t" focussize="0,0"/>
                <v:stroke on="f"/>
                <v:imagedata o:title=""/>
                <o:lock v:ext="edit" aspectratio="f"/>
                <v:textbox>
                  <w:txbxContent>
                    <w:p>
                      <w:pPr>
                        <w:spacing w:line="360" w:lineRule="auto"/>
                        <w:rPr>
                          <w:rFonts w:ascii="微软雅黑" w:hAnsi="微软雅黑" w:eastAsia="微软雅黑" w:cs="微软雅黑"/>
                          <w:b/>
                          <w:color w:val="000000"/>
                          <w:sz w:val="21"/>
                          <w:szCs w:val="21"/>
                          <w:lang w:eastAsia="zh-CN"/>
                        </w:rPr>
                      </w:pPr>
                      <w:r>
                        <w:rPr>
                          <w:rFonts w:ascii="Times New Roman" w:hAnsi="Times New Roman" w:eastAsia="微软雅黑" w:cs="Times New Roman"/>
                          <w:b/>
                          <w:color w:val="000000"/>
                          <w:sz w:val="21"/>
                          <w:szCs w:val="21"/>
                        </w:rPr>
                        <w:t>报告交付</w:t>
                      </w:r>
                    </w:p>
                  </w:txbxContent>
                </v:textbox>
                <w10:wrap type="square"/>
              </v:shape>
            </w:pict>
          </mc:Fallback>
        </mc:AlternateContent>
      </w:r>
      <w:r>
        <w:rPr>
          <w:rFonts w:ascii="Times New Roman" w:hAnsi="Times New Roman" w:eastAsia="微软雅黑" w:cs="Times New Roman"/>
          <w:color w:val="416AAB"/>
          <w:sz w:val="72"/>
          <w:szCs w:val="72"/>
          <w:lang w:eastAsia="zh-CN"/>
        </w:rPr>
        <w:t>5</w:t>
      </w:r>
    </w:p>
    <w:p>
      <w:pPr>
        <w:rPr>
          <w:rFonts w:ascii="Times New Roman" w:hAnsi="Times New Roman" w:eastAsia="微软雅黑" w:cs="Times New Roman"/>
          <w:lang w:eastAsia="zh-CN"/>
        </w:rPr>
      </w:pPr>
    </w:p>
    <w:p>
      <w:pPr>
        <w:tabs>
          <w:tab w:val="left" w:pos="6770"/>
        </w:tabs>
        <w:spacing w:before="27"/>
        <w:rPr>
          <w:rFonts w:ascii="Times New Roman" w:hAnsi="Times New Roman" w:eastAsia="微软雅黑" w:cs="Times New Roman"/>
          <w:sz w:val="15"/>
          <w:lang w:eastAsia="zh-CN"/>
        </w:rPr>
      </w:pPr>
      <w:r>
        <w:rPr>
          <w:rFonts w:ascii="Times New Roman" w:hAnsi="Times New Roman" w:eastAsia="微软雅黑" w:cs="Times New Roman"/>
          <w:color w:val="0070C0"/>
          <w:lang w:eastAsia="zh-CN"/>
        </w:rPr>
        <w:br w:type="page"/>
      </w:r>
    </w:p>
    <w:p>
      <w:pPr>
        <w:pStyle w:val="25"/>
      </w:pPr>
      <w:bookmarkStart w:id="114" w:name="_Toc27809"/>
      <w:bookmarkStart w:id="115" w:name="_Toc29355"/>
      <w:bookmarkStart w:id="116" w:name="_Toc11901"/>
      <w:bookmarkStart w:id="117" w:name="_Toc4503"/>
      <w:bookmarkStart w:id="118" w:name="_Toc13275"/>
      <w:bookmarkStart w:id="119" w:name="_Toc22623"/>
      <w:bookmarkStart w:id="120" w:name="_Toc19584_WPSOffice_Level1"/>
      <w:bookmarkStart w:id="121" w:name="_Toc14611_WPSOffice_Level1"/>
      <w:bookmarkStart w:id="122" w:name="_Toc22162_WPSOffice_Level1"/>
      <w:r>
        <w:t>参考文献</w:t>
      </w:r>
      <w:bookmarkEnd w:id="114"/>
      <w:bookmarkEnd w:id="115"/>
      <w:bookmarkEnd w:id="116"/>
      <w:bookmarkEnd w:id="117"/>
    </w:p>
    <w:bookmarkEnd w:id="113"/>
    <w:bookmarkEnd w:id="118"/>
    <w:bookmarkEnd w:id="119"/>
    <w:bookmarkEnd w:id="120"/>
    <w:bookmarkEnd w:id="121"/>
    <w:bookmarkEnd w:id="122"/>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z w:val="15"/>
          <w:szCs w:val="15"/>
          <w:highlight w:val="none"/>
        </w:rPr>
        <w:t xml:space="preserve">Van Cutsem E, Hujberts S, Grothey A, et al. Binimetinib, Encorafenib, and Cetuximab Triplet Therapy for Patients With BRAF V600E-Mutant Metastatic Colorectal Cancer: Safety Lead-In Results From the Phase III BEACON Colorectal Cancer Study. J Clin Oncol. 2019;37(17):1460-1469.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30892987</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z w:val="15"/>
          <w:szCs w:val="15"/>
          <w:highlight w:val="none"/>
        </w:rPr>
        <w:t xml:space="preserve">Kopetz S, Grothey A, Yaeger R, et al. Encorafenib, Binimetinib, and Cetuximab in BRAF V600E-Mutated Colorectal Cancer. N Engl J Med. 2019;381(17):1632-1643. </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PMID: 31566309</w:t>
      </w:r>
      <w:r>
        <w:rPr>
          <w:rFonts w:ascii="Times New Roman" w:hAnsi="Times New Roman" w:eastAsia="微软雅黑" w:cs="Times New Roman"/>
          <w:sz w:val="15"/>
          <w:szCs w:val="15"/>
          <w:highlight w:val="none"/>
          <w:lang w:eastAsia="zh-CN"/>
        </w:rPr>
        <w:t>]</w:t>
      </w:r>
    </w:p>
    <w:p>
      <w:pPr>
        <w:widowControl/>
        <w:spacing w:line="360" w:lineRule="auto"/>
        <w:rPr>
          <w:rFonts w:ascii="Times New Roman" w:hAnsi="Times New Roman" w:eastAsia="微软雅黑" w:cs="Times New Roman"/>
          <w:sz w:val="15"/>
          <w:szCs w:val="15"/>
          <w:highlight w:val="none"/>
          <w:lang w:eastAsia="zh-CN"/>
        </w:rPr>
      </w:pPr>
      <w:r>
        <w:rPr>
          <w:rFonts w:ascii="Times New Roman" w:hAnsi="Times New Roman" w:eastAsia="微软雅黑" w:cs="Times New Roman"/>
          <w:sz w:val="15"/>
          <w:szCs w:val="15"/>
          <w:highlight w:val="none"/>
        </w:rPr>
        <w:t xml:space="preserve">Kopetz S, Grothey A, Van CutsemE, </w:t>
      </w:r>
      <w:r>
        <w:rPr>
          <w:rFonts w:ascii="Times New Roman" w:hAnsi="Times New Roman" w:eastAsia="微软雅黑" w:cs="Times New Roman"/>
          <w:sz w:val="15"/>
          <w:szCs w:val="15"/>
          <w:highlight w:val="none"/>
          <w:lang w:eastAsia="zh-CN"/>
        </w:rPr>
        <w:t>e</w:t>
      </w:r>
      <w:r>
        <w:rPr>
          <w:rFonts w:ascii="Times New Roman" w:hAnsi="Times New Roman" w:eastAsia="微软雅黑" w:cs="Times New Roman"/>
          <w:sz w:val="15"/>
          <w:szCs w:val="15"/>
          <w:highlight w:val="none"/>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2020;38(suppl 4</w:t>
      </w:r>
      <w:r>
        <w:rPr>
          <w:rFonts w:ascii="Times New Roman" w:hAnsi="Times New Roman" w:eastAsia="微软雅黑" w:cs="Times New Roman"/>
          <w:sz w:val="15"/>
          <w:szCs w:val="15"/>
          <w:highlight w:val="none"/>
          <w:lang w:eastAsia="zh-CN"/>
        </w:rPr>
        <w:t>):</w:t>
      </w:r>
      <w:r>
        <w:rPr>
          <w:rFonts w:ascii="Times New Roman" w:hAnsi="Times New Roman" w:eastAsia="微软雅黑" w:cs="Times New Roman"/>
          <w:sz w:val="15"/>
          <w:szCs w:val="15"/>
          <w:highlight w:val="none"/>
        </w:rPr>
        <w:t xml:space="preserve"> abstr 8</w:t>
      </w:r>
      <w:r>
        <w:rPr>
          <w:rFonts w:ascii="Times New Roman" w:hAnsi="Times New Roman" w:eastAsia="微软雅黑" w:cs="Times New Roman"/>
          <w:sz w:val="15"/>
          <w:szCs w:val="15"/>
          <w:highlight w:val="none"/>
          <w:lang w:eastAsia="zh-CN"/>
        </w:rPr>
        <w:t>.</w:t>
      </w:r>
    </w:p>
    <w:p>
      <w:pPr>
        <w:widowControl/>
        <w:numPr>
          <w:ilvl w:val="0"/>
          <w:numId w:val="0"/>
        </w:numPr>
        <w:spacing w:after="84" w:line="259" w:lineRule="auto"/>
        <w:ind w:leftChars="0"/>
        <w:rPr>
          <w:rFonts w:hint="default" w:ascii="Times New Roman" w:hAnsi="Times New Roman" w:eastAsia="宋体" w:cs="Times New Roman"/>
          <w:sz w:val="15"/>
          <w:szCs w:val="15"/>
          <w:highlight w:val="none"/>
          <w:lang w:val="en-US" w:eastAsia="zh-CN"/>
        </w:rPr>
      </w:pPr>
      <w:r>
        <w:rPr>
          <w:rFonts w:hint="eastAsia" w:ascii="Times New Roman" w:hAnsi="Times New Roman" w:cs="Times New Roman"/>
          <w:sz w:val="15"/>
          <w:szCs w:val="15"/>
          <w:highlight w:val="none"/>
        </w:rPr>
        <w:t>Kopetz S,</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Mcdonough S L,</w:t>
      </w:r>
      <w:r>
        <w:rPr>
          <w:rFonts w:hint="eastAsia" w:ascii="Times New Roman" w:hAnsi="Times New Roman" w:cs="Times New Roman"/>
          <w:sz w:val="15"/>
          <w:szCs w:val="15"/>
          <w:highlight w:val="none"/>
          <w:lang w:val="en-US" w:eastAsia="zh-CN"/>
        </w:rPr>
        <w:t xml:space="preserve"> </w:t>
      </w:r>
      <w:r>
        <w:rPr>
          <w:rFonts w:hint="eastAsia" w:ascii="Times New Roman" w:hAnsi="Times New Roman" w:cs="Times New Roman"/>
          <w:sz w:val="15"/>
          <w:szCs w:val="15"/>
          <w:highlight w:val="none"/>
        </w:rPr>
        <w:t xml:space="preserve">Morris V K, et al. Randomized trial of </w:t>
      </w:r>
      <w:r>
        <w:rPr>
          <w:rFonts w:hint="eastAsia" w:ascii="Times New Roman" w:hAnsi="Times New Roman" w:cs="Times New Roman"/>
          <w:sz w:val="15"/>
          <w:szCs w:val="15"/>
          <w:highlight w:val="none"/>
          <w:lang w:val="en-US" w:eastAsia="zh-CN"/>
        </w:rPr>
        <w:t>I</w:t>
      </w:r>
      <w:r>
        <w:rPr>
          <w:rFonts w:hint="eastAsia" w:ascii="Times New Roman" w:hAnsi="Times New Roman" w:cs="Times New Roman"/>
          <w:sz w:val="15"/>
          <w:szCs w:val="15"/>
          <w:highlight w:val="none"/>
        </w:rPr>
        <w:t xml:space="preserve">rinotecan and </w:t>
      </w:r>
      <w:r>
        <w:rPr>
          <w:rFonts w:hint="eastAsia" w:ascii="Times New Roman" w:hAnsi="Times New Roman" w:cs="Times New Roman"/>
          <w:sz w:val="15"/>
          <w:szCs w:val="15"/>
          <w:highlight w:val="none"/>
          <w:lang w:val="en-US" w:eastAsia="zh-CN"/>
        </w:rPr>
        <w:t>C</w:t>
      </w:r>
      <w:r>
        <w:rPr>
          <w:rFonts w:hint="eastAsia" w:ascii="Times New Roman" w:hAnsi="Times New Roman" w:cs="Times New Roman"/>
          <w:sz w:val="15"/>
          <w:szCs w:val="15"/>
          <w:highlight w:val="none"/>
        </w:rPr>
        <w:t xml:space="preserve">etuximab with or without </w:t>
      </w:r>
      <w:r>
        <w:rPr>
          <w:rFonts w:hint="eastAsia" w:ascii="Times New Roman" w:hAnsi="Times New Roman" w:cs="Times New Roman"/>
          <w:sz w:val="15"/>
          <w:szCs w:val="15"/>
          <w:highlight w:val="none"/>
          <w:lang w:val="en-US" w:eastAsia="zh-CN"/>
        </w:rPr>
        <w:t>V</w:t>
      </w:r>
      <w:r>
        <w:rPr>
          <w:rFonts w:hint="eastAsia" w:ascii="Times New Roman" w:hAnsi="Times New Roman" w:cs="Times New Roman"/>
          <w:sz w:val="15"/>
          <w:szCs w:val="15"/>
          <w:highlight w:val="none"/>
        </w:rPr>
        <w:t>emurafenib in BRAF-mutant metastatic colorectal cancer (SWOG 1406).[J]. Journal of Clinical Oncology, 2017, 35(4_suppl):520-520.</w:t>
      </w:r>
      <w:r>
        <w:rPr>
          <w:rFonts w:hint="eastAsia" w:ascii="Times New Roman" w:hAnsi="Times New Roman" w:cs="Times New Roman"/>
          <w:sz w:val="15"/>
          <w:szCs w:val="15"/>
          <w:highlight w:val="none"/>
          <w:lang w:val="en-US" w:eastAsia="zh-CN"/>
        </w:rPr>
        <w:t xml:space="preserve"> [PMID: 33356422]</w:t>
      </w:r>
    </w:p>
    <w:p>
      <w:pPr>
        <w:pStyle w:val="29"/>
        <w:spacing w:line="360" w:lineRule="auto"/>
        <w:ind w:firstLine="0" w:firstLineChars="0"/>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Hyman DM, Puzanov I, Subbiah V, et al. Vemurafenib in Multiple Nonmelanoma Cancers with BRAF V600 Mutations. N Engl J Med. 2015;373(8):726-36. [PMID: 26287849]</w:t>
      </w:r>
    </w:p>
    <w:p>
      <w:pPr>
        <w:spacing w:line="360" w:lineRule="auto"/>
        <w:rPr>
          <w:rFonts w:ascii="Times New Roman" w:hAnsi="Times New Roman" w:eastAsia="微软雅黑" w:cs="Times New Roman"/>
          <w:spacing w:val="-1"/>
          <w:sz w:val="15"/>
          <w:szCs w:val="15"/>
          <w:highlight w:val="none"/>
          <w:lang w:eastAsia="zh-CN"/>
        </w:rPr>
      </w:pPr>
      <w:r>
        <w:rPr>
          <w:rFonts w:ascii="Times New Roman" w:hAnsi="Times New Roman" w:eastAsia="微软雅黑" w:cs="Times New Roman"/>
          <w:spacing w:val="-1"/>
          <w:sz w:val="15"/>
          <w:szCs w:val="15"/>
          <w:highlight w:val="none"/>
          <w:lang w:eastAsia="zh-CN"/>
        </w:rPr>
        <w:t>Pietrantonio F, Petrelli F, Coinu A, et al. Predictive role of BRAF mutations in patients with advanced colorectal cancer receiving cetuximab and panitumumab: a meta-analysis. Eur J Cancer. 2015;51(5):587-94. [PMID: 25673558]</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Carrato A, Abad A, Massuti B, et al. First-line panitumumab plus FOLFOX4 or FOLFIRI in colorectal cancer with multiple or unresectable liver metastases: A randomised, phase II trial (PLANET-TTD)[J]. European Journal of Cancer, 2017, 81:191. [PMID: 28633089]</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Helbling D, Borner M. Successful challenge with the fully human EGFR antibody panitumumab following an infusion reaction with the chimeric EGFR antibody cetuximab[J]. Annals of Oncology Official Journal of the European Society for Medical Oncology, 2007, 18(5):963. [PMID: 17488734]</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Martin V, Landi L, F Molinari, et al. HER2 gene copy number status may influence clinical efficacy to anti-EGFR monoclonal antibodies in metastatic colorectal cancer patients[J]. British Journal of Cancer, 2013, 108(3):668-675. [PMID: 23348520]</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Meric-Bernstam F, Hurwitz H, Raghav K, et al. Pertuzumab plus trastuzumab for HER2-amplified metastatic colorectal cancer (MyPathway): an updated report from a multicentre, open-label, phase 2a, multiple basket study[J]. The Lancet Oncology, 2019. [PMID: 30857956]</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Sartore-Bianchi A, Trusolino L, Martino C, et al. Dual-targeted therapy with trastuzumab and lapatinib in treatment-refractory, KRAS codon 12/13 wild-type, HER2-positive metastatic colorectal cancer (HERACLES): a proof-of-concept, multicentre, open-label, phase 2 trial[J]. Lancet Oncology, 2016:738-746. [PMID: 27108243]</w:t>
      </w:r>
    </w:p>
    <w:p>
      <w:pPr>
        <w:widowControl/>
        <w:spacing w:line="360" w:lineRule="auto"/>
        <w:rPr>
          <w:rFonts w:hint="eastAsia" w:ascii="Times New Roman" w:hAnsi="Times New Roman" w:cs="Times New Roman"/>
          <w:sz w:val="15"/>
          <w:szCs w:val="15"/>
          <w:highlight w:val="none"/>
          <w:lang w:eastAsia="zh-CN"/>
        </w:rPr>
      </w:pPr>
      <w:r>
        <w:rPr>
          <w:rFonts w:hint="eastAsia" w:ascii="Times New Roman" w:hAnsi="Times New Roman" w:cs="Times New Roman"/>
          <w:sz w:val="15"/>
          <w:szCs w:val="15"/>
          <w:highlight w:val="none"/>
          <w:lang w:eastAsia="zh-CN"/>
        </w:rPr>
        <w:t>Ss A, Mdb B, Kr C, et al. Trastuzumab deruxtecan (DS-8201) in patients with HER2-expressing metastatic colorectal cancer (DESTINY-CRC01): a multicentre, open-label, phase 2 trial[J]. The Lancet Oncology, 2021, 22(6). [PMID: 33961795]</w:t>
      </w:r>
    </w:p>
    <w:p>
      <w:pPr>
        <w:spacing w:line="360" w:lineRule="auto"/>
        <w:rPr>
          <w:rFonts w:ascii="Times New Roman" w:hAnsi="Times New Roman" w:cs="Times New Roman"/>
          <w:sz w:val="15"/>
          <w:szCs w:val="15"/>
          <w:highlight w:val="none"/>
          <w:shd w:val="clear" w:color="auto" w:fill="FFFFFF"/>
          <w:lang w:eastAsia="zh-CN"/>
        </w:rPr>
      </w:pPr>
      <w:r>
        <w:rPr>
          <w:rFonts w:ascii="Times New Roman" w:hAnsi="Times New Roman" w:cs="Times New Roman"/>
          <w:sz w:val="15"/>
          <w:szCs w:val="15"/>
          <w:highlight w:val="none"/>
          <w:shd w:val="clear" w:color="auto" w:fill="FFFFFF"/>
          <w:lang w:eastAsia="zh-CN"/>
        </w:rPr>
        <w:t>Lièvre A, Bachet J-B , Boige V, et al. KRAS mutations as an independent prognostic factor in patients with advanced colorectal cancer treated with cetuximab. J Clin Oncol. 2008;26(3):374-9. [</w:t>
      </w:r>
      <w:r>
        <w:rPr>
          <w:rFonts w:ascii="Times New Roman" w:hAnsi="Times New Roman" w:eastAsia="Segoe UI" w:cs="Times New Roman"/>
          <w:sz w:val="15"/>
          <w:szCs w:val="15"/>
          <w:highlight w:val="none"/>
          <w:shd w:val="clear" w:color="auto" w:fill="FFFFFF"/>
        </w:rPr>
        <w:t>PMID: 18202412</w:t>
      </w:r>
      <w:r>
        <w:rPr>
          <w:rFonts w:ascii="Times New Roman" w:hAnsi="Times New Roman" w:cs="Times New Roman"/>
          <w:sz w:val="15"/>
          <w:szCs w:val="15"/>
          <w:highlight w:val="none"/>
          <w:shd w:val="clear" w:color="auto" w:fill="FFFFFF"/>
          <w:lang w:eastAsia="zh-CN"/>
        </w:rPr>
        <w:t xml:space="preserve">] </w:t>
      </w:r>
    </w:p>
    <w:p>
      <w:pPr>
        <w:spacing w:line="360" w:lineRule="auto"/>
        <w:rPr>
          <w:rFonts w:ascii="Times New Roman" w:hAnsi="Times New Roman" w:cs="Times New Roman"/>
          <w:sz w:val="15"/>
          <w:szCs w:val="15"/>
          <w:highlight w:val="none"/>
          <w:lang w:eastAsia="zh-CN"/>
        </w:rPr>
      </w:pPr>
      <w:r>
        <w:rPr>
          <w:highlight w:val="none"/>
        </w:rPr>
        <w:fldChar w:fldCharType="begin"/>
      </w:r>
      <w:r>
        <w:rPr>
          <w:highlight w:val="none"/>
        </w:rPr>
        <w:instrText xml:space="preserve"> HYPERLINK "https://pubmed.ncbi.nlm.nih.gov/?term=Amado+RG&amp;cauthor_id=18316791" </w:instrText>
      </w:r>
      <w:r>
        <w:rPr>
          <w:highlight w:val="none"/>
        </w:rPr>
        <w:fldChar w:fldCharType="separate"/>
      </w:r>
      <w:r>
        <w:rPr>
          <w:rStyle w:val="16"/>
          <w:rFonts w:ascii="Times New Roman" w:hAnsi="Times New Roman" w:eastAsia="Segoe UI" w:cs="Times New Roman"/>
          <w:color w:val="auto"/>
          <w:sz w:val="15"/>
          <w:szCs w:val="15"/>
          <w:highlight w:val="none"/>
          <w:u w:val="none"/>
          <w:shd w:val="clear" w:color="auto" w:fill="FFFFFF"/>
        </w:rPr>
        <w:t>Amado</w:t>
      </w:r>
      <w:r>
        <w:rPr>
          <w:rStyle w:val="16"/>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eastAsia="Segoe UI" w:cs="Times New Roman"/>
          <w:sz w:val="15"/>
          <w:szCs w:val="15"/>
          <w:highlight w:val="none"/>
          <w:shd w:val="clear" w:color="auto" w:fill="FFFFFF"/>
        </w:rPr>
        <w:t> </w:t>
      </w:r>
      <w:r>
        <w:rPr>
          <w:rStyle w:val="16"/>
          <w:rFonts w:ascii="Times New Roman" w:hAnsi="Times New Roman" w:eastAsia="Segoe UI" w:cs="Times New Roman"/>
          <w:color w:val="auto"/>
          <w:sz w:val="15"/>
          <w:szCs w:val="15"/>
          <w:highlight w:val="none"/>
          <w:u w:val="none"/>
          <w:shd w:val="clear" w:color="auto" w:fill="FFFFFF"/>
        </w:rPr>
        <w:t xml:space="preserve">RG </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"https://pubmed.ncbi.nlm.nih.gov/?term=Wolf+M&amp;cauthor_id=18316791" </w:instrText>
      </w:r>
      <w:r>
        <w:rPr>
          <w:highlight w:val="none"/>
        </w:rPr>
        <w:fldChar w:fldCharType="separate"/>
      </w:r>
      <w:r>
        <w:rPr>
          <w:rStyle w:val="16"/>
          <w:rFonts w:ascii="Times New Roman" w:hAnsi="Times New Roman" w:eastAsia="Segoe UI" w:cs="Times New Roman"/>
          <w:color w:val="auto"/>
          <w:sz w:val="15"/>
          <w:szCs w:val="15"/>
          <w:highlight w:val="none"/>
          <w:u w:val="none"/>
          <w:shd w:val="clear" w:color="auto" w:fill="FFFFFF"/>
        </w:rPr>
        <w:t>Wolf</w:t>
      </w:r>
      <w:r>
        <w:rPr>
          <w:rStyle w:val="16"/>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M,</w:t>
      </w:r>
      <w:r>
        <w:rPr>
          <w:rFonts w:ascii="Times New Roman" w:hAnsi="Times New Roman" w:eastAsia="Segoe UI" w:cs="Times New Roman"/>
          <w:sz w:val="15"/>
          <w:szCs w:val="15"/>
          <w:highlight w:val="none"/>
          <w:shd w:val="clear" w:color="auto" w:fill="FFFFFF"/>
        </w:rPr>
        <w:t> </w:t>
      </w:r>
      <w:r>
        <w:rPr>
          <w:highlight w:val="none"/>
        </w:rPr>
        <w:fldChar w:fldCharType="begin"/>
      </w:r>
      <w:r>
        <w:rPr>
          <w:highlight w:val="none"/>
        </w:rPr>
        <w:instrText xml:space="preserve"> HYPERLINK "https://pubmed.ncbi.nlm.nih.gov/?term=Peeters+M&amp;cauthor_id=18316791" </w:instrText>
      </w:r>
      <w:r>
        <w:rPr>
          <w:highlight w:val="none"/>
        </w:rPr>
        <w:fldChar w:fldCharType="separate"/>
      </w:r>
      <w:r>
        <w:rPr>
          <w:rStyle w:val="16"/>
          <w:rFonts w:ascii="Times New Roman" w:hAnsi="Times New Roman" w:eastAsia="Segoe UI" w:cs="Times New Roman"/>
          <w:color w:val="auto"/>
          <w:sz w:val="15"/>
          <w:szCs w:val="15"/>
          <w:highlight w:val="none"/>
          <w:u w:val="none"/>
          <w:shd w:val="clear" w:color="auto" w:fill="FFFFFF"/>
        </w:rPr>
        <w:t>Peeters</w:t>
      </w:r>
      <w:r>
        <w:rPr>
          <w:rStyle w:val="16"/>
          <w:rFonts w:ascii="Times New Roman" w:hAnsi="Times New Roman" w:eastAsia="Segoe UI" w:cs="Times New Roman"/>
          <w:color w:val="auto"/>
          <w:sz w:val="15"/>
          <w:szCs w:val="15"/>
          <w:highlight w:val="none"/>
          <w:u w:val="none"/>
          <w:shd w:val="clear" w:color="auto" w:fill="FFFFFF"/>
        </w:rPr>
        <w:fldChar w:fldCharType="end"/>
      </w:r>
      <w:r>
        <w:rPr>
          <w:rFonts w:ascii="Times New Roman" w:hAnsi="Times New Roman" w:cs="Times New Roman"/>
          <w:sz w:val="15"/>
          <w:szCs w:val="15"/>
          <w:highlight w:val="none"/>
          <w:shd w:val="clear" w:color="auto" w:fill="FFFFFF"/>
          <w:lang w:eastAsia="zh-CN"/>
        </w:rPr>
        <w:t xml:space="preserve"> </w:t>
      </w:r>
      <w:r>
        <w:rPr>
          <w:rStyle w:val="16"/>
          <w:rFonts w:ascii="Times New Roman" w:hAnsi="Times New Roman" w:eastAsia="Segoe UI" w:cs="Times New Roman"/>
          <w:color w:val="auto"/>
          <w:sz w:val="15"/>
          <w:szCs w:val="15"/>
          <w:highlight w:val="none"/>
          <w:u w:val="none"/>
          <w:shd w:val="clear" w:color="auto" w:fill="FFFFFF"/>
        </w:rPr>
        <w:t>M</w:t>
      </w:r>
      <w:r>
        <w:rPr>
          <w:rFonts w:ascii="Times New Roman" w:hAnsi="Times New Roman" w:eastAsia="Segoe UI" w:cs="Times New Roman"/>
          <w:sz w:val="15"/>
          <w:szCs w:val="15"/>
          <w:highlight w:val="none"/>
          <w:shd w:val="clear" w:color="auto" w:fill="FFFFFF"/>
        </w:rPr>
        <w:t>,</w:t>
      </w:r>
      <w:r>
        <w:rPr>
          <w:rFonts w:ascii="Times New Roman" w:hAnsi="Times New Roman" w:cs="Times New Roman"/>
          <w:sz w:val="15"/>
          <w:szCs w:val="15"/>
          <w:highlight w:val="none"/>
          <w:shd w:val="clear" w:color="auto" w:fill="FFFFFF"/>
          <w:lang w:eastAsia="zh-CN"/>
        </w:rPr>
        <w:t xml:space="preserve"> et al. </w:t>
      </w:r>
      <w:r>
        <w:rPr>
          <w:rFonts w:ascii="Times New Roman" w:hAnsi="Times New Roman" w:cs="Times New Roman"/>
          <w:sz w:val="15"/>
          <w:szCs w:val="15"/>
          <w:highlight w:val="none"/>
          <w:lang w:eastAsia="zh-CN"/>
        </w:rPr>
        <w:t>Wild-type KRAS is required for panitumumab efficacy in patients with metastatic colorectal cancer.</w:t>
      </w:r>
      <w:r>
        <w:rPr>
          <w:rFonts w:ascii="Times New Roman" w:hAnsi="Times New Roman" w:cs="Times New Roman"/>
          <w:sz w:val="15"/>
          <w:szCs w:val="15"/>
          <w:highlight w:val="none"/>
          <w:shd w:val="clear" w:color="auto" w:fill="FFFFFF"/>
          <w:lang w:eastAsia="zh-CN"/>
        </w:rPr>
        <w:t xml:space="preserve"> J Clin Oncol . 2008;26(10):1626-34.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18316791</w:t>
      </w:r>
      <w:r>
        <w:rPr>
          <w:rFonts w:ascii="Times New Roman" w:hAnsi="Times New Roman" w:cs="Times New Roman"/>
          <w:sz w:val="15"/>
          <w:szCs w:val="15"/>
          <w:highlight w:val="none"/>
          <w:lang w:eastAsia="zh-CN"/>
        </w:rPr>
        <w:t>]</w:t>
      </w:r>
    </w:p>
    <w:p>
      <w:pPr>
        <w:spacing w:line="360" w:lineRule="auto"/>
        <w:rPr>
          <w:rFonts w:ascii="Times New Roman" w:hAnsi="Times New Roman" w:cs="Times New Roman"/>
          <w:sz w:val="15"/>
          <w:szCs w:val="15"/>
          <w:highlight w:val="none"/>
        </w:rPr>
      </w:pPr>
      <w:r>
        <w:rPr>
          <w:highlight w:val="none"/>
        </w:rPr>
        <w:fldChar w:fldCharType="begin"/>
      </w:r>
      <w:r>
        <w:rPr>
          <w:highlight w:val="none"/>
        </w:rPr>
        <w:instrText xml:space="preserve"> HYPERLINK "https://www.ncbi.nlm.nih.gov/pubmed/?term=Shapiro%20JD%5BAuthor%5D&amp;cauthor=true&amp;cauthor_uid=30463680" </w:instrText>
      </w:r>
      <w:r>
        <w:rPr>
          <w:highlight w:val="none"/>
        </w:rPr>
        <w:fldChar w:fldCharType="separate"/>
      </w:r>
      <w:r>
        <w:rPr>
          <w:rFonts w:ascii="Times New Roman" w:hAnsi="Times New Roman" w:cs="Times New Roman"/>
          <w:sz w:val="15"/>
          <w:szCs w:val="15"/>
          <w:highlight w:val="none"/>
        </w:rPr>
        <w:t>Shapiro JD</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rFonts w:ascii="Times New Roman" w:hAnsi="Times New Roman" w:cs="Times New Roman"/>
          <w:sz w:val="15"/>
          <w:szCs w:val="15"/>
          <w:highlight w:val="none"/>
        </w:rPr>
        <w:fldChar w:fldCharType="begin"/>
      </w:r>
      <w:r>
        <w:rPr>
          <w:rFonts w:ascii="Times New Roman" w:hAnsi="Times New Roman" w:cs="Times New Roman"/>
          <w:sz w:val="15"/>
          <w:szCs w:val="15"/>
          <w:highlight w:val="none"/>
        </w:rPr>
        <w:instrText xml:space="preserve"> HYPERLINK "https://www.ncbi.nlm.nih.gov/pubmed/?term=Thavaneswaran%20S%5BAuthor%5D&amp;cauthor=true&amp;cauthor_uid=30463680" </w:instrText>
      </w:r>
      <w:r>
        <w:rPr>
          <w:rFonts w:ascii="Times New Roman" w:hAnsi="Times New Roman" w:cs="Times New Roman"/>
          <w:sz w:val="15"/>
          <w:szCs w:val="15"/>
          <w:highlight w:val="none"/>
        </w:rPr>
        <w:fldChar w:fldCharType="separate"/>
      </w:r>
      <w:r>
        <w:rPr>
          <w:rFonts w:ascii="Times New Roman" w:hAnsi="Times New Roman" w:cs="Times New Roman"/>
          <w:sz w:val="15"/>
          <w:szCs w:val="15"/>
          <w:highlight w:val="none"/>
        </w:rPr>
        <w:t>Thavaneswaran S</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"https://www.ncbi.nlm.nih.gov/pubmed/?term=Underhill%20CR%5BAuthor%5D&amp;cauthor=true&amp;cauthor_uid=30463680" </w:instrText>
      </w:r>
      <w:r>
        <w:rPr>
          <w:highlight w:val="none"/>
        </w:rPr>
        <w:fldChar w:fldCharType="separate"/>
      </w:r>
      <w:r>
        <w:rPr>
          <w:rFonts w:ascii="Times New Roman" w:hAnsi="Times New Roman" w:cs="Times New Roman"/>
          <w:sz w:val="15"/>
          <w:szCs w:val="15"/>
          <w:highlight w:val="none"/>
        </w:rPr>
        <w:t>Underhill CR</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et al. Cetuximab Alone or With Irinotecan for Resistant KRAS-, NRAS-, BRAF- and PIK3CA-wild-typeMetastatic Colorectal Cancer: The AGITG Randomized Phase II ICECREAM Study. </w:t>
      </w:r>
      <w:r>
        <w:rPr>
          <w:highlight w:val="none"/>
        </w:rPr>
        <w:fldChar w:fldCharType="begin"/>
      </w:r>
      <w:r>
        <w:rPr>
          <w:highlight w:val="none"/>
        </w:rPr>
        <w:instrText xml:space="preserve"> HYPERLINK "https://www.ncbi.nlm.nih.gov/pubmed/30463680" \o "Clinical colorectal cancer." </w:instrText>
      </w:r>
      <w:r>
        <w:rPr>
          <w:highlight w:val="none"/>
        </w:rPr>
        <w:fldChar w:fldCharType="separate"/>
      </w:r>
      <w:r>
        <w:rPr>
          <w:rFonts w:ascii="Times New Roman" w:hAnsi="Times New Roman" w:cs="Times New Roman"/>
          <w:sz w:val="15"/>
          <w:szCs w:val="15"/>
          <w:highlight w:val="none"/>
        </w:rPr>
        <w:t>Clin Colorectal Cancer</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17(4):313-319. </w:t>
      </w:r>
      <w:r>
        <w:rPr>
          <w:rFonts w:ascii="Times New Roman" w:hAnsi="Times New Roman" w:cs="Times New Roman"/>
          <w:sz w:val="15"/>
          <w:szCs w:val="15"/>
          <w:highlight w:val="none"/>
          <w:lang w:eastAsia="zh-CN"/>
        </w:rPr>
        <w:t>[</w:t>
      </w:r>
      <w:r>
        <w:rPr>
          <w:rFonts w:ascii="Times New Roman" w:hAnsi="Times New Roman" w:eastAsia="微软雅黑" w:cs="Times New Roman"/>
          <w:sz w:val="15"/>
          <w:szCs w:val="15"/>
          <w:highlight w:val="none"/>
        </w:rPr>
        <w:t>PMID: 30463680</w:t>
      </w:r>
      <w:r>
        <w:rPr>
          <w:rFonts w:ascii="Times New Roman" w:hAnsi="Times New Roman" w:eastAsia="微软雅黑" w:cs="Times New Roman"/>
          <w:sz w:val="15"/>
          <w:szCs w:val="15"/>
          <w:highlight w:val="none"/>
          <w:lang w:eastAsia="zh-CN"/>
        </w:rPr>
        <w:t>]</w:t>
      </w:r>
    </w:p>
    <w:p>
      <w:pPr>
        <w:spacing w:line="360" w:lineRule="auto"/>
        <w:rPr>
          <w:rFonts w:ascii="Times New Roman" w:hAnsi="Times New Roman" w:eastAsia="微软雅黑" w:cs="Times New Roman"/>
          <w:spacing w:val="-1"/>
          <w:sz w:val="15"/>
          <w:szCs w:val="15"/>
          <w:highlight w:val="none"/>
          <w:lang w:eastAsia="zh-CN"/>
        </w:rPr>
      </w:pPr>
      <w:r>
        <w:rPr>
          <w:highlight w:val="none"/>
        </w:rPr>
        <w:fldChar w:fldCharType="begin"/>
      </w:r>
      <w:r>
        <w:rPr>
          <w:highlight w:val="none"/>
        </w:rPr>
        <w:instrText xml:space="preserve"> HYPERLINK "https://www.ncbi.nlm.nih.gov/pubmed/?term=Geredeli%20C%5BAuthor%5D&amp;cauthor=true&amp;cauthor_uid=29587749" </w:instrText>
      </w:r>
      <w:r>
        <w:rPr>
          <w:highlight w:val="none"/>
        </w:rPr>
        <w:fldChar w:fldCharType="separate"/>
      </w:r>
      <w:r>
        <w:rPr>
          <w:rFonts w:ascii="Times New Roman" w:hAnsi="Times New Roman" w:cs="Times New Roman"/>
          <w:sz w:val="15"/>
          <w:szCs w:val="15"/>
          <w:highlight w:val="none"/>
        </w:rPr>
        <w:t>Geredeli C</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"https://www.ncbi.nlm.nih.gov/pubmed/?term=Yasar%20N%5BAuthor%5D&amp;cauthor=true&amp;cauthor_uid=29587749" </w:instrText>
      </w:r>
      <w:r>
        <w:rPr>
          <w:highlight w:val="none"/>
        </w:rPr>
        <w:fldChar w:fldCharType="separate"/>
      </w:r>
      <w:r>
        <w:rPr>
          <w:rFonts w:ascii="Times New Roman" w:hAnsi="Times New Roman" w:cs="Times New Roman"/>
          <w:sz w:val="15"/>
          <w:szCs w:val="15"/>
          <w:highlight w:val="none"/>
        </w:rPr>
        <w:t>Yasar N</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xml:space="preserve">. FOLFIRI plus panitumumab in the treatment of wild-type KRAS and wild-type NRAS metastatic colorectal cancer. </w:t>
      </w:r>
      <w:r>
        <w:rPr>
          <w:highlight w:val="none"/>
        </w:rPr>
        <w:fldChar w:fldCharType="begin"/>
      </w:r>
      <w:r>
        <w:rPr>
          <w:highlight w:val="none"/>
        </w:rPr>
        <w:instrText xml:space="preserve"> HYPERLINK "https://www.ncbi.nlm.nih.gov/pubmed/29587749" \o "World journal of surgical oncology." </w:instrText>
      </w:r>
      <w:r>
        <w:rPr>
          <w:highlight w:val="none"/>
        </w:rPr>
        <w:fldChar w:fldCharType="separate"/>
      </w:r>
      <w:r>
        <w:rPr>
          <w:rFonts w:ascii="Times New Roman" w:hAnsi="Times New Roman" w:cs="Times New Roman"/>
          <w:sz w:val="15"/>
          <w:szCs w:val="15"/>
          <w:highlight w:val="none"/>
        </w:rPr>
        <w:t>World J Surg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16(1):67.</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29587749]</w:t>
      </w:r>
    </w:p>
    <w:p>
      <w:pPr>
        <w:spacing w:line="360" w:lineRule="auto"/>
        <w:rPr>
          <w:rFonts w:ascii="Times New Roman" w:hAnsi="Times New Roman" w:eastAsia="微软雅黑" w:cs="Times New Roman"/>
          <w:spacing w:val="-1"/>
          <w:sz w:val="15"/>
          <w:szCs w:val="15"/>
          <w:highlight w:val="none"/>
          <w:lang w:eastAsia="zh-CN"/>
        </w:rPr>
      </w:pPr>
      <w:r>
        <w:rPr>
          <w:highlight w:val="none"/>
        </w:rPr>
        <w:fldChar w:fldCharType="begin"/>
      </w:r>
      <w:r>
        <w:rPr>
          <w:highlight w:val="none"/>
        </w:rPr>
        <w:instrText xml:space="preserve"> HYPERLINK "https://www.ncbi.nlm.nih.gov/pubmed/?term=McGregor%20M%5BAuthor%5D&amp;cauthor=true&amp;cauthor_uid=29737864" </w:instrText>
      </w:r>
      <w:r>
        <w:rPr>
          <w:highlight w:val="none"/>
        </w:rPr>
        <w:fldChar w:fldCharType="separate"/>
      </w:r>
      <w:r>
        <w:rPr>
          <w:rFonts w:ascii="Times New Roman" w:hAnsi="Times New Roman" w:cs="Times New Roman"/>
          <w:sz w:val="15"/>
          <w:szCs w:val="15"/>
          <w:highlight w:val="none"/>
        </w:rPr>
        <w:t>McGregor M</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w:t>
      </w:r>
      <w:r>
        <w:rPr>
          <w:highlight w:val="none"/>
        </w:rPr>
        <w:fldChar w:fldCharType="begin"/>
      </w:r>
      <w:r>
        <w:rPr>
          <w:highlight w:val="none"/>
        </w:rPr>
        <w:instrText xml:space="preserve"> HYPERLINK "https://www.ncbi.nlm.nih.gov/pubmed/?term=Price%20TJ%5BAuthor%5D&amp;cauthor=true&amp;cauthor_uid=29737864" </w:instrText>
      </w:r>
      <w:r>
        <w:rPr>
          <w:highlight w:val="none"/>
        </w:rPr>
        <w:fldChar w:fldCharType="separate"/>
      </w:r>
      <w:r>
        <w:rPr>
          <w:rFonts w:ascii="Times New Roman" w:hAnsi="Times New Roman" w:cs="Times New Roman"/>
          <w:sz w:val="15"/>
          <w:szCs w:val="15"/>
          <w:highlight w:val="none"/>
        </w:rPr>
        <w:t>Price TJ</w:t>
      </w:r>
      <w:r>
        <w:rPr>
          <w:rFonts w:ascii="Times New Roman" w:hAnsi="Times New Roman" w:cs="Times New Roman"/>
          <w:sz w:val="15"/>
          <w:szCs w:val="15"/>
          <w:highlight w:val="none"/>
        </w:rPr>
        <w:fldChar w:fldCharType="end"/>
      </w:r>
      <w:r>
        <w:rPr>
          <w:rFonts w:ascii="Times New Roman" w:hAnsi="Times New Roman" w:cs="Times New Roman"/>
          <w:sz w:val="15"/>
          <w:szCs w:val="15"/>
          <w:highlight w:val="none"/>
        </w:rPr>
        <w:t>. Panitumumab in the treatment of metastatic colorectal cancer, including wild-type RAS,</w:t>
      </w:r>
      <w:r>
        <w:rPr>
          <w:rFonts w:ascii="Times New Roman" w:hAnsi="Times New Roman" w:cs="Times New Roman"/>
          <w:sz w:val="15"/>
          <w:szCs w:val="15"/>
          <w:highlight w:val="none"/>
          <w:lang w:eastAsia="zh-CN"/>
        </w:rPr>
        <w:t xml:space="preserve"> </w:t>
      </w:r>
      <w:r>
        <w:rPr>
          <w:rFonts w:ascii="Times New Roman" w:hAnsi="Times New Roman" w:cs="Times New Roman"/>
          <w:sz w:val="15"/>
          <w:szCs w:val="15"/>
          <w:highlight w:val="none"/>
        </w:rPr>
        <w:t xml:space="preserve">KRAS and NRAS mCRC. </w:t>
      </w:r>
      <w:r>
        <w:rPr>
          <w:highlight w:val="none"/>
        </w:rPr>
        <w:fldChar w:fldCharType="begin"/>
      </w:r>
      <w:r>
        <w:rPr>
          <w:highlight w:val="none"/>
        </w:rPr>
        <w:instrText xml:space="preserve"> HYPERLINK "https://www.ncbi.nlm.nih.gov/pubmed/29737864" \o "Future oncology (London, England)." </w:instrText>
      </w:r>
      <w:r>
        <w:rPr>
          <w:highlight w:val="none"/>
        </w:rPr>
        <w:fldChar w:fldCharType="separate"/>
      </w:r>
      <w:r>
        <w:rPr>
          <w:rFonts w:ascii="Times New Roman" w:hAnsi="Times New Roman" w:cs="Times New Roman"/>
          <w:sz w:val="15"/>
          <w:szCs w:val="15"/>
          <w:highlight w:val="none"/>
        </w:rPr>
        <w:t>Future Oncol</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lang w:eastAsia="zh-CN"/>
        </w:rPr>
        <w:fldChar w:fldCharType="end"/>
      </w:r>
      <w:r>
        <w:rPr>
          <w:rFonts w:ascii="Times New Roman" w:hAnsi="Times New Roman" w:cs="Times New Roman"/>
          <w:sz w:val="15"/>
          <w:szCs w:val="15"/>
          <w:highlight w:val="none"/>
        </w:rPr>
        <w:t> 2018</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14(24):2437-2459.</w:t>
      </w:r>
      <w:r>
        <w:rPr>
          <w:rFonts w:ascii="Times New Roman" w:hAnsi="Times New Roman" w:cs="Times New Roman"/>
          <w:sz w:val="15"/>
          <w:szCs w:val="15"/>
          <w:highlight w:val="none"/>
          <w:lang w:eastAsia="zh-CN"/>
        </w:rPr>
        <w:t xml:space="preserve"> [</w:t>
      </w:r>
      <w:r>
        <w:rPr>
          <w:rFonts w:ascii="Times New Roman" w:hAnsi="Times New Roman" w:eastAsia="微软雅黑" w:cs="Times New Roman"/>
          <w:sz w:val="15"/>
          <w:szCs w:val="15"/>
          <w:highlight w:val="none"/>
          <w:lang w:eastAsia="zh-CN"/>
        </w:rPr>
        <w:t>PMID: 29737864]</w:t>
      </w:r>
    </w:p>
    <w:p>
      <w:pPr>
        <w:widowControl/>
        <w:spacing w:line="360" w:lineRule="auto"/>
        <w:rPr>
          <w:rFonts w:ascii="Times New Roman" w:hAnsi="Times New Roman" w:cs="Times New Roman"/>
          <w:sz w:val="15"/>
          <w:szCs w:val="15"/>
          <w:highlight w:val="none"/>
        </w:rPr>
      </w:pPr>
      <w:r>
        <w:rPr>
          <w:rFonts w:ascii="Times New Roman" w:hAnsi="Times New Roman" w:cs="Times New Roman"/>
          <w:sz w:val="15"/>
          <w:szCs w:val="15"/>
          <w:highlight w:val="none"/>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31838007</w:t>
      </w:r>
      <w:r>
        <w:rPr>
          <w:rFonts w:ascii="Times New Roman" w:hAnsi="Times New Roman" w:cs="Times New Roman"/>
          <w:sz w:val="15"/>
          <w:szCs w:val="15"/>
          <w:highlight w:val="none"/>
          <w:lang w:eastAsia="zh-CN"/>
        </w:rPr>
        <w:t>]</w:t>
      </w:r>
    </w:p>
    <w:p>
      <w:pPr>
        <w:widowControl/>
        <w:spacing w:line="360" w:lineRule="auto"/>
        <w:rPr>
          <w:rFonts w:ascii="Times New Roman" w:hAnsi="Times New Roman" w:cs="Times New Roman"/>
          <w:sz w:val="15"/>
          <w:szCs w:val="15"/>
          <w:highlight w:val="none"/>
          <w:lang w:eastAsia="zh-CN"/>
        </w:rPr>
      </w:pPr>
      <w:r>
        <w:rPr>
          <w:rFonts w:ascii="Times New Roman" w:hAnsi="Times New Roman" w:cs="Times New Roman"/>
          <w:sz w:val="15"/>
          <w:szCs w:val="15"/>
          <w:highlight w:val="none"/>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highlight w:val="none"/>
          <w:lang w:eastAsia="zh-CN"/>
        </w:rPr>
        <w:t>[</w:t>
      </w:r>
      <w:r>
        <w:rPr>
          <w:rFonts w:ascii="Times New Roman" w:hAnsi="Times New Roman" w:cs="Times New Roman"/>
          <w:sz w:val="15"/>
          <w:szCs w:val="15"/>
          <w:highlight w:val="none"/>
        </w:rPr>
        <w:t>PMID: 32105622</w:t>
      </w:r>
      <w:r>
        <w:rPr>
          <w:rFonts w:ascii="Times New Roman" w:hAnsi="Times New Roman" w:cs="Times New Roman"/>
          <w:sz w:val="15"/>
          <w:szCs w:val="15"/>
          <w:highlight w:val="none"/>
          <w:lang w:eastAsia="zh-CN"/>
        </w:rPr>
        <w:t>]</w:t>
      </w:r>
    </w:p>
    <w:p>
      <w:pPr>
        <w:widowControl/>
        <w:spacing w:line="360" w:lineRule="auto"/>
        <w:rPr>
          <w:rFonts w:ascii="Times New Roman" w:hAnsi="Times New Roman" w:cs="Times New Roman"/>
          <w:sz w:val="15"/>
          <w:szCs w:val="15"/>
          <w:highlight w:val="green"/>
          <w:lang w:eastAsia="zh-CN"/>
        </w:rPr>
      </w:pPr>
    </w:p>
    <w:p>
      <w:pPr>
        <w:widowControl/>
        <w:spacing w:line="360" w:lineRule="auto"/>
        <w:rPr>
          <w:rFonts w:ascii="Times New Roman" w:hAnsi="Times New Roman" w:cs="Times New Roman"/>
          <w:sz w:val="15"/>
          <w:szCs w:val="15"/>
          <w:highlight w:val="green"/>
          <w:lang w:eastAsia="zh-CN"/>
        </w:rPr>
      </w:pPr>
    </w:p>
    <w:p>
      <w:pPr>
        <w:widowControl/>
        <w:spacing w:line="240" w:lineRule="auto"/>
      </w:pPr>
      <w:r>
        <w:rPr>
          <w:rFonts w:ascii="Times New Roman" w:hAnsi="Times New Roman" w:cs="Times New Roman"/>
          <w:sz w:val="15"/>
          <w:szCs w:val="15"/>
          <w:highlight w:val="green"/>
          <w:lang w:eastAsia="zh-CN"/>
        </w:rPr>
        <w:br w:type="textWrapping"/>
      </w:r>
    </w:p>
    <w:sectPr>
      <w:headerReference r:id="rId5" w:type="default"/>
      <w:footerReference r:id="rId6" w:type="default"/>
      <w:pgSz w:w="11910" w:h="16840"/>
      <w:pgMar w:top="1037" w:right="1020" w:bottom="981" w:left="1020" w:header="0" w:footer="56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12</w:t>
                    </w:r>
                    <w:r>
                      <w:rPr>
                        <w:rFonts w:hint="eastAsia"/>
                        <w:lang w:eastAsia="zh-C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sz w:val="20"/>
        <w:szCs w:val="20"/>
      </w:rPr>
    </w:pPr>
    <w:r>
      <w:rPr>
        <w:sz w:val="20"/>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pPr>
                      <w:pStyle w:val="8"/>
                      <w:rPr>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53</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color w:val="7F7F7F"/>
        <w:sz w:val="20"/>
        <w:szCs w:val="20"/>
        <w:lang w:eastAsia="zh-CN"/>
      </w:rPr>
    </w:pPr>
    <w:r>
      <w:rPr>
        <w:rFonts w:ascii="Times New Roman" w:hAnsi="Times New Roman" w:eastAsia="微软雅黑" w:cs="Times New Roman"/>
        <w:color w:val="7F7F7F"/>
        <w:sz w:val="20"/>
        <w:szCs w:val="20"/>
        <w:lang w:eastAsia="zh-CN"/>
      </w:rPr>
      <w:t>——</w:t>
    </w:r>
    <w:r>
      <w:rPr>
        <w:rFonts w:hint="eastAsia" w:ascii="Times New Roman" w:hAnsi="Times New Roman" w:eastAsia="微软雅黑" w:cs="Times New Roman"/>
        <w:color w:val="7F7F7F"/>
        <w:sz w:val="20"/>
        <w:szCs w:val="20"/>
        <w:lang w:eastAsia="zh-CN"/>
      </w:rPr>
      <w:t>结直肠癌11基因检测报告</w:t>
    </w:r>
    <w:r>
      <w:rPr>
        <w:rFonts w:ascii="Times New Roman" w:hAnsi="Times New Roman" w:eastAsia="微软雅黑" w:cs="Times New Roman"/>
        <w:color w:val="7F7F7F"/>
        <w:sz w:val="20"/>
        <w:szCs w:val="20"/>
        <w:lang w:eastAsia="zh-CN"/>
      </w:rPr>
      <w:t>——</w:t>
    </w:r>
  </w:p>
  <w:p>
    <w:pPr>
      <w:spacing w:line="14" w:lineRule="auto"/>
      <w:jc w:val="right"/>
      <w:rPr>
        <w:sz w:val="20"/>
        <w:szCs w:val="20"/>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rFonts w:ascii="Times New Roman" w:hAnsi="Times New Roman" w:eastAsia="微软雅黑" w:cs="Times New Roman"/>
        <w:color w:val="7F7F7F"/>
        <w:sz w:val="20"/>
        <w:szCs w:val="20"/>
        <w:lang w:eastAsia="zh-CN"/>
      </w:rPr>
    </w:pPr>
  </w:p>
  <w:p>
    <w:pPr>
      <w:jc w:val="center"/>
      <w:rPr>
        <w:rFonts w:ascii="Times New Roman" w:hAnsi="Times New Roman" w:eastAsia="微软雅黑" w:cs="Times New Roman"/>
        <w:color w:val="7F7F7F"/>
        <w:sz w:val="20"/>
        <w:szCs w:val="20"/>
        <w:lang w:eastAsia="zh-CN"/>
      </w:rPr>
    </w:pPr>
  </w:p>
  <w:p>
    <w:pPr>
      <w:jc w:val="center"/>
      <w:rPr>
        <w:color w:val="7F7F7F"/>
        <w:sz w:val="20"/>
        <w:szCs w:val="20"/>
        <w:lang w:eastAsia="zh-CN"/>
      </w:rPr>
    </w:pPr>
    <w:r>
      <w:rPr>
        <w:rFonts w:ascii="Times New Roman" w:hAnsi="Times New Roman" w:eastAsia="微软雅黑" w:cs="Times New Roman"/>
        <w:color w:val="7F7F7F"/>
        <w:sz w:val="20"/>
        <w:szCs w:val="20"/>
        <w:lang w:eastAsia="zh-CN"/>
      </w:rPr>
      <w:t>——</w:t>
    </w:r>
    <w:r>
      <w:rPr>
        <w:rFonts w:hint="eastAsia" w:ascii="Times New Roman" w:hAnsi="Times New Roman" w:eastAsia="微软雅黑" w:cs="Times New Roman"/>
        <w:color w:val="7F7F7F"/>
        <w:sz w:val="20"/>
        <w:szCs w:val="20"/>
        <w:lang w:eastAsia="zh-CN"/>
      </w:rPr>
      <w:t>结直肠癌11基因检测报告</w:t>
    </w:r>
    <w:r>
      <w:rPr>
        <w:rFonts w:ascii="Times New Roman" w:hAnsi="Times New Roman" w:eastAsia="微软雅黑" w:cs="Times New Roman"/>
        <w:color w:val="7F7F7F"/>
        <w:sz w:val="20"/>
        <w:szCs w:val="20"/>
        <w:lang w:eastAsia="zh-CN"/>
      </w:rPr>
      <w:t>——</w:t>
    </w:r>
  </w:p>
  <w:p>
    <w:pPr>
      <w:spacing w:line="14" w:lineRule="auto"/>
      <w:jc w:val="right"/>
      <w:rPr>
        <w:sz w:val="20"/>
        <w:szCs w:val="20"/>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rPr>
    </w:lvl>
  </w:abstractNum>
  <w:abstractNum w:abstractNumId="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CEC1C1C"/>
    <w:multiLevelType w:val="multilevel"/>
    <w:tmpl w:val="2CEC1C1C"/>
    <w:lvl w:ilvl="0" w:tentative="0">
      <w:start w:val="1"/>
      <w:numFmt w:val="bullet"/>
      <w:pStyle w:val="22"/>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4613CBC"/>
    <w:multiLevelType w:val="multilevel"/>
    <w:tmpl w:val="34613CBC"/>
    <w:lvl w:ilvl="0" w:tentative="0">
      <w:start w:val="1"/>
      <w:numFmt w:val="bullet"/>
      <w:pStyle w:val="24"/>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5B812BEF"/>
    <w:multiLevelType w:val="multilevel"/>
    <w:tmpl w:val="5B812BEF"/>
    <w:lvl w:ilvl="0" w:tentative="0">
      <w:start w:val="1"/>
      <w:numFmt w:val="bullet"/>
      <w:pStyle w:val="21"/>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7">
    <w:nsid w:val="7E224200"/>
    <w:multiLevelType w:val="multilevel"/>
    <w:tmpl w:val="7E224200"/>
    <w:lvl w:ilvl="0" w:tentative="0">
      <w:start w:val="1"/>
      <w:numFmt w:val="bullet"/>
      <w:lvlText w:val=""/>
      <w:lvlJc w:val="left"/>
      <w:pPr>
        <w:ind w:left="420" w:hanging="420"/>
      </w:pPr>
      <w:rPr>
        <w:rFonts w:hint="default" w:ascii="Wingdings" w:hAnsi="Wingdings"/>
        <w:color w:val="00B050"/>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4"/>
  </w:num>
  <w:num w:numId="2">
    <w:abstractNumId w:val="6"/>
  </w:num>
  <w:num w:numId="3">
    <w:abstractNumId w:val="5"/>
  </w:num>
  <w:num w:numId="4">
    <w:abstractNumId w:val="2"/>
  </w:num>
  <w:num w:numId="5">
    <w:abstractNumId w:val="3"/>
  </w:num>
  <w:num w:numId="6">
    <w:abstractNumId w:val="0"/>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81920"/>
    <w:rsid w:val="000D25F3"/>
    <w:rsid w:val="00154460"/>
    <w:rsid w:val="00172A27"/>
    <w:rsid w:val="001A7C10"/>
    <w:rsid w:val="00276CD5"/>
    <w:rsid w:val="002D4647"/>
    <w:rsid w:val="002E7BF1"/>
    <w:rsid w:val="003B2548"/>
    <w:rsid w:val="003C3ECA"/>
    <w:rsid w:val="003D19B4"/>
    <w:rsid w:val="003D2994"/>
    <w:rsid w:val="003F593F"/>
    <w:rsid w:val="00505E0A"/>
    <w:rsid w:val="0052321F"/>
    <w:rsid w:val="005C5B2E"/>
    <w:rsid w:val="006A31A2"/>
    <w:rsid w:val="007C6A88"/>
    <w:rsid w:val="007E782E"/>
    <w:rsid w:val="008B2982"/>
    <w:rsid w:val="00907638"/>
    <w:rsid w:val="009F5CEE"/>
    <w:rsid w:val="00A0169B"/>
    <w:rsid w:val="00AA16E5"/>
    <w:rsid w:val="00AC5DE2"/>
    <w:rsid w:val="00AE5DB4"/>
    <w:rsid w:val="00B01B75"/>
    <w:rsid w:val="00B0681C"/>
    <w:rsid w:val="00D055CA"/>
    <w:rsid w:val="00D1745E"/>
    <w:rsid w:val="00D2107B"/>
    <w:rsid w:val="00D22BB0"/>
    <w:rsid w:val="00D40855"/>
    <w:rsid w:val="00D730DF"/>
    <w:rsid w:val="00DA2F2F"/>
    <w:rsid w:val="00E31BA8"/>
    <w:rsid w:val="00F25C1E"/>
    <w:rsid w:val="00F76328"/>
    <w:rsid w:val="00FF25A8"/>
    <w:rsid w:val="00FF4EEA"/>
    <w:rsid w:val="00FF7BB1"/>
    <w:rsid w:val="011A030A"/>
    <w:rsid w:val="011A0D8B"/>
    <w:rsid w:val="01A0337A"/>
    <w:rsid w:val="02CA5230"/>
    <w:rsid w:val="038726D8"/>
    <w:rsid w:val="03E921F1"/>
    <w:rsid w:val="04791D69"/>
    <w:rsid w:val="04871837"/>
    <w:rsid w:val="04A167FA"/>
    <w:rsid w:val="04C17114"/>
    <w:rsid w:val="05815BFE"/>
    <w:rsid w:val="05887898"/>
    <w:rsid w:val="06A61E8D"/>
    <w:rsid w:val="06E36A2C"/>
    <w:rsid w:val="06EB7F4D"/>
    <w:rsid w:val="074043CC"/>
    <w:rsid w:val="07AB34E7"/>
    <w:rsid w:val="07D36A00"/>
    <w:rsid w:val="07DB59EB"/>
    <w:rsid w:val="083F50A2"/>
    <w:rsid w:val="088D7FF0"/>
    <w:rsid w:val="09461DC7"/>
    <w:rsid w:val="09705B33"/>
    <w:rsid w:val="0A043ABA"/>
    <w:rsid w:val="0A757891"/>
    <w:rsid w:val="0ADA7F11"/>
    <w:rsid w:val="0AEC09F3"/>
    <w:rsid w:val="0C1768CC"/>
    <w:rsid w:val="0C3A0C95"/>
    <w:rsid w:val="0C3E5385"/>
    <w:rsid w:val="0C96240B"/>
    <w:rsid w:val="0D055CE8"/>
    <w:rsid w:val="0D0E2E15"/>
    <w:rsid w:val="0D9819F1"/>
    <w:rsid w:val="0E11445D"/>
    <w:rsid w:val="0E542351"/>
    <w:rsid w:val="0E632099"/>
    <w:rsid w:val="0EBF2A43"/>
    <w:rsid w:val="0EC91129"/>
    <w:rsid w:val="0ED843CC"/>
    <w:rsid w:val="0FB9297A"/>
    <w:rsid w:val="0FEF6595"/>
    <w:rsid w:val="10A519AE"/>
    <w:rsid w:val="10CB1E97"/>
    <w:rsid w:val="110D3F98"/>
    <w:rsid w:val="11351148"/>
    <w:rsid w:val="12850E64"/>
    <w:rsid w:val="12963DA1"/>
    <w:rsid w:val="12F372F0"/>
    <w:rsid w:val="132612E4"/>
    <w:rsid w:val="13897526"/>
    <w:rsid w:val="13AB527B"/>
    <w:rsid w:val="13C4037D"/>
    <w:rsid w:val="14872247"/>
    <w:rsid w:val="148972D9"/>
    <w:rsid w:val="149B7751"/>
    <w:rsid w:val="14C82A00"/>
    <w:rsid w:val="14E50274"/>
    <w:rsid w:val="150E31A1"/>
    <w:rsid w:val="15196B67"/>
    <w:rsid w:val="152E3223"/>
    <w:rsid w:val="153F7D0D"/>
    <w:rsid w:val="1579243F"/>
    <w:rsid w:val="15D73C77"/>
    <w:rsid w:val="165063E4"/>
    <w:rsid w:val="16BD5BE8"/>
    <w:rsid w:val="16E67B0D"/>
    <w:rsid w:val="16F8465A"/>
    <w:rsid w:val="179E5A16"/>
    <w:rsid w:val="17EF172D"/>
    <w:rsid w:val="184F5A03"/>
    <w:rsid w:val="188B1EE6"/>
    <w:rsid w:val="188E10A8"/>
    <w:rsid w:val="19437087"/>
    <w:rsid w:val="199369D8"/>
    <w:rsid w:val="1AA37448"/>
    <w:rsid w:val="1B28649B"/>
    <w:rsid w:val="1BA36B7F"/>
    <w:rsid w:val="1BAD3E87"/>
    <w:rsid w:val="1C7A05D0"/>
    <w:rsid w:val="1C7E7EAE"/>
    <w:rsid w:val="1C98707F"/>
    <w:rsid w:val="1CCD19AC"/>
    <w:rsid w:val="1CFB3D7D"/>
    <w:rsid w:val="1D004D16"/>
    <w:rsid w:val="1D0B7646"/>
    <w:rsid w:val="1D103BE7"/>
    <w:rsid w:val="1E005326"/>
    <w:rsid w:val="1EAB0C6A"/>
    <w:rsid w:val="1EAF2912"/>
    <w:rsid w:val="1EEB2832"/>
    <w:rsid w:val="1F2B7CAE"/>
    <w:rsid w:val="20205A20"/>
    <w:rsid w:val="20855B55"/>
    <w:rsid w:val="209432E5"/>
    <w:rsid w:val="20C205EB"/>
    <w:rsid w:val="216F18A9"/>
    <w:rsid w:val="21D55A39"/>
    <w:rsid w:val="22180203"/>
    <w:rsid w:val="2322058C"/>
    <w:rsid w:val="235C2C2A"/>
    <w:rsid w:val="23DC4798"/>
    <w:rsid w:val="23FF1819"/>
    <w:rsid w:val="244D2216"/>
    <w:rsid w:val="253036C5"/>
    <w:rsid w:val="256C4478"/>
    <w:rsid w:val="26497B6B"/>
    <w:rsid w:val="26976104"/>
    <w:rsid w:val="271A3FF4"/>
    <w:rsid w:val="271C165B"/>
    <w:rsid w:val="27870460"/>
    <w:rsid w:val="28AE321D"/>
    <w:rsid w:val="28B74238"/>
    <w:rsid w:val="28B83CA7"/>
    <w:rsid w:val="28E502F9"/>
    <w:rsid w:val="29363F06"/>
    <w:rsid w:val="296F5B95"/>
    <w:rsid w:val="29DE0525"/>
    <w:rsid w:val="29EF70C8"/>
    <w:rsid w:val="2A221D03"/>
    <w:rsid w:val="2A3716AB"/>
    <w:rsid w:val="2ADE2A02"/>
    <w:rsid w:val="2B485DBB"/>
    <w:rsid w:val="2B692B05"/>
    <w:rsid w:val="2B8C0A94"/>
    <w:rsid w:val="2BDE1876"/>
    <w:rsid w:val="2C165FD1"/>
    <w:rsid w:val="2C427C83"/>
    <w:rsid w:val="2CEC684D"/>
    <w:rsid w:val="2E0C0EE9"/>
    <w:rsid w:val="2E3D6CA4"/>
    <w:rsid w:val="2E7C3545"/>
    <w:rsid w:val="2EB35A8A"/>
    <w:rsid w:val="2F28730D"/>
    <w:rsid w:val="2F6A1D4E"/>
    <w:rsid w:val="30157D39"/>
    <w:rsid w:val="304862D7"/>
    <w:rsid w:val="30DA24F1"/>
    <w:rsid w:val="310959FE"/>
    <w:rsid w:val="3109732A"/>
    <w:rsid w:val="315E5833"/>
    <w:rsid w:val="32080EDC"/>
    <w:rsid w:val="32AB7EAB"/>
    <w:rsid w:val="32B71D27"/>
    <w:rsid w:val="32DE07F1"/>
    <w:rsid w:val="332671D4"/>
    <w:rsid w:val="33323300"/>
    <w:rsid w:val="338527AA"/>
    <w:rsid w:val="33AE0711"/>
    <w:rsid w:val="34777EA9"/>
    <w:rsid w:val="348573AD"/>
    <w:rsid w:val="357E5409"/>
    <w:rsid w:val="35945D5F"/>
    <w:rsid w:val="35B3556B"/>
    <w:rsid w:val="35F5325E"/>
    <w:rsid w:val="360630CA"/>
    <w:rsid w:val="360A76FC"/>
    <w:rsid w:val="37036E9F"/>
    <w:rsid w:val="371E73E3"/>
    <w:rsid w:val="37E81DE8"/>
    <w:rsid w:val="3848012E"/>
    <w:rsid w:val="39525C52"/>
    <w:rsid w:val="39A64D30"/>
    <w:rsid w:val="3A202424"/>
    <w:rsid w:val="3A782303"/>
    <w:rsid w:val="3AF460F5"/>
    <w:rsid w:val="3B2C6E70"/>
    <w:rsid w:val="3B721C7C"/>
    <w:rsid w:val="3BEA5380"/>
    <w:rsid w:val="3C3F24CA"/>
    <w:rsid w:val="3C5D7D9D"/>
    <w:rsid w:val="3D1C54C3"/>
    <w:rsid w:val="3D6C60E9"/>
    <w:rsid w:val="3D855C98"/>
    <w:rsid w:val="3EC949BD"/>
    <w:rsid w:val="3F1D1FAD"/>
    <w:rsid w:val="3FCB42E0"/>
    <w:rsid w:val="3FF2193A"/>
    <w:rsid w:val="405979F4"/>
    <w:rsid w:val="40895D14"/>
    <w:rsid w:val="40BA2B58"/>
    <w:rsid w:val="4101518E"/>
    <w:rsid w:val="41C73588"/>
    <w:rsid w:val="41EC43CC"/>
    <w:rsid w:val="41F0259D"/>
    <w:rsid w:val="41FF695D"/>
    <w:rsid w:val="42D665BD"/>
    <w:rsid w:val="43821027"/>
    <w:rsid w:val="452112A4"/>
    <w:rsid w:val="454A2BAB"/>
    <w:rsid w:val="4558573E"/>
    <w:rsid w:val="459308E1"/>
    <w:rsid w:val="45A93012"/>
    <w:rsid w:val="45D4644E"/>
    <w:rsid w:val="46550A34"/>
    <w:rsid w:val="46B72EB2"/>
    <w:rsid w:val="48861FD3"/>
    <w:rsid w:val="48F33103"/>
    <w:rsid w:val="499E6F1D"/>
    <w:rsid w:val="49C56F37"/>
    <w:rsid w:val="4A1A1AFC"/>
    <w:rsid w:val="4A1C7F69"/>
    <w:rsid w:val="4A4A7BE5"/>
    <w:rsid w:val="4A693618"/>
    <w:rsid w:val="4A83553B"/>
    <w:rsid w:val="4B315A79"/>
    <w:rsid w:val="4BC14EAA"/>
    <w:rsid w:val="4C050246"/>
    <w:rsid w:val="4C0F23A4"/>
    <w:rsid w:val="4C120763"/>
    <w:rsid w:val="4C6263AC"/>
    <w:rsid w:val="4D6A309D"/>
    <w:rsid w:val="4D9E31C3"/>
    <w:rsid w:val="4DB6655A"/>
    <w:rsid w:val="4DC108F4"/>
    <w:rsid w:val="4E0176F5"/>
    <w:rsid w:val="4E414BB2"/>
    <w:rsid w:val="4ED24E8A"/>
    <w:rsid w:val="4ED75229"/>
    <w:rsid w:val="4F2C4F1E"/>
    <w:rsid w:val="4F5624CB"/>
    <w:rsid w:val="4F8A3F4D"/>
    <w:rsid w:val="4FB467F9"/>
    <w:rsid w:val="4FC7381B"/>
    <w:rsid w:val="4FD02F65"/>
    <w:rsid w:val="510D07DF"/>
    <w:rsid w:val="519B28E7"/>
    <w:rsid w:val="52832C8D"/>
    <w:rsid w:val="52DB3A4A"/>
    <w:rsid w:val="52E57CC3"/>
    <w:rsid w:val="5312550A"/>
    <w:rsid w:val="53DE69BF"/>
    <w:rsid w:val="541A0F48"/>
    <w:rsid w:val="541E45C6"/>
    <w:rsid w:val="54D723E8"/>
    <w:rsid w:val="550721D5"/>
    <w:rsid w:val="55A47060"/>
    <w:rsid w:val="55AC636A"/>
    <w:rsid w:val="55C15CC7"/>
    <w:rsid w:val="563648E8"/>
    <w:rsid w:val="56A650A5"/>
    <w:rsid w:val="56AA7276"/>
    <w:rsid w:val="56B967C0"/>
    <w:rsid w:val="56BE67A9"/>
    <w:rsid w:val="56EE7782"/>
    <w:rsid w:val="576B0D91"/>
    <w:rsid w:val="57830686"/>
    <w:rsid w:val="57C96345"/>
    <w:rsid w:val="57D92384"/>
    <w:rsid w:val="58020827"/>
    <w:rsid w:val="581808D2"/>
    <w:rsid w:val="58941028"/>
    <w:rsid w:val="58A44110"/>
    <w:rsid w:val="58DE21CC"/>
    <w:rsid w:val="5927169E"/>
    <w:rsid w:val="5B2616E5"/>
    <w:rsid w:val="5B3A4C3E"/>
    <w:rsid w:val="5B884B96"/>
    <w:rsid w:val="5BCF6CF2"/>
    <w:rsid w:val="5D090FC9"/>
    <w:rsid w:val="5FA2526B"/>
    <w:rsid w:val="5FAA3C47"/>
    <w:rsid w:val="5FF61953"/>
    <w:rsid w:val="600E54F4"/>
    <w:rsid w:val="607B75C7"/>
    <w:rsid w:val="60A827A3"/>
    <w:rsid w:val="60D51A59"/>
    <w:rsid w:val="60E82224"/>
    <w:rsid w:val="60F575C1"/>
    <w:rsid w:val="61147D5F"/>
    <w:rsid w:val="61B17DFE"/>
    <w:rsid w:val="62847EA7"/>
    <w:rsid w:val="62DB637F"/>
    <w:rsid w:val="62FA10BA"/>
    <w:rsid w:val="62FD5017"/>
    <w:rsid w:val="63296CF6"/>
    <w:rsid w:val="63503944"/>
    <w:rsid w:val="63532130"/>
    <w:rsid w:val="63D615FE"/>
    <w:rsid w:val="640B7333"/>
    <w:rsid w:val="6469117D"/>
    <w:rsid w:val="64871562"/>
    <w:rsid w:val="648D2C67"/>
    <w:rsid w:val="64EA7FB1"/>
    <w:rsid w:val="64EC6C5A"/>
    <w:rsid w:val="653D7AF3"/>
    <w:rsid w:val="65B119A5"/>
    <w:rsid w:val="65F916BF"/>
    <w:rsid w:val="6622535F"/>
    <w:rsid w:val="66565CBE"/>
    <w:rsid w:val="670E76D1"/>
    <w:rsid w:val="67574E33"/>
    <w:rsid w:val="67D77C44"/>
    <w:rsid w:val="68645048"/>
    <w:rsid w:val="690459DC"/>
    <w:rsid w:val="690B7AFD"/>
    <w:rsid w:val="69543567"/>
    <w:rsid w:val="6A6D318E"/>
    <w:rsid w:val="6A90444F"/>
    <w:rsid w:val="6A930078"/>
    <w:rsid w:val="6AFC4C50"/>
    <w:rsid w:val="6AFF6DD9"/>
    <w:rsid w:val="6B2031BA"/>
    <w:rsid w:val="6B6721F6"/>
    <w:rsid w:val="6B713444"/>
    <w:rsid w:val="6B7A60D6"/>
    <w:rsid w:val="6B7E04EE"/>
    <w:rsid w:val="6B9F6D44"/>
    <w:rsid w:val="6BEB29E6"/>
    <w:rsid w:val="6C203A9A"/>
    <w:rsid w:val="6C385BB0"/>
    <w:rsid w:val="6CA6506C"/>
    <w:rsid w:val="6CB75CCD"/>
    <w:rsid w:val="6D0C342B"/>
    <w:rsid w:val="6D2D26D4"/>
    <w:rsid w:val="6D425E8D"/>
    <w:rsid w:val="6D6F7597"/>
    <w:rsid w:val="6E843187"/>
    <w:rsid w:val="6E9303C1"/>
    <w:rsid w:val="6ECF03D4"/>
    <w:rsid w:val="6EEA4B30"/>
    <w:rsid w:val="6EEB1850"/>
    <w:rsid w:val="6FC02C16"/>
    <w:rsid w:val="6FC93299"/>
    <w:rsid w:val="6FF6475E"/>
    <w:rsid w:val="70184EA3"/>
    <w:rsid w:val="702050A0"/>
    <w:rsid w:val="70CB53E1"/>
    <w:rsid w:val="70E45041"/>
    <w:rsid w:val="714E12CF"/>
    <w:rsid w:val="7209016D"/>
    <w:rsid w:val="7259341C"/>
    <w:rsid w:val="728B00C1"/>
    <w:rsid w:val="734521A8"/>
    <w:rsid w:val="73707E67"/>
    <w:rsid w:val="73776F50"/>
    <w:rsid w:val="741F0C23"/>
    <w:rsid w:val="743439CA"/>
    <w:rsid w:val="748F3308"/>
    <w:rsid w:val="74BC7F66"/>
    <w:rsid w:val="74DD127A"/>
    <w:rsid w:val="75686B98"/>
    <w:rsid w:val="7677072C"/>
    <w:rsid w:val="76A00464"/>
    <w:rsid w:val="76A021B3"/>
    <w:rsid w:val="76B664D7"/>
    <w:rsid w:val="76E33575"/>
    <w:rsid w:val="76EB2B73"/>
    <w:rsid w:val="770B0914"/>
    <w:rsid w:val="77A33591"/>
    <w:rsid w:val="77D16924"/>
    <w:rsid w:val="78223B08"/>
    <w:rsid w:val="782C2784"/>
    <w:rsid w:val="78326601"/>
    <w:rsid w:val="797F7147"/>
    <w:rsid w:val="79BE2A91"/>
    <w:rsid w:val="7A992CC0"/>
    <w:rsid w:val="7B3A50B0"/>
    <w:rsid w:val="7B8B2C1D"/>
    <w:rsid w:val="7BCA3B47"/>
    <w:rsid w:val="7BD020E4"/>
    <w:rsid w:val="7C01614C"/>
    <w:rsid w:val="7D793C28"/>
    <w:rsid w:val="7D8C0F6F"/>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qFormat/>
    <w:uiPriority w:val="1"/>
    <w:pPr>
      <w:outlineLvl w:val="2"/>
    </w:pPr>
    <w:rPr>
      <w:rFonts w:eastAsia="黑体"/>
      <w:b/>
      <w:sz w:val="28"/>
      <w:szCs w:val="30"/>
    </w:rPr>
  </w:style>
  <w:style w:type="character" w:default="1" w:styleId="15">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qFormat/>
    <w:uiPriority w:val="1"/>
    <w:rPr>
      <w:sz w:val="18"/>
      <w:szCs w:val="18"/>
    </w:rPr>
  </w:style>
  <w:style w:type="paragraph" w:styleId="7">
    <w:name w:val="toc 3"/>
    <w:basedOn w:val="1"/>
    <w:next w:val="1"/>
    <w:qFormat/>
    <w:uiPriority w:val="0"/>
    <w:pPr>
      <w:ind w:left="840" w:leftChars="400"/>
    </w:pPr>
  </w:style>
  <w:style w:type="paragraph" w:styleId="8">
    <w:name w:val="footer"/>
    <w:basedOn w:val="1"/>
    <w:unhideWhenUsed/>
    <w:qFormat/>
    <w:uiPriority w:val="99"/>
    <w:pPr>
      <w:tabs>
        <w:tab w:val="center" w:pos="4153"/>
        <w:tab w:val="right" w:pos="8306"/>
      </w:tabs>
      <w:snapToGrid w:val="0"/>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paragraph" w:styleId="12">
    <w:name w:val="Normal (Web)"/>
    <w:basedOn w:val="1"/>
    <w:qFormat/>
    <w:uiPriority w:val="0"/>
    <w:rPr>
      <w:sz w:val="24"/>
    </w:rPr>
  </w:style>
  <w:style w:type="table" w:styleId="14">
    <w:name w:val="Table Grid"/>
    <w:basedOn w:val="1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qFormat/>
    <w:uiPriority w:val="0"/>
    <w:rPr>
      <w:sz w:val="21"/>
      <w:szCs w:val="21"/>
    </w:rPr>
  </w:style>
  <w:style w:type="paragraph" w:customStyle="1" w:styleId="18">
    <w:name w:val="Table Paragraph"/>
    <w:basedOn w:val="1"/>
    <w:qFormat/>
    <w:uiPriority w:val="1"/>
  </w:style>
  <w:style w:type="table" w:customStyle="1" w:styleId="19">
    <w:name w:val="Table Normal1"/>
    <w:unhideWhenUsed/>
    <w:qFormat/>
    <w:uiPriority w:val="2"/>
    <w:tblPr>
      <w:tblCellMar>
        <w:top w:w="0" w:type="dxa"/>
        <w:left w:w="0" w:type="dxa"/>
        <w:bottom w:w="0" w:type="dxa"/>
        <w:right w:w="0" w:type="dxa"/>
      </w:tblCellMar>
    </w:tblPr>
  </w:style>
  <w:style w:type="paragraph" w:customStyle="1" w:styleId="20">
    <w:name w:val="List Paragraph1"/>
    <w:basedOn w:val="1"/>
    <w:qFormat/>
    <w:uiPriority w:val="34"/>
    <w:rPr>
      <w:rFonts w:asciiTheme="minorHAnsi" w:hAnsiTheme="minorHAnsi" w:eastAsiaTheme="minorEastAsia" w:cstheme="minorBidi"/>
    </w:rPr>
  </w:style>
  <w:style w:type="paragraph" w:customStyle="1" w:styleId="21">
    <w:name w:val="标题1-1"/>
    <w:basedOn w:val="2"/>
    <w:next w:val="1"/>
    <w:qFormat/>
    <w:uiPriority w:val="1"/>
    <w:pPr>
      <w:numPr>
        <w:numId w:val="3"/>
      </w:numPr>
    </w:pPr>
    <w:rPr>
      <w:rFonts w:cs="Times New Roman"/>
      <w:bCs w:val="0"/>
      <w:color w:val="45A3A7"/>
    </w:rPr>
  </w:style>
  <w:style w:type="paragraph" w:customStyle="1" w:styleId="22">
    <w:name w:val="标题2-1"/>
    <w:basedOn w:val="3"/>
    <w:next w:val="1"/>
    <w:qFormat/>
    <w:uiPriority w:val="1"/>
    <w:pPr>
      <w:numPr>
        <w:numId w:val="4"/>
      </w:numPr>
      <w:spacing w:line="276" w:lineRule="auto"/>
    </w:pPr>
    <w:rPr>
      <w:rFonts w:cs="Times New Roman"/>
      <w:color w:val="45A3A7"/>
      <w:szCs w:val="24"/>
      <w:lang w:eastAsia="zh-CN"/>
    </w:rPr>
  </w:style>
  <w:style w:type="paragraph" w:customStyle="1" w:styleId="23">
    <w:name w:val="样式1"/>
    <w:basedOn w:val="6"/>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4">
    <w:name w:val="标题1-3"/>
    <w:basedOn w:val="2"/>
    <w:next w:val="1"/>
    <w:qFormat/>
    <w:uiPriority w:val="1"/>
    <w:pPr>
      <w:numPr>
        <w:numId w:val="5"/>
      </w:numPr>
    </w:pPr>
    <w:rPr>
      <w:rFonts w:cs="Times New Roman"/>
      <w:color w:val="416AAB"/>
      <w:szCs w:val="32"/>
    </w:rPr>
  </w:style>
  <w:style w:type="paragraph" w:customStyle="1" w:styleId="25">
    <w:name w:val="标题2-3"/>
    <w:basedOn w:val="3"/>
    <w:next w:val="1"/>
    <w:qFormat/>
    <w:uiPriority w:val="1"/>
    <w:pPr>
      <w:numPr>
        <w:numId w:val="0"/>
      </w:numPr>
      <w:spacing w:before="12" w:line="380" w:lineRule="exact"/>
      <w:jc w:val="left"/>
    </w:pPr>
    <w:rPr>
      <w:rFonts w:cs="Times New Roman"/>
      <w:color w:val="416AAB"/>
      <w:szCs w:val="24"/>
      <w:lang w:eastAsia="zh-CN"/>
    </w:rPr>
  </w:style>
  <w:style w:type="paragraph" w:customStyle="1" w:styleId="26">
    <w:name w:val="WPSOffice手动目录 1"/>
    <w:qFormat/>
    <w:uiPriority w:val="0"/>
    <w:rPr>
      <w:rFonts w:asciiTheme="minorHAnsi" w:hAnsiTheme="minorHAnsi" w:eastAsiaTheme="minorHAnsi" w:cstheme="minorBidi"/>
      <w:lang w:val="en-US" w:eastAsia="zh-CN" w:bidi="ar-SA"/>
    </w:rPr>
  </w:style>
  <w:style w:type="paragraph" w:customStyle="1" w:styleId="27">
    <w:name w:val="WPSOffice手动目录 2"/>
    <w:qFormat/>
    <w:uiPriority w:val="0"/>
    <w:pPr>
      <w:ind w:left="200" w:leftChars="200"/>
    </w:pPr>
    <w:rPr>
      <w:rFonts w:asciiTheme="minorHAnsi" w:hAnsiTheme="minorHAnsi" w:eastAsiaTheme="minorHAnsi" w:cstheme="minorBidi"/>
      <w:lang w:val="en-US" w:eastAsia="zh-CN" w:bidi="ar-SA"/>
    </w:rPr>
  </w:style>
  <w:style w:type="paragraph" w:customStyle="1" w:styleId="28">
    <w:name w:val="列出段落1"/>
    <w:basedOn w:val="1"/>
    <w:unhideWhenUsed/>
    <w:qFormat/>
    <w:uiPriority w:val="34"/>
    <w:pPr>
      <w:spacing w:before="42"/>
      <w:ind w:left="1699" w:hanging="380"/>
    </w:pPr>
    <w:rPr>
      <w:sz w:val="24"/>
    </w:rPr>
  </w:style>
  <w:style w:type="paragraph" w:styleId="29">
    <w:name w:val="List Paragraph"/>
    <w:basedOn w:val="1"/>
    <w:qFormat/>
    <w:uiPriority w:val="99"/>
    <w:pPr>
      <w:ind w:firstLine="420" w:firstLineChars="200"/>
    </w:pPr>
  </w:style>
  <w:style w:type="table" w:customStyle="1" w:styleId="30">
    <w:name w:val="ffzstable0"/>
    <w:basedOn w:val="14"/>
    <w:qFormat/>
    <w:uiPriority w:val="0"/>
    <w:pPr>
      <w:jc w:val="center"/>
    </w:pPr>
    <w:tcPr>
      <w:vAlign w:val="center"/>
    </w:tcPr>
  </w:style>
  <w:style w:type="table" w:customStyle="1" w:styleId="31">
    <w:name w:val="ffzstable1"/>
    <w:basedOn w:val="14"/>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2">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3">
    <w:name w:val="正文1"/>
    <w:qFormat/>
    <w:uiPriority w:val="0"/>
    <w:rPr>
      <w:rFonts w:ascii="Times New Roman" w:hAnsi="Times New Roman" w:eastAsia="宋体" w:cs="Times New Roman"/>
      <w:sz w:val="24"/>
      <w:szCs w:val="24"/>
      <w:lang w:val="en-US" w:eastAsia="zh-CN" w:bidi="ar-SA"/>
    </w:rPr>
  </w:style>
  <w:style w:type="table" w:customStyle="1" w:styleId="34">
    <w:name w:val="Table Normal"/>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emf"/><Relationship Id="rId11" Type="http://schemas.openxmlformats.org/officeDocument/2006/relationships/image" Target="media/image4.emf"/><Relationship Id="rId10" Type="http://schemas.openxmlformats.org/officeDocument/2006/relationships/image" Target="media/image3.emf"/><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14287</Words>
  <Characters>81440</Characters>
  <Lines>678</Lines>
  <Paragraphs>191</Paragraphs>
  <TotalTime>2</TotalTime>
  <ScaleCrop>false</ScaleCrop>
  <LinksUpToDate>false</LinksUpToDate>
  <CharactersWithSpaces>95536</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將離</cp:lastModifiedBy>
  <dcterms:modified xsi:type="dcterms:W3CDTF">2021-08-04T03:59:44Z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ICV">
    <vt:lpwstr>6C663FD30CA04A9DA4FA575E44CF25A5</vt:lpwstr>
  </property>
</Properties>
</file>