
<file path=[Content_Types].xml><?xml version="1.0" encoding="utf-8"?>
<Types xmlns="http://schemas.openxmlformats.org/package/2006/content-types">
  <Default Extension="xml" ContentType="application/xml"/>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highlight w:val="none"/>
          <w:lang w:eastAsia="zh-CN"/>
        </w:rPr>
      </w:pPr>
    </w:p>
    <w:p>
      <w:pPr>
        <w:jc w:val="cente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highlight w:val="none"/>
        </w:rPr>
      </w:pPr>
      <w:bookmarkStart w:id="0" w:name="_Toc9856"/>
    </w:p>
    <w:p>
      <w:pPr>
        <w:pStyle w:val="4"/>
        <w:jc w:val="center"/>
        <w:rPr>
          <w:sz w:val="48"/>
          <w:szCs w:val="48"/>
          <w:highlight w:val="none"/>
          <w:lang w:eastAsia="zh-CN"/>
        </w:rPr>
      </w:pPr>
      <w:bookmarkStart w:id="1" w:name="_Toc27538"/>
      <w:r>
        <w:rPr>
          <w:rFonts w:hint="eastAsia"/>
          <w:sz w:val="48"/>
          <w:szCs w:val="48"/>
          <w:highlight w:val="none"/>
          <w:lang w:eastAsia="zh-CN"/>
        </w:rPr>
        <w:t>肺癌</w:t>
      </w:r>
      <w:r>
        <w:rPr>
          <w:rFonts w:hint="eastAsia"/>
          <w:sz w:val="48"/>
          <w:szCs w:val="48"/>
          <w:highlight w:val="none"/>
          <w:lang w:val="en-US" w:eastAsia="zh-CN"/>
        </w:rPr>
        <w:t>11</w:t>
      </w:r>
      <w:r>
        <w:rPr>
          <w:rFonts w:hint="eastAsia"/>
          <w:sz w:val="48"/>
          <w:szCs w:val="48"/>
          <w:highlight w:val="none"/>
          <w:lang w:eastAsia="zh-CN"/>
        </w:rPr>
        <w:t>基因检测报告</w:t>
      </w:r>
      <w:bookmarkEnd w:id="0"/>
      <w:bookmarkEnd w:id="1"/>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70528;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3600"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3600;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p>
      <w:pPr>
        <w:rPr>
          <w:highlight w:val="none"/>
          <w:lang w:eastAsia="zh-CN"/>
        </w:rPr>
      </w:pPr>
    </w:p>
    <w:sdt>
      <w:sdtPr>
        <w:rPr>
          <w:rFonts w:ascii="宋体" w:hAnsi="宋体" w:eastAsia="宋体" w:cs="宋体"/>
          <w:sz w:val="21"/>
          <w:szCs w:val="22"/>
          <w:highlight w:val="none"/>
          <w:lang w:val="en-US" w:eastAsia="en-US" w:bidi="ar-SA"/>
        </w:rPr>
        <w:id w:val="147466580"/>
        <w15:color w:val="DBDBDB"/>
        <w:docPartObj>
          <w:docPartGallery w:val="Table of Contents"/>
          <w:docPartUnique/>
        </w:docPartObj>
      </w:sdtPr>
      <w:sdtEndPr>
        <w:rPr>
          <w:rFonts w:ascii="Times New Roman" w:hAnsi="Times New Roman" w:eastAsia="微软雅黑" w:cs="Times New Roman"/>
          <w:b/>
          <w:sz w:val="22"/>
          <w:szCs w:val="24"/>
          <w:highlight w:val="none"/>
          <w:lang w:val="en-US" w:eastAsia="zh-CN" w:bidi="ar-SA"/>
        </w:rPr>
      </w:sdtEndPr>
      <w:sdtContent>
        <w:p>
          <w:pPr>
            <w:spacing w:before="0" w:beforeLines="0" w:after="0" w:afterLines="0" w:line="240" w:lineRule="auto"/>
            <w:ind w:left="0" w:leftChars="0" w:right="0" w:rightChars="0" w:firstLine="0" w:firstLineChars="0"/>
            <w:jc w:val="center"/>
            <w:rPr>
              <w:highlight w:val="none"/>
            </w:rPr>
          </w:pP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Fonts w:ascii="Times New Roman" w:hAnsi="Times New Roman" w:eastAsia="微软雅黑" w:cs="Times New Roman"/>
              <w:sz w:val="24"/>
              <w:szCs w:val="24"/>
              <w:highlight w:val="none"/>
              <w:lang w:eastAsia="zh-CN"/>
            </w:rPr>
            <w:fldChar w:fldCharType="begin"/>
          </w:r>
          <w:r>
            <w:rPr>
              <w:rFonts w:ascii="Times New Roman" w:hAnsi="Times New Roman" w:eastAsia="微软雅黑" w:cs="Times New Roman"/>
              <w:sz w:val="24"/>
              <w:szCs w:val="24"/>
              <w:highlight w:val="none"/>
              <w:lang w:eastAsia="zh-CN"/>
            </w:rPr>
            <w:instrText xml:space="preserve">TOC \o "1-2" \h \u </w:instrText>
          </w:r>
          <w:r>
            <w:rPr>
              <w:rFonts w:ascii="Times New Roman" w:hAnsi="Times New Roman" w:eastAsia="微软雅黑" w:cs="Times New Roman"/>
              <w:sz w:val="24"/>
              <w:szCs w:val="24"/>
              <w:highlight w:val="none"/>
              <w:lang w:eastAsia="zh-CN"/>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_Toc19824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样本信息</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_Toc19824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_Toc6314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检测项目</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_Toc6314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_Toc6314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基因列表</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_Toc6314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_Toc29486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检测结果小结</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_Toc29486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highlight w:val="none"/>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_Toc21759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检测结果及用药提示</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_Toc21759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_Toc10658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靶向药物用药提示</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_Toc10658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3</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HYPERLINK \l _Toc4836 </w:instrTex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基因检测结果解析</w: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PAGEREF _Toc4836 \h </w:instrTex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6</w: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_Toc24907 </w:instrText>
          </w:r>
          <w:r>
            <w:rPr>
              <w:rFonts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en-US" w:bidi="ar-SA"/>
            </w:rPr>
            <w:t>靶向药物检测解析</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_Toc24907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6</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HYPERLINK \l _Toc22658 </w:instrTex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附录</w: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PAGEREF _Toc22658 \h </w:instrTex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9</w: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_Toc2246 </w:instrText>
          </w:r>
          <w:r>
            <w:rPr>
              <w:rFonts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en-US" w:bidi="ar-SA"/>
            </w:rPr>
            <w:t>样本控制情况</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_Toc2246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9</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_Toc16050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常见靶向药物相关基因检测列表</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_Toc16050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10</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_Toc12702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检测流程</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_Toc12702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14</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_Toc18954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参考文献</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_Toc18954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15</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spacing w:line="360" w:lineRule="auto"/>
            <w:rPr>
              <w:rFonts w:ascii="Times New Roman" w:hAnsi="Times New Roman" w:eastAsia="微软雅黑" w:cs="Times New Roman"/>
              <w:sz w:val="24"/>
              <w:szCs w:val="24"/>
              <w:highlight w:val="none"/>
              <w:lang w:eastAsia="zh-CN"/>
            </w:rPr>
          </w:pPr>
          <w:r>
            <w:rPr>
              <w:rFonts w:ascii="Times New Roman" w:hAnsi="Times New Roman" w:eastAsia="微软雅黑" w:cs="Times New Roman"/>
              <w:b/>
              <w:szCs w:val="24"/>
              <w:highlight w:val="none"/>
              <w:lang w:eastAsia="zh-CN"/>
            </w:rPr>
            <w:fldChar w:fldCharType="end"/>
          </w:r>
        </w:p>
      </w:sdtContent>
    </w:sdt>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
        <w:rPr>
          <w:highlight w:val="none"/>
        </w:rPr>
      </w:pPr>
      <w:bookmarkStart w:id="2" w:name="_Toc24178_WPSOffice_Level1"/>
      <w:bookmarkStart w:id="3" w:name="_Toc27500"/>
      <w:bookmarkStart w:id="4" w:name="_Toc21009_WPSOffice_Level1"/>
      <w:bookmarkStart w:id="5" w:name="_Toc13806"/>
      <w:bookmarkStart w:id="6" w:name="_Toc24397"/>
      <w:bookmarkStart w:id="7" w:name="_Toc19824"/>
      <w:bookmarkStart w:id="8" w:name="_Toc21669"/>
      <w:bookmarkStart w:id="9" w:name="_Toc30143_WPSOffice_Level1"/>
      <w:bookmarkStart w:id="10" w:name="_Toc32054"/>
      <w:r>
        <w:rPr>
          <w:highlight w:val="none"/>
        </w:rPr>
        <w:t>样本信息</w:t>
      </w:r>
      <w:bookmarkEnd w:id="2"/>
      <w:bookmarkEnd w:id="3"/>
      <w:bookmarkEnd w:id="4"/>
      <w:bookmarkEnd w:id="5"/>
      <w:bookmarkEnd w:id="6"/>
      <w:bookmarkEnd w:id="7"/>
      <w:bookmarkEnd w:id="8"/>
      <w:bookmarkEnd w:id="9"/>
      <w:bookmarkEnd w:id="10"/>
    </w:p>
    <w:p>
      <w:pPr>
        <w:pStyle w:val="6"/>
        <w:rPr>
          <w:rFonts w:ascii="Times New Roman" w:hAnsi="Times New Roman" w:eastAsia="微软雅黑" w:cs="Times New Roman"/>
          <w:b/>
          <w:sz w:val="20"/>
          <w:highlight w:val="none"/>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1" w:name="_Toc19594"/>
      <w:bookmarkStart w:id="12" w:name="_Toc11465"/>
      <w:bookmarkStart w:id="13" w:name="_Toc11015_WPSOffice_Level1"/>
      <w:bookmarkStart w:id="14" w:name="_Toc7021_WPSOffice_Level1"/>
      <w:bookmarkStart w:id="15" w:name="_Toc17451"/>
      <w:bookmarkStart w:id="16" w:name="_Toc10518"/>
      <w:bookmarkStart w:id="17" w:name="_Toc6314"/>
      <w:bookmarkStart w:id="18" w:name="_Toc18062_WPSOffice_Level1"/>
      <w:bookmarkStart w:id="19" w:name="_Toc3823"/>
      <w:r>
        <w:rPr>
          <w:highlight w:val="none"/>
        </w:rPr>
        <w:t>检测项目</w:t>
      </w:r>
      <w:bookmarkEnd w:id="11"/>
      <w:bookmarkEnd w:id="12"/>
      <w:bookmarkEnd w:id="13"/>
      <w:bookmarkEnd w:id="14"/>
      <w:bookmarkEnd w:id="15"/>
      <w:bookmarkEnd w:id="16"/>
      <w:bookmarkEnd w:id="17"/>
      <w:bookmarkEnd w:id="18"/>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r>
        <w:rPr>
          <w:rFonts w:ascii="Times New Roman" w:hAnsi="Times New Roman" w:eastAsia="微软雅黑" w:cs="Times New Roman"/>
          <w:bCs/>
          <w:color w:val="auto"/>
          <w:sz w:val="21"/>
          <w:szCs w:val="21"/>
          <w:highlight w:val="none"/>
          <w:lang w:eastAsia="zh-CN"/>
        </w:rPr>
        <w:t>本产品对与肿瘤密切相关的</w:t>
      </w:r>
      <w:r>
        <w:rPr>
          <w:rFonts w:hint="eastAsia" w:ascii="Times New Roman" w:hAnsi="Times New Roman" w:eastAsia="微软雅黑" w:cs="Times New Roman"/>
          <w:bCs/>
          <w:color w:val="auto"/>
          <w:sz w:val="21"/>
          <w:szCs w:val="21"/>
          <w:highlight w:val="none"/>
          <w:lang w:val="en-US" w:eastAsia="zh-CN"/>
        </w:rPr>
        <w:t>11</w:t>
      </w:r>
      <w:r>
        <w:rPr>
          <w:rFonts w:ascii="Times New Roman" w:hAnsi="Times New Roman" w:eastAsia="微软雅黑" w:cs="Times New Roman"/>
          <w:bCs/>
          <w:color w:val="auto"/>
          <w:sz w:val="21"/>
          <w:szCs w:val="21"/>
          <w:highlight w:val="none"/>
          <w:lang w:eastAsia="zh-CN"/>
        </w:rPr>
        <w:t>个基因进行高通量测序。</w:t>
      </w:r>
      <w:r>
        <w:rPr>
          <w:rFonts w:hint="eastAsia" w:ascii="Times New Roman" w:hAnsi="Times New Roman" w:eastAsia="微软雅黑" w:cs="Times New Roman"/>
          <w:bCs/>
          <w:color w:val="auto"/>
          <w:sz w:val="21"/>
          <w:szCs w:val="21"/>
          <w:highlight w:val="none"/>
          <w:lang w:eastAsia="zh-CN"/>
        </w:rPr>
        <w:t>检测突变形式为点突变（SNV）、小片段插入缺失（INDEL）以及融合（FUSION）</w:t>
      </w:r>
      <w:r>
        <w:rPr>
          <w:rFonts w:ascii="Times New Roman" w:hAnsi="Times New Roman" w:eastAsia="微软雅黑" w:cs="Times New Roman"/>
          <w:bCs/>
          <w:color w:val="auto"/>
          <w:sz w:val="21"/>
          <w:szCs w:val="21"/>
          <w:highlight w:val="none"/>
          <w:lang w:eastAsia="zh-CN"/>
        </w:rPr>
        <w:t>。</w:t>
      </w:r>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r>
        <w:rPr>
          <w:rFonts w:ascii="Times New Roman" w:hAnsi="Times New Roman" w:eastAsia="微软雅黑" w:cs="Times New Roman"/>
          <w:bCs/>
          <w:color w:val="auto"/>
          <w:sz w:val="21"/>
          <w:szCs w:val="21"/>
          <w:highlight w:val="none"/>
          <w:lang w:eastAsia="zh-CN"/>
        </w:rPr>
        <w:t>本报告分析基因变异与靶向药物，给出靶向药物（FDA/NMPA批准药物、临床试验药物等）的用药提示信息，从而为临床制定治疗方案提供参考信息。</w:t>
      </w:r>
      <w:bookmarkStart w:id="20" w:name="_Toc534807930"/>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p>
    <w:p>
      <w:pPr>
        <w:rPr>
          <w:rFonts w:ascii="Times New Roman" w:hAnsi="Times New Roman" w:eastAsia="微软雅黑" w:cs="Times New Roman"/>
          <w:bCs/>
          <w:color w:val="auto"/>
          <w:sz w:val="21"/>
          <w:szCs w:val="21"/>
          <w:highlight w:val="none"/>
          <w:lang w:eastAsia="zh-CN"/>
        </w:rPr>
      </w:pPr>
    </w:p>
    <w:p>
      <w:pPr>
        <w:pStyle w:val="2"/>
        <w:rPr>
          <w:rFonts w:ascii="Times New Roman" w:hAnsi="Times New Roman" w:eastAsia="微软雅黑" w:cs="Times New Roman"/>
          <w:bCs/>
          <w:sz w:val="21"/>
          <w:szCs w:val="21"/>
          <w:lang w:eastAsia="zh-CN"/>
        </w:rPr>
      </w:pPr>
      <w:r>
        <w:t>检测</w:t>
      </w:r>
      <w:r>
        <w:rPr>
          <w:rFonts w:hint="eastAsia"/>
          <w:lang w:val="en-US" w:eastAsia="zh-CN"/>
        </w:rPr>
        <w:t>基因列表</w:t>
      </w:r>
    </w:p>
    <w:p>
      <w:pPr>
        <w:spacing w:line="276" w:lineRule="auto"/>
        <w:jc w:val="both"/>
        <w:rPr>
          <w:rFonts w:ascii="Times New Roman" w:hAnsi="Times New Roman" w:eastAsia="微软雅黑" w:cs="Times New Roman"/>
          <w:bCs/>
          <w:sz w:val="21"/>
          <w:szCs w:val="21"/>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widowControl/>
              <w:jc w:val="both"/>
              <w:rPr>
                <w:rFonts w:hint="eastAsia" w:ascii="Times New Roman" w:hAnsi="Times New Roman" w:eastAsia="微软雅黑" w:cs="Times New Roman"/>
                <w:i/>
                <w:sz w:val="21"/>
                <w:szCs w:val="21"/>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ALK,BRAF,EGFR,ERBB2,KRAS,MET,NTRK1,NTRK2,NTRK3,RET,ROS1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w:t>
            </w:r>
            <w:r>
              <w:rPr>
                <w:rFonts w:hint="eastAsia" w:ascii="Times New Roman" w:hAnsi="Times New Roman" w:eastAsia="微软雅黑" w:cs="Times New Roman"/>
                <w:sz w:val="18"/>
                <w:szCs w:val="18"/>
                <w:highlight w:val="none"/>
                <w:lang w:val="en-US" w:eastAsia="zh-CN"/>
              </w:rPr>
              <w:t>6</w:t>
            </w:r>
            <w:r>
              <w:rPr>
                <w:rFonts w:hint="eastAsia" w:ascii="Times New Roman" w:hAnsi="Times New Roman" w:eastAsia="微软雅黑" w:cs="Times New Roman"/>
                <w:sz w:val="18"/>
                <w:szCs w:val="18"/>
                <w:highlight w:val="none"/>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spacing w:line="276" w:lineRule="auto"/>
              <w:jc w:val="both"/>
              <w:rPr>
                <w:rFonts w:ascii="Times New Roman" w:hAnsi="Times New Roman" w:eastAsia="微软雅黑" w:cs="Times New Roman"/>
                <w:bCs/>
                <w:sz w:val="21"/>
                <w:szCs w:val="21"/>
                <w:vertAlign w:val="baseline"/>
                <w:lang w:eastAsia="zh-CN"/>
              </w:rPr>
            </w:pPr>
            <w:r>
              <w:rPr>
                <w:rFonts w:hint="eastAsia" w:ascii="Times New Roman" w:hAnsi="Times New Roman" w:eastAsia="微软雅黑" w:cs="Times New Roman"/>
                <w:sz w:val="18"/>
                <w:szCs w:val="18"/>
                <w:highlight w:val="none"/>
                <w:lang w:eastAsia="zh-CN"/>
              </w:rPr>
              <w:t>{%tr endfor%}</w:t>
            </w:r>
          </w:p>
        </w:tc>
      </w:tr>
    </w:tbl>
    <w:p>
      <w:pPr>
        <w:spacing w:line="276" w:lineRule="auto"/>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color w:val="auto"/>
          <w:sz w:val="21"/>
          <w:szCs w:val="21"/>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p>
    <w:p>
      <w:pPr>
        <w:pStyle w:val="2"/>
        <w:rPr>
          <w:highlight w:val="none"/>
        </w:rPr>
      </w:pPr>
      <w:bookmarkStart w:id="21" w:name="_Toc6221_WPSOffice_Level1"/>
      <w:bookmarkStart w:id="22" w:name="_Toc29486"/>
      <w:bookmarkStart w:id="23" w:name="_Toc4088"/>
      <w:bookmarkStart w:id="24" w:name="_Toc3871"/>
      <w:bookmarkStart w:id="25" w:name="_Toc18058"/>
      <w:bookmarkStart w:id="26" w:name="_Toc25920"/>
      <w:bookmarkStart w:id="27" w:name="_Toc1410"/>
      <w:bookmarkStart w:id="28" w:name="_Toc23369_WPSOffice_Level1"/>
      <w:r>
        <w:rPr>
          <w:rFonts w:hint="eastAsia"/>
          <w:highlight w:val="none"/>
        </w:rPr>
        <w:t>检测结果小结</w:t>
      </w:r>
      <w:bookmarkEnd w:id="21"/>
      <w:bookmarkEnd w:id="22"/>
      <w:bookmarkEnd w:id="23"/>
      <w:bookmarkEnd w:id="24"/>
      <w:bookmarkEnd w:id="25"/>
      <w:bookmarkEnd w:id="26"/>
      <w:bookmarkEnd w:id="27"/>
      <w:bookmarkEnd w:id="28"/>
    </w:p>
    <w:p>
      <w:pPr>
        <w:ind w:left="330" w:leftChars="150"/>
        <w:rPr>
          <w:rFonts w:ascii="微软雅黑" w:hAnsi="微软雅黑" w:eastAsia="微软雅黑" w:cs="微软雅黑"/>
          <w:sz w:val="18"/>
          <w:szCs w:val="18"/>
          <w:highlight w:val="none"/>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bottom w:val="single" w:color="00AF50" w:sz="8"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404" w:type="dxa"/>
            <w:tcBorders>
              <w:bottom w:val="single" w:color="00AF50" w:sz="8" w:space="0"/>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tcBorders>
              <w:top w:val="single" w:color="00AF50" w:sz="8" w:space="0"/>
              <w:tl2br w:val="nil"/>
              <w:tr2bl w:val="nil"/>
            </w:tcBorders>
            <w:shd w:val="clear" w:color="auto" w:fill="F1F1F1"/>
            <w:vAlign w:val="center"/>
          </w:tcPr>
          <w:p>
            <w:pPr>
              <w:pStyle w:val="19"/>
              <w:jc w:val="center"/>
              <w:rPr>
                <w:rFonts w:ascii="Times New Roman" w:hAnsi="Times New Roman" w:eastAsia="微软雅黑" w:cs="Times New Roman"/>
                <w:sz w:val="21"/>
                <w:szCs w:val="21"/>
                <w:highlight w:val="none"/>
              </w:rPr>
            </w:pPr>
            <w:r>
              <w:rPr>
                <w:rFonts w:ascii="Times New Roman" w:hAnsi="Times New Roman" w:eastAsia="微软雅黑" w:cs="Times New Roman"/>
                <w:sz w:val="21"/>
                <w:szCs w:val="21"/>
                <w:highlight w:val="none"/>
              </w:rPr>
              <w:t>靶向用药指导</w:t>
            </w:r>
          </w:p>
        </w:tc>
        <w:tc>
          <w:tcPr>
            <w:tcW w:w="5404" w:type="dxa"/>
            <w:tcBorders>
              <w:top w:val="single" w:color="00AF50" w:sz="8" w:space="0"/>
              <w:tl2br w:val="nil"/>
              <w:tr2bl w:val="nil"/>
            </w:tcBorders>
            <w:shd w:val="clear" w:color="auto" w:fill="F1F1F1"/>
            <w:vAlign w:val="center"/>
          </w:tcPr>
          <w:p>
            <w:pPr>
              <w:pStyle w:val="19"/>
              <w:spacing w:before="100" w:line="187" w:lineRule="auto"/>
              <w:ind w:left="119" w:right="119"/>
              <w:jc w:val="both"/>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highlight w:val="none"/>
              </w:rPr>
            </w:pPr>
            <w:r>
              <w:rPr>
                <w:rFonts w:ascii="Times New Roman" w:hAnsi="Times New Roman" w:eastAsia="微软雅黑" w:cs="Times New Roman"/>
                <w:sz w:val="21"/>
                <w:szCs w:val="21"/>
                <w:highlight w:val="none"/>
              </w:rPr>
              <w:t>样品总体质量评估</w:t>
            </w:r>
          </w:p>
        </w:tc>
        <w:tc>
          <w:tcPr>
            <w:tcW w:w="5404" w:type="dxa"/>
            <w:tcBorders>
              <w:tl2br w:val="nil"/>
              <w:tr2bl w:val="nil"/>
            </w:tcBorders>
            <w:shd w:val="clear" w:color="auto" w:fill="F1F1F1"/>
          </w:tcPr>
          <w:p>
            <w:pPr>
              <w:pStyle w:val="19"/>
              <w:spacing w:before="77"/>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合格</w:t>
            </w:r>
          </w:p>
        </w:tc>
      </w:tr>
    </w:tbl>
    <w:p>
      <w:pPr>
        <w:ind w:firstLine="219" w:firstLineChars="122"/>
        <w:rPr>
          <w:rFonts w:ascii="微软雅黑" w:hAnsi="微软雅黑" w:eastAsia="微软雅黑" w:cs="微软雅黑"/>
          <w:sz w:val="18"/>
          <w:szCs w:val="18"/>
          <w:highlight w:val="none"/>
          <w:lang w:eastAsia="zh-CN" w:bidi="ar"/>
        </w:rPr>
      </w:pPr>
    </w:p>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p>
    <w:p>
      <w:pPr>
        <w:numPr>
          <w:ilvl w:val="0"/>
          <w:numId w:val="0"/>
        </w:numPr>
        <w:rPr>
          <w:rFonts w:ascii="微软雅黑" w:hAnsi="微软雅黑" w:eastAsia="微软雅黑" w:cs="微软雅黑"/>
          <w:sz w:val="18"/>
          <w:szCs w:val="18"/>
          <w:highlight w:val="none"/>
          <w:lang w:eastAsia="zh-CN" w:bidi="ar"/>
        </w:rPr>
      </w:pP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p>
      <w:pPr>
        <w:rPr>
          <w:highlight w:val="none"/>
        </w:rPr>
      </w:pPr>
      <w:bookmarkStart w:id="29" w:name="_Toc14062"/>
      <w:bookmarkStart w:id="30" w:name="_Toc19898_WPSOffice_Level1"/>
      <w:bookmarkStart w:id="31" w:name="_Toc21759"/>
      <w:bookmarkStart w:id="32" w:name="_Toc12381"/>
      <w:bookmarkStart w:id="33" w:name="_Toc2781"/>
      <w:bookmarkStart w:id="34" w:name="_Toc22132"/>
      <w:bookmarkStart w:id="35" w:name="_Toc20136_WPSOffice_Level1"/>
      <w:bookmarkStart w:id="36" w:name="_Toc19184"/>
      <w:r>
        <w:rPr>
          <w:highlight w:val="none"/>
        </w:rPr>
        <w:br w:type="page"/>
      </w:r>
    </w:p>
    <w:p>
      <w:pPr>
        <w:pStyle w:val="2"/>
        <w:rPr>
          <w:highlight w:val="none"/>
        </w:rPr>
      </w:pPr>
      <w:r>
        <w:rPr>
          <w:highlight w:val="none"/>
        </w:rPr>
        <w:t>检测结果及用药提示</w:t>
      </w:r>
      <w:bookmarkEnd w:id="20"/>
      <w:bookmarkEnd w:id="29"/>
      <w:bookmarkEnd w:id="30"/>
      <w:bookmarkEnd w:id="31"/>
      <w:bookmarkEnd w:id="32"/>
      <w:bookmarkEnd w:id="33"/>
      <w:bookmarkEnd w:id="34"/>
      <w:bookmarkEnd w:id="35"/>
      <w:bookmarkEnd w:id="36"/>
    </w:p>
    <w:p>
      <w:pPr>
        <w:pStyle w:val="3"/>
        <w:rPr>
          <w:highlight w:val="none"/>
        </w:rPr>
      </w:pPr>
      <w:bookmarkStart w:id="37" w:name="_Toc11015_WPSOffice_Level2"/>
      <w:bookmarkStart w:id="38" w:name="_Toc22976"/>
      <w:bookmarkStart w:id="39" w:name="_Toc24979"/>
      <w:bookmarkStart w:id="40" w:name="_Toc30265"/>
      <w:bookmarkStart w:id="41" w:name="_Toc18062_WPSOffice_Level2"/>
      <w:bookmarkStart w:id="42" w:name="_Toc9088"/>
      <w:bookmarkStart w:id="43" w:name="_Toc23375"/>
      <w:bookmarkStart w:id="44" w:name="_Toc10658"/>
      <w:r>
        <w:rPr>
          <w:highlight w:val="none"/>
        </w:rPr>
        <w:t>靶向药物用药提示</w:t>
      </w:r>
      <w:bookmarkEnd w:id="37"/>
      <w:bookmarkEnd w:id="38"/>
      <w:bookmarkEnd w:id="39"/>
      <w:bookmarkEnd w:id="40"/>
      <w:bookmarkEnd w:id="41"/>
      <w:bookmarkEnd w:id="42"/>
      <w:bookmarkEnd w:id="43"/>
      <w:bookmarkEnd w:id="44"/>
    </w:p>
    <w:p>
      <w:pPr>
        <w:spacing w:after="240"/>
        <w:ind w:firstLine="420" w:firstLineChars="200"/>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 summaryOfRresults.somaticCellMedicationNum}}个与靶向药物相关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p>
    <w:tbl>
      <w:tblPr>
        <w:tblStyle w:val="20"/>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endif </w:t>
      </w:r>
      <w:bookmarkStart w:id="115" w:name="_GoBack"/>
      <w:bookmarkEnd w:id="115"/>
      <w:r>
        <w:rPr>
          <w:rFonts w:hint="eastAsia" w:ascii="Times New Roman" w:hAnsi="Times New Roman" w:eastAsia="微软雅黑" w:cs="Times New Roman"/>
          <w:sz w:val="18"/>
          <w:szCs w:val="18"/>
          <w:lang w:eastAsia="zh-CN"/>
        </w:rPr>
        <w:t>%}</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21"/>
        <w:ind w:left="420"/>
        <w:rPr>
          <w:rFonts w:ascii="Times New Roman" w:hAnsi="Times New Roman" w:eastAsia="微软雅黑" w:cs="Times New Roman"/>
          <w:b/>
          <w:highlight w:val="none"/>
          <w:lang w:eastAsia="zh-CN"/>
        </w:rPr>
      </w:pP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22"/>
        <w:rPr>
          <w:highlight w:val="none"/>
        </w:rPr>
      </w:pPr>
      <w:bookmarkStart w:id="45" w:name="_Toc4331_WPSOffice_Level1"/>
      <w:bookmarkStart w:id="46" w:name="_Toc4836"/>
      <w:bookmarkStart w:id="47" w:name="_Toc23846_WPSOffice_Level1"/>
      <w:bookmarkStart w:id="48" w:name="_Toc32661"/>
      <w:bookmarkStart w:id="49" w:name="_Toc5598"/>
      <w:bookmarkStart w:id="50" w:name="_Toc32443_WPSOffice_Level1"/>
      <w:bookmarkStart w:id="51" w:name="_Toc25727"/>
      <w:bookmarkStart w:id="52" w:name="_Toc23903"/>
      <w:bookmarkStart w:id="53" w:name="_Toc28194"/>
      <w:r>
        <w:rPr>
          <w:highlight w:val="none"/>
        </w:rPr>
        <w:t>基因检测结果解析</w:t>
      </w:r>
      <w:bookmarkEnd w:id="45"/>
      <w:bookmarkEnd w:id="46"/>
      <w:bookmarkEnd w:id="47"/>
      <w:bookmarkEnd w:id="48"/>
      <w:bookmarkEnd w:id="49"/>
      <w:bookmarkEnd w:id="50"/>
      <w:bookmarkEnd w:id="51"/>
      <w:bookmarkEnd w:id="52"/>
      <w:bookmarkEnd w:id="53"/>
    </w:p>
    <w:p>
      <w:pPr>
        <w:widowControl/>
        <w:rPr>
          <w:rFonts w:ascii="Times New Roman" w:hAnsi="Times New Roman" w:eastAsia="微软雅黑" w:cs="Times New Roman"/>
          <w:b/>
          <w:color w:val="45A3A7"/>
          <w:sz w:val="24"/>
          <w:szCs w:val="24"/>
          <w:highlight w:val="none"/>
          <w:lang w:eastAsia="zh-CN"/>
        </w:rPr>
      </w:pPr>
      <w:bookmarkStart w:id="54" w:name="_Toc2749"/>
      <w:r>
        <w:rPr>
          <w:rFonts w:hint="eastAsia" w:ascii="Times New Roman" w:hAnsi="Times New Roman" w:eastAsia="微软雅黑" w:cs="Times New Roman"/>
          <w:b/>
          <w:color w:val="45A3A7"/>
          <w:sz w:val="24"/>
          <w:szCs w:val="24"/>
          <w:highlight w:val="none"/>
          <w:lang w:eastAsia="zh-CN"/>
        </w:rPr>
        <w:t>{% if drugAnalysisIndex == 'true' %}</w:t>
      </w:r>
    </w:p>
    <w:p>
      <w:pPr>
        <w:pStyle w:val="23"/>
        <w:rPr>
          <w:highlight w:val="none"/>
        </w:rPr>
      </w:pPr>
      <w:bookmarkStart w:id="55" w:name="_Toc24907"/>
      <w:bookmarkStart w:id="56" w:name="_Toc4331_WPSOffice_Level2"/>
      <w:bookmarkStart w:id="57" w:name="_Toc32337"/>
      <w:bookmarkStart w:id="58" w:name="_Toc23606"/>
      <w:bookmarkStart w:id="59" w:name="_Toc32443_WPSOffice_Level2"/>
      <w:r>
        <w:rPr>
          <w:rFonts w:hint="eastAsia"/>
          <w:highlight w:val="none"/>
        </w:rPr>
        <w:t>靶向药物检测解析</w:t>
      </w:r>
      <w:bookmarkEnd w:id="55"/>
      <w:bookmarkEnd w:id="56"/>
      <w:bookmarkEnd w:id="57"/>
      <w:bookmarkEnd w:id="58"/>
      <w:bookmarkEnd w:id="59"/>
    </w:p>
    <w:p>
      <w:pPr>
        <w:keepNext/>
        <w:spacing w:before="120" w:beforeLines="50" w:after="120" w:afterLines="50"/>
        <w:rPr>
          <w:rFonts w:ascii="Times New Roman" w:hAnsi="Times New Roman" w:eastAsia="微软雅黑" w:cs="Times New Roman"/>
          <w:b/>
          <w:color w:val="45A3A7"/>
          <w:sz w:val="24"/>
          <w:szCs w:val="24"/>
          <w:highlight w:val="none"/>
          <w:lang w:eastAsia="zh-CN"/>
        </w:rPr>
      </w:pPr>
      <w:bookmarkStart w:id="60" w:name="_Toc6931_WPSOffice_Level3"/>
      <w:bookmarkStart w:id="61" w:name="_Toc18091_WPSOffice_Level3"/>
      <w:bookmarkStart w:id="62" w:name="_Toc15289_WPSOffice_Level3"/>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bookmarkEnd w:id="60"/>
      <w:bookmarkEnd w:id="61"/>
      <w:bookmarkEnd w:id="62"/>
    </w:tbl>
    <w:p>
      <w:pPr>
        <w:widowControl/>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用药说明</w:t>
            </w:r>
          </w:p>
        </w:tc>
        <w:tc>
          <w:tcPr>
            <w:tcW w:w="8027" w:type="dxa"/>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color w:val="000000"/>
                <w:sz w:val="18"/>
                <w:szCs w:val="18"/>
                <w:highlight w:val="none"/>
                <w:lang w:eastAsia="zh-CN"/>
              </w:rPr>
              <w:t>vus.str_drug_desc</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color w:val="000000"/>
                <w:sz w:val="18"/>
                <w:szCs w:val="18"/>
                <w:highlight w:val="none"/>
                <w:lang w:eastAsia="zh-CN"/>
              </w:rPr>
              <w:t xml:space="preserve">= </w:t>
            </w:r>
            <w:r>
              <w:rPr>
                <w:rFonts w:ascii="Times New Roman" w:hAnsi="Times New Roman" w:eastAsia="微软雅黑" w:cs="Times New Roman"/>
                <w:color w:val="000000"/>
                <w:sz w:val="18"/>
                <w:szCs w:val="18"/>
                <w:highlight w:val="none"/>
                <w:lang w:eastAsia="zh-CN"/>
              </w:rPr>
              <w:t>‘’</w:t>
            </w:r>
            <w:r>
              <w:rPr>
                <w:rFonts w:hint="eastAsia" w:ascii="Times New Roman" w:hAnsi="Times New Roman" w:eastAsia="微软雅黑" w:cs="Times New Roman"/>
                <w:color w:val="000000"/>
                <w:sz w:val="18"/>
                <w:szCs w:val="18"/>
                <w:highlight w:val="none"/>
                <w:lang w:eastAsia="zh-CN"/>
              </w:rPr>
              <w:t xml:space="preserve"> </w:t>
            </w:r>
            <w:r>
              <w:rPr>
                <w:rFonts w:hint="eastAsia" w:ascii="Times New Roman" w:hAnsi="Times New Roman" w:eastAsia="微软雅黑" w:cs="Times New Roman"/>
                <w:sz w:val="18"/>
                <w:szCs w:val="18"/>
                <w:highlight w:val="none"/>
                <w:lang w:eastAsia="zh-CN"/>
              </w:rPr>
              <w:t>%}无{% else %}</w:t>
            </w:r>
            <w:r>
              <w:rPr>
                <w:rFonts w:hint="eastAsia" w:ascii="Times New Roman" w:hAnsi="Times New Roman" w:eastAsia="微软雅黑" w:cs="Times New Roman"/>
                <w:color w:val="000000"/>
                <w:sz w:val="18"/>
                <w:szCs w:val="18"/>
                <w:highlight w:val="none"/>
                <w:lang w:eastAsia="zh-CN"/>
              </w:rPr>
              <w:t>{{ vus.str_drug_desc }}{% endif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sz w:val="20"/>
          <w:szCs w:val="18"/>
          <w:highlight w:val="none"/>
        </w:rPr>
        <w:br w:type="page"/>
      </w:r>
      <w:r>
        <w:rPr>
          <w:rFonts w:hint="eastAsia"/>
          <w:highlight w:val="none"/>
          <w:lang w:eastAsia="zh-CN"/>
        </w:rPr>
        <w:t>{% endif %}</w:t>
      </w:r>
    </w:p>
    <w:bookmarkEnd w:id="54"/>
    <w:p>
      <w:pPr>
        <w:pStyle w:val="25"/>
        <w:rPr>
          <w:highlight w:val="none"/>
        </w:rPr>
      </w:pPr>
      <w:bookmarkStart w:id="63" w:name="_Toc22658"/>
      <w:bookmarkStart w:id="64" w:name="_Toc16594"/>
      <w:bookmarkStart w:id="65" w:name="_Toc12505"/>
      <w:bookmarkStart w:id="66" w:name="_Toc21764_WPSOffice_Level1"/>
      <w:bookmarkStart w:id="67" w:name="_Toc28240"/>
      <w:bookmarkStart w:id="68" w:name="_Toc1707_WPSOffice_Level1"/>
      <w:bookmarkStart w:id="69" w:name="_Toc27302"/>
      <w:bookmarkStart w:id="70" w:name="_Toc13196_WPSOffice_Level1"/>
      <w:bookmarkStart w:id="71" w:name="_Toc2409"/>
      <w:r>
        <w:rPr>
          <w:highlight w:val="none"/>
        </w:rPr>
        <w:t>附录</w:t>
      </w:r>
      <w:bookmarkEnd w:id="63"/>
      <w:bookmarkEnd w:id="64"/>
      <w:bookmarkEnd w:id="65"/>
      <w:bookmarkEnd w:id="66"/>
      <w:bookmarkEnd w:id="67"/>
      <w:bookmarkEnd w:id="68"/>
      <w:bookmarkEnd w:id="69"/>
      <w:bookmarkEnd w:id="70"/>
      <w:bookmarkEnd w:id="71"/>
    </w:p>
    <w:p>
      <w:pPr>
        <w:pStyle w:val="26"/>
        <w:rPr>
          <w:highlight w:val="none"/>
        </w:rPr>
      </w:pPr>
      <w:bookmarkStart w:id="72" w:name="_Toc2246"/>
      <w:bookmarkStart w:id="73" w:name="_Toc31490"/>
      <w:bookmarkStart w:id="74" w:name="_Toc4168"/>
      <w:bookmarkStart w:id="75" w:name="_Toc15840_WPSOffice_Level1"/>
      <w:bookmarkStart w:id="76" w:name="_Toc27075"/>
      <w:bookmarkStart w:id="77" w:name="_Toc24085_WPSOffice_Level1"/>
      <w:bookmarkStart w:id="78" w:name="_Toc14255_WPSOffice_Level1"/>
      <w:r>
        <w:rPr>
          <w:rFonts w:hint="eastAsia"/>
          <w:highlight w:val="none"/>
        </w:rPr>
        <w:t>样本控制情况</w:t>
      </w:r>
      <w:bookmarkEnd w:id="72"/>
      <w:bookmarkEnd w:id="73"/>
      <w:bookmarkEnd w:id="74"/>
      <w:bookmarkEnd w:id="75"/>
      <w:bookmarkEnd w:id="76"/>
      <w:bookmarkEnd w:id="77"/>
      <w:bookmarkEnd w:id="78"/>
    </w:p>
    <w:p>
      <w:pPr>
        <w:rPr>
          <w:highlight w:val="none"/>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eastAsia="zh-CN"/>
              </w:rPr>
              <w:t>20</w:t>
            </w:r>
            <w:r>
              <w:rPr>
                <w:rFonts w:ascii="Times New Roman" w:hAnsi="Times New Roman" w:eastAsia="微软雅黑" w:cs="Times New Roman"/>
                <w:sz w:val="21"/>
                <w:highlight w:val="none"/>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vAlign w:val="top"/>
          </w:tcPr>
          <w:p>
            <w:pPr>
              <w:spacing w:before="94"/>
              <w:ind w:left="118" w:leftChars="0"/>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val="en-US" w:eastAsia="zh-CN"/>
              </w:rPr>
              <w:t>2</w:t>
            </w:r>
            <w:r>
              <w:rPr>
                <w:rFonts w:hint="eastAsia" w:ascii="Times New Roman" w:hAnsi="Times New Roman" w:eastAsia="微软雅黑" w:cs="Times New Roman"/>
                <w:sz w:val="21"/>
                <w:highlight w:val="none"/>
              </w:rPr>
              <w:t>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vAlign w:val="top"/>
          </w:tcPr>
          <w:p>
            <w:pPr>
              <w:spacing w:before="94"/>
              <w:ind w:left="118" w:leftChars="0"/>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val="en-US" w:eastAsia="zh-CN"/>
              </w:rPr>
              <w:t>25-</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val="en-US" w:eastAsia="zh-CN"/>
              </w:rPr>
              <w:t>0.78</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000</w:t>
            </w:r>
            <w:r>
              <w:rPr>
                <w:rFonts w:ascii="Times New Roman" w:hAnsi="Times New Roman" w:eastAsia="微软雅黑" w:cs="Times New Roman"/>
                <w:sz w:val="21"/>
                <w:highlight w:val="none"/>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vAlign w:val="top"/>
          </w:tcPr>
          <w:p>
            <w:pPr>
              <w:spacing w:before="95"/>
              <w:ind w:left="118" w:leftChars="0"/>
              <w:rPr>
                <w:sz w:val="21"/>
                <w:highlight w:val="none"/>
              </w:rPr>
            </w:pPr>
            <w:r>
              <w:rPr>
                <w:rFonts w:ascii="Times New Roman" w:hAnsi="Times New Roman" w:eastAsia="微软雅黑" w:cs="Times New Roman"/>
                <w:sz w:val="21"/>
                <w:highlight w:val="none"/>
              </w:rPr>
              <w:t>9</w:t>
            </w:r>
            <w:r>
              <w:rPr>
                <w:rFonts w:hint="eastAsia" w:ascii="Times New Roman" w:hAnsi="Times New Roman" w:eastAsia="微软雅黑" w:cs="Times New Roman"/>
                <w:sz w:val="21"/>
                <w:highlight w:val="none"/>
                <w:lang w:val="en-US" w:eastAsia="zh-CN"/>
              </w:rPr>
              <w:t>5</w:t>
            </w:r>
            <w:r>
              <w:rPr>
                <w:rFonts w:ascii="Times New Roman" w:hAnsi="Times New Roman" w:eastAsia="微软雅黑" w:cs="Times New Roman"/>
                <w:sz w:val="21"/>
                <w:highlight w:val="none"/>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合格</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6"/>
        <w:spacing w:line="270" w:lineRule="exact"/>
        <w:ind w:left="133"/>
        <w:rPr>
          <w:rFonts w:ascii="Times New Roman" w:hAnsi="Times New Roman" w:eastAsia="微软雅黑" w:cs="Times New Roman"/>
          <w:highlight w:val="none"/>
          <w:lang w:eastAsia="zh-CN"/>
        </w:rPr>
      </w:pPr>
    </w:p>
    <w:p>
      <w:pPr>
        <w:pStyle w:val="6"/>
        <w:spacing w:line="270" w:lineRule="exact"/>
        <w:ind w:left="133"/>
        <w:rPr>
          <w:rFonts w:ascii="Times New Roman" w:hAnsi="Times New Roman" w:eastAsia="微软雅黑" w:cs="Times New Roman"/>
          <w:highlight w:val="none"/>
          <w:lang w:eastAsia="zh-CN"/>
        </w:rPr>
        <w:sectPr>
          <w:headerReference r:id="rId3" w:type="default"/>
          <w:footerReference r:id="rId4" w:type="default"/>
          <w:pgSz w:w="11910" w:h="16840"/>
          <w:pgMar w:top="1037" w:right="1020" w:bottom="981" w:left="1020" w:header="454" w:footer="567" w:gutter="0"/>
          <w:pgNumType w:start="1"/>
          <w:cols w:space="720" w:num="1"/>
        </w:sectPr>
      </w:pPr>
    </w:p>
    <w:p>
      <w:pPr>
        <w:pStyle w:val="26"/>
        <w:spacing w:line="240" w:lineRule="exact"/>
        <w:rPr>
          <w:highlight w:val="none"/>
        </w:rPr>
      </w:pPr>
      <w:bookmarkStart w:id="79" w:name="_Toc11812"/>
      <w:bookmarkStart w:id="80" w:name="_Toc1779"/>
      <w:bookmarkStart w:id="81" w:name="_Toc20303"/>
      <w:bookmarkStart w:id="82" w:name="_Toc11896_WPSOffice_Level1"/>
      <w:bookmarkStart w:id="83" w:name="_Toc16050"/>
      <w:bookmarkStart w:id="84" w:name="_Toc11193_WPSOffice_Level1"/>
      <w:bookmarkStart w:id="85" w:name="_Toc28810_WPSOffice_Level1"/>
      <w:r>
        <w:rPr>
          <w:highlight w:val="none"/>
        </w:rPr>
        <w:t>常见靶向药物相关基因检测列表</w:t>
      </w:r>
      <w:bookmarkEnd w:id="79"/>
      <w:bookmarkEnd w:id="80"/>
      <w:bookmarkEnd w:id="81"/>
      <w:bookmarkEnd w:id="82"/>
      <w:bookmarkEnd w:id="83"/>
    </w:p>
    <w:bookmarkEnd w:id="84"/>
    <w:bookmarkEnd w:id="85"/>
    <w:tbl>
      <w:tblPr>
        <w:tblStyle w:val="14"/>
        <w:tblpPr w:leftFromText="180" w:rightFromText="180" w:vertAnchor="text" w:horzAnchor="page" w:tblpXSpec="center" w:tblpY="224"/>
        <w:tblOverlap w:val="never"/>
        <w:tblW w:w="10113"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4"/>
        <w:gridCol w:w="386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86" w:name="OLE_LINK58"/>
            <w:bookmarkStart w:id="87" w:name="OLE_LINK57"/>
            <w:bookmarkStart w:id="88" w:name="OLE_LINK66"/>
            <w:bookmarkStart w:id="89" w:name="OLE_LINK65"/>
            <w:bookmarkStart w:id="90" w:name="OLE_LINK74"/>
            <w:bookmarkStart w:id="91" w:name="OLE_LINK59"/>
            <w:bookmarkStart w:id="92" w:name="OLE_LINK73"/>
            <w:r>
              <w:rPr>
                <w:rFonts w:ascii="Times New Roman" w:hAnsi="Times New Roman" w:eastAsia="微软雅黑" w:cs="Times New Roman"/>
                <w:b/>
                <w:bCs/>
                <w:color w:val="416AAB"/>
                <w:sz w:val="18"/>
                <w:szCs w:val="18"/>
                <w:highlight w:val="none"/>
              </w:rPr>
              <w:t>基因</w:t>
            </w:r>
          </w:p>
        </w:tc>
        <w:tc>
          <w:tcPr>
            <w:tcW w:w="688"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63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98"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634" w:type="dxa"/>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3862" w:type="dxa"/>
            <w:vAlign w:val="center"/>
          </w:tcPr>
          <w:p>
            <w:pPr>
              <w:spacing w:before="19"/>
              <w:ind w:right="62"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在非小细胞肺癌中，</w:t>
            </w:r>
            <w:r>
              <w:rPr>
                <w:rFonts w:ascii="Times New Roman" w:hAnsi="Times New Roman" w:eastAsia="微软雅黑" w:cs="Times New Roman"/>
                <w:spacing w:val="-1"/>
                <w:sz w:val="18"/>
                <w:szCs w:val="18"/>
                <w:highlight w:val="none"/>
                <w:lang w:eastAsia="zh-CN"/>
              </w:rPr>
              <w:t>ALK融合对ALK TKIs药物克唑替尼</w:t>
            </w:r>
            <w:r>
              <w:rPr>
                <w:rFonts w:hint="eastAsia" w:ascii="Times New Roman" w:hAnsi="Times New Roman" w:eastAsia="微软雅黑" w:cs="Times New Roman"/>
                <w:spacing w:val="-1"/>
                <w:sz w:val="18"/>
                <w:szCs w:val="18"/>
                <w:highlight w:val="none"/>
                <w:lang w:eastAsia="zh-CN"/>
              </w:rPr>
              <w:t>[PMID: 25470694]</w:t>
            </w:r>
            <w:r>
              <w:rPr>
                <w:rFonts w:ascii="Times New Roman" w:hAnsi="Times New Roman" w:eastAsia="微软雅黑" w:cs="Times New Roman"/>
                <w:spacing w:val="-1"/>
                <w:sz w:val="18"/>
                <w:szCs w:val="18"/>
                <w:highlight w:val="none"/>
                <w:lang w:eastAsia="zh-CN"/>
              </w:rPr>
              <w:t>、塞瑞替尼</w:t>
            </w:r>
            <w:r>
              <w:rPr>
                <w:rFonts w:hint="eastAsia" w:ascii="Times New Roman" w:hAnsi="Times New Roman" w:eastAsia="微软雅黑" w:cs="Times New Roman"/>
                <w:spacing w:val="-1"/>
                <w:sz w:val="18"/>
                <w:szCs w:val="18"/>
                <w:highlight w:val="none"/>
                <w:lang w:eastAsia="zh-CN"/>
              </w:rPr>
              <w:t>[PMID: 28126333]</w:t>
            </w:r>
            <w:r>
              <w:rPr>
                <w:rFonts w:ascii="Times New Roman" w:hAnsi="Times New Roman" w:eastAsia="微软雅黑" w:cs="Times New Roman"/>
                <w:spacing w:val="-1"/>
                <w:sz w:val="18"/>
                <w:szCs w:val="18"/>
                <w:highlight w:val="none"/>
                <w:lang w:eastAsia="zh-CN"/>
              </w:rPr>
              <w:t>、阿来替尼</w:t>
            </w:r>
            <w:r>
              <w:rPr>
                <w:rFonts w:hint="eastAsia" w:ascii="Times New Roman" w:hAnsi="Times New Roman" w:eastAsia="微软雅黑" w:cs="Times New Roman"/>
                <w:spacing w:val="-1"/>
                <w:sz w:val="18"/>
                <w:szCs w:val="18"/>
                <w:highlight w:val="none"/>
                <w:lang w:eastAsia="zh-CN"/>
              </w:rPr>
              <w:t>[PMID: 28586279]</w:t>
            </w:r>
            <w:r>
              <w:rPr>
                <w:rFonts w:ascii="Times New Roman" w:hAnsi="Times New Roman" w:eastAsia="微软雅黑" w:cs="Times New Roman"/>
                <w:spacing w:val="-1"/>
                <w:sz w:val="18"/>
                <w:szCs w:val="18"/>
                <w:highlight w:val="none"/>
                <w:lang w:eastAsia="zh-CN"/>
              </w:rPr>
              <w:t>、布吉他滨</w:t>
            </w:r>
            <w:r>
              <w:rPr>
                <w:rFonts w:hint="eastAsia" w:ascii="Times New Roman" w:hAnsi="Times New Roman" w:eastAsia="微软雅黑" w:cs="Times New Roman"/>
                <w:spacing w:val="-1"/>
                <w:sz w:val="18"/>
                <w:szCs w:val="18"/>
                <w:highlight w:val="none"/>
                <w:lang w:eastAsia="zh-CN"/>
              </w:rPr>
              <w:t>[PMID: 30280657]</w:t>
            </w:r>
            <w:r>
              <w:rPr>
                <w:rFonts w:ascii="Times New Roman" w:hAnsi="Times New Roman" w:eastAsia="微软雅黑" w:cs="Times New Roman"/>
                <w:spacing w:val="-1"/>
                <w:sz w:val="18"/>
                <w:szCs w:val="18"/>
                <w:highlight w:val="none"/>
                <w:lang w:eastAsia="zh-CN"/>
              </w:rPr>
              <w:t>、劳拉替尼</w:t>
            </w:r>
            <w:r>
              <w:rPr>
                <w:rFonts w:hint="eastAsia" w:ascii="Times New Roman" w:hAnsi="Times New Roman" w:eastAsia="微软雅黑" w:cs="Times New Roman"/>
                <w:spacing w:val="-1"/>
                <w:sz w:val="18"/>
                <w:szCs w:val="18"/>
                <w:highlight w:val="none"/>
                <w:lang w:eastAsia="zh-CN"/>
              </w:rPr>
              <w:t>[PMID: 33207094]</w:t>
            </w:r>
            <w:r>
              <w:rPr>
                <w:rFonts w:ascii="Times New Roman" w:hAnsi="Times New Roman" w:eastAsia="微软雅黑" w:cs="Times New Roman"/>
                <w:spacing w:val="-1"/>
                <w:sz w:val="18"/>
                <w:szCs w:val="18"/>
                <w:highlight w:val="none"/>
                <w:lang w:eastAsia="zh-CN"/>
              </w:rPr>
              <w:t>、恩沙替尼敏感</w:t>
            </w:r>
            <w:r>
              <w:rPr>
                <w:rFonts w:hint="eastAsia" w:ascii="Times New Roman" w:hAnsi="Times New Roman" w:eastAsia="微软雅黑" w:cs="Times New Roman"/>
                <w:spacing w:val="-1"/>
                <w:sz w:val="18"/>
                <w:szCs w:val="18"/>
                <w:highlight w:val="none"/>
                <w:lang w:eastAsia="zh-CN"/>
              </w:rPr>
              <w:t>[PMID: 29563138]</w:t>
            </w:r>
            <w:r>
              <w:rPr>
                <w:rFonts w:ascii="Times New Roman" w:hAnsi="Times New Roman" w:eastAsia="微软雅黑" w:cs="Times New Roman"/>
                <w:spacing w:val="-1"/>
                <w:sz w:val="18"/>
                <w:szCs w:val="18"/>
                <w:highlight w:val="none"/>
                <w:lang w:eastAsia="zh-CN"/>
              </w:rPr>
              <w:t>；对EGFR TKIs药物埃克替尼、厄洛替尼、吉非替尼、阿法替尼、奥希替尼、达可替尼产生耐药性</w:t>
            </w:r>
            <w:r>
              <w:rPr>
                <w:rFonts w:hint="eastAsia" w:ascii="Times New Roman" w:hAnsi="Times New Roman" w:eastAsia="微软雅黑" w:cs="Times New Roman"/>
                <w:spacing w:val="-1"/>
                <w:sz w:val="18"/>
                <w:szCs w:val="18"/>
                <w:highlight w:val="none"/>
                <w:lang w:eastAsia="zh-CN"/>
              </w:rPr>
              <w:t>[PMID: 19667264]；</w:t>
            </w:r>
            <w:r>
              <w:rPr>
                <w:rFonts w:ascii="Times New Roman" w:hAnsi="Times New Roman" w:eastAsia="微软雅黑" w:cs="Times New Roman"/>
                <w:spacing w:val="-1"/>
                <w:sz w:val="18"/>
                <w:szCs w:val="18"/>
                <w:highlight w:val="none"/>
                <w:lang w:eastAsia="zh-CN"/>
              </w:rPr>
              <w:t>ALK酪氨酸激酶结构域关键位点(包含1151Tins、L1152R、C1156Y、F1174L、L1196M、G1202R、S1206Y、G1269A、F1174V、F1245C）发生突变会导致对一代ALK抑制剂克唑替尼产生耐药性[</w:t>
            </w:r>
            <w:r>
              <w:rPr>
                <w:rFonts w:ascii="Times New Roman" w:hAnsi="Times New Roman" w:eastAsia="微软雅黑" w:cs="Times New Roman"/>
                <w:sz w:val="18"/>
                <w:szCs w:val="18"/>
                <w:highlight w:val="none"/>
              </w:rPr>
              <w:t>PMID: 22277784</w:t>
            </w:r>
            <w:r>
              <w:rPr>
                <w:rFonts w:ascii="Times New Roman" w:hAnsi="Times New Roman" w:eastAsia="微软雅黑" w:cs="Times New Roman"/>
                <w:spacing w:val="-1"/>
                <w:sz w:val="18"/>
                <w:szCs w:val="18"/>
                <w:highlight w:val="none"/>
                <w:lang w:eastAsia="zh-CN"/>
              </w:rPr>
              <w:t>]，L1196M、G1269A、I1171T、S1206Y位点突变对二代ALK抑制剂塞瑞替尼敏感</w:t>
            </w:r>
            <w:r>
              <w:rPr>
                <w:rFonts w:hint="eastAsia" w:ascii="Times New Roman" w:hAnsi="Times New Roman" w:eastAsia="微软雅黑" w:cs="Times New Roman"/>
                <w:spacing w:val="-1"/>
                <w:sz w:val="18"/>
                <w:szCs w:val="18"/>
                <w:highlight w:val="none"/>
                <w:lang w:eastAsia="zh-CN"/>
              </w:rPr>
              <w:t>[PMID: 24675041]</w:t>
            </w:r>
            <w:r>
              <w:rPr>
                <w:rFonts w:ascii="Times New Roman" w:hAnsi="Times New Roman" w:eastAsia="微软雅黑" w:cs="Times New Roman"/>
                <w:spacing w:val="-1"/>
                <w:sz w:val="18"/>
                <w:szCs w:val="18"/>
                <w:highlight w:val="none"/>
                <w:lang w:eastAsia="zh-CN"/>
              </w:rPr>
              <w:t>，L1196M、G1269A、C1156Y、F1174L、1151Tins、L1152R位点突变对二代ALK抑制剂阿来替尼敏感</w:t>
            </w:r>
            <w:r>
              <w:rPr>
                <w:rFonts w:hint="eastAsia" w:ascii="Times New Roman" w:hAnsi="Times New Roman" w:eastAsia="微软雅黑" w:cs="Times New Roman"/>
                <w:spacing w:val="-1"/>
                <w:sz w:val="18"/>
                <w:szCs w:val="18"/>
                <w:highlight w:val="none"/>
                <w:lang w:eastAsia="zh-CN"/>
              </w:rPr>
              <w:t>[PMID: 26579422]</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450"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688" w:type="dxa"/>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BRAF抑制剂：</w:t>
            </w:r>
            <w:r>
              <w:rPr>
                <w:rFonts w:ascii="Times New Roman" w:hAnsi="Times New Roman" w:eastAsia="微软雅黑" w:cs="Times New Roman"/>
                <w:b/>
                <w:spacing w:val="-1"/>
                <w:sz w:val="18"/>
                <w:szCs w:val="18"/>
                <w:highlight w:val="none"/>
              </w:rPr>
              <w:t>维莫非尼</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（FDA/NMPA批准用于黑色素瘤</w:t>
            </w:r>
            <w:r>
              <w:rPr>
                <w:rFonts w:ascii="Times New Roman" w:hAnsi="Times New Roman" w:eastAsia="微软雅黑" w:cs="Times New Roman"/>
                <w:spacing w:val="-1"/>
                <w:sz w:val="18"/>
                <w:szCs w:val="18"/>
                <w:highlight w:val="none"/>
                <w:lang w:eastAsia="zh-CN"/>
              </w:rPr>
              <w:t>；FDA批准用于埃德海姆-切斯特病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达拉非尼（Dabrafenib）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曲美替尼+达拉非尼</w:t>
            </w:r>
            <w:r>
              <w:rPr>
                <w:rFonts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（Dabrafenib+Trametinib）</w:t>
            </w:r>
            <w:r>
              <w:rPr>
                <w:rFonts w:ascii="Times New Roman" w:hAnsi="Times New Roman" w:eastAsia="微软雅黑" w:cs="Times New Roman"/>
                <w:spacing w:val="-1"/>
                <w:sz w:val="18"/>
                <w:szCs w:val="18"/>
                <w:highlight w:val="none"/>
              </w:rPr>
              <w:t>（FDA批准用于非小细胞肺癌、甲状腺癌；FDA/NMPA批准用于黑色素瘤）</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肺癌中，BRAF V600E突变对BRAF抑制剂维莫非尼、达拉非尼敏感[PMID: 29320312</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PMID: 27080216]；在非小细胞肺癌中，达拉非尼联合曲美替尼可作为具有BRAF V600E突变的非小细胞肺癌患者的一线治疗方案，联合治疗不耐受的患者建议使用单药达拉非尼或维莫非尼进行治疗[</w:t>
            </w:r>
            <w:r>
              <w:rPr>
                <w:rFonts w:ascii="Times New Roman" w:hAnsi="Times New Roman" w:eastAsia="Segoe UI" w:cs="Times New Roman"/>
                <w:color w:val="212121"/>
                <w:sz w:val="18"/>
                <w:szCs w:val="18"/>
                <w:highlight w:val="none"/>
                <w:shd w:val="clear" w:color="auto" w:fill="FFFFFF"/>
                <w:lang w:eastAsia="zh-CN"/>
              </w:rPr>
              <w:t>PMID: </w:t>
            </w:r>
            <w:r>
              <w:rPr>
                <w:rStyle w:val="16"/>
                <w:rFonts w:ascii="Times New Roman" w:hAnsi="Times New Roman" w:eastAsia="Segoe UI" w:cs="Times New Roman"/>
                <w:b w:val="0"/>
                <w:bCs/>
                <w:color w:val="212121"/>
                <w:sz w:val="18"/>
                <w:szCs w:val="18"/>
                <w:highlight w:val="none"/>
                <w:shd w:val="clear" w:color="auto" w:fill="FFFFFF"/>
                <w:lang w:eastAsia="zh-CN"/>
              </w:rPr>
              <w:t>28919011</w:t>
            </w:r>
            <w:r>
              <w:rPr>
                <w:rFonts w:ascii="Times New Roman" w:hAnsi="Times New Roman" w:eastAsia="微软雅黑" w:cs="Times New Roman"/>
                <w:spacing w:val="-1"/>
                <w:sz w:val="18"/>
                <w:szCs w:val="18"/>
                <w:highlight w:val="none"/>
                <w:lang w:eastAsia="zh-CN"/>
              </w:rPr>
              <w:t>]。</w:t>
            </w:r>
          </w:p>
        </w:tc>
      </w:tr>
    </w:tbl>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r>
        <w:rPr>
          <w:rFonts w:ascii="Times New Roman" w:hAnsi="Times New Roman" w:eastAsia="微软雅黑" w:cs="Times New Roman"/>
          <w:sz w:val="20"/>
          <w:szCs w:val="20"/>
          <w:highlight w:val="none"/>
          <w:lang w:eastAsia="zh-CN"/>
        </w:rPr>
        <w:br w:type="page"/>
      </w:r>
    </w:p>
    <w:p>
      <w:pPr>
        <w:rPr>
          <w:rFonts w:ascii="Times New Roman" w:hAnsi="Times New Roman" w:eastAsia="微软雅黑" w:cs="Times New Roman"/>
          <w:sz w:val="20"/>
          <w:szCs w:val="20"/>
          <w:highlight w:val="none"/>
          <w:lang w:eastAsia="zh-CN"/>
        </w:rPr>
      </w:pPr>
    </w:p>
    <w:tbl>
      <w:tblPr>
        <w:tblStyle w:val="14"/>
        <w:tblpPr w:leftFromText="180" w:rightFromText="180" w:vertAnchor="text" w:horzAnchor="page" w:tblpXSpec="center" w:tblpY="224"/>
        <w:tblOverlap w:val="never"/>
        <w:tblW w:w="10060"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128"/>
        <w:gridCol w:w="681"/>
        <w:gridCol w:w="4421"/>
        <w:gridCol w:w="3830"/>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52" w:hRule="exact"/>
          <w:tblHeader/>
          <w:jc w:val="center"/>
        </w:trPr>
        <w:tc>
          <w:tcPr>
            <w:tcW w:w="1128"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81"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421"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30"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391" w:hRule="exact"/>
          <w:tblHeader/>
          <w:jc w:val="center"/>
        </w:trPr>
        <w:tc>
          <w:tcPr>
            <w:tcW w:w="1128"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81" w:type="dxa"/>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421" w:type="dxa"/>
            <w:vAlign w:val="center"/>
          </w:tcPr>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ascii="Times New Roman" w:hAnsi="Times New Roman" w:eastAsia="微软雅黑" w:cs="Times New Roman"/>
                <w:b/>
                <w:spacing w:val="-1"/>
                <w:sz w:val="18"/>
                <w:szCs w:val="18"/>
                <w:highlight w:val="none"/>
              </w:rPr>
              <w:t>厄洛替尼*（Erlotinib）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吉非替尼*（Gefitinib）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阿法替尼*（Afatinib）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达可替尼*（Dacomitinib）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奥希替尼*（Osimertinib）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埃克替尼*（Icotinib）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b/>
                <w:spacing w:val="-1"/>
                <w:sz w:val="18"/>
                <w:szCs w:val="18"/>
                <w:highlight w:val="none"/>
              </w:rPr>
              <w:t>阿美替尼*（Almonertinib）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bCs/>
                <w:spacing w:val="-1"/>
                <w:sz w:val="18"/>
                <w:szCs w:val="18"/>
                <w:highlight w:val="none"/>
              </w:rPr>
              <w:t>伏美替尼</w:t>
            </w:r>
            <w:r>
              <w:rPr>
                <w:rFonts w:ascii="Times New Roman" w:hAnsi="Times New Roman" w:eastAsia="微软雅黑" w:cs="Times New Roman"/>
                <w:b/>
                <w:bCs/>
                <w:spacing w:val="-1"/>
                <w:sz w:val="18"/>
                <w:szCs w:val="18"/>
                <w:highlight w:val="none"/>
                <w:lang w:eastAsia="zh-CN"/>
              </w:rPr>
              <w:t>*（Furmonertinib）</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厄洛替尼+雷莫芦单抗（Erlotinib+Ramucirumab）</w:t>
            </w:r>
            <w:r>
              <w:rPr>
                <w:rFonts w:ascii="Times New Roman" w:hAnsi="Times New Roman" w:eastAsia="微软雅黑" w:cs="Times New Roman"/>
                <w:spacing w:val="-1"/>
                <w:sz w:val="18"/>
                <w:szCs w:val="18"/>
                <w:highlight w:val="none"/>
              </w:rPr>
              <w:t>（FDA批准用于非小细胞肺癌）；</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厄洛替尼+贝伐珠单抗（Erlotinib+Bevacizumab）（NCCN推荐用于非鳞非小细胞肺癌、肾癌）；</w:t>
            </w:r>
          </w:p>
          <w:p>
            <w:pPr>
              <w:spacing w:before="19"/>
              <w:ind w:right="-6"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Poziotinib（临床II期）</w:t>
            </w:r>
          </w:p>
        </w:tc>
        <w:tc>
          <w:tcPr>
            <w:tcW w:w="3830" w:type="dxa"/>
            <w:vAlign w:val="center"/>
          </w:tcPr>
          <w:p>
            <w:pPr>
              <w:jc w:val="left"/>
              <w:rPr>
                <w:sz w:val="24"/>
                <w:szCs w:val="24"/>
                <w:highlight w:val="none"/>
                <w:lang w:eastAsia="zh-CN"/>
              </w:rPr>
            </w:pPr>
            <w:r>
              <w:rPr>
                <w:rFonts w:ascii="Times New Roman" w:hAnsi="Times New Roman" w:eastAsia="微软雅黑" w:cs="Times New Roman"/>
                <w:sz w:val="18"/>
                <w:szCs w:val="18"/>
                <w:highlight w:val="none"/>
                <w:lang w:eastAsia="zh-CN"/>
              </w:rPr>
              <w:t>在非小细胞肺癌中，EGFR敏感突变（L858R、19外显子插入或缺失、L861Q、G719X、S768I等）对EGFR TKIs（吉非替尼、厄洛替尼、埃克替尼、达可替尼）、厄洛替尼+雷莫芦单抗</w:t>
            </w:r>
            <w:r>
              <w:rPr>
                <w:rFonts w:hint="eastAsia" w:ascii="Times New Roman" w:hAnsi="Times New Roman" w:eastAsia="微软雅黑" w:cs="Times New Roman"/>
                <w:sz w:val="18"/>
                <w:szCs w:val="18"/>
                <w:highlight w:val="none"/>
                <w:lang w:eastAsia="zh-CN"/>
              </w:rPr>
              <w:t>[PMID: 31591063]</w:t>
            </w:r>
            <w:r>
              <w:rPr>
                <w:rFonts w:ascii="Times New Roman" w:hAnsi="Times New Roman" w:eastAsia="微软雅黑" w:cs="Times New Roman"/>
                <w:sz w:val="18"/>
                <w:szCs w:val="18"/>
                <w:highlight w:val="none"/>
                <w:lang w:eastAsia="zh-CN"/>
              </w:rPr>
              <w:t>敏感，EGFR T790M对EGFR TKIs产生耐药性，但EGFR T790M对EGFR TKIs（奥希替尼[PMID: 29151359]、阿美替尼[PMID: 32916310]、伏美替尼[J Clin Oncol</w:t>
            </w:r>
            <w:r>
              <w:rPr>
                <w:rFonts w:hint="eastAsia" w:ascii="Times New Roman" w:hAnsi="Times New Roman" w:eastAsia="微软雅黑" w:cs="Times New Roman"/>
                <w:sz w:val="18"/>
                <w:szCs w:val="18"/>
                <w:highlight w:val="none"/>
                <w:lang w:eastAsia="zh-CN"/>
              </w:rPr>
              <w:t>. 2020;</w:t>
            </w:r>
            <w:r>
              <w:rPr>
                <w:rFonts w:ascii="Times New Roman" w:hAnsi="Times New Roman" w:eastAsia="微软雅黑" w:cs="Times New Roman"/>
                <w:sz w:val="18"/>
                <w:szCs w:val="18"/>
                <w:highlight w:val="none"/>
                <w:lang w:eastAsia="zh-CN"/>
              </w:rPr>
              <w:t>38</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suppl</w:t>
            </w:r>
            <w:r>
              <w:rPr>
                <w:rFonts w:hint="eastAsia" w:ascii="Times New Roman" w:hAnsi="Times New Roman" w:eastAsia="微软雅黑" w:cs="Times New Roman"/>
                <w:sz w:val="18"/>
                <w:szCs w:val="18"/>
                <w:highlight w:val="none"/>
                <w:lang w:eastAsia="zh-CN"/>
              </w:rPr>
              <w:t xml:space="preserve"> </w:t>
            </w:r>
            <w:r>
              <w:rPr>
                <w:rFonts w:ascii="Times New Roman" w:hAnsi="Times New Roman" w:eastAsia="微软雅黑" w:cs="Times New Roman"/>
                <w:sz w:val="18"/>
                <w:szCs w:val="18"/>
                <w:highlight w:val="none"/>
                <w:lang w:eastAsia="zh-CN"/>
              </w:rPr>
              <w:t>15</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sz w:val="18"/>
                <w:szCs w:val="18"/>
                <w:highlight w:val="none"/>
                <w:lang w:eastAsia="zh-CN"/>
              </w:rPr>
              <w:t xml:space="preserve">abstr </w:t>
            </w:r>
            <w:r>
              <w:rPr>
                <w:rFonts w:ascii="Times New Roman" w:hAnsi="Times New Roman" w:eastAsia="微软雅黑" w:cs="Times New Roman"/>
                <w:sz w:val="18"/>
                <w:szCs w:val="18"/>
                <w:highlight w:val="none"/>
                <w:lang w:eastAsia="zh-CN"/>
              </w:rPr>
              <w:t>9602</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）敏感，携带EGFR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 [PMID: 32414908]、</w:t>
            </w:r>
            <w:r>
              <w:rPr>
                <w:rFonts w:ascii="Times New Roman" w:hAnsi="Times New Roman" w:eastAsia="微软雅黑" w:cs="Times New Roman"/>
                <w:sz w:val="18"/>
                <w:szCs w:val="18"/>
                <w:highlight w:val="none"/>
                <w:lang w:eastAsia="zh-CN"/>
              </w:rPr>
              <w:t>Poziotinib敏感[PMID: 29686424; PMID: 29162564]；</w:t>
            </w:r>
            <w:r>
              <w:rPr>
                <w:rFonts w:hint="eastAsia" w:ascii="Times New Roman" w:hAnsi="Times New Roman" w:eastAsia="微软雅黑" w:cs="Times New Roman"/>
                <w:sz w:val="18"/>
                <w:szCs w:val="18"/>
                <w:highlight w:val="none"/>
                <w:lang w:eastAsia="zh-CN"/>
              </w:rPr>
              <w:t>在非鳞非小细胞肺癌中，</w:t>
            </w:r>
            <w:r>
              <w:rPr>
                <w:rFonts w:ascii="Times New Roman" w:hAnsi="Times New Roman" w:eastAsia="微软雅黑" w:cs="Times New Roman"/>
                <w:sz w:val="18"/>
                <w:szCs w:val="18"/>
                <w:highlight w:val="none"/>
                <w:lang w:eastAsia="zh-CN"/>
              </w:rPr>
              <w:t>EGFR敏感突变</w:t>
            </w:r>
            <w:r>
              <w:rPr>
                <w:rFonts w:hint="eastAsia" w:ascii="Times New Roman" w:hAnsi="Times New Roman" w:eastAsia="微软雅黑" w:cs="Times New Roman"/>
                <w:sz w:val="18"/>
                <w:szCs w:val="18"/>
                <w:highlight w:val="none"/>
                <w:lang w:eastAsia="zh-CN"/>
              </w:rPr>
              <w:t>对</w:t>
            </w:r>
            <w:r>
              <w:rPr>
                <w:rFonts w:ascii="Times New Roman" w:hAnsi="Times New Roman" w:eastAsia="微软雅黑" w:cs="Times New Roman"/>
                <w:spacing w:val="-1"/>
                <w:sz w:val="18"/>
                <w:szCs w:val="18"/>
                <w:highlight w:val="none"/>
              </w:rPr>
              <w:t>厄洛替尼+贝伐珠单抗</w:t>
            </w:r>
            <w:r>
              <w:rPr>
                <w:rFonts w:hint="eastAsia" w:ascii="Times New Roman" w:hAnsi="Times New Roman" w:eastAsia="微软雅黑" w:cs="Times New Roman"/>
                <w:spacing w:val="-1"/>
                <w:sz w:val="18"/>
                <w:szCs w:val="18"/>
                <w:highlight w:val="none"/>
                <w:lang w:eastAsia="zh-CN"/>
              </w:rPr>
              <w:t>敏感[PMID: 30975627]</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101" w:hRule="atLeast"/>
          <w:tblHeader/>
          <w:jc w:val="center"/>
        </w:trPr>
        <w:tc>
          <w:tcPr>
            <w:tcW w:w="1128"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81"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421" w:type="dxa"/>
            <w:vAlign w:val="center"/>
          </w:tcPr>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830" w:type="dxa"/>
            <w:vAlign w:val="center"/>
          </w:tcPr>
          <w:p>
            <w:pPr>
              <w:spacing w:before="19"/>
              <w:ind w:right="-8" w:rightChars="0"/>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Cs/>
                <w:spacing w:val="-1"/>
                <w:sz w:val="18"/>
                <w:szCs w:val="18"/>
                <w:highlight w:val="none"/>
              </w:rPr>
              <w:t>恩美曲妥珠单抗</w:t>
            </w:r>
            <w:r>
              <w:rPr>
                <w:rFonts w:hint="eastAsia" w:ascii="Times New Roman" w:hAnsi="Times New Roman" w:eastAsia="微软雅黑" w:cs="Times New Roman"/>
                <w:spacing w:val="-1"/>
                <w:sz w:val="18"/>
                <w:szCs w:val="18"/>
                <w:highlight w:val="none"/>
                <w:lang w:eastAsia="zh-CN"/>
              </w:rPr>
              <w:t>[PMID: 29989854]</w:t>
            </w:r>
            <w:r>
              <w:rPr>
                <w:rFonts w:hint="eastAsia" w:ascii="Times New Roman" w:hAnsi="Times New Roman" w:eastAsia="微软雅黑" w:cs="Times New Roman"/>
                <w:bCs/>
                <w:spacing w:val="-1"/>
                <w:sz w:val="18"/>
                <w:szCs w:val="18"/>
                <w:highlight w:val="none"/>
                <w:lang w:eastAsia="zh-CN"/>
              </w:rPr>
              <w:t>和Trastuzumab deruxtecan [</w:t>
            </w:r>
            <w:r>
              <w:rPr>
                <w:rFonts w:ascii="Times New Roman" w:hAnsi="Times New Roman" w:eastAsia="Segoe UI" w:cs="Times New Roman"/>
                <w:color w:val="212121"/>
                <w:sz w:val="18"/>
                <w:szCs w:val="18"/>
                <w:highlight w:val="none"/>
                <w:shd w:val="clear" w:color="auto" w:fill="FFFFFF"/>
                <w:lang w:eastAsia="zh-CN"/>
              </w:rPr>
              <w:t>J Clin Oncol</w:t>
            </w:r>
            <w:r>
              <w:rPr>
                <w:rFonts w:hint="eastAsia" w:ascii="Times New Roman" w:hAnsi="Times New Roman" w:eastAsia="Segoe UI"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lang w:eastAsia="zh-CN"/>
              </w:rPr>
              <w:t xml:space="preserve"> 2020; 38</w:t>
            </w:r>
            <w:r>
              <w:rPr>
                <w:rFonts w:hint="eastAsia" w:ascii="Times New Roman" w:hAnsi="Times New Roman" w:eastAsia="Segoe UI" w:cs="Times New Roman"/>
                <w:color w:val="212121"/>
                <w:sz w:val="18"/>
                <w:szCs w:val="18"/>
                <w:highlight w:val="none"/>
                <w:shd w:val="clear" w:color="auto" w:fill="FFFFFF"/>
                <w:lang w:eastAsia="zh-CN"/>
              </w:rPr>
              <w:t>(suppl 15)</w:t>
            </w:r>
            <w:r>
              <w:rPr>
                <w:rFonts w:ascii="Times New Roman" w:hAnsi="Times New Roman" w:eastAsia="Segoe UI" w:cs="Times New Roman"/>
                <w:color w:val="212121"/>
                <w:sz w:val="18"/>
                <w:szCs w:val="18"/>
                <w:highlight w:val="none"/>
                <w:shd w:val="clear" w:color="auto" w:fill="FFFFFF"/>
                <w:lang w:eastAsia="zh-CN"/>
              </w:rPr>
              <w:t xml:space="preserve">: </w:t>
            </w:r>
            <w:r>
              <w:rPr>
                <w:rFonts w:hint="eastAsia" w:ascii="Times New Roman" w:hAnsi="Times New Roman" w:eastAsia="Segoe UI" w:cs="Times New Roman"/>
                <w:color w:val="212121"/>
                <w:sz w:val="18"/>
                <w:szCs w:val="18"/>
                <w:highlight w:val="none"/>
                <w:shd w:val="clear" w:color="auto" w:fill="FFFFFF"/>
                <w:lang w:eastAsia="zh-CN"/>
              </w:rPr>
              <w:t>a</w:t>
            </w:r>
            <w:r>
              <w:rPr>
                <w:rFonts w:ascii="Times New Roman" w:hAnsi="Times New Roman" w:eastAsia="Segoe UI" w:cs="Times New Roman"/>
                <w:color w:val="212121"/>
                <w:sz w:val="18"/>
                <w:szCs w:val="18"/>
                <w:highlight w:val="none"/>
                <w:shd w:val="clear" w:color="auto" w:fill="FFFFFF"/>
                <w:lang w:eastAsia="zh-CN"/>
              </w:rPr>
              <w:t>bstr</w:t>
            </w:r>
            <w:r>
              <w:rPr>
                <w:rFonts w:hint="eastAsia" w:ascii="Times New Roman" w:hAnsi="Times New Roman" w:eastAsia="Segoe UI" w:cs="Times New Roman"/>
                <w:color w:val="212121"/>
                <w:sz w:val="18"/>
                <w:szCs w:val="18"/>
                <w:highlight w:val="none"/>
                <w:shd w:val="clear" w:color="auto" w:fill="FFFFFF"/>
                <w:lang w:eastAsia="zh-CN"/>
              </w:rPr>
              <w:t xml:space="preserve"> </w:t>
            </w:r>
            <w:r>
              <w:rPr>
                <w:rFonts w:ascii="Times New Roman" w:hAnsi="Times New Roman" w:eastAsia="Segoe UI" w:cs="Times New Roman"/>
                <w:color w:val="212121"/>
                <w:sz w:val="18"/>
                <w:szCs w:val="18"/>
                <w:highlight w:val="none"/>
                <w:shd w:val="clear" w:color="auto" w:fill="FFFFFF"/>
                <w:lang w:eastAsia="zh-CN"/>
              </w:rPr>
              <w:t>9504</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HER2 20号外显子插入突变对</w:t>
            </w:r>
            <w:r>
              <w:rPr>
                <w:rFonts w:ascii="微软雅黑" w:hAnsi="微软雅黑" w:eastAsia="微软雅黑" w:cs="Times New Roman"/>
                <w:spacing w:val="-1"/>
                <w:sz w:val="18"/>
                <w:szCs w:val="18"/>
                <w:highlight w:val="none"/>
                <w:lang w:eastAsia="zh-CN"/>
              </w:rPr>
              <w:t>吡咯替尼敏感</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PMID: 30596880</w:t>
            </w:r>
            <w:r>
              <w:rPr>
                <w:rFonts w:hint="eastAsia" w:ascii="Times New Roman" w:hAnsi="Times New Roman" w:eastAsia="微软雅黑" w:cs="Times New Roman"/>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但</w:t>
            </w:r>
            <w:r>
              <w:rPr>
                <w:rFonts w:hint="eastAsia" w:ascii="Times New Roman" w:hAnsi="Times New Roman" w:eastAsia="微软雅黑" w:cs="Times New Roman"/>
                <w:spacing w:val="-1"/>
                <w:sz w:val="18"/>
                <w:szCs w:val="18"/>
                <w:highlight w:val="none"/>
                <w:lang w:eastAsia="zh-CN"/>
              </w:rPr>
              <w:t>HER2突变</w:t>
            </w:r>
            <w:r>
              <w:rPr>
                <w:rFonts w:ascii="微软雅黑" w:hAnsi="微软雅黑" w:eastAsia="微软雅黑" w:cs="Times New Roman"/>
                <w:spacing w:val="-1"/>
                <w:sz w:val="18"/>
                <w:szCs w:val="18"/>
                <w:highlight w:val="none"/>
                <w:lang w:eastAsia="zh-CN"/>
              </w:rPr>
              <w:t>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lang w:eastAsia="zh-CN"/>
              </w:rPr>
              <w:t>PMID: 22325357; PMID: 22761469]</w:t>
            </w:r>
            <w:r>
              <w:rPr>
                <w:rFonts w:ascii="微软雅黑" w:hAnsi="微软雅黑" w:eastAsia="微软雅黑" w:cs="Times New Roman"/>
                <w:spacing w:val="-1"/>
                <w:sz w:val="18"/>
                <w:szCs w:val="18"/>
                <w:highlight w:val="none"/>
                <w:lang w:eastAsia="zh-CN"/>
              </w:rPr>
              <w:t>。</w:t>
            </w:r>
          </w:p>
        </w:tc>
      </w:tr>
    </w:tbl>
    <w:p>
      <w:pPr>
        <w:rPr>
          <w:highlight w:val="none"/>
          <w:lang w:eastAsia="zh-CN"/>
        </w:rPr>
      </w:pPr>
      <w:r>
        <w:rPr>
          <w:highlight w:val="none"/>
          <w:lang w:eastAsia="zh-CN"/>
        </w:rPr>
        <w:br w:type="page"/>
      </w:r>
    </w:p>
    <w:tbl>
      <w:tblPr>
        <w:tblStyle w:val="14"/>
        <w:tblpPr w:leftFromText="180" w:rightFromText="180" w:vertAnchor="text" w:horzAnchor="page" w:tblpXSpec="center" w:tblpY="224"/>
        <w:tblOverlap w:val="never"/>
        <w:tblW w:w="10039"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115"/>
        <w:gridCol w:w="681"/>
        <w:gridCol w:w="4421"/>
        <w:gridCol w:w="382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4"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81" w:type="dxa"/>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421"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2" w:type="dxa"/>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883"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421" w:type="dxa"/>
            <w:vAlign w:val="center"/>
          </w:tcPr>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jc w:val="left"/>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tc>
        <w:tc>
          <w:tcPr>
            <w:tcW w:w="382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ascii="Times New Roman" w:hAnsi="Times New Roman" w:cs="Times New Roman"/>
                <w:sz w:val="18"/>
                <w:szCs w:val="18"/>
                <w:highlight w:val="none"/>
                <w:shd w:val="clear" w:color="auto" w:fill="FFFFFF"/>
                <w:lang w:eastAsia="zh-CN"/>
              </w:rPr>
              <w:t>PMID: 18349398</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cs="Times New Roman"/>
                <w:sz w:val="18"/>
                <w:szCs w:val="18"/>
                <w:highlight w:val="none"/>
                <w:shd w:val="clear" w:color="auto" w:fill="FFFFFF"/>
                <w:lang w:eastAsia="zh-CN"/>
              </w:rPr>
              <w:t>PMID: 23401440</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eastAsia="Segoe UI" w:cs="Times New Roman"/>
                <w:sz w:val="18"/>
                <w:szCs w:val="18"/>
                <w:highlight w:val="none"/>
                <w:shd w:val="clear" w:color="auto" w:fill="FFFFFF"/>
                <w:lang w:eastAsia="zh-CN"/>
              </w:rPr>
              <w:t>PMID:</w:t>
            </w:r>
            <w:r>
              <w:rPr>
                <w:rFonts w:ascii="Times New Roman" w:hAnsi="Times New Roman" w:eastAsia="Segoe UI" w:cs="Times New Roman"/>
                <w:b/>
                <w:bCs/>
                <w:sz w:val="18"/>
                <w:szCs w:val="18"/>
                <w:highlight w:val="none"/>
                <w:shd w:val="clear" w:color="auto" w:fill="FFFFFF"/>
                <w:lang w:eastAsia="zh-CN"/>
              </w:rPr>
              <w:t> </w:t>
            </w:r>
            <w:r>
              <w:rPr>
                <w:rStyle w:val="16"/>
                <w:rFonts w:ascii="Times New Roman" w:hAnsi="Times New Roman" w:eastAsia="Segoe UI" w:cs="Times New Roman"/>
                <w:b w:val="0"/>
                <w:bCs/>
                <w:sz w:val="18"/>
                <w:szCs w:val="18"/>
                <w:highlight w:val="none"/>
                <w:shd w:val="clear" w:color="auto" w:fill="FFFFFF"/>
                <w:lang w:eastAsia="zh-CN"/>
              </w:rPr>
              <w:t>18024870</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baseline"/>
                <w:lang w:val="en-US" w:eastAsia="zh-CN"/>
              </w:rPr>
              <w:t>[PMID: 32955176]</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930"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421"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822" w:type="dxa"/>
            <w:vAlign w:val="center"/>
          </w:tcPr>
          <w:p>
            <w:pPr>
              <w:spacing w:before="19"/>
              <w:ind w:right="-8" w:rightChars="0"/>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非小细胞肺癌中，高水平的</w:t>
            </w:r>
            <w:r>
              <w:rPr>
                <w:rFonts w:ascii="Times New Roman" w:hAnsi="Times New Roman" w:eastAsia="微软雅黑" w:cs="Times New Roman"/>
                <w:spacing w:val="-1"/>
                <w:sz w:val="18"/>
                <w:szCs w:val="18"/>
                <w:highlight w:val="none"/>
                <w:lang w:eastAsia="zh-CN"/>
              </w:rPr>
              <w:t>MET扩增对克唑替尼</w:t>
            </w:r>
            <w:r>
              <w:rPr>
                <w:rFonts w:hint="eastAsia" w:ascii="Times New Roman" w:hAnsi="Times New Roman" w:eastAsia="微软雅黑" w:cs="Times New Roman"/>
                <w:spacing w:val="-1"/>
                <w:sz w:val="18"/>
                <w:szCs w:val="18"/>
                <w:highlight w:val="none"/>
                <w:lang w:eastAsia="zh-CN"/>
              </w:rPr>
              <w:t>[PMID: 21623265; J Clin Oncol. 2014;32(suppl 15): abstr 8001]</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Capmatinib [PMID: 32877583]</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，MET外显子14跳跃突变对Capmatinib [PMID: 32877583]</w:t>
            </w:r>
            <w:r>
              <w:rPr>
                <w:rFonts w:hint="eastAsia" w:ascii="微软雅黑" w:hAnsi="微软雅黑" w:eastAsia="微软雅黑" w:cs="Times New Roman"/>
                <w:spacing w:val="-1"/>
                <w:sz w:val="18"/>
                <w:szCs w:val="18"/>
                <w:highlight w:val="none"/>
                <w:lang w:eastAsia="zh-CN"/>
              </w:rPr>
              <w:t>、赛沃</w:t>
            </w:r>
            <w:r>
              <w:rPr>
                <w:rFonts w:ascii="微软雅黑" w:hAnsi="微软雅黑" w:eastAsia="微软雅黑" w:cs="Times New Roman"/>
                <w:spacing w:val="-1"/>
                <w:sz w:val="18"/>
                <w:szCs w:val="18"/>
                <w:highlight w:val="none"/>
                <w:lang w:eastAsia="zh-CN"/>
              </w:rPr>
              <w:t>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Segoe UI" w:cs="Times New Roman"/>
                <w:color w:val="212121"/>
                <w:sz w:val="18"/>
                <w:szCs w:val="18"/>
                <w:highlight w:val="none"/>
                <w:shd w:val="clear" w:color="auto" w:fill="FFFFFF"/>
              </w:rPr>
              <w:t>J Clin Oncol</w:t>
            </w:r>
            <w:r>
              <w:rPr>
                <w:rFonts w:hint="eastAsia" w:ascii="Times New Roman" w:hAnsi="Times New Roman"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rPr>
              <w:t xml:space="preserve"> 2020</w:t>
            </w:r>
            <w:r>
              <w:rPr>
                <w:rFonts w:hint="eastAsia" w:ascii="Times New Roman" w:hAnsi="Times New Roman"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rPr>
              <w:t>38(suppl</w:t>
            </w:r>
            <w:r>
              <w:rPr>
                <w:rFonts w:hint="eastAsia" w:ascii="Times New Roman" w:hAnsi="Times New Roman" w:cs="Times New Roman"/>
                <w:color w:val="212121"/>
                <w:sz w:val="18"/>
                <w:szCs w:val="18"/>
                <w:highlight w:val="none"/>
                <w:shd w:val="clear" w:color="auto" w:fill="FFFFFF"/>
                <w:lang w:eastAsia="zh-CN"/>
              </w:rPr>
              <w:t xml:space="preserve"> 15): </w:t>
            </w:r>
            <w:r>
              <w:rPr>
                <w:rFonts w:ascii="Times New Roman" w:hAnsi="Times New Roman" w:eastAsia="Segoe UI" w:cs="Times New Roman"/>
                <w:color w:val="212121"/>
                <w:sz w:val="18"/>
                <w:szCs w:val="18"/>
                <w:highlight w:val="none"/>
                <w:shd w:val="clear" w:color="auto" w:fill="FFFFFF"/>
              </w:rPr>
              <w:t>abstr 9519</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克唑替尼[PMID: 31932802]、</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敏感[PMID: 32469185]；并且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hint="eastAsia" w:ascii="Times New Roman" w:hAnsi="Times New Roman" w:eastAsia="微软雅黑" w:cs="Times New Roman"/>
                <w:spacing w:val="-1"/>
                <w:sz w:val="18"/>
                <w:szCs w:val="18"/>
                <w:highlight w:val="none"/>
                <w:lang w:eastAsia="zh-CN"/>
              </w:rPr>
              <w:t>[PMID: 29624806; PMID: 31131689; PMID: 27528220; PMID: 29571987]</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13"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421"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822" w:type="dxa"/>
            <w:vAlign w:val="center"/>
          </w:tcPr>
          <w:p>
            <w:pPr>
              <w:spacing w:before="19"/>
              <w:ind w:right="-8" w:rightChars="0"/>
              <w:jc w:val="lef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lang w:eastAsia="zh-CN"/>
              </w:rPr>
              <w:t>肺癌中，R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融合对仑伐替尼敏感</w:t>
            </w:r>
            <w:r>
              <w:rPr>
                <w:rFonts w:ascii="Times New Roman" w:hAnsi="Times New Roman" w:eastAsia="微软雅黑" w:cs="Times New Roman"/>
                <w:spacing w:val="-1"/>
                <w:sz w:val="18"/>
                <w:szCs w:val="18"/>
                <w:highlight w:val="none"/>
                <w:lang w:eastAsia="zh-CN"/>
              </w:rPr>
              <w:t>[PMID: 31710864]</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非小细胞肺癌中，RET融合和突变对Selpercatinib敏感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lang w:eastAsia="zh-CN"/>
              </w:rPr>
              <w:t>、R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融合对普拉替尼敏感[</w:t>
            </w:r>
            <w:r>
              <w:rPr>
                <w:rFonts w:ascii="Times New Roman" w:hAnsi="Times New Roman" w:eastAsia="微软雅黑" w:cs="Times New Roman"/>
                <w:sz w:val="18"/>
                <w:szCs w:val="18"/>
                <w:highlight w:val="none"/>
                <w:lang w:eastAsia="zh-CN"/>
              </w:rPr>
              <w:t xml:space="preserve"> PMID: 33771190</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，临床试验研究表明，RET融合对卡博替尼[PMID: 27825636]和凡德他尼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ascii="Times New Roman" w:hAnsi="Times New Roman" w:eastAsia="微软雅黑" w:cs="Times New Roman"/>
                <w:spacing w:val="-1"/>
                <w:sz w:val="18"/>
                <w:szCs w:val="18"/>
                <w:highlight w:val="none"/>
              </w:rPr>
              <w:t>敏感；凡德他尼是多靶点激酶抑制剂，RET是靶点之一</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671"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421"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6" w:rightChars="0"/>
              <w:jc w:val="left"/>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822" w:type="dxa"/>
            <w:vAlign w:val="center"/>
          </w:tcPr>
          <w:p>
            <w:pPr>
              <w:spacing w:before="19"/>
              <w:ind w:right="62" w:rightChars="0"/>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30980071;</w:t>
            </w:r>
            <w:r>
              <w:rPr>
                <w:highlight w:val="none"/>
              </w:rPr>
              <w:t xml:space="preserve"> </w:t>
            </w:r>
            <w:r>
              <w:rPr>
                <w:rFonts w:ascii="Times New Roman" w:hAnsi="Times New Roman" w:eastAsia="微软雅黑" w:cs="Times New Roman"/>
                <w:spacing w:val="-1"/>
                <w:sz w:val="18"/>
                <w:szCs w:val="18"/>
                <w:highlight w:val="none"/>
                <w:lang w:eastAsia="zh-CN"/>
              </w:rPr>
              <w:t>PMID</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29596029]</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塞瑞替尼[PMID: 28520527]、</w:t>
            </w:r>
            <w:r>
              <w:rPr>
                <w:rFonts w:ascii="Times New Roman" w:hAnsi="Times New Roman" w:eastAsia="微软雅黑" w:cs="Times New Roman"/>
                <w:spacing w:val="-1"/>
                <w:sz w:val="18"/>
                <w:szCs w:val="18"/>
                <w:highlight w:val="none"/>
                <w:lang w:eastAsia="zh-CN"/>
              </w:rPr>
              <w:t>恩曲替尼</w:t>
            </w:r>
            <w:r>
              <w:rPr>
                <w:rFonts w:hint="eastAsia" w:ascii="Times New Roman" w:hAnsi="Times New Roman" w:eastAsia="微软雅黑" w:cs="Times New Roman"/>
                <w:spacing w:val="-1"/>
                <w:sz w:val="18"/>
                <w:szCs w:val="18"/>
                <w:highlight w:val="none"/>
                <w:lang w:eastAsia="zh-CN"/>
              </w:rPr>
              <w:t>[PMID: 31838015]</w:t>
            </w:r>
            <w:r>
              <w:rPr>
                <w:rFonts w:ascii="Times New Roman" w:hAnsi="Times New Roman" w:eastAsia="微软雅黑" w:cs="Times New Roman"/>
                <w:spacing w:val="-1"/>
                <w:sz w:val="18"/>
                <w:szCs w:val="18"/>
                <w:highlight w:val="none"/>
              </w:rPr>
              <w:t>、劳拉替尼[PMID: 31669155]敏感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30568455; PMID: 31124056]</w:t>
            </w:r>
            <w:r>
              <w:rPr>
                <w:rFonts w:ascii="Times New Roman" w:hAnsi="Times New Roman" w:eastAsia="微软雅黑" w:cs="Times New Roman"/>
                <w:spacing w:val="-1"/>
                <w:sz w:val="18"/>
                <w:szCs w:val="18"/>
                <w:highlight w:val="none"/>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bookmarkEnd w:id="19"/>
    <w:bookmarkEnd w:id="86"/>
    <w:bookmarkEnd w:id="87"/>
    <w:bookmarkEnd w:id="88"/>
    <w:bookmarkEnd w:id="89"/>
    <w:bookmarkEnd w:id="90"/>
    <w:bookmarkEnd w:id="91"/>
    <w:bookmarkEnd w:id="92"/>
    <w:p>
      <w:pPr>
        <w:pStyle w:val="26"/>
        <w:rPr>
          <w:highlight w:val="none"/>
        </w:rPr>
      </w:pPr>
      <w:bookmarkStart w:id="93" w:name="_Toc27693"/>
      <w:bookmarkStart w:id="94" w:name="_Toc20924"/>
      <w:bookmarkStart w:id="95" w:name="_Toc20170_WPSOffice_Level1"/>
      <w:bookmarkStart w:id="96" w:name="_Toc12702"/>
      <w:bookmarkStart w:id="97" w:name="_Toc31185"/>
      <w:bookmarkStart w:id="98" w:name="_Toc26985_WPSOffice_Level1"/>
      <w:bookmarkStart w:id="99" w:name="_Toc28454_WPSOffice_Level1"/>
      <w:r>
        <w:rPr>
          <w:highlight w:val="none"/>
        </w:rPr>
        <w:t>检测流程</w:t>
      </w:r>
      <w:bookmarkEnd w:id="93"/>
      <w:bookmarkEnd w:id="94"/>
      <w:bookmarkEnd w:id="95"/>
      <w:bookmarkEnd w:id="96"/>
      <w:bookmarkEnd w:id="97"/>
      <w:bookmarkEnd w:id="98"/>
      <w:bookmarkEnd w:id="99"/>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100" w:name="_Toc3149_WPSOffice_Level2"/>
      <w:bookmarkStart w:id="101" w:name="_Toc19277_WPSOffice_Level2"/>
      <w:r>
        <w:rPr>
          <w:rFonts w:ascii="Times New Roman" w:hAnsi="Times New Roman" w:eastAsia="微软雅黑" w:cs="Times New Roman"/>
          <w:color w:val="416AAB"/>
          <w:sz w:val="72"/>
          <w:szCs w:val="72"/>
          <w:highlight w:val="none"/>
          <w:lang w:eastAsia="zh-CN"/>
        </w:rPr>
        <w:t>2</w:t>
      </w:r>
      <w:bookmarkEnd w:id="100"/>
      <w:bookmarkEnd w:id="101"/>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102" w:name="_Toc206_WPSOffice_Level2"/>
      <w:bookmarkStart w:id="103" w:name="_Toc17014_WPSOffice_Level2"/>
      <w:r>
        <w:rPr>
          <w:rFonts w:ascii="Times New Roman" w:hAnsi="Times New Roman" w:eastAsia="微软雅黑" w:cs="Times New Roman"/>
          <w:color w:val="416AAB"/>
          <w:sz w:val="72"/>
          <w:szCs w:val="72"/>
          <w:highlight w:val="none"/>
          <w:lang w:eastAsia="zh-CN"/>
        </w:rPr>
        <w:t>3</w:t>
      </w:r>
      <w:bookmarkEnd w:id="102"/>
      <w:bookmarkEnd w:id="103"/>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104" w:name="_Toc50_WPSOffice_Level2"/>
      <w:bookmarkStart w:id="105" w:name="_Toc17792_WPSOffice_Level2"/>
      <w:r>
        <w:rPr>
          <w:rFonts w:ascii="Times New Roman" w:hAnsi="Times New Roman" w:eastAsia="微软雅黑" w:cs="Times New Roman"/>
          <w:color w:val="416AAB"/>
          <w:sz w:val="72"/>
          <w:szCs w:val="72"/>
          <w:highlight w:val="none"/>
          <w:lang w:eastAsia="zh-CN"/>
        </w:rPr>
        <w:t>4</w:t>
      </w:r>
      <w:bookmarkEnd w:id="104"/>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6"/>
        <w:rPr>
          <w:highlight w:val="none"/>
        </w:rPr>
      </w:pPr>
      <w:bookmarkStart w:id="106" w:name="_Toc18954"/>
      <w:bookmarkStart w:id="107" w:name="_Toc27809"/>
      <w:bookmarkStart w:id="108" w:name="_Toc11901"/>
      <w:bookmarkStart w:id="109" w:name="_Toc4503"/>
      <w:bookmarkStart w:id="110" w:name="_Toc19584_WPSOffice_Level1"/>
      <w:bookmarkStart w:id="111" w:name="_Toc13275"/>
      <w:bookmarkStart w:id="112" w:name="_Toc22162_WPSOffice_Level1"/>
      <w:bookmarkStart w:id="113" w:name="_Toc22623"/>
      <w:bookmarkStart w:id="114" w:name="_Toc14611_WPSOffice_Level1"/>
      <w:r>
        <w:rPr>
          <w:highlight w:val="none"/>
        </w:rPr>
        <w:t>参考文献</w:t>
      </w:r>
      <w:bookmarkEnd w:id="106"/>
      <w:bookmarkEnd w:id="107"/>
      <w:bookmarkEnd w:id="108"/>
      <w:bookmarkEnd w:id="109"/>
    </w:p>
    <w:bookmarkEnd w:id="105"/>
    <w:bookmarkEnd w:id="110"/>
    <w:bookmarkEnd w:id="111"/>
    <w:bookmarkEnd w:id="112"/>
    <w:bookmarkEnd w:id="113"/>
    <w:bookmarkEnd w:id="114"/>
    <w:p>
      <w:pPr>
        <w:numPr>
          <w:ilvl w:val="0"/>
          <w:numId w:val="0"/>
        </w:numPr>
        <w:spacing w:after="84" w:line="260" w:lineRule="auto"/>
        <w:ind w:leftChars="0"/>
        <w:rPr>
          <w:rFonts w:ascii="Times New Roman" w:hAnsi="Times New Roman" w:cs="Times New Roman"/>
          <w:sz w:val="15"/>
          <w:szCs w:val="15"/>
          <w:highlight w:val="none"/>
        </w:rPr>
      </w:pPr>
    </w:p>
    <w:p>
      <w:pPr>
        <w:pStyle w:val="30"/>
        <w:spacing w:line="360" w:lineRule="auto"/>
        <w:ind w:firstLine="0" w:firstLineChars="0"/>
        <w:rPr>
          <w:rFonts w:ascii="Times New Roman" w:hAnsi="Times New Roman" w:cs="Times New Roman"/>
          <w:sz w:val="15"/>
          <w:szCs w:val="15"/>
          <w:highlight w:val="none"/>
        </w:rPr>
      </w:pPr>
      <w:r>
        <w:rPr>
          <w:rFonts w:ascii="Times New Roman" w:hAnsi="Times New Roman" w:cs="Times New Roman"/>
          <w:sz w:val="15"/>
          <w:szCs w:val="15"/>
          <w:highlight w:val="none"/>
        </w:rPr>
        <w:t>Solomon BJ, Mok T, Kim DW, et al. First-line crizotinib versus chemotherapy in ALK-positive lung cancer. N Engl J Med. 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371(23):2167-77. </w:t>
      </w:r>
      <w:r>
        <w:rPr>
          <w:rFonts w:ascii="Times New Roman" w:hAnsi="Times New Roman" w:eastAsia="微软雅黑" w:cs="Times New Roman"/>
          <w:sz w:val="15"/>
          <w:szCs w:val="15"/>
          <w:highlight w:val="none"/>
          <w:lang w:eastAsia="zh-CN"/>
        </w:rPr>
        <w:t>[</w:t>
      </w:r>
      <w:r>
        <w:rPr>
          <w:rFonts w:ascii="Times New Roman" w:hAnsi="Times New Roman" w:cs="Times New Roman"/>
          <w:sz w:val="15"/>
          <w:szCs w:val="15"/>
          <w:highlight w:val="none"/>
        </w:rPr>
        <w:t>PMID: 25470694</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Soria JC, Tan DSW, Chiari R, </w:t>
      </w:r>
      <w:r>
        <w:rPr>
          <w:rFonts w:ascii="Times New Roman" w:hAnsi="Times New Roman" w:cs="Times New Roman"/>
          <w:sz w:val="15"/>
          <w:szCs w:val="15"/>
          <w:highlight w:val="none"/>
        </w:rPr>
        <w:t>et al</w:t>
      </w:r>
      <w:r>
        <w:rPr>
          <w:rFonts w:ascii="Times New Roman" w:hAnsi="Times New Roman" w:cs="Times New Roman"/>
          <w:sz w:val="15"/>
          <w:szCs w:val="15"/>
          <w:highlight w:val="none"/>
          <w:lang w:eastAsia="zh-CN"/>
        </w:rPr>
        <w:t>. First-line ceritinib versus platinum-based chemotherapy in advanced ALK-rearranged non-small-cell lung cancer (ASCEND-4): a randomised, open-label, phase 3 study. Lancet. 2017;389(10072):917-929. [PMID: 28126333]</w:t>
      </w:r>
    </w:p>
    <w:p>
      <w:pPr>
        <w:pStyle w:val="30"/>
        <w:spacing w:line="360" w:lineRule="auto"/>
        <w:ind w:firstLine="0" w:firstLineChars="0"/>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Peters S, Camidge DR, Shaw AT, et al. Alectinib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rizotinib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2017;377(9):829-838. [PMID: 28586279]</w:t>
      </w:r>
    </w:p>
    <w:p>
      <w:pPr>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Camidge DR, Kim HR, Ahn MJ, et al. Brigatinib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rizotinib in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 379(21):2027-2039. [PMID: 30280657]</w:t>
      </w:r>
    </w:p>
    <w:p>
      <w:pPr>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Bauer TM, de Marinis F,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First-</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ine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orlatinib or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rizotinib in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dvanced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N Engl J Med.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383(21):2018-2029.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33207094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Horn L, Infante JR, Reckamp KL,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Ensartinib (X-396) in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mall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ancer: Results from a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irst-in-</w:t>
      </w:r>
      <w:r>
        <w:rPr>
          <w:rFonts w:hint="eastAsia" w:ascii="Times New Roman" w:hAnsi="Times New Roman" w:cs="Times New Roman"/>
          <w:sz w:val="15"/>
          <w:szCs w:val="15"/>
          <w:highlight w:val="none"/>
          <w:shd w:val="clear" w:color="auto" w:fill="FFFFFF"/>
          <w:lang w:eastAsia="zh-CN"/>
        </w:rPr>
        <w:t>h</w:t>
      </w:r>
      <w:r>
        <w:rPr>
          <w:rFonts w:ascii="Times New Roman" w:hAnsi="Times New Roman" w:eastAsia="Segoe UI" w:cs="Times New Roman"/>
          <w:sz w:val="15"/>
          <w:szCs w:val="15"/>
          <w:highlight w:val="none"/>
          <w:shd w:val="clear" w:color="auto" w:fill="FFFFFF"/>
        </w:rPr>
        <w:t xml:space="preserve">uman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I/II,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ulticenter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tudy. Clin Cancer Res. 2018</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24(12):2771-2779.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29563138</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Yeap BY, Mino-Kenudson 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Clinical features and outcome of patients with non-small-cell lung cancer who harbor EML4-ALK. J Clin Oncol. 2009</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27(26):4247-53.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19667264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Katayama R, Shaw AT, Khan TM,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Mechanisms of acquired crizotinib resistance in ALK-rearranged lung Cancers. Sci Transl Med. 2012</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4(120):120ra17.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22277784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Friboulet L, Li N, Katayama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The ALK inhibitor ceritinib overcomes crizotinib resistance in non-small cell lung cancer. Cancer Discov. 2014</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4(6):662-673.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24675041</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5(1):34-7.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26579422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Segoe UI" w:cs="Times New Roman"/>
          <w:sz w:val="15"/>
          <w:szCs w:val="15"/>
          <w:highlight w:val="none"/>
          <w:shd w:val="clear" w:color="auto" w:fill="FFFFFF"/>
        </w:rPr>
        <w:t xml:space="preserve">Hainsworth JD, Meric-Bernstam F, Swanton C,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Targeted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herapy for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dvanced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olid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umors on the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asis of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olecular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rofiles: Results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 xml:space="preserve">rom MyPathway, an </w:t>
      </w:r>
      <w:r>
        <w:rPr>
          <w:rFonts w:hint="eastAsia" w:ascii="Times New Roman" w:hAnsi="Times New Roman" w:cs="Times New Roman"/>
          <w:sz w:val="15"/>
          <w:szCs w:val="15"/>
          <w:highlight w:val="none"/>
          <w:shd w:val="clear" w:color="auto" w:fill="FFFFFF"/>
          <w:lang w:eastAsia="zh-CN"/>
        </w:rPr>
        <w:t>o</w:t>
      </w:r>
      <w:r>
        <w:rPr>
          <w:rFonts w:ascii="Times New Roman" w:hAnsi="Times New Roman" w:eastAsia="Segoe UI" w:cs="Times New Roman"/>
          <w:sz w:val="15"/>
          <w:szCs w:val="15"/>
          <w:highlight w:val="none"/>
          <w:shd w:val="clear" w:color="auto" w:fill="FFFFFF"/>
        </w:rPr>
        <w:t>pen-</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abel,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IIa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ultiple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asket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tudy. J Clin Oncol. 2018;36(6):536-542. </w:t>
      </w:r>
      <w:r>
        <w:rPr>
          <w:rFonts w:ascii="Times New Roman" w:hAnsi="Times New Roman" w:eastAsia="微软雅黑" w:cs="Times New Roman"/>
          <w:spacing w:val="-1"/>
          <w:sz w:val="15"/>
          <w:szCs w:val="15"/>
          <w:highlight w:val="none"/>
          <w:lang w:eastAsia="zh-CN"/>
        </w:rPr>
        <w:t xml:space="preserve">[PMID: 29320312]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Planchard D, Kim TM, Mazieres J, et al. Dabrafenib in patients with BRAF(V600E)-positive advanced non-small-cell lung cancer: a single-arm, multicentre, open-label, phase 2 trial. Lancet Oncol. 2016;17(5):642-50. [PMID: 27080216]</w:t>
      </w:r>
    </w:p>
    <w:p>
      <w:pPr>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Planchard D, Smit EF, Groen HJM, et al. </w:t>
      </w:r>
      <w:r>
        <w:rPr>
          <w:rFonts w:ascii="Times New Roman" w:hAnsi="Times New Roman" w:cs="Times New Roman"/>
          <w:sz w:val="15"/>
          <w:szCs w:val="15"/>
          <w:highlight w:val="none"/>
        </w:rPr>
        <w:t>Dabrafenib plus trametinib in patients with previously untreated BRAF V600E-mutant metastatic non-small-cell lung cancer: an open-label, phase 2 trial</w:t>
      </w:r>
      <w:r>
        <w:rPr>
          <w:rFonts w:ascii="Times New Roman" w:hAnsi="Times New Roman" w:cs="Times New Roman"/>
          <w:sz w:val="15"/>
          <w:szCs w:val="15"/>
          <w:highlight w:val="none"/>
          <w:lang w:eastAsia="zh-CN"/>
        </w:rPr>
        <w:t>. Lancet Oncol. 2017;18: 1307-1316. [</w:t>
      </w:r>
      <w:r>
        <w:rPr>
          <w:rFonts w:ascii="Times New Roman" w:hAnsi="Times New Roman" w:cs="Times New Roman"/>
          <w:sz w:val="15"/>
          <w:szCs w:val="15"/>
          <w:highlight w:val="none"/>
        </w:rPr>
        <w:t>PMID: 28919011</w:t>
      </w:r>
      <w:r>
        <w:rPr>
          <w:rFonts w:ascii="Times New Roman" w:hAnsi="Times New Roman" w:cs="Times New Roman"/>
          <w:sz w:val="15"/>
          <w:szCs w:val="15"/>
          <w:highlight w:val="none"/>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Nakagawa K, Garon EB, Seto T,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31591063</w:t>
      </w:r>
      <w:r>
        <w:rPr>
          <w:rFonts w:ascii="Times New Roman" w:hAnsi="Times New Roman" w:cs="Times New Roman"/>
          <w:sz w:val="15"/>
          <w:szCs w:val="15"/>
          <w:highlight w:val="none"/>
          <w:shd w:val="clear" w:color="auto" w:fill="FFFFFF"/>
          <w:lang w:eastAsia="zh-CN"/>
        </w:rPr>
        <w:t>]</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lang w:eastAsia="zh-CN"/>
        </w:rPr>
        <w:t xml:space="preserve">Soria JC, Ohe Y, Vansteenkiste J, et al. Osimertinib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EGFR-</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lang w:eastAsia="zh-CN"/>
        </w:rPr>
        <w:t xml:space="preserve">utated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2018;378(2):113-125. [</w:t>
      </w:r>
      <w:r>
        <w:rPr>
          <w:rFonts w:ascii="Times New Roman" w:hAnsi="Times New Roman" w:eastAsia="微软雅黑" w:cs="Times New Roman"/>
          <w:sz w:val="15"/>
          <w:szCs w:val="15"/>
          <w:highlight w:val="none"/>
          <w:lang w:eastAsia="zh-CN"/>
        </w:rPr>
        <w:t>PMID: 29151359]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Yang JCH, Camidge DR, Yang CT, et al.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 xml:space="preserve">Safety,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fficacy, and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harmacokinetics of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lmonertinib (HS-10296)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retreated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EGFR-</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utated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NSCLC: A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ulticenter,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pen-label,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hase 1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rial. J Thorac Oncol. 2020;15(12):1907-1918.</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[PMID: 32916310]</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Shi Y, Hu X, Zhang S, et al. Efficacy and safety of alflutinib (AST2818) in patients with T790M mutation-positive NSCLC: A phase IIb multicenter single-arm study. J Clin Oncol. 2020;38(suppl 15): abstr 9602.</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Robichaux JP, Elamin YY, Tan Z, et al. Mechanisms and clinical activity of an EGFR and HER2 exon 20-selective kinase inhibitor in non-small cell lung cancer. Nat Med. 2018;24(5):638-646. [PMID: 29686424]</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[No authors listed]. Poziotinib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hows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romise for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are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ancer. Cancer Discov. 2018;8(1):OF4. doi: 10.1158/2159-8290. [PMID: 29162564]</w:t>
      </w:r>
    </w:p>
    <w:p>
      <w:pPr>
        <w:widowControl/>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 xml:space="preserve">Saito H, Fukuhara T, Furuya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30975627</w:t>
      </w:r>
      <w:r>
        <w:rPr>
          <w:rFonts w:ascii="Times New Roman" w:hAnsi="Times New Roman" w:cs="Times New Roman"/>
          <w:sz w:val="15"/>
          <w:szCs w:val="15"/>
          <w:highlight w:val="none"/>
          <w:shd w:val="clear" w:color="auto" w:fill="FFFFFF"/>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r>
        <w:rPr>
          <w:rFonts w:hint="eastAsia" w:ascii="Times New Roman" w:hAnsi="Times New Roman" w:cs="Times New Roman"/>
          <w:sz w:val="15"/>
          <w:szCs w:val="15"/>
          <w:highlight w:val="none"/>
          <w:lang w:val="en-US" w:eastAsia="zh-CN"/>
        </w:rPr>
        <w:t xml:space="preserve"> [PMID: 32414908]</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rastuzumab </w:t>
      </w:r>
      <w:r>
        <w:rPr>
          <w:rFonts w:hint="eastAsia" w:ascii="Times New Roman" w:hAnsi="Times New Roman" w:cs="Times New Roman"/>
          <w:sz w:val="15"/>
          <w:szCs w:val="15"/>
          <w:highlight w:val="none"/>
          <w:lang w:eastAsia="zh-CN"/>
        </w:rPr>
        <w:t>e</w:t>
      </w:r>
      <w:r>
        <w:rPr>
          <w:rFonts w:ascii="Times New Roman" w:hAnsi="Times New Roman" w:cs="Times New Roman"/>
          <w:sz w:val="15"/>
          <w:szCs w:val="15"/>
          <w:highlight w:val="none"/>
        </w:rPr>
        <w:t>mtansine for</w:t>
      </w:r>
      <w:r>
        <w:rPr>
          <w:rFonts w:hint="eastAsia" w:ascii="Times New Roman" w:hAnsi="Times New Roman" w:cs="Times New Roman"/>
          <w:sz w:val="15"/>
          <w:szCs w:val="15"/>
          <w:highlight w:val="none"/>
          <w:lang w:eastAsia="zh-CN"/>
        </w:rPr>
        <w:t xml:space="preserve"> p</w:t>
      </w:r>
      <w:r>
        <w:rPr>
          <w:rFonts w:ascii="Times New Roman" w:hAnsi="Times New Roman" w:cs="Times New Roman"/>
          <w:sz w:val="15"/>
          <w:szCs w:val="15"/>
          <w:highlight w:val="none"/>
        </w:rPr>
        <w:t xml:space="preserve">atients </w:t>
      </w:r>
      <w:r>
        <w:rPr>
          <w:rFonts w:hint="eastAsia" w:ascii="Times New Roman" w:hAnsi="Times New Roman" w:cs="Times New Roman"/>
          <w:sz w:val="15"/>
          <w:szCs w:val="15"/>
          <w:highlight w:val="none"/>
          <w:lang w:eastAsia="zh-CN"/>
        </w:rPr>
        <w:t>w</w:t>
      </w:r>
      <w:r>
        <w:rPr>
          <w:rFonts w:ascii="Times New Roman" w:hAnsi="Times New Roman" w:cs="Times New Roman"/>
          <w:sz w:val="15"/>
          <w:szCs w:val="15"/>
          <w:highlight w:val="none"/>
        </w:rPr>
        <w:t>ith HER2-</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utant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ancers: Results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rom a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hase II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asket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w:t>
      </w:r>
      <w:r>
        <w:rPr>
          <w:rFonts w:ascii="Times New Roman" w:hAnsi="Times New Roman" w:eastAsia="Times New Roman" w:cs="Times New Roman"/>
          <w:sz w:val="15"/>
          <w:szCs w:val="15"/>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36(24):2532-2537.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29989854</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Wang Y, Jiang T, Qin Z, et al. HER2 exon 20 insertions in non-small-cell lung cancer are sensitive to the irreversible pan-HER receptor tyrosine kinase inhibitor pyrotinib.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30(3):447-455.</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30596880</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Grève J, Teugels E, Geers C, et al. Clinical activity of Afatinib (BIBW 2992) in patients with lung adenocarcinoma with mutations in the kinase domain of HER2/neu.</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Lung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76(1): 123-127.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22325357]</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18(18): 4910-4918.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22761469]</w:t>
      </w:r>
    </w:p>
    <w:p>
      <w:pPr>
        <w:widowControl/>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"https://pubmed.ncbi.nlm.nih.gov/?term=Miller+VA&amp;cauthor_id=18349398"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Miller</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VA</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"https://pubmed.ncbi.nlm.nih.gov/?term=Riely+GJ&amp;cauthor_id=18349398"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Riely</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GJ</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"https://pubmed.ncbi.nlm.nih.gov/?term=Zakowski+MF&amp;cauthor_id=18349398"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Zakowski</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MF</w:t>
      </w:r>
      <w:r>
        <w:rPr>
          <w:rFonts w:ascii="Times New Roman" w:hAnsi="Times New Roman" w:eastAsia="Segoe UI" w:cs="Times New Roman"/>
          <w:sz w:val="15"/>
          <w:szCs w:val="15"/>
          <w:highlight w:val="none"/>
          <w:shd w:val="clear" w:color="auto" w:fill="FFFFFF"/>
        </w:rPr>
        <w:t>, </w:t>
      </w:r>
      <w:r>
        <w:rPr>
          <w:rFonts w:ascii="Times New Roman" w:hAnsi="Times New Roman" w:cs="Times New Roman"/>
          <w:sz w:val="15"/>
          <w:szCs w:val="15"/>
          <w:highlight w:val="none"/>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"https://pubmed.ncbi.nlm.nih.gov/?term=Roberts+PJ&amp;cauthor_id=23401440"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Roberts</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 xml:space="preserve">PJ </w:t>
      </w:r>
      <w:r>
        <w:rPr>
          <w:rFonts w:ascii="Times New Roman" w:hAnsi="Times New Roman" w:eastAsia="Segoe UI" w:cs="Times New Roman"/>
          <w:sz w:val="15"/>
          <w:szCs w:val="15"/>
          <w:highlight w:val="none"/>
          <w:shd w:val="clear" w:color="auto" w:fill="FFFFFF"/>
        </w:rPr>
        <w:t>,</w:t>
      </w:r>
      <w:r>
        <w:rPr>
          <w:rFonts w:ascii="Times New Roman" w:hAnsi="Times New Roman" w:eastAsia="Segoe UI" w:cs="Times New Roman"/>
          <w:sz w:val="15"/>
          <w:szCs w:val="15"/>
          <w:highlight w:val="none"/>
          <w:shd w:val="clear" w:color="auto" w:fill="FFFFFF"/>
        </w:rPr>
        <w:fldChar w:fldCharType="begin"/>
      </w:r>
      <w:r>
        <w:rPr>
          <w:rFonts w:ascii="Times New Roman" w:hAnsi="Times New Roman" w:eastAsia="Segoe UI" w:cs="Times New Roman"/>
          <w:sz w:val="15"/>
          <w:szCs w:val="15"/>
          <w:highlight w:val="none"/>
          <w:shd w:val="clear" w:color="auto" w:fill="FFFFFF"/>
        </w:rPr>
        <w:instrText xml:space="preserve"> HYPERLINK "https://pubmed.ncbi.nlm.nih.gov/?term=Stinchcombe+TE&amp;cauthor_id=23401440" </w:instrText>
      </w:r>
      <w:r>
        <w:rPr>
          <w:rFonts w:ascii="Times New Roman" w:hAnsi="Times New Roman" w:eastAsia="Segoe UI" w:cs="Times New Roman"/>
          <w:sz w:val="15"/>
          <w:szCs w:val="15"/>
          <w:highlight w:val="none"/>
          <w:shd w:val="clear" w:color="auto" w:fill="FFFFFF"/>
        </w:rPr>
        <w:fldChar w:fldCharType="separate"/>
      </w:r>
      <w:r>
        <w:rPr>
          <w:rStyle w:val="17"/>
          <w:rFonts w:ascii="Times New Roman" w:hAnsi="Times New Roman" w:eastAsia="Segoe UI" w:cs="Times New Roman"/>
          <w:color w:val="auto"/>
          <w:sz w:val="15"/>
          <w:szCs w:val="15"/>
          <w:highlight w:val="none"/>
          <w:u w:val="none"/>
          <w:shd w:val="clear" w:color="auto" w:fill="FFFFFF"/>
        </w:rPr>
        <w:t xml:space="preserve"> Stinchcombe</w:t>
      </w:r>
      <w:r>
        <w:rPr>
          <w:rFonts w:ascii="Times New Roman" w:hAnsi="Times New Roman" w:eastAsia="Segoe UI" w:cs="Times New Roman"/>
          <w:sz w:val="15"/>
          <w:szCs w:val="15"/>
          <w:highlight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TE</w:t>
      </w:r>
      <w:r>
        <w:rPr>
          <w:rStyle w:val="17"/>
          <w:rFonts w:ascii="Times New Roman" w:hAnsi="Times New Roman" w:cs="Times New Roman"/>
          <w:color w:val="auto"/>
          <w:sz w:val="15"/>
          <w:szCs w:val="15"/>
          <w:highlight w:val="none"/>
          <w:u w:val="none"/>
          <w:shd w:val="clear" w:color="auto" w:fill="FFFFFF"/>
          <w:lang w:eastAsia="zh-CN"/>
        </w:rPr>
        <w:t>.</w:t>
      </w:r>
      <w:r>
        <w:rPr>
          <w:rFonts w:ascii="Times New Roman" w:hAnsi="Times New Roman" w:cs="Times New Roman"/>
          <w:sz w:val="15"/>
          <w:szCs w:val="15"/>
          <w:highlight w:val="none"/>
          <w:shd w:val="clear" w:color="auto" w:fill="FFFFFF"/>
          <w:lang w:eastAsia="zh-CN"/>
        </w:rPr>
        <w:t xml:space="preserve"> KRAS mutation: should we test for it, and does it matter? J Clin Oncol. 2013;31(8):1112-21. [PMID: 23401440] </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"https://pubmed.ncbi.nlm.nih.gov/?term=Tsao+MS&amp;cauthor_id=18024870"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Tsao</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MS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"https://pubmed.ncbi.nlm.nih.gov/?term=Aviel-Ronen+S&amp;cauthor_id=18024870"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Aviel-Ronen</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"https://pubmed.ncbi.nlm.nih.gov/?term=Ding+K&amp;cauthor_id=18024870"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Ding</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K</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highlight w:val="none"/>
          <w:shd w:val="clear" w:color="auto" w:fill="FFFFFF"/>
        </w:rPr>
        <w:t>PMID: </w:t>
      </w:r>
      <w:r>
        <w:rPr>
          <w:rStyle w:val="16"/>
          <w:rFonts w:ascii="Times New Roman" w:hAnsi="Times New Roman" w:eastAsia="Segoe UI" w:cs="Times New Roman"/>
          <w:b w:val="0"/>
          <w:sz w:val="15"/>
          <w:szCs w:val="15"/>
          <w:highlight w:val="none"/>
          <w:shd w:val="clear" w:color="auto" w:fill="FFFFFF"/>
        </w:rPr>
        <w:t>18024870</w:t>
      </w:r>
      <w:r>
        <w:rPr>
          <w:rFonts w:ascii="Times New Roman" w:hAnsi="Times New Roman" w:cs="Times New Roman"/>
          <w:sz w:val="15"/>
          <w:szCs w:val="15"/>
          <w:highlight w:val="none"/>
          <w:shd w:val="clear" w:color="auto" w:fill="FFFFFF"/>
          <w:lang w:eastAsia="zh-CN"/>
        </w:rPr>
        <w:t>]</w:t>
      </w:r>
    </w:p>
    <w:p>
      <w:pPr>
        <w:widowControl/>
        <w:numPr>
          <w:ilvl w:val="0"/>
          <w:numId w:val="0"/>
        </w:numPr>
        <w:spacing w:after="84" w:line="259" w:lineRule="auto"/>
        <w:ind w:leftChars="0"/>
        <w:rPr>
          <w:rFonts w:hint="eastAsia" w:ascii="Times New Roman" w:hAnsi="Times New Roman" w:eastAsia="宋体" w:cs="Times New Roman"/>
          <w:sz w:val="15"/>
          <w:szCs w:val="15"/>
          <w:highlight w:val="none"/>
          <w:shd w:val="clear" w:color="auto" w:fill="FFFFFF"/>
          <w:lang w:val="en-US" w:eastAsia="zh-CN"/>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r>
        <w:rPr>
          <w:rFonts w:hint="eastAsia" w:ascii="Times New Roman" w:hAnsi="Times New Roman" w:cs="Times New Roman"/>
          <w:sz w:val="15"/>
          <w:szCs w:val="15"/>
          <w:highlight w:val="none"/>
          <w:lang w:val="en-US" w:eastAsia="zh-CN"/>
        </w:rPr>
        <w:t xml:space="preserve"> [PMID: 32955176]</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Ou SH, Kwak EL, Siwak-Tapp C, Dy J,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21623265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lang w:eastAsia="zh-CN"/>
        </w:rPr>
        <w:t>Camidge DR, Ou S-HI, Shapiro G, et al. Efficacy and safety of crizotinib in patients with advanced c-MET-amplified non-small cell lung cancer (NSCLC). J Clin Oncol. 2014;32(suppl 15): abstr 8001.</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Wolf J, Seto T, Han JY, Reguart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Capmatinib in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w:t>
      </w:r>
      <w:r>
        <w:rPr>
          <w:rFonts w:hint="eastAsia" w:ascii="Times New Roman" w:hAnsi="Times New Roman" w:cs="Times New Roman"/>
          <w:sz w:val="15"/>
          <w:szCs w:val="15"/>
          <w:highlight w:val="none"/>
          <w:shd w:val="clear" w:color="auto" w:fill="FFFFFF"/>
          <w:lang w:eastAsia="zh-CN"/>
        </w:rPr>
        <w:t>e</w:t>
      </w:r>
      <w:r>
        <w:rPr>
          <w:rFonts w:ascii="Times New Roman" w:hAnsi="Times New Roman" w:eastAsia="Segoe UI" w:cs="Times New Roman"/>
          <w:sz w:val="15"/>
          <w:szCs w:val="15"/>
          <w:highlight w:val="none"/>
          <w:shd w:val="clear" w:color="auto" w:fill="FFFFFF"/>
        </w:rPr>
        <w:t>xon 14-</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utated or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mplified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mall-</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N Engl J Med. 2020;383(10):944-957.</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32877583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38(suppl</w:t>
      </w:r>
      <w:r>
        <w:rPr>
          <w:rFonts w:ascii="Times New Roman" w:hAnsi="Times New Roman" w:cs="Times New Roman"/>
          <w:sz w:val="15"/>
          <w:szCs w:val="15"/>
          <w:highlight w:val="none"/>
          <w:shd w:val="clear" w:color="auto" w:fill="FFFFFF"/>
          <w:lang w:eastAsia="zh-CN"/>
        </w:rPr>
        <w:t xml:space="preserve"> 15): </w:t>
      </w:r>
      <w:r>
        <w:rPr>
          <w:rFonts w:ascii="Times New Roman" w:hAnsi="Times New Roman" w:eastAsia="Segoe UI" w:cs="Times New Roman"/>
          <w:sz w:val="15"/>
          <w:szCs w:val="15"/>
          <w:highlight w:val="none"/>
          <w:shd w:val="clear" w:color="auto" w:fill="FFFFFF"/>
        </w:rPr>
        <w:t>abstr 9519</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Drilon A, Clark JW, Weiss J, Ou SI,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Antitumor activity of crizotinib in lung cancers harboring a MET exon 14 alteration. Nat Med. 2020;26(1):47-51.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31932802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Paik PK, Felip E, Veillon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Tepotinib in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mall-</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Lung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with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w:t>
      </w:r>
      <w:r>
        <w:rPr>
          <w:rFonts w:hint="eastAsia" w:ascii="Times New Roman" w:hAnsi="Times New Roman" w:cs="Times New Roman"/>
          <w:sz w:val="15"/>
          <w:szCs w:val="15"/>
          <w:highlight w:val="none"/>
          <w:shd w:val="clear" w:color="auto" w:fill="FFFFFF"/>
          <w:lang w:eastAsia="zh-CN"/>
        </w:rPr>
        <w:t>e</w:t>
      </w:r>
      <w:r>
        <w:rPr>
          <w:rFonts w:ascii="Times New Roman" w:hAnsi="Times New Roman" w:eastAsia="Segoe UI" w:cs="Times New Roman"/>
          <w:sz w:val="15"/>
          <w:szCs w:val="15"/>
          <w:highlight w:val="none"/>
          <w:shd w:val="clear" w:color="auto" w:fill="FFFFFF"/>
        </w:rPr>
        <w:t xml:space="preserve">xon 14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kipping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utations. N Engl J Med. 2020;383(10):931-943.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32469185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109(6):1775-1786.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29624806</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20(9):1183-1186.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31131689</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cs="Times New Roman"/>
          <w:sz w:val="15"/>
          <w:szCs w:val="15"/>
          <w:highlight w:val="none"/>
        </w:rPr>
        <w:t>Jin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cs="Times New Roman"/>
          <w:sz w:val="15"/>
          <w:szCs w:val="15"/>
          <w:highlight w:val="none"/>
        </w:rPr>
        <w:t>Shao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cs="Times New Roman"/>
          <w:sz w:val="15"/>
          <w:szCs w:val="15"/>
          <w:highlight w:val="none"/>
        </w:rPr>
        <w:t>Shi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Mutational profiling of non-small-cell lung cancer patients resistant to first-generation EGFR tyrosine kinase inhibitors using next generation sequencing.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2016</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7(38):61755-61763.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27528220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eastAsia="微软雅黑" w:cs="Times New Roman"/>
          <w:sz w:val="15"/>
          <w:szCs w:val="15"/>
          <w:highlight w:val="none"/>
          <w:lang w:eastAsia="zh-CN"/>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cs="Times New Roman"/>
          <w:sz w:val="15"/>
          <w:szCs w:val="15"/>
          <w:highlight w:val="none"/>
        </w:rPr>
        <w:t>Wang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cs="Times New Roman"/>
          <w:sz w:val="15"/>
          <w:szCs w:val="15"/>
          <w:highlight w:val="none"/>
        </w:rPr>
        <w:t>Li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cs="Times New Roman"/>
          <w:sz w:val="15"/>
          <w:szCs w:val="15"/>
          <w:highlight w:val="none"/>
        </w:rPr>
        <w:t>Han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Clinical analysis by next-generation sequencing for NSCLC patients with MET amplification resistant to osimertinib.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cs="Times New Roman"/>
          <w:sz w:val="15"/>
          <w:szCs w:val="15"/>
          <w:highlight w:val="none"/>
        </w:rPr>
        <w:t>Lung 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118:105-110.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29571987</w:t>
      </w:r>
      <w:r>
        <w:rPr>
          <w:rFonts w:ascii="Times New Roman" w:hAnsi="Times New Roman" w:eastAsia="微软雅黑" w:cs="Times New Roman"/>
          <w:sz w:val="15"/>
          <w:szCs w:val="15"/>
          <w:highlight w:val="none"/>
          <w:lang w:eastAsia="zh-CN"/>
        </w:rPr>
        <w:t>]</w:t>
      </w:r>
    </w:p>
    <w:p>
      <w:pPr>
        <w:spacing w:line="360" w:lineRule="auto"/>
        <w:rPr>
          <w:rFonts w:hint="default" w:ascii="Times New Roman" w:hAnsi="Times New Roman" w:eastAsia="微软雅黑" w:cs="Times New Roman"/>
          <w:sz w:val="15"/>
          <w:szCs w:val="15"/>
          <w:highlight w:val="none"/>
          <w:lang w:val="en-US" w:eastAsia="zh-CN"/>
        </w:rPr>
      </w:pPr>
      <w:r>
        <w:rPr>
          <w:rFonts w:hint="eastAsia" w:ascii="Times New Roman" w:hAnsi="Times New Roman" w:eastAsia="微软雅黑" w:cs="Times New Roman"/>
          <w:sz w:val="15"/>
          <w:szCs w:val="15"/>
          <w:highlight w:val="none"/>
          <w:lang w:eastAsia="zh-CN"/>
        </w:rPr>
        <w:t>Th A, Vv B, Klr C, et al. A phase 2 study of lenvatinib in patients with RET fusion-positive lung adenocarcinoma - ScienceDirect[J]. Lung Cancer, 2019, 138:124-130.</w:t>
      </w:r>
      <w:r>
        <w:rPr>
          <w:rFonts w:hint="eastAsia" w:ascii="Times New Roman" w:hAnsi="Times New Roman" w:eastAsia="微软雅黑" w:cs="Times New Roman"/>
          <w:sz w:val="15"/>
          <w:szCs w:val="15"/>
          <w:highlight w:val="none"/>
          <w:lang w:val="en-US" w:eastAsia="zh-CN"/>
        </w:rPr>
        <w:t xml:space="preserve"> [PMID: 31710864]</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highlight w:val="none"/>
          <w:lang w:eastAsia="zh-CN"/>
        </w:rPr>
        <w:t>. [PMID: 33239432]</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Drusbosky LM, Rodriguez E, Dawar R, et al. Therapeutic strategies in RET gene rearranged non-small cell lung cancer. J Hematol Oncol. 2021;14(1):50. [PMID: 33771190]</w:t>
      </w:r>
    </w:p>
    <w:p>
      <w:pPr>
        <w:widowControl/>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eastAsia="微软雅黑" w:cs="Times New Roman"/>
          <w:sz w:val="15"/>
          <w:szCs w:val="15"/>
          <w:highlight w:val="none"/>
        </w:rPr>
        <w:t>Yoh K</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eastAsia="微软雅黑" w:cs="Times New Roman"/>
          <w:sz w:val="15"/>
          <w:szCs w:val="15"/>
          <w:highlight w:val="none"/>
        </w:rPr>
        <w:t>Seto T</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rFonts w:ascii="Times New Roman" w:hAnsi="Times New Roman" w:eastAsia="微软雅黑" w:cs="Times New Roman"/>
          <w:sz w:val="15"/>
          <w:szCs w:val="15"/>
          <w:highlight w:val="none"/>
        </w:rPr>
        <w:fldChar w:fldCharType="begin"/>
      </w:r>
      <w:r>
        <w:rPr>
          <w:rFonts w:ascii="Times New Roman" w:hAnsi="Times New Roman" w:eastAsia="微软雅黑" w:cs="Times New Roman"/>
          <w:sz w:val="15"/>
          <w:szCs w:val="15"/>
          <w:highlight w:val="none"/>
        </w:rPr>
        <w:instrText xml:space="preserve"> HYPERLINK "https://www.ncbi.nlm.nih.gov/pubmed/?term=Satouchi%20M%5BAuthor%5D&amp;cauthor=true&amp;cauthor_uid=27825616" </w:instrText>
      </w:r>
      <w:r>
        <w:rPr>
          <w:rFonts w:ascii="Times New Roman" w:hAnsi="Times New Roman" w:eastAsia="微软雅黑" w:cs="Times New Roman"/>
          <w:sz w:val="15"/>
          <w:szCs w:val="15"/>
          <w:highlight w:val="none"/>
        </w:rPr>
        <w:fldChar w:fldCharType="separate"/>
      </w:r>
      <w:r>
        <w:rPr>
          <w:rFonts w:ascii="Times New Roman" w:hAnsi="Times New Roman" w:eastAsia="微软雅黑" w:cs="Times New Roman"/>
          <w:sz w:val="15"/>
          <w:szCs w:val="15"/>
          <w:highlight w:val="none"/>
        </w:rPr>
        <w:t>Satouchi 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Vandetanib in patients with previously treated RET-rearranged advanced non-small-cell lung cancer (LURET): an open-label, multicentre phase 2 trial.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eastAsia="微软雅黑" w:cs="Times New Roman"/>
          <w:sz w:val="15"/>
          <w:szCs w:val="15"/>
          <w:highlight w:val="none"/>
        </w:rPr>
        <w:t>Lancet Respir Med</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5(1):42-50.</w:t>
      </w:r>
      <w:r>
        <w:rPr>
          <w:rFonts w:ascii="Times New Roman" w:hAnsi="Times New Roman" w:eastAsia="微软雅黑" w:cs="Times New Roman"/>
          <w:sz w:val="15"/>
          <w:szCs w:val="15"/>
          <w:highlight w:val="none"/>
          <w:lang w:eastAsia="zh-CN"/>
        </w:rPr>
        <w:t xml:space="preserve"> [PMID: 27825616]</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Shaw AT, Riely GJ, Bang YJ, et al. Crizotinib in ROS1-rearranged advanced non-small-cell lung cancer (NSCLC): updated results, including overall survival, from PROFILE 1001. Ann Oncol. 2019;30(7):1121-1126. [ PMID: 30980071]</w:t>
      </w:r>
    </w:p>
    <w:p>
      <w:pPr>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eastAsia="微软雅黑" w:cs="Times New Roman"/>
          <w:sz w:val="15"/>
          <w:szCs w:val="15"/>
          <w:highlight w:val="none"/>
        </w:rPr>
        <w:t>Wu YL</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eastAsia="微软雅黑" w:cs="Times New Roman"/>
          <w:sz w:val="15"/>
          <w:szCs w:val="15"/>
          <w:highlight w:val="none"/>
        </w:rPr>
        <w:t>Yang JC</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eastAsia="微软雅黑" w:cs="Times New Roman"/>
          <w:sz w:val="15"/>
          <w:szCs w:val="15"/>
          <w:highlight w:val="none"/>
        </w:rPr>
        <w:t>Kim DW</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Phase II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tudy of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rizotinib in East Asian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ROS1-</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ositive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on-</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mall-</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ell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2018</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36(14):1405-1411.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29596029</w:t>
      </w:r>
      <w:r>
        <w:rPr>
          <w:rFonts w:ascii="Times New Roman" w:hAnsi="Times New Roman" w:eastAsia="微软雅黑" w:cs="Times New Roman"/>
          <w:sz w:val="15"/>
          <w:szCs w:val="15"/>
          <w:highlight w:val="none"/>
          <w:lang w:eastAsia="zh-CN"/>
        </w:rPr>
        <w:t>]</w:t>
      </w:r>
    </w:p>
    <w:p>
      <w:pPr>
        <w:pStyle w:val="30"/>
        <w:spacing w:line="360" w:lineRule="auto"/>
        <w:ind w:firstLine="0" w:firstLineChars="0"/>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Lim SM, Kim HR, Lee JS, et al. Open-</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abel,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lang w:eastAsia="zh-CN"/>
        </w:rPr>
        <w:t xml:space="preserve">ulticenter,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hase II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tudy of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eritinib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lang w:eastAsia="zh-CN"/>
        </w:rPr>
        <w:t xml:space="preserve">ith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lang w:eastAsia="zh-CN"/>
        </w:rPr>
        <w:t>on-</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mall-</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ell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ancer </w:t>
      </w:r>
      <w:r>
        <w:rPr>
          <w:rFonts w:hint="eastAsia" w:ascii="Times New Roman" w:hAnsi="Times New Roman" w:eastAsia="微软雅黑" w:cs="Times New Roman"/>
          <w:sz w:val="15"/>
          <w:szCs w:val="15"/>
          <w:highlight w:val="none"/>
          <w:lang w:eastAsia="zh-CN"/>
        </w:rPr>
        <w:t>h</w:t>
      </w:r>
      <w:r>
        <w:rPr>
          <w:rFonts w:ascii="Times New Roman" w:hAnsi="Times New Roman" w:eastAsia="微软雅黑" w:cs="Times New Roman"/>
          <w:sz w:val="15"/>
          <w:szCs w:val="15"/>
          <w:highlight w:val="none"/>
          <w:lang w:eastAsia="zh-CN"/>
        </w:rPr>
        <w:t xml:space="preserve">arboring ROS1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earrangement</w:t>
      </w:r>
      <w:r>
        <w:rPr>
          <w:rFonts w:ascii="Times New Roman" w:hAnsi="Times New Roman" w:eastAsia="微软雅黑" w:cs="Times New Roman"/>
          <w:sz w:val="15"/>
          <w:szCs w:val="15"/>
          <w:highlight w:val="none"/>
        </w:rPr>
        <w:t xml:space="preserve">.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xml:space="preserve">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35:2612-2618. [PMID: 28520527]</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Drilon A, Siena S, Dziadziuszko R, et al. Entrectinib in ROS1 fusion-positive non-small-cell lung cancer: integrated analysis of three phase 1-2 trials. Lancet Oncol. 2020;21(2):261-270. [PMID: 31838015]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Shaw AT, Solomon BJ, Chiari R</w:t>
      </w:r>
      <w:r>
        <w:rPr>
          <w:rFonts w:ascii="Times New Roman" w:hAnsi="Times New Roman" w:eastAsia="微软雅黑" w:cs="Times New Roman"/>
          <w:sz w:val="15"/>
          <w:szCs w:val="15"/>
          <w:highlight w:val="none"/>
          <w:lang w:eastAsia="zh-CN"/>
        </w:rPr>
        <w:t>, et al</w:t>
      </w:r>
      <w:r>
        <w:rPr>
          <w:rFonts w:ascii="Times New Roman" w:hAnsi="Times New Roman" w:eastAsia="微软雅黑" w:cs="Times New Roman"/>
          <w:sz w:val="15"/>
          <w:szCs w:val="15"/>
          <w:highlight w:val="none"/>
        </w:rPr>
        <w:t>. Lorlatinib in advanced ROS1-positive non-small-cell lung cancer: a multicentre, open-label, single-arm, phase 1-2 trial. Lancet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2019</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20(12):1691-1701.</w:t>
      </w:r>
      <w:r>
        <w:rPr>
          <w:rFonts w:ascii="Times New Roman" w:hAnsi="Times New Roman" w:eastAsia="微软雅黑" w:cs="Times New Roman"/>
          <w:sz w:val="15"/>
          <w:szCs w:val="15"/>
          <w:highlight w:val="none"/>
          <w:lang w:eastAsia="zh-CN"/>
        </w:rPr>
        <w:t xml:space="preserve"> [PMID: 31669155]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Chen H, Zhang Q, Zhang Y, et al. Afatinib reverses ceritinib resistance (CR) in ALK/ROS1-positive non-small-cell lung cancer cell (NSCLC) via suppression of NRG1 pathway. Onco Targets Ther. 2018;11:8201-8209.</w:t>
      </w:r>
      <w:r>
        <w:rPr>
          <w:rFonts w:ascii="Times New Roman" w:hAnsi="Times New Roman" w:eastAsia="微软雅黑" w:cs="Times New Roman"/>
          <w:sz w:val="15"/>
          <w:szCs w:val="15"/>
          <w:highlight w:val="none"/>
          <w:lang w:eastAsia="zh-CN"/>
        </w:rPr>
        <w:t xml:space="preserve"> [PMID: 30568455]</w:t>
      </w:r>
      <w:r>
        <w:rPr>
          <w:rFonts w:ascii="Times New Roman" w:hAnsi="Times New Roman" w:eastAsia="微软雅黑" w:cs="Times New Roman"/>
          <w:sz w:val="15"/>
          <w:szCs w:val="15"/>
          <w:highlight w:val="none"/>
        </w:rPr>
        <w:t> </w:t>
      </w:r>
    </w:p>
    <w:p>
      <w:pPr>
        <w:widowControl/>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eastAsia="微软雅黑" w:cs="Times New Roman"/>
          <w:sz w:val="15"/>
          <w:szCs w:val="15"/>
          <w:highlight w:val="none"/>
        </w:rPr>
        <w:t>Ku BM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eastAsia="微软雅黑" w:cs="Times New Roman"/>
          <w:sz w:val="15"/>
          <w:szCs w:val="15"/>
          <w:highlight w:val="none"/>
        </w:rPr>
        <w:t>Bae YH</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eastAsia="微软雅黑" w:cs="Times New Roman"/>
          <w:sz w:val="15"/>
          <w:szCs w:val="15"/>
          <w:highlight w:val="none"/>
        </w:rPr>
        <w:t>Lee KY</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et al. Entrectinib resistance mechanisms in ROS1-rearranged non-small cell lung cancer. Invest New Drugs. 2020;38(2):360-368.</w:t>
      </w:r>
      <w:r>
        <w:rPr>
          <w:rFonts w:ascii="Times New Roman" w:hAnsi="Times New Roman" w:eastAsia="微软雅黑" w:cs="Times New Roman"/>
          <w:sz w:val="15"/>
          <w:szCs w:val="15"/>
          <w:highlight w:val="none"/>
          <w:lang w:eastAsia="zh-CN"/>
        </w:rPr>
        <w:t xml:space="preserve"> [PMID: 31124056]</w:t>
      </w:r>
    </w:p>
    <w:p>
      <w:pPr>
        <w:widowControl/>
        <w:spacing w:line="360" w:lineRule="auto"/>
        <w:rPr>
          <w:highlight w:val="yellow"/>
        </w:rPr>
      </w:pPr>
    </w:p>
    <w:p>
      <w:pPr>
        <w:rPr>
          <w:highlight w:val="none"/>
        </w:rPr>
      </w:pPr>
    </w:p>
    <w:p>
      <w:pPr>
        <w:rPr>
          <w:highlight w:val="none"/>
        </w:rPr>
      </w:pPr>
    </w:p>
    <w:sectPr>
      <w:headerReference r:id="rId5" w:type="default"/>
      <w:footerReference r:id="rId6" w:type="default"/>
      <w:pgSz w:w="11910" w:h="16840"/>
      <w:pgMar w:top="1037" w:right="1020" w:bottom="981" w:left="102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w:t>
    </w:r>
    <w:r>
      <w:rPr>
        <w:rFonts w:hint="eastAsia" w:ascii="Times New Roman" w:hAnsi="Times New Roman" w:eastAsia="微软雅黑" w:cs="Times New Roman"/>
        <w:color w:val="7F7F7F"/>
        <w:sz w:val="20"/>
        <w:szCs w:val="20"/>
        <w:lang w:eastAsia="zh-CN"/>
      </w:rPr>
      <w:t>肺癌11基因检测报告</w:t>
    </w:r>
    <w:r>
      <w:rPr>
        <w:rFonts w:ascii="Times New Roman" w:hAnsi="Times New Roman" w:eastAsia="微软雅黑" w:cs="Times New Roman"/>
        <w:color w:val="7F7F7F"/>
        <w:sz w:val="20"/>
        <w:szCs w:val="20"/>
        <w:lang w:eastAsia="zh-CN"/>
      </w:rPr>
      <w:t>——</w:t>
    </w:r>
  </w:p>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imes New Roman" w:hAnsi="Times New Roman" w:eastAsia="微软雅黑" w:cs="Times New Roman"/>
        <w:color w:val="7F7F7F"/>
        <w:sz w:val="20"/>
        <w:szCs w:val="20"/>
        <w:lang w:eastAsia="zh-CN"/>
      </w:rPr>
    </w:pPr>
  </w:p>
  <w:p>
    <w:pPr>
      <w:jc w:val="center"/>
      <w:rPr>
        <w:rFonts w:ascii="Times New Roman" w:hAnsi="Times New Roman" w:eastAsia="微软雅黑" w:cs="Times New Roman"/>
        <w:color w:val="7F7F7F"/>
        <w:sz w:val="20"/>
        <w:szCs w:val="20"/>
        <w:lang w:eastAsia="zh-CN"/>
      </w:rPr>
    </w:pPr>
  </w:p>
  <w:p>
    <w:pPr>
      <w:jc w:val="center"/>
      <w:rPr>
        <w:color w:val="7F7F7F"/>
        <w:sz w:val="20"/>
        <w:szCs w:val="20"/>
        <w:lang w:eastAsia="zh-CN"/>
      </w:rPr>
    </w:pPr>
    <w:r>
      <w:rPr>
        <w:rFonts w:ascii="Times New Roman" w:hAnsi="Times New Roman" w:eastAsia="微软雅黑" w:cs="Times New Roman"/>
        <w:color w:val="7F7F7F"/>
        <w:sz w:val="20"/>
        <w:szCs w:val="20"/>
        <w:lang w:eastAsia="zh-CN"/>
      </w:rPr>
      <w:t>——</w:t>
    </w:r>
    <w:r>
      <w:rPr>
        <w:rFonts w:hint="eastAsia" w:ascii="Times New Roman" w:hAnsi="Times New Roman" w:eastAsia="微软雅黑" w:cs="Times New Roman"/>
        <w:color w:val="7F7F7F"/>
        <w:sz w:val="20"/>
        <w:szCs w:val="20"/>
        <w:lang w:eastAsia="zh-CN"/>
      </w:rPr>
      <w:t>肺癌11基因检测报告</w:t>
    </w:r>
    <w:r>
      <w:rPr>
        <w:rFonts w:ascii="Times New Roman" w:hAnsi="Times New Roman" w:eastAsia="微软雅黑" w:cs="Times New Roman"/>
        <w:color w:val="7F7F7F"/>
        <w:sz w:val="20"/>
        <w:szCs w:val="20"/>
        <w:lang w:eastAsia="zh-CN"/>
      </w:rPr>
      <w:t>——</w:t>
    </w:r>
  </w:p>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5"/>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2"/>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F1461"/>
    <w:rsid w:val="00154460"/>
    <w:rsid w:val="00172A27"/>
    <w:rsid w:val="001A0C68"/>
    <w:rsid w:val="00276CD5"/>
    <w:rsid w:val="002D4647"/>
    <w:rsid w:val="002E7BF1"/>
    <w:rsid w:val="003C3ECA"/>
    <w:rsid w:val="003D2994"/>
    <w:rsid w:val="0049242D"/>
    <w:rsid w:val="0052321F"/>
    <w:rsid w:val="00545F75"/>
    <w:rsid w:val="006245D8"/>
    <w:rsid w:val="006A31A2"/>
    <w:rsid w:val="006D1BDE"/>
    <w:rsid w:val="007B623F"/>
    <w:rsid w:val="007E782E"/>
    <w:rsid w:val="00896537"/>
    <w:rsid w:val="008B2982"/>
    <w:rsid w:val="00907638"/>
    <w:rsid w:val="00921042"/>
    <w:rsid w:val="00935295"/>
    <w:rsid w:val="009659BF"/>
    <w:rsid w:val="00A0169B"/>
    <w:rsid w:val="00AB49CC"/>
    <w:rsid w:val="00AE5DB4"/>
    <w:rsid w:val="00B01B75"/>
    <w:rsid w:val="00B0681C"/>
    <w:rsid w:val="00B83EA5"/>
    <w:rsid w:val="00BA00ED"/>
    <w:rsid w:val="00BE77CD"/>
    <w:rsid w:val="00C443B4"/>
    <w:rsid w:val="00D2107B"/>
    <w:rsid w:val="00D22BB0"/>
    <w:rsid w:val="00D40855"/>
    <w:rsid w:val="00D730DF"/>
    <w:rsid w:val="00DA2F2F"/>
    <w:rsid w:val="00E31BA8"/>
    <w:rsid w:val="00EB53B5"/>
    <w:rsid w:val="00F25C1E"/>
    <w:rsid w:val="00FC32D5"/>
    <w:rsid w:val="00FD1EC7"/>
    <w:rsid w:val="00FF7BB1"/>
    <w:rsid w:val="011A030A"/>
    <w:rsid w:val="011A0D8B"/>
    <w:rsid w:val="01A0337A"/>
    <w:rsid w:val="02CA5230"/>
    <w:rsid w:val="038726D8"/>
    <w:rsid w:val="03E921F1"/>
    <w:rsid w:val="04791D69"/>
    <w:rsid w:val="04871837"/>
    <w:rsid w:val="04A167FA"/>
    <w:rsid w:val="04C17114"/>
    <w:rsid w:val="05815BFE"/>
    <w:rsid w:val="05887898"/>
    <w:rsid w:val="06A61E8D"/>
    <w:rsid w:val="06AD4F10"/>
    <w:rsid w:val="06E36A2C"/>
    <w:rsid w:val="06EB7F4D"/>
    <w:rsid w:val="074043CC"/>
    <w:rsid w:val="07AB34E7"/>
    <w:rsid w:val="07D36A00"/>
    <w:rsid w:val="07DB59EB"/>
    <w:rsid w:val="083F50A2"/>
    <w:rsid w:val="0881149A"/>
    <w:rsid w:val="088217DA"/>
    <w:rsid w:val="088D7FF0"/>
    <w:rsid w:val="09705B33"/>
    <w:rsid w:val="09A8095C"/>
    <w:rsid w:val="0A043ABA"/>
    <w:rsid w:val="0A757891"/>
    <w:rsid w:val="0ADA7F11"/>
    <w:rsid w:val="0AEC09F3"/>
    <w:rsid w:val="0C1768CC"/>
    <w:rsid w:val="0C3A0C95"/>
    <w:rsid w:val="0C3E5385"/>
    <w:rsid w:val="0C96240B"/>
    <w:rsid w:val="0D055CE8"/>
    <w:rsid w:val="0D0E2E15"/>
    <w:rsid w:val="0D9819F1"/>
    <w:rsid w:val="0DBE2016"/>
    <w:rsid w:val="0E11445D"/>
    <w:rsid w:val="0E4A5664"/>
    <w:rsid w:val="0E542351"/>
    <w:rsid w:val="0E632099"/>
    <w:rsid w:val="0EBF2A43"/>
    <w:rsid w:val="0EC91129"/>
    <w:rsid w:val="0ED843CC"/>
    <w:rsid w:val="0FB9297A"/>
    <w:rsid w:val="0FEF6595"/>
    <w:rsid w:val="10A519AE"/>
    <w:rsid w:val="110D3F98"/>
    <w:rsid w:val="12850E64"/>
    <w:rsid w:val="12963DA1"/>
    <w:rsid w:val="12F372F0"/>
    <w:rsid w:val="132612E4"/>
    <w:rsid w:val="13897526"/>
    <w:rsid w:val="13AB527B"/>
    <w:rsid w:val="14872247"/>
    <w:rsid w:val="148972D9"/>
    <w:rsid w:val="149B7751"/>
    <w:rsid w:val="14C82A00"/>
    <w:rsid w:val="14E50274"/>
    <w:rsid w:val="150E31A1"/>
    <w:rsid w:val="15196B67"/>
    <w:rsid w:val="152E3223"/>
    <w:rsid w:val="153F7D0D"/>
    <w:rsid w:val="15A501E7"/>
    <w:rsid w:val="15D73C77"/>
    <w:rsid w:val="165063E4"/>
    <w:rsid w:val="16BD5BE8"/>
    <w:rsid w:val="16E67B0D"/>
    <w:rsid w:val="16F8465A"/>
    <w:rsid w:val="179E5A16"/>
    <w:rsid w:val="17EF172D"/>
    <w:rsid w:val="184F5A03"/>
    <w:rsid w:val="188B1EE6"/>
    <w:rsid w:val="188E10A8"/>
    <w:rsid w:val="19437087"/>
    <w:rsid w:val="1980460A"/>
    <w:rsid w:val="199369D8"/>
    <w:rsid w:val="1B28649B"/>
    <w:rsid w:val="1BA36B7F"/>
    <w:rsid w:val="1BAD3E87"/>
    <w:rsid w:val="1C7A05D0"/>
    <w:rsid w:val="1C98707F"/>
    <w:rsid w:val="1CCD19AC"/>
    <w:rsid w:val="1CFB3D7D"/>
    <w:rsid w:val="1D0B7646"/>
    <w:rsid w:val="1D103BE7"/>
    <w:rsid w:val="1EAB0C6A"/>
    <w:rsid w:val="1EAF2912"/>
    <w:rsid w:val="1EEB2832"/>
    <w:rsid w:val="1F2B7CAE"/>
    <w:rsid w:val="20205A20"/>
    <w:rsid w:val="20855B55"/>
    <w:rsid w:val="209432E5"/>
    <w:rsid w:val="20C205EB"/>
    <w:rsid w:val="216F18A9"/>
    <w:rsid w:val="21D55A39"/>
    <w:rsid w:val="22180203"/>
    <w:rsid w:val="2322058C"/>
    <w:rsid w:val="235C2C2A"/>
    <w:rsid w:val="23A931DE"/>
    <w:rsid w:val="23DC4798"/>
    <w:rsid w:val="23FF1819"/>
    <w:rsid w:val="244D2216"/>
    <w:rsid w:val="253036C5"/>
    <w:rsid w:val="256C4478"/>
    <w:rsid w:val="26976104"/>
    <w:rsid w:val="271A3FF4"/>
    <w:rsid w:val="271C165B"/>
    <w:rsid w:val="27870460"/>
    <w:rsid w:val="28B74238"/>
    <w:rsid w:val="28B83CA7"/>
    <w:rsid w:val="28E502F9"/>
    <w:rsid w:val="29363F06"/>
    <w:rsid w:val="296F5B95"/>
    <w:rsid w:val="29DE0525"/>
    <w:rsid w:val="29EF70C8"/>
    <w:rsid w:val="2A221D03"/>
    <w:rsid w:val="2A3716AB"/>
    <w:rsid w:val="2ADE2A02"/>
    <w:rsid w:val="2B2376AA"/>
    <w:rsid w:val="2B485DBB"/>
    <w:rsid w:val="2B692B05"/>
    <w:rsid w:val="2B8C0A94"/>
    <w:rsid w:val="2BDE1876"/>
    <w:rsid w:val="2C165FD1"/>
    <w:rsid w:val="2C427C83"/>
    <w:rsid w:val="2E0C0EE9"/>
    <w:rsid w:val="2E3D6CA4"/>
    <w:rsid w:val="2E7C3545"/>
    <w:rsid w:val="2EB35A8A"/>
    <w:rsid w:val="2F28730D"/>
    <w:rsid w:val="2F614BFD"/>
    <w:rsid w:val="301F1ED4"/>
    <w:rsid w:val="304862D7"/>
    <w:rsid w:val="30DA24F1"/>
    <w:rsid w:val="310959FE"/>
    <w:rsid w:val="3109732A"/>
    <w:rsid w:val="315E5833"/>
    <w:rsid w:val="31C70E92"/>
    <w:rsid w:val="32080EDC"/>
    <w:rsid w:val="32AB7EAB"/>
    <w:rsid w:val="32B71D27"/>
    <w:rsid w:val="32DE07F1"/>
    <w:rsid w:val="33323300"/>
    <w:rsid w:val="338527AA"/>
    <w:rsid w:val="339B67A7"/>
    <w:rsid w:val="33AE0711"/>
    <w:rsid w:val="34777EA9"/>
    <w:rsid w:val="348573AD"/>
    <w:rsid w:val="357E5409"/>
    <w:rsid w:val="35945D5F"/>
    <w:rsid w:val="35B3556B"/>
    <w:rsid w:val="35F5325E"/>
    <w:rsid w:val="360630CA"/>
    <w:rsid w:val="360A76FC"/>
    <w:rsid w:val="371E73E3"/>
    <w:rsid w:val="37E81DE8"/>
    <w:rsid w:val="3848012E"/>
    <w:rsid w:val="39525C52"/>
    <w:rsid w:val="39A64D30"/>
    <w:rsid w:val="3A202424"/>
    <w:rsid w:val="3AF460F5"/>
    <w:rsid w:val="3B721C7C"/>
    <w:rsid w:val="3BDD785B"/>
    <w:rsid w:val="3BEA5380"/>
    <w:rsid w:val="3C141295"/>
    <w:rsid w:val="3C3F24CA"/>
    <w:rsid w:val="3C5D7D9D"/>
    <w:rsid w:val="3D1C54C3"/>
    <w:rsid w:val="3D6C60E9"/>
    <w:rsid w:val="3D855C98"/>
    <w:rsid w:val="3EC949BD"/>
    <w:rsid w:val="3F1D1FAD"/>
    <w:rsid w:val="3FCB42E0"/>
    <w:rsid w:val="3FF2193A"/>
    <w:rsid w:val="405979F4"/>
    <w:rsid w:val="40895D14"/>
    <w:rsid w:val="40BA2B58"/>
    <w:rsid w:val="41C73588"/>
    <w:rsid w:val="41EC43CC"/>
    <w:rsid w:val="41FF695D"/>
    <w:rsid w:val="42D665BD"/>
    <w:rsid w:val="43821027"/>
    <w:rsid w:val="452112A4"/>
    <w:rsid w:val="454A2BAB"/>
    <w:rsid w:val="459308E1"/>
    <w:rsid w:val="45A93012"/>
    <w:rsid w:val="45D4644E"/>
    <w:rsid w:val="46550A34"/>
    <w:rsid w:val="46A640DF"/>
    <w:rsid w:val="46B72EB2"/>
    <w:rsid w:val="48F33103"/>
    <w:rsid w:val="499E6F1D"/>
    <w:rsid w:val="49C56F37"/>
    <w:rsid w:val="4A1A1AFC"/>
    <w:rsid w:val="4A1C7F69"/>
    <w:rsid w:val="4A4A7BE5"/>
    <w:rsid w:val="4A693618"/>
    <w:rsid w:val="4A83553B"/>
    <w:rsid w:val="4B315A79"/>
    <w:rsid w:val="4BC14EAA"/>
    <w:rsid w:val="4C050246"/>
    <w:rsid w:val="4C0F23A4"/>
    <w:rsid w:val="4C120763"/>
    <w:rsid w:val="4C6263AC"/>
    <w:rsid w:val="4D6A309D"/>
    <w:rsid w:val="4D9E31C3"/>
    <w:rsid w:val="4DB6655A"/>
    <w:rsid w:val="4DC108F4"/>
    <w:rsid w:val="4E0176F5"/>
    <w:rsid w:val="4E414BB2"/>
    <w:rsid w:val="4ED24E8A"/>
    <w:rsid w:val="4ED75229"/>
    <w:rsid w:val="4F2C4F1E"/>
    <w:rsid w:val="4F5624CB"/>
    <w:rsid w:val="4F8A3F4D"/>
    <w:rsid w:val="4FB467F9"/>
    <w:rsid w:val="4FD02F65"/>
    <w:rsid w:val="510D07DF"/>
    <w:rsid w:val="519B28E7"/>
    <w:rsid w:val="52832C8D"/>
    <w:rsid w:val="52DB3A4A"/>
    <w:rsid w:val="52E57CC3"/>
    <w:rsid w:val="5312550A"/>
    <w:rsid w:val="53DE69BF"/>
    <w:rsid w:val="541A0F48"/>
    <w:rsid w:val="541E45C6"/>
    <w:rsid w:val="54505D85"/>
    <w:rsid w:val="54990165"/>
    <w:rsid w:val="54D723E8"/>
    <w:rsid w:val="550721D5"/>
    <w:rsid w:val="55A47060"/>
    <w:rsid w:val="55AC636A"/>
    <w:rsid w:val="55C15CC7"/>
    <w:rsid w:val="563648E8"/>
    <w:rsid w:val="56A5200B"/>
    <w:rsid w:val="56A650A5"/>
    <w:rsid w:val="56B967C0"/>
    <w:rsid w:val="56BE67A9"/>
    <w:rsid w:val="56EE7782"/>
    <w:rsid w:val="576B0D91"/>
    <w:rsid w:val="57830686"/>
    <w:rsid w:val="57C96345"/>
    <w:rsid w:val="57D92384"/>
    <w:rsid w:val="58020827"/>
    <w:rsid w:val="581808D2"/>
    <w:rsid w:val="58941028"/>
    <w:rsid w:val="58A44110"/>
    <w:rsid w:val="58DE21CC"/>
    <w:rsid w:val="58EE1C81"/>
    <w:rsid w:val="5927169E"/>
    <w:rsid w:val="5B2616E5"/>
    <w:rsid w:val="5B3A4C3E"/>
    <w:rsid w:val="5B884B96"/>
    <w:rsid w:val="5CAD0A9B"/>
    <w:rsid w:val="5D090FC9"/>
    <w:rsid w:val="5FA2526B"/>
    <w:rsid w:val="5FAA3C47"/>
    <w:rsid w:val="5FF61953"/>
    <w:rsid w:val="600E54F4"/>
    <w:rsid w:val="607B75C7"/>
    <w:rsid w:val="60A827A3"/>
    <w:rsid w:val="60D51A59"/>
    <w:rsid w:val="60E82224"/>
    <w:rsid w:val="60F575C1"/>
    <w:rsid w:val="61147D5F"/>
    <w:rsid w:val="61B17DFE"/>
    <w:rsid w:val="62847EA7"/>
    <w:rsid w:val="62DB637F"/>
    <w:rsid w:val="62FA10BA"/>
    <w:rsid w:val="62FD5017"/>
    <w:rsid w:val="63296CF6"/>
    <w:rsid w:val="63532130"/>
    <w:rsid w:val="63D615FE"/>
    <w:rsid w:val="640B7333"/>
    <w:rsid w:val="6469117D"/>
    <w:rsid w:val="64871562"/>
    <w:rsid w:val="64EA7FB1"/>
    <w:rsid w:val="64EC6C5A"/>
    <w:rsid w:val="653D7AF3"/>
    <w:rsid w:val="65B119A5"/>
    <w:rsid w:val="65F916BF"/>
    <w:rsid w:val="661076AF"/>
    <w:rsid w:val="6622535F"/>
    <w:rsid w:val="664F304E"/>
    <w:rsid w:val="66565CBE"/>
    <w:rsid w:val="670E76D1"/>
    <w:rsid w:val="67574E33"/>
    <w:rsid w:val="67D77C44"/>
    <w:rsid w:val="68645048"/>
    <w:rsid w:val="690459DC"/>
    <w:rsid w:val="690B7AFD"/>
    <w:rsid w:val="69543567"/>
    <w:rsid w:val="6A483736"/>
    <w:rsid w:val="6A6D318E"/>
    <w:rsid w:val="6A840355"/>
    <w:rsid w:val="6A90444F"/>
    <w:rsid w:val="6A930078"/>
    <w:rsid w:val="6AFC4C50"/>
    <w:rsid w:val="6AFF6DD9"/>
    <w:rsid w:val="6B2031BA"/>
    <w:rsid w:val="6B6721F6"/>
    <w:rsid w:val="6B713444"/>
    <w:rsid w:val="6B7A60D6"/>
    <w:rsid w:val="6B9F6D44"/>
    <w:rsid w:val="6C203A9A"/>
    <w:rsid w:val="6C385BB0"/>
    <w:rsid w:val="6CA6506C"/>
    <w:rsid w:val="6CB75CCD"/>
    <w:rsid w:val="6D2D26D4"/>
    <w:rsid w:val="6D425E8D"/>
    <w:rsid w:val="6D6F7597"/>
    <w:rsid w:val="6E9303C1"/>
    <w:rsid w:val="6ECF03D4"/>
    <w:rsid w:val="6EEA4B30"/>
    <w:rsid w:val="6EEB1850"/>
    <w:rsid w:val="6FC02C16"/>
    <w:rsid w:val="6FF6475E"/>
    <w:rsid w:val="70184EA3"/>
    <w:rsid w:val="70CB53E1"/>
    <w:rsid w:val="70E45041"/>
    <w:rsid w:val="714E12CF"/>
    <w:rsid w:val="7209016D"/>
    <w:rsid w:val="7259341C"/>
    <w:rsid w:val="72607D2C"/>
    <w:rsid w:val="728B00C1"/>
    <w:rsid w:val="734521A8"/>
    <w:rsid w:val="73707E67"/>
    <w:rsid w:val="73776F50"/>
    <w:rsid w:val="73801EC5"/>
    <w:rsid w:val="741F0C23"/>
    <w:rsid w:val="743439CA"/>
    <w:rsid w:val="748F3308"/>
    <w:rsid w:val="74BC7F66"/>
    <w:rsid w:val="74DD127A"/>
    <w:rsid w:val="75686B98"/>
    <w:rsid w:val="75F77E17"/>
    <w:rsid w:val="7677072C"/>
    <w:rsid w:val="76A00464"/>
    <w:rsid w:val="76A021B3"/>
    <w:rsid w:val="76B664D7"/>
    <w:rsid w:val="76CC58D6"/>
    <w:rsid w:val="76E33575"/>
    <w:rsid w:val="76EB2B73"/>
    <w:rsid w:val="770B0914"/>
    <w:rsid w:val="77A33591"/>
    <w:rsid w:val="77D16924"/>
    <w:rsid w:val="7829150F"/>
    <w:rsid w:val="782C2784"/>
    <w:rsid w:val="78326601"/>
    <w:rsid w:val="797F7147"/>
    <w:rsid w:val="79BE2A91"/>
    <w:rsid w:val="7A5E1391"/>
    <w:rsid w:val="7A992CC0"/>
    <w:rsid w:val="7B3A50B0"/>
    <w:rsid w:val="7B8B2C1D"/>
    <w:rsid w:val="7BCA3B47"/>
    <w:rsid w:val="7BD020E4"/>
    <w:rsid w:val="7C01614C"/>
    <w:rsid w:val="7D615E07"/>
    <w:rsid w:val="7D793C28"/>
    <w:rsid w:val="7D8C0F6F"/>
    <w:rsid w:val="7E7B633B"/>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annotation reference"/>
    <w:basedOn w:val="15"/>
    <w:qFormat/>
    <w:uiPriority w:val="0"/>
    <w:rPr>
      <w:sz w:val="21"/>
      <w:szCs w:val="21"/>
    </w:rPr>
  </w:style>
  <w:style w:type="paragraph" w:customStyle="1" w:styleId="19">
    <w:name w:val="Table Paragraph"/>
    <w:basedOn w:val="1"/>
    <w:qFormat/>
    <w:uiPriority w:val="1"/>
  </w:style>
  <w:style w:type="table" w:customStyle="1" w:styleId="20">
    <w:name w:val="Table Normal1"/>
    <w:unhideWhenUsed/>
    <w:qFormat/>
    <w:uiPriority w:val="2"/>
    <w:tblPr>
      <w:tblCellMar>
        <w:top w:w="0" w:type="dxa"/>
        <w:left w:w="0" w:type="dxa"/>
        <w:bottom w:w="0" w:type="dxa"/>
        <w:right w:w="0" w:type="dxa"/>
      </w:tblCellMar>
    </w:tblPr>
  </w:style>
  <w:style w:type="paragraph" w:customStyle="1" w:styleId="21">
    <w:name w:val="List Paragraph1"/>
    <w:basedOn w:val="1"/>
    <w:qFormat/>
    <w:uiPriority w:val="34"/>
    <w:rPr>
      <w:rFonts w:asciiTheme="minorHAnsi" w:hAnsiTheme="minorHAnsi" w:eastAsiaTheme="minorEastAsia" w:cstheme="minorBidi"/>
    </w:rPr>
  </w:style>
  <w:style w:type="paragraph" w:customStyle="1" w:styleId="22">
    <w:name w:val="标题1-1"/>
    <w:basedOn w:val="2"/>
    <w:next w:val="1"/>
    <w:qFormat/>
    <w:uiPriority w:val="1"/>
    <w:pPr>
      <w:numPr>
        <w:numId w:val="3"/>
      </w:numPr>
    </w:pPr>
    <w:rPr>
      <w:rFonts w:cs="Times New Roman"/>
      <w:bCs w:val="0"/>
      <w:color w:val="45A3A7"/>
    </w:rPr>
  </w:style>
  <w:style w:type="paragraph" w:customStyle="1" w:styleId="23">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4">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5">
    <w:name w:val="标题1-3"/>
    <w:basedOn w:val="2"/>
    <w:next w:val="1"/>
    <w:qFormat/>
    <w:uiPriority w:val="1"/>
    <w:pPr>
      <w:numPr>
        <w:numId w:val="5"/>
      </w:numPr>
    </w:pPr>
    <w:rPr>
      <w:rFonts w:cs="Times New Roman"/>
      <w:color w:val="416AAB"/>
      <w:szCs w:val="32"/>
    </w:rPr>
  </w:style>
  <w:style w:type="paragraph" w:customStyle="1" w:styleId="26">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7">
    <w:name w:val="WPSOffice手动目录 1"/>
    <w:qFormat/>
    <w:uiPriority w:val="0"/>
    <w:rPr>
      <w:rFonts w:asciiTheme="minorHAnsi" w:hAnsiTheme="minorHAnsi" w:eastAsiaTheme="minorHAnsi"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9">
    <w:name w:val="列出段落1"/>
    <w:basedOn w:val="1"/>
    <w:unhideWhenUsed/>
    <w:qFormat/>
    <w:uiPriority w:val="34"/>
    <w:pPr>
      <w:spacing w:before="42"/>
      <w:ind w:left="1699" w:hanging="380"/>
    </w:pPr>
    <w:rPr>
      <w:sz w:val="24"/>
    </w:rPr>
  </w:style>
  <w:style w:type="paragraph" w:styleId="30">
    <w:name w:val="List Paragraph"/>
    <w:basedOn w:val="1"/>
    <w:qFormat/>
    <w:uiPriority w:val="99"/>
    <w:pPr>
      <w:ind w:firstLine="420" w:firstLineChars="200"/>
    </w:pPr>
  </w:style>
  <w:style w:type="table" w:customStyle="1" w:styleId="31">
    <w:name w:val="ffzstable0"/>
    <w:basedOn w:val="14"/>
    <w:qFormat/>
    <w:uiPriority w:val="0"/>
    <w:pPr>
      <w:jc w:val="center"/>
    </w:pPr>
    <w:tcPr>
      <w:vAlign w:val="center"/>
    </w:tcPr>
  </w:style>
  <w:style w:type="table" w:customStyle="1" w:styleId="32">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3">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14578</Words>
  <Characters>83099</Characters>
  <Lines>692</Lines>
  <Paragraphs>194</Paragraphs>
  <TotalTime>0</TotalTime>
  <ScaleCrop>false</ScaleCrop>
  <LinksUpToDate>false</LinksUpToDate>
  <CharactersWithSpaces>97483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將離</cp:lastModifiedBy>
  <dcterms:modified xsi:type="dcterms:W3CDTF">2021-08-12T03:51:08Z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6C663FD30CA04A9DA4FA575E44CF25A5</vt:lpwstr>
  </property>
</Properties>
</file>