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8"/>
        <w:tblW w:w="10237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1"/>
        <w:gridCol w:w="2648"/>
        <w:gridCol w:w="1030"/>
        <w:gridCol w:w="455"/>
        <w:gridCol w:w="2750"/>
        <w:gridCol w:w="3"/>
      </w:tblGrid>
      <w:tr w14:paraId="1DB03C12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450" w:hRule="atLeast"/>
          <w:jc w:val="center"/>
        </w:trPr>
        <w:tc>
          <w:tcPr>
            <w:tcW w:w="3351" w:type="dxa"/>
            <w:vAlign w:val="center"/>
          </w:tcPr>
          <w:p w14:paraId="72D2D299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患者姓名：  {{ client }}</w:t>
            </w:r>
          </w:p>
        </w:tc>
        <w:tc>
          <w:tcPr>
            <w:tcW w:w="2648" w:type="dxa"/>
            <w:vAlign w:val="center"/>
          </w:tcPr>
          <w:p w14:paraId="2DAB2908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性别：</w:t>
            </w:r>
            <w:r>
              <w:rPr>
                <w:rFonts w:hint="default" w:ascii="Times New Roman" w:hAnsi="Times New Roman" w:cs="Times New Roman"/>
              </w:rPr>
              <w:t>{{ sex }}</w:t>
            </w:r>
          </w:p>
        </w:tc>
        <w:tc>
          <w:tcPr>
            <w:tcW w:w="1485" w:type="dxa"/>
            <w:gridSpan w:val="2"/>
            <w:vAlign w:val="center"/>
          </w:tcPr>
          <w:p w14:paraId="063DE700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年龄：</w:t>
            </w:r>
            <w:r>
              <w:rPr>
                <w:rFonts w:hint="default" w:ascii="Times New Roman" w:hAnsi="Times New Roman" w:cs="Times New Roman"/>
              </w:rPr>
              <w:t>{{ age }}岁</w:t>
            </w:r>
          </w:p>
        </w:tc>
        <w:tc>
          <w:tcPr>
            <w:tcW w:w="2750" w:type="dxa"/>
            <w:vAlign w:val="center"/>
          </w:tcPr>
          <w:p w14:paraId="047C256D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送检样本：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{{ specimentype }}</w:t>
            </w:r>
          </w:p>
        </w:tc>
      </w:tr>
      <w:tr w14:paraId="75D0684E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433" w:hRule="atLeast"/>
          <w:jc w:val="center"/>
        </w:trPr>
        <w:tc>
          <w:tcPr>
            <w:tcW w:w="3351" w:type="dxa"/>
            <w:vAlign w:val="center"/>
          </w:tcPr>
          <w:p w14:paraId="212837BD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原样本编号：</w:t>
            </w:r>
            <w:r>
              <w:rPr>
                <w:rFonts w:hint="default" w:ascii="Times New Roman" w:hAnsi="Times New Roman" w:cs="Times New Roman"/>
              </w:rPr>
              <w:t>{{ subbarcode }}</w:t>
            </w:r>
          </w:p>
        </w:tc>
        <w:tc>
          <w:tcPr>
            <w:tcW w:w="2648" w:type="dxa"/>
            <w:vAlign w:val="center"/>
          </w:tcPr>
          <w:p w14:paraId="0E3A3CA2">
            <w:pPr>
              <w:pStyle w:val="214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病人ID：</w:t>
            </w:r>
            <w:r>
              <w:rPr>
                <w:rFonts w:hint="default" w:ascii="Times New Roman" w:hAnsi="Times New Roman" w:cs="Times New Roman"/>
                <w:highlight w:val="none"/>
                <w:lang w:val="en-US" w:eastAsia="zh-CN"/>
              </w:rPr>
              <w:t>{{TROP2Info.patientId}}</w:t>
            </w:r>
          </w:p>
        </w:tc>
        <w:tc>
          <w:tcPr>
            <w:tcW w:w="1485" w:type="dxa"/>
            <w:gridSpan w:val="2"/>
            <w:vAlign w:val="center"/>
          </w:tcPr>
          <w:p w14:paraId="326E013A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采样日期：NA</w:t>
            </w:r>
          </w:p>
        </w:tc>
        <w:tc>
          <w:tcPr>
            <w:tcW w:w="2750" w:type="dxa"/>
            <w:vAlign w:val="center"/>
          </w:tcPr>
          <w:p w14:paraId="649DCA45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送检单位：</w:t>
            </w:r>
            <w:r>
              <w:rPr>
                <w:rFonts w:hint="default" w:ascii="Times New Roman" w:hAnsi="Times New Roman" w:cs="Times New Roman"/>
              </w:rPr>
              <w:t>{{ hospital }}</w:t>
            </w:r>
          </w:p>
        </w:tc>
      </w:tr>
      <w:tr w14:paraId="2D66284A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2" w:hRule="atLeast"/>
          <w:jc w:val="center"/>
        </w:trPr>
        <w:tc>
          <w:tcPr>
            <w:tcW w:w="7029" w:type="dxa"/>
            <w:gridSpan w:val="3"/>
            <w:vAlign w:val="center"/>
          </w:tcPr>
          <w:p w14:paraId="4A1AB52E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原病理/临床诊断：</w:t>
            </w:r>
            <w:r>
              <w:rPr>
                <w:rFonts w:hint="default" w:ascii="Times New Roman" w:hAnsi="Times New Roman" w:cs="Times New Roman"/>
              </w:rPr>
              <w:t>{{ diseaseName }}</w:t>
            </w:r>
          </w:p>
        </w:tc>
        <w:tc>
          <w:tcPr>
            <w:tcW w:w="3208" w:type="dxa"/>
            <w:gridSpan w:val="3"/>
            <w:vAlign w:val="center"/>
          </w:tcPr>
          <w:p w14:paraId="1CB0F8E5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接收日期：</w:t>
            </w:r>
            <w:r>
              <w:rPr>
                <w:rFonts w:hint="default" w:ascii="Times New Roman" w:hAnsi="Times New Roman" w:cs="Times New Roman"/>
              </w:rPr>
              <w:t>{{ receiveddate }}</w:t>
            </w:r>
          </w:p>
        </w:tc>
      </w:tr>
    </w:tbl>
    <w:p w14:paraId="715ED8FF">
      <w:pPr>
        <w:tabs>
          <w:tab w:val="left" w:pos="589"/>
        </w:tabs>
        <w:ind w:left="76" w:hanging="76" w:hangingChars="76"/>
        <w:rPr>
          <w:rFonts w:hint="default" w:ascii="Times New Roman" w:hAnsi="Times New Roman" w:eastAsia="宋体" w:cs="Times New Roman"/>
          <w:b/>
          <w:bCs/>
          <w:color w:val="000000"/>
          <w:sz w:val="10"/>
          <w:szCs w:val="10"/>
        </w:rPr>
      </w:pPr>
    </w:p>
    <w:p w14:paraId="7DF23435">
      <w:pPr>
        <w:ind w:left="3780" w:firstLine="420"/>
        <w:rPr>
          <w:rFonts w:hint="default" w:ascii="Times New Roman" w:hAnsi="Times New Roman" w:eastAsia="微软雅黑" w:cs="Times New Roman"/>
          <w:b/>
          <w:color w:val="000000"/>
          <w:sz w:val="22"/>
          <w:highlight w:val="none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22"/>
          <w:highlight w:val="none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730774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</w:tblPrEx>
        <w:trPr>
          <w:jc w:val="center"/>
        </w:trPr>
        <w:tc>
          <w:tcPr>
            <w:tcW w:w="3431" w:type="dxa"/>
            <w:vAlign w:val="center"/>
          </w:tcPr>
          <w:p w14:paraId="72B28929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  <w:t>肿瘤细胞含量占比</w:t>
            </w:r>
          </w:p>
        </w:tc>
        <w:tc>
          <w:tcPr>
            <w:tcW w:w="6775" w:type="dxa"/>
            <w:vAlign w:val="center"/>
          </w:tcPr>
          <w:p w14:paraId="766EB02D">
            <w:pPr>
              <w:pStyle w:val="215"/>
              <w:ind w:firstLine="180" w:firstLineChars="100"/>
              <w:rPr>
                <w:rFonts w:hint="default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{{TROP2Info.tumor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ell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R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atio}}</w:t>
            </w:r>
          </w:p>
        </w:tc>
      </w:tr>
      <w:tr w14:paraId="6AD33529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11162EE9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  <w:t>肿瘤细胞数是否大于100个</w:t>
            </w:r>
          </w:p>
        </w:tc>
        <w:tc>
          <w:tcPr>
            <w:tcW w:w="6775" w:type="dxa"/>
            <w:vAlign w:val="center"/>
          </w:tcPr>
          <w:p w14:paraId="7BE4C4D4">
            <w:pPr>
              <w:pStyle w:val="21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t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umor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ell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ount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O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ver100}}</w:t>
            </w:r>
          </w:p>
        </w:tc>
      </w:tr>
      <w:tr w14:paraId="71879C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24008F5">
            <w:pPr>
              <w:pStyle w:val="228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镜下描述：活检组织中见大量的癌细胞，细胞呈圆形或椭圆形，核大染色深，核浆比增大，异型性明显。</w:t>
            </w:r>
          </w:p>
        </w:tc>
      </w:tr>
    </w:tbl>
    <w:p w14:paraId="0FB2FAB6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</w:t>
      </w:r>
      <w:r>
        <w:rPr>
          <w:rFonts w:ascii="Times New Roman" w:hAnsi="Times New Roman" w:eastAsia="微软雅黑" w:cs="Times New Roman"/>
          <w:b/>
          <w:szCs w:val="21"/>
        </w:rPr>
        <w:t>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TROP2HE</w:t>
      </w:r>
      <w:r>
        <w:rPr>
          <w:rFonts w:hint="default" w:ascii="Times New Roman" w:hAnsi="Times New Roman" w:eastAsia="微软雅黑" w:cs="Times New Roman"/>
          <w:b/>
          <w:szCs w:val="21"/>
          <w:lang w:val="en-US" w:eastAsia="zh-CN"/>
        </w:rPr>
        <w:t>Base64Str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%}</w:t>
      </w:r>
    </w:p>
    <w:p w14:paraId="17A817B9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</w:t>
      </w:r>
      <w:r>
        <w:rPr>
          <w:rFonts w:ascii="Times New Roman" w:hAnsi="Times New Roman" w:eastAsia="微软雅黑" w:cs="Times New Roman"/>
          <w:b/>
          <w:szCs w:val="21"/>
        </w:rPr>
        <w:t>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TROP2HE</w:t>
      </w:r>
      <w:r>
        <w:rPr>
          <w:rFonts w:hint="default" w:ascii="Times New Roman" w:hAnsi="Times New Roman" w:eastAsia="微软雅黑" w:cs="Times New Roman"/>
          <w:b/>
          <w:szCs w:val="21"/>
          <w:lang w:val="en-US" w:eastAsia="zh-CN"/>
        </w:rPr>
        <w:t>Base64Str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 xml:space="preserve"> | p</w:t>
      </w:r>
      <w:r>
        <w:rPr>
          <w:rFonts w:hint="eastAsia" w:ascii="Times New Roman" w:hAnsi="Times New Roman" w:eastAsia="微软雅黑" w:cs="Times New Roman"/>
          <w:b/>
          <w:szCs w:val="21"/>
        </w:rPr>
        <w:t>di(131,94.4) }}{% endif %}</w:t>
      </w:r>
    </w:p>
    <w:p w14:paraId="38AC7B0E">
      <w:pPr>
        <w:jc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566F923B">
      <w:pPr>
        <w:ind w:firstLine="180" w:firstLineChars="100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检测结果：</w:t>
      </w:r>
    </w:p>
    <w:tbl>
      <w:tblPr>
        <w:tblStyle w:val="17"/>
        <w:tblW w:w="10057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1112"/>
        <w:gridCol w:w="1479"/>
        <w:gridCol w:w="2220"/>
        <w:gridCol w:w="2674"/>
      </w:tblGrid>
      <w:tr w14:paraId="5988722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exact"/>
          <w:jc w:val="center"/>
        </w:trPr>
        <w:tc>
          <w:tcPr>
            <w:tcW w:w="2572" w:type="dxa"/>
            <w:shd w:val="clear" w:color="auto" w:fill="62B541"/>
            <w:vAlign w:val="center"/>
          </w:tcPr>
          <w:p w14:paraId="581D353B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1112" w:type="dxa"/>
            <w:shd w:val="clear" w:color="auto" w:fill="62B541"/>
            <w:vAlign w:val="center"/>
          </w:tcPr>
          <w:p w14:paraId="210FC0A2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1479" w:type="dxa"/>
            <w:shd w:val="clear" w:color="auto" w:fill="62B541"/>
            <w:vAlign w:val="center"/>
          </w:tcPr>
          <w:p w14:paraId="6F0C4801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2220" w:type="dxa"/>
            <w:shd w:val="clear" w:color="auto" w:fill="62B541"/>
            <w:vAlign w:val="center"/>
          </w:tcPr>
          <w:p w14:paraId="397EC198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肿瘤细胞阳性强度</w:t>
            </w:r>
          </w:p>
        </w:tc>
        <w:tc>
          <w:tcPr>
            <w:tcW w:w="2674" w:type="dxa"/>
            <w:shd w:val="clear" w:color="auto" w:fill="62B541"/>
            <w:vAlign w:val="center"/>
          </w:tcPr>
          <w:tbl>
            <w:tblPr>
              <w:tblStyle w:val="17"/>
              <w:tblW w:w="10618" w:type="dxa"/>
              <w:jc w:val="center"/>
              <w:tblBorders>
                <w:top w:val="single" w:color="62B541" w:sz="4" w:space="0"/>
                <w:left w:val="single" w:color="62B541" w:sz="4" w:space="0"/>
                <w:bottom w:val="single" w:color="62B541" w:sz="4" w:space="0"/>
                <w:right w:val="single" w:color="62B541" w:sz="4" w:space="0"/>
                <w:insideH w:val="single" w:color="62B541" w:sz="4" w:space="0"/>
                <w:insideV w:val="single" w:color="62B541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483"/>
            </w:tblGrid>
            <w:tr w14:paraId="46805B9E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exact"/>
                <w:jc w:val="center"/>
              </w:trPr>
              <w:tc>
                <w:tcPr>
                  <w:tcW w:w="3483" w:type="dxa"/>
                  <w:shd w:val="clear" w:color="auto" w:fill="62B541"/>
                  <w:vAlign w:val="center"/>
                </w:tcPr>
                <w:p w14:paraId="66980DBD">
                  <w:pPr>
                    <w:jc w:val="center"/>
                    <w:rPr>
                      <w:rFonts w:hint="default" w:ascii="Times New Roman" w:hAnsi="Times New Roman" w:eastAsia="微软雅黑" w:cs="Times New Roman"/>
                      <w:b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Times New Roman" w:hAnsi="Times New Roman" w:eastAsia="微软雅黑" w:cs="Times New Roman"/>
                      <w:b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  <w:t>检测结果</w:t>
                  </w:r>
                </w:p>
              </w:tc>
            </w:tr>
            <w:tr w14:paraId="5239F6D0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4AD0ED6A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  <w:r>
                    <w:rPr>
                      <w:rFonts w:hint="default" w:ascii="Times New Roman" w:hAnsi="Times New Roman" w:cs="Times New Roman"/>
                    </w:rPr>
                    <w:t>TPS：&lt;1%</w:t>
                  </w:r>
                </w:p>
              </w:tc>
            </w:tr>
            <w:tr w14:paraId="791605F5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4FDCE33C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21812C30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0A9B432A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5482C907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7EA43B0D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  <w:r>
                    <w:rPr>
                      <w:rFonts w:hint="default" w:ascii="Times New Roman" w:hAnsi="Times New Roman" w:cs="Times New Roman"/>
                    </w:rPr>
                    <w:t>CPS：10</w:t>
                  </w:r>
                </w:p>
              </w:tc>
            </w:tr>
          </w:tbl>
          <w:p w14:paraId="50F27C06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1F178CB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  <w:jc w:val="center"/>
        </w:trPr>
        <w:tc>
          <w:tcPr>
            <w:tcW w:w="2572" w:type="dxa"/>
            <w:vMerge w:val="restart"/>
            <w:vAlign w:val="center"/>
          </w:tcPr>
          <w:p w14:paraId="3762DEA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TROP2蛋白表达水平</w:t>
            </w:r>
          </w:p>
        </w:tc>
        <w:tc>
          <w:tcPr>
            <w:tcW w:w="1112" w:type="dxa"/>
            <w:vMerge w:val="restart"/>
            <w:vAlign w:val="center"/>
          </w:tcPr>
          <w:p w14:paraId="7421F06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IHC</w:t>
            </w:r>
          </w:p>
        </w:tc>
        <w:tc>
          <w:tcPr>
            <w:tcW w:w="1479" w:type="dxa"/>
            <w:vMerge w:val="restart"/>
            <w:vAlign w:val="center"/>
          </w:tcPr>
          <w:p w14:paraId="639147F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EPR20043</w:t>
            </w:r>
          </w:p>
        </w:tc>
        <w:tc>
          <w:tcPr>
            <w:tcW w:w="2220" w:type="dxa"/>
            <w:vAlign w:val="center"/>
          </w:tcPr>
          <w:p w14:paraId="69BE9606">
            <w:pPr>
              <w:pStyle w:val="217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2674" w:type="dxa"/>
            <w:vAlign w:val="center"/>
          </w:tcPr>
          <w:p w14:paraId="1CFF4853">
            <w:pPr>
              <w:pStyle w:val="23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{{TROP2Info.level0}}</w:t>
            </w:r>
          </w:p>
        </w:tc>
      </w:tr>
      <w:tr w14:paraId="5844B04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  <w:jc w:val="center"/>
        </w:trPr>
        <w:tc>
          <w:tcPr>
            <w:tcW w:w="2572" w:type="dxa"/>
            <w:vMerge w:val="continue"/>
            <w:vAlign w:val="center"/>
          </w:tcPr>
          <w:p w14:paraId="6E361955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4019429C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4FACC0D7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20" w:type="dxa"/>
            <w:vAlign w:val="center"/>
          </w:tcPr>
          <w:p w14:paraId="373800E5">
            <w:pPr>
              <w:pStyle w:val="217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1+</w:t>
            </w:r>
          </w:p>
        </w:tc>
        <w:tc>
          <w:tcPr>
            <w:tcW w:w="2674" w:type="dxa"/>
            <w:vAlign w:val="center"/>
          </w:tcPr>
          <w:p w14:paraId="2A6CD94B">
            <w:pPr>
              <w:pStyle w:val="23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{{TROP2Info.level1}}</w:t>
            </w:r>
          </w:p>
        </w:tc>
      </w:tr>
      <w:tr w14:paraId="39188EC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7B554272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0502F40B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69DD283D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20" w:type="dxa"/>
            <w:vAlign w:val="center"/>
          </w:tcPr>
          <w:p w14:paraId="3FB2B1EE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2+</w:t>
            </w:r>
          </w:p>
        </w:tc>
        <w:tc>
          <w:tcPr>
            <w:tcW w:w="2674" w:type="dxa"/>
            <w:vAlign w:val="center"/>
          </w:tcPr>
          <w:p w14:paraId="557059BD">
            <w:pPr>
              <w:pStyle w:val="235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{{TROP2Info.level2}}</w:t>
            </w:r>
          </w:p>
        </w:tc>
      </w:tr>
      <w:tr w14:paraId="7B9EB4E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0A684A5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2DC692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6B196B3A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20" w:type="dxa"/>
            <w:vAlign w:val="center"/>
          </w:tcPr>
          <w:p w14:paraId="671E0BD7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3+</w:t>
            </w:r>
          </w:p>
        </w:tc>
        <w:tc>
          <w:tcPr>
            <w:tcW w:w="2674" w:type="dxa"/>
            <w:vAlign w:val="center"/>
          </w:tcPr>
          <w:p w14:paraId="738EF914">
            <w:pPr>
              <w:pStyle w:val="235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{{TROP2Info.level3}}</w:t>
            </w:r>
          </w:p>
        </w:tc>
      </w:tr>
      <w:tr w14:paraId="30FB5DC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2D29A86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1468DE2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50D35A2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20" w:type="dxa"/>
            <w:vAlign w:val="center"/>
          </w:tcPr>
          <w:p w14:paraId="25E881E6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H Score</w:t>
            </w:r>
          </w:p>
        </w:tc>
        <w:tc>
          <w:tcPr>
            <w:tcW w:w="2674" w:type="dxa"/>
            <w:vAlign w:val="center"/>
          </w:tcPr>
          <w:p w14:paraId="5DE68C86">
            <w:pPr>
              <w:pStyle w:val="236"/>
              <w:rPr>
                <w:rFonts w:hint="default" w:ascii="Times New Roman" w:hAnsi="Times New Roman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{{TROP2Info.HScore}}</w:t>
            </w:r>
          </w:p>
        </w:tc>
      </w:tr>
      <w:tr w14:paraId="2977335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10057" w:type="dxa"/>
            <w:gridSpan w:val="5"/>
            <w:vAlign w:val="center"/>
          </w:tcPr>
          <w:p w14:paraId="79D187D1">
            <w:pPr>
              <w:pStyle w:val="236"/>
              <w:jc w:val="both"/>
              <w:rPr>
                <w:rFonts w:hint="eastAsia"/>
                <w:sz w:val="16"/>
                <w:szCs w:val="16"/>
                <w:highlight w:val="none"/>
              </w:rPr>
            </w:pPr>
            <w:r>
              <w:rPr>
                <w:rFonts w:hint="eastAsia"/>
                <w:sz w:val="16"/>
                <w:szCs w:val="16"/>
                <w:highlight w:val="none"/>
              </w:rPr>
              <w:t>H Score=1*(+)%+2* (++)%+3* (+++)%，H Score在0~300范围内。</w:t>
            </w:r>
          </w:p>
          <w:p w14:paraId="58B47774">
            <w:pPr>
              <w:pStyle w:val="236"/>
              <w:jc w:val="both"/>
              <w:rPr>
                <w:rFonts w:hint="eastAsia"/>
                <w:highlight w:val="yellow"/>
              </w:rPr>
            </w:pPr>
            <w:r>
              <w:rPr>
                <w:rFonts w:hint="eastAsia"/>
                <w:sz w:val="16"/>
                <w:szCs w:val="16"/>
                <w:highlight w:val="none"/>
              </w:rPr>
              <w:t>1+：20倍目镜可见清晰肿瘤细胞胞膜表达；2+：10倍目镜可见清晰是肿瘤细胞胞膜表达；3+：4倍目镜可见清晰是肿瘤细胞胞膜表达</w:t>
            </w:r>
          </w:p>
        </w:tc>
      </w:tr>
    </w:tbl>
    <w:p w14:paraId="7992FF53">
      <w:pPr>
        <w:widowControl/>
        <w:jc w:val="left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53EF91A3">
      <w:pPr>
        <w:spacing w:line="276" w:lineRule="auto"/>
        <w:ind w:left="1245" w:leftChars="78" w:right="428" w:rightChars="204" w:hanging="1081" w:hangingChars="600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检测图谱：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 </w:t>
      </w:r>
    </w:p>
    <w:tbl>
      <w:tblPr>
        <w:tblStyle w:val="18"/>
        <w:tblW w:w="1001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48"/>
        <w:gridCol w:w="3458"/>
        <w:gridCol w:w="3304"/>
      </w:tblGrid>
      <w:tr w14:paraId="4DADE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 w:hRule="exact"/>
          <w:jc w:val="center"/>
        </w:trPr>
        <w:tc>
          <w:tcPr>
            <w:tcW w:w="3248" w:type="dxa"/>
            <w:tcBorders>
              <w:tl2br w:val="nil"/>
              <w:tr2bl w:val="nil"/>
            </w:tcBorders>
            <w:vAlign w:val="center"/>
          </w:tcPr>
          <w:p w14:paraId="5EBC7361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| pdi(131,94.4) }}{% endif %}</w:t>
            </w:r>
          </w:p>
        </w:tc>
        <w:tc>
          <w:tcPr>
            <w:tcW w:w="3458" w:type="dxa"/>
            <w:tcBorders>
              <w:tl2br w:val="nil"/>
              <w:tr2bl w:val="nil"/>
            </w:tcBorders>
            <w:vAlign w:val="center"/>
          </w:tcPr>
          <w:p w14:paraId="7EEE8D6D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i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nkong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i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nkong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304" w:type="dxa"/>
            <w:tcBorders>
              <w:tl2br w:val="nil"/>
              <w:tr2bl w:val="nil"/>
            </w:tcBorders>
            <w:vAlign w:val="center"/>
          </w:tcPr>
          <w:p w14:paraId="497FCCCF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700C97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  <w:jc w:val="center"/>
        </w:trPr>
        <w:tc>
          <w:tcPr>
            <w:tcW w:w="3248" w:type="dxa"/>
            <w:tcBorders>
              <w:tl2br w:val="nil"/>
              <w:tr2bl w:val="nil"/>
            </w:tcBorders>
            <w:vAlign w:val="center"/>
          </w:tcPr>
          <w:p w14:paraId="1864327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 阳性对照 200X</w:t>
            </w:r>
          </w:p>
        </w:tc>
        <w:tc>
          <w:tcPr>
            <w:tcW w:w="3458" w:type="dxa"/>
            <w:tcBorders>
              <w:tl2br w:val="nil"/>
              <w:tr2bl w:val="nil"/>
            </w:tcBorders>
            <w:vAlign w:val="center"/>
          </w:tcPr>
          <w:p w14:paraId="7BEFBD7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 阴性对照 200X</w:t>
            </w:r>
          </w:p>
        </w:tc>
        <w:tc>
          <w:tcPr>
            <w:tcW w:w="3304" w:type="dxa"/>
            <w:tcBorders>
              <w:tl2br w:val="nil"/>
              <w:tr2bl w:val="nil"/>
            </w:tcBorders>
            <w:vAlign w:val="center"/>
          </w:tcPr>
          <w:p w14:paraId="2455F44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TROP2 200X</w:t>
            </w:r>
          </w:p>
        </w:tc>
      </w:tr>
    </w:tbl>
    <w:p w14:paraId="6D1BA62E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21C080E3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2BACE8A1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984"/>
        <w:gridCol w:w="2272"/>
        <w:gridCol w:w="3186"/>
      </w:tblGrid>
      <w:tr w14:paraId="59A66F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3477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68A247">
            <w:pPr>
              <w:adjustRightInd w:val="0"/>
              <w:rPr>
                <w:rFonts w:hint="default" w:ascii="Times New Roman" w:hAnsi="Times New Roman" w:eastAsia="微软雅黑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{{TROP2Info.examiner}}</w:t>
            </w:r>
          </w:p>
        </w:tc>
        <w:tc>
          <w:tcPr>
            <w:tcW w:w="984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883BEF3">
            <w:pPr>
              <w:adjustRightInd w:val="0"/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7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BFAC7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both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{{TROP2Info.auditor}}</w:t>
            </w:r>
          </w:p>
        </w:tc>
        <w:tc>
          <w:tcPr>
            <w:tcW w:w="3186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C92039E">
            <w:pPr>
              <w:pStyle w:val="231"/>
              <w:framePr w:hSpace="0" w:wrap="auto" w:vAnchor="margin" w:hAnchor="text" w:xAlign="left" w:yAlign="inline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报告日期：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  <w:tr w14:paraId="62AE3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919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50C845A3">
            <w:pPr>
              <w:adjustRightInd w:val="0"/>
              <w:jc w:val="center"/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928EE00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6F089A87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665D8A24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567" w:footer="656" w:gutter="0"/>
          <w:pgNumType w:fmt="decimal" w:start="1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EED1407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4AD1320F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hint="default"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8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317C2FC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1312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JLcphfaAAAACgEAAA8AAAAAAAAAAQAgAAAAIgAAAGRycy9k&#10;b3ducmV2LnhtbFBLAQIUABQAAAAIAIdO4kCLBojtOQIAAFQEAAAOAAAAAAAAAAEAIAAAACkBAABk&#10;cnMvZTJvRG9jLnhtbFBLBQYAAAAABgAGAFkBAADUBQAAAAA=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317C2FC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5863BE2A">
      <w:pPr>
        <w:pStyle w:val="25"/>
        <w:spacing w:line="440" w:lineRule="exact"/>
        <w:ind w:right="288" w:rightChars="137" w:firstLine="0" w:firstLineChars="0"/>
        <w:jc w:val="center"/>
        <w:rPr>
          <w:rFonts w:hint="default" w:ascii="Times New Roman" w:hAnsi="Times New Roman" w:eastAsia="微软雅黑" w:cs="Times New Roman"/>
          <w:b/>
          <w:kern w:val="0"/>
          <w:sz w:val="15"/>
          <w:szCs w:val="15"/>
        </w:rPr>
      </w:pPr>
    </w:p>
    <w:p w14:paraId="78AD0FB3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both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1.</w:t>
      </w:r>
      <w:r>
        <w:rPr>
          <w:rFonts w:hint="default" w:ascii="Times New Roman" w:hAnsi="Times New Roman" w:eastAsia="微软雅黑" w:cs="Times New Roman"/>
          <w:bCs w:val="0"/>
          <w:color w:val="62B541"/>
          <w:kern w:val="2"/>
          <w:sz w:val="21"/>
          <w:szCs w:val="22"/>
        </w:rPr>
        <w:t xml:space="preserve"> </w:t>
      </w: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关于T</w:t>
      </w:r>
      <w:r>
        <w:rPr>
          <w:rFonts w:hint="eastAsia" w:ascii="Times New Roman" w:hAnsi="Times New Roman" w:eastAsia="微软雅黑" w:cs="Times New Roman"/>
          <w:color w:val="62B541"/>
          <w:sz w:val="24"/>
          <w:szCs w:val="24"/>
          <w:lang w:val="en-US" w:eastAsia="zh-CN"/>
        </w:rPr>
        <w:t>ROP</w:t>
      </w: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2</w:t>
      </w:r>
    </w:p>
    <w:p w14:paraId="3C544361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Trop2全称为人滋养细胞表面糖蛋白抗原2，是由TACSTD 2基因编码表达的细胞表面糖蛋白。正常情况下，Trop2主要表达于上皮细胞并在胚胎器官发育过程中起重要作用，在人体不同的组织中，Trop2表达水平不同，其中乳腺的表达水平最高。但在肿瘤细胞中，Trop2的表达显著升高，如乳腺癌（＞90%）、尿路上皮癌（＜83%）、胃癌（56%）、结肠直肠癌（68.4%）、某些肺癌、胰腺癌、前列腺癌、宫颈癌、头颈癌和卵巢癌等。</w:t>
      </w:r>
    </w:p>
    <w:p w14:paraId="700CB618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Trop2主要通过调节钙离子信号通路、细胞周期蛋白表达及降低纤黏蛋白黏附作用促进肿瘤细胞生长、增殖和转移。此外，Trop2也可以与Wnt信号级联中的β-连环蛋白相互作用，因而对细胞核癌基因的转录、细胞的增殖起作用。总的来说，Trop2的高表达与癌细胞的增殖、侵袭、转移扩散息息相关，造成肿瘤患者预后不良及生存期缩短。 因此Trop2作为广谱肿瘤标志物，成为开发抗体偶联药物（ADC）的新靶点。</w:t>
      </w:r>
    </w:p>
    <w:p w14:paraId="0F335DEA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</w:p>
    <w:p w14:paraId="115EC500">
      <w:pPr>
        <w:adjustRightInd w:val="0"/>
        <w:snapToGrid w:val="0"/>
        <w:spacing w:line="360" w:lineRule="auto"/>
        <w:jc w:val="center"/>
        <w:rPr>
          <w:rFonts w:hint="default" w:ascii="Times New Roman" w:hAnsi="Times New Roman" w:eastAsia="微软雅黑" w:cs="Times New Roman"/>
          <w:sz w:val="20"/>
        </w:rPr>
      </w:pPr>
      <w:r>
        <w:drawing>
          <wp:inline distT="0" distB="0" distL="0" distR="0">
            <wp:extent cx="6193155" cy="4064000"/>
            <wp:effectExtent l="0" t="0" r="4445" b="0"/>
            <wp:docPr id="4" name="图片 4" descr="C:\Users\akm\Documents\WeChat Files\maygodblessfriends\FileStorage\Temp\15546065e955e7c3d36c30afe93ebfd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akm\Documents\WeChat Files\maygodblessfriends\FileStorage\Temp\15546065e955e7c3d36c30afe93ebfd7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93155" cy="406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E13D9">
      <w:pPr>
        <w:adjustRightInd w:val="0"/>
        <w:snapToGrid w:val="0"/>
        <w:spacing w:line="360" w:lineRule="auto"/>
        <w:ind w:firstLine="320" w:firstLineChars="200"/>
        <w:jc w:val="center"/>
        <w:rPr>
          <w:rFonts w:ascii="微软雅黑" w:hAnsi="微软雅黑" w:eastAsia="微软雅黑"/>
          <w:sz w:val="20"/>
        </w:rPr>
      </w:pPr>
      <w:r>
        <w:rPr>
          <w:rFonts w:hint="eastAsia" w:ascii="微软雅黑" w:hAnsi="微软雅黑" w:eastAsia="微软雅黑"/>
          <w:sz w:val="16"/>
        </w:rPr>
        <w:t>图1</w:t>
      </w:r>
      <w:r>
        <w:rPr>
          <w:rFonts w:ascii="微软雅黑" w:hAnsi="微软雅黑" w:eastAsia="微软雅黑"/>
          <w:sz w:val="16"/>
        </w:rPr>
        <w:t>.</w:t>
      </w:r>
      <w:r>
        <w:rPr>
          <w:rFonts w:hint="eastAsia" w:ascii="微软雅黑" w:hAnsi="微软雅黑" w:eastAsia="微软雅黑"/>
          <w:sz w:val="16"/>
        </w:rPr>
        <w:t>TROP2促进肿瘤浸润和转移（图片来源：Cusabio）</w:t>
      </w:r>
    </w:p>
    <w:p w14:paraId="47C3C327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7BE09891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440" w:lineRule="exact"/>
        <w:ind w:leftChars="0" w:right="288" w:rightChars="137"/>
        <w:jc w:val="left"/>
        <w:textAlignment w:val="auto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2. Trop2药物</w:t>
      </w:r>
      <w:r>
        <w:rPr>
          <w:rFonts w:hint="eastAsia" w:ascii="Times New Roman" w:hAnsi="Times New Roman" w:eastAsia="微软雅黑" w:cs="Times New Roman"/>
          <w:color w:val="62B541"/>
          <w:sz w:val="24"/>
          <w:szCs w:val="24"/>
        </w:rPr>
        <w:t>临床研究</w:t>
      </w:r>
    </w:p>
    <w:p w14:paraId="73ADFE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360" w:firstLineChars="200"/>
        <w:textAlignment w:val="auto"/>
        <w:rPr>
          <w:rFonts w:hint="eastAsia" w:ascii="微软雅黑" w:hAnsi="微软雅黑" w:eastAsia="微软雅黑"/>
          <w:sz w:val="18"/>
          <w:highlight w:val="none"/>
          <w:lang w:eastAsia="zh-CN"/>
        </w:rPr>
      </w:pPr>
      <w:r>
        <w:rPr>
          <w:rFonts w:hint="eastAsia" w:ascii="微软雅黑" w:hAnsi="微软雅黑" w:eastAsia="微软雅黑"/>
          <w:sz w:val="18"/>
        </w:rPr>
        <w:t>近</w:t>
      </w:r>
      <w:r>
        <w:rPr>
          <w:rFonts w:hint="eastAsia" w:ascii="微软雅黑" w:hAnsi="微软雅黑" w:eastAsia="微软雅黑"/>
          <w:sz w:val="18"/>
          <w:highlight w:val="none"/>
        </w:rPr>
        <w:t>年来，Trop2 ADC药物的研发进展迅速，Trodelvy（IMMU-132）于2020年获FDA批准上市，是全球首个上市的Trop2 ADC药物。Trodelvy的活性药物成分为sacituzumab govitecan，这是一种新型、首创的抗体药物偶联物（ADC）药物，由靶向TROP-2抗原的人源化IgG1抗体与化疗药物伊立替康（一种拓扑异构酶I抑制剂）的代谢活性产物SN-38偶联而成。目前Trodelvy获批了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三</w:t>
      </w:r>
      <w:r>
        <w:rPr>
          <w:rFonts w:hint="eastAsia" w:ascii="微软雅黑" w:hAnsi="微软雅黑" w:eastAsia="微软雅黑"/>
          <w:sz w:val="18"/>
          <w:highlight w:val="none"/>
        </w:rPr>
        <w:t>项适应症，第一项适应症为先前至少接受过两种标准治疗进展的TNBC患者，Trodelvy实现了35%的ORR(n=235，Trop 2高、中、低表达组中ORR分别为44%、38%和22%)，而对照组中传统化疗组的ORR则仅有5%；mOS为12.1个月，相比化药组6.7个月的OS延长了快一倍；mPFS则达5.6个月(高、中、低表达组中分别为6.9、5.6和2.7个月)，明显优于传统疗法的1.7个月。第二项适应症尿路上皮癌的获批则是基于国际性2期单臂TROPHY研究，在112名可评估患者中，Trodelvy实现27.7%的ORR，其中CR为5.4%，部分缓解率达22.3%，mDoR为7.2个月。第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三</w:t>
      </w:r>
      <w:r>
        <w:rPr>
          <w:rFonts w:hint="eastAsia" w:ascii="微软雅黑" w:hAnsi="微软雅黑" w:eastAsia="微软雅黑"/>
          <w:sz w:val="18"/>
          <w:highlight w:val="none"/>
        </w:rPr>
        <w:t>项适应症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HR阳、</w:t>
      </w:r>
      <w:r>
        <w:rPr>
          <w:rFonts w:hint="eastAsia" w:ascii="微软雅黑" w:hAnsi="微软雅黑" w:eastAsia="微软雅黑"/>
          <w:sz w:val="18"/>
          <w:highlight w:val="none"/>
        </w:rPr>
        <w:t>HER2阴性乳腺癌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基于</w:t>
      </w:r>
      <w:r>
        <w:rPr>
          <w:rFonts w:hint="eastAsia" w:ascii="微软雅黑" w:hAnsi="微软雅黑" w:eastAsia="微软雅黑"/>
          <w:sz w:val="18"/>
          <w:highlight w:val="none"/>
        </w:rPr>
        <w:t>TROPiCS-02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研究，</w:t>
      </w:r>
      <w:r>
        <w:rPr>
          <w:rFonts w:hint="eastAsia" w:ascii="微软雅黑" w:hAnsi="微软雅黑" w:eastAsia="微软雅黑"/>
          <w:sz w:val="18"/>
          <w:highlight w:val="none"/>
        </w:rPr>
        <w:t>Trodelvy组的中位PFS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中位OS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分别</w:t>
      </w:r>
      <w:r>
        <w:rPr>
          <w:rFonts w:hint="eastAsia" w:ascii="微软雅黑" w:hAnsi="微软雅黑" w:eastAsia="微软雅黑"/>
          <w:sz w:val="18"/>
          <w:highlight w:val="none"/>
        </w:rPr>
        <w:t>为5.5个月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14.4月，单药化疗组为4个月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11.2个月</w:t>
      </w:r>
      <w:r>
        <w:rPr>
          <w:rFonts w:hint="eastAsia" w:ascii="微软雅黑" w:hAnsi="微软雅黑" w:eastAsia="微软雅黑"/>
          <w:sz w:val="18"/>
          <w:highlight w:val="none"/>
          <w:lang w:eastAsia="zh-CN"/>
        </w:rPr>
        <w:t>。</w:t>
      </w:r>
    </w:p>
    <w:p w14:paraId="13994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360" w:firstLineChars="200"/>
        <w:textAlignment w:val="auto"/>
        <w:rPr>
          <w:rFonts w:hint="eastAsia" w:ascii="微软雅黑" w:hAnsi="微软雅黑" w:eastAsia="微软雅黑"/>
          <w:sz w:val="20"/>
          <w:highlight w:val="none"/>
          <w:lang w:eastAsia="zh-CN"/>
        </w:rPr>
      </w:pP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2024年首个国产</w:t>
      </w:r>
      <w:r>
        <w:rPr>
          <w:rFonts w:hint="eastAsia" w:ascii="微软雅黑" w:hAnsi="微软雅黑" w:eastAsia="微软雅黑"/>
          <w:sz w:val="18"/>
          <w:highlight w:val="none"/>
        </w:rPr>
        <w:t>Trop2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 xml:space="preserve"> ADC佳泰莱（芦康沙妥珠单抗）获国家药品监督管理局（NMPA）批准于中国上市。佳泰莱（芦康沙妥珠单抗）</w:t>
      </w:r>
      <w:r>
        <w:rPr>
          <w:rFonts w:hint="eastAsia" w:ascii="微软雅黑" w:hAnsi="微软雅黑" w:eastAsia="微软雅黑"/>
          <w:sz w:val="18"/>
          <w:highlight w:val="none"/>
        </w:rPr>
        <w:t>获批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用于</w:t>
      </w:r>
      <w:r>
        <w:rPr>
          <w:rFonts w:hint="eastAsia" w:ascii="微软雅黑" w:hAnsi="微软雅黑" w:eastAsia="微软雅黑"/>
          <w:sz w:val="18"/>
          <w:highlight w:val="none"/>
        </w:rPr>
        <w:t>既往至少接受过2种系统治疗的不可切除的局部晚期或转移性三阴性乳腺癌</w:t>
      </w:r>
      <w:r>
        <w:rPr>
          <w:rFonts w:hint="eastAsia" w:ascii="微软雅黑" w:hAnsi="微软雅黑" w:eastAsia="微软雅黑"/>
          <w:sz w:val="18"/>
          <w:highlight w:val="none"/>
          <w:lang w:eastAsia="zh-CN"/>
        </w:rPr>
        <w:t>，该项批准是基于一项针对既往至少接受过2种系统治疗(其中至少1种治疗针对晚期或转移性阶段)的不可切除的局部晚期或转移性TNBC成人患者的随机、对照3期OptiTROP-Breast01研究的积极结果。与化疗相比，sac-TMT在无进展生存期（PFS）和总生存期（OS）方面均显示出具有显著统计学意义和临床意义的改善。</w:t>
      </w:r>
    </w:p>
    <w:p w14:paraId="3A44D7FB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440" w:lineRule="exact"/>
        <w:ind w:left="431" w:right="288" w:rightChars="137" w:hanging="431"/>
        <w:jc w:val="left"/>
        <w:textAlignment w:val="auto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3. 参考文献</w:t>
      </w:r>
    </w:p>
    <w:p w14:paraId="7713C2C2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bookmarkStart w:id="0" w:name="_GoBack"/>
      <w:r>
        <w:rPr>
          <w:rFonts w:ascii="微软雅黑" w:hAnsi="微软雅黑" w:eastAsia="微软雅黑"/>
          <w:sz w:val="18"/>
          <w:szCs w:val="18"/>
        </w:rPr>
        <w:t>Li X, Teng S, Zhang Y, et al. TROP2 promotes proliferation, migration and metastasis of gallbladder cancer cells by regulating PI3K/AKT pathway and inducing EMT [J]. Oncotarget, 2017, 8(29).</w:t>
      </w:r>
    </w:p>
    <w:p w14:paraId="2BC8771B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Tsukahara Y, Tanaka M, Miyajima A. TROP2 Expressed in the Trunk of the Ureteric Duct Regulates Branching Morphogenesis during Kidney Development [J]. PLOS ONE, 2011, 6.</w:t>
      </w:r>
    </w:p>
    <w:p w14:paraId="36FEC549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Stoyanova T, Goldstein A S, Cai H, et al. Regulated proteolysis of Trop2 drives epithelial hyperplasia and stem cell self-renewal via β-catenin signaling [J]. Genes &amp; Development, 2012, 26(20): 2271-2285.</w:t>
      </w:r>
    </w:p>
    <w:p w14:paraId="49FEEB1F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Cardillo T M, Govindan S V, Sharkey R M, et al. Sacituzumab Govitecan (IMMU-132), an Anti-Trop-2/SN-38 Antibody–Drug Conjugate: Characterization and Efficacy in Pancreatic, Gastric, and Other Cancers [J]. Bioconjugate Chemistry, 2015, 26(5): 919-931.</w:t>
      </w:r>
    </w:p>
    <w:p w14:paraId="545329AB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Bardia A ,Tolaney S M , Punie K , et al. Biomarker Analyses in the Phase 3 ASCENT Study ofSacituzumab Govitecan Versus Chemotherapy in Patients with MetastaticTriple-Negative Breast Cancer[J]. Annals of Oncology, 2021, 32(7).</w:t>
      </w:r>
    </w:p>
    <w:p w14:paraId="141099FD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Allyson, J,Ocean, et al. Sacituzumab govitecan (IMMU-132), an anti-Trop-2-SN-38antibody-drug conjugate for the treatment of diverse epithelial cancers: Safetyand pharmacokinetics.[J]. Cancer, 2017.</w:t>
      </w:r>
    </w:p>
    <w:p w14:paraId="6300D2EA">
      <w:pPr>
        <w:pStyle w:val="25"/>
        <w:numPr>
          <w:ilvl w:val="0"/>
          <w:numId w:val="2"/>
        </w:numPr>
        <w:ind w:firstLineChars="0"/>
        <w:rPr>
          <w:rFonts w:hint="default"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Agatsuma T , Shu T , Hasegawa J , et al. Anti-Trop2 antibody-drug conjugate.</w:t>
      </w:r>
    </w:p>
    <w:bookmarkEnd w:id="0"/>
    <w:sectPr>
      <w:footerReference r:id="rId5" w:type="default"/>
      <w:pgSz w:w="11910" w:h="16840"/>
      <w:pgMar w:top="1542" w:right="880" w:bottom="920" w:left="1020" w:header="567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B3EC20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B99B76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1B99B76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4547D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F144E75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KVIPQyAgAAYQQAAA4AAABkcnMvZTJvRG9jLnhtbK1UzY7TMBC+I/EO&#10;lu80aRGrbt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ApUg9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F144E75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FDAD35">
    <w:pPr>
      <w:pStyle w:val="15"/>
      <w:pBdr>
        <w:bottom w:val="none" w:color="auto" w:sz="0" w:space="1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abstractNum w:abstractNumId="1">
    <w:nsid w:val="51C6649D"/>
    <w:multiLevelType w:val="multilevel"/>
    <w:tmpl w:val="51C6649D"/>
    <w:lvl w:ilvl="0" w:tentative="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U0NTc0MTVhYWM5MDhiY2YwZjZlZmIwMmQxN2MxZmE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468E4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1F01BD2"/>
    <w:rsid w:val="023F2FCD"/>
    <w:rsid w:val="030751D2"/>
    <w:rsid w:val="03396E57"/>
    <w:rsid w:val="03501F3C"/>
    <w:rsid w:val="04BD2354"/>
    <w:rsid w:val="05AA59FA"/>
    <w:rsid w:val="06167A1A"/>
    <w:rsid w:val="06B07EC2"/>
    <w:rsid w:val="06B95F1C"/>
    <w:rsid w:val="07C20E4A"/>
    <w:rsid w:val="08364679"/>
    <w:rsid w:val="083C2C62"/>
    <w:rsid w:val="084474C9"/>
    <w:rsid w:val="08732C15"/>
    <w:rsid w:val="08930944"/>
    <w:rsid w:val="097E472B"/>
    <w:rsid w:val="0A2437B8"/>
    <w:rsid w:val="0AD2152B"/>
    <w:rsid w:val="0B504EC2"/>
    <w:rsid w:val="0CAE79E0"/>
    <w:rsid w:val="0DD91B05"/>
    <w:rsid w:val="0E861BE0"/>
    <w:rsid w:val="0F643E6A"/>
    <w:rsid w:val="0F976543"/>
    <w:rsid w:val="118B2886"/>
    <w:rsid w:val="11F34D10"/>
    <w:rsid w:val="123B1E49"/>
    <w:rsid w:val="126A39CF"/>
    <w:rsid w:val="12DE7825"/>
    <w:rsid w:val="13A520F1"/>
    <w:rsid w:val="14382B73"/>
    <w:rsid w:val="144A48E8"/>
    <w:rsid w:val="14FD4F9E"/>
    <w:rsid w:val="16106555"/>
    <w:rsid w:val="16AE3A7B"/>
    <w:rsid w:val="17F63E2B"/>
    <w:rsid w:val="183925C8"/>
    <w:rsid w:val="18A24E51"/>
    <w:rsid w:val="19D420FB"/>
    <w:rsid w:val="1A861BC0"/>
    <w:rsid w:val="1B7A51FD"/>
    <w:rsid w:val="1C00230A"/>
    <w:rsid w:val="1CAB69CA"/>
    <w:rsid w:val="1CC651D8"/>
    <w:rsid w:val="1D424E3A"/>
    <w:rsid w:val="20A25C57"/>
    <w:rsid w:val="20B10406"/>
    <w:rsid w:val="21AE23B4"/>
    <w:rsid w:val="21B54468"/>
    <w:rsid w:val="222268C1"/>
    <w:rsid w:val="22E055F1"/>
    <w:rsid w:val="23477536"/>
    <w:rsid w:val="238050C2"/>
    <w:rsid w:val="23B46F76"/>
    <w:rsid w:val="23EB2377"/>
    <w:rsid w:val="242D23BA"/>
    <w:rsid w:val="24C53D9C"/>
    <w:rsid w:val="26C03072"/>
    <w:rsid w:val="274D4143"/>
    <w:rsid w:val="27CB1352"/>
    <w:rsid w:val="282F27CF"/>
    <w:rsid w:val="284C3883"/>
    <w:rsid w:val="29724F86"/>
    <w:rsid w:val="2A1060BE"/>
    <w:rsid w:val="2B552724"/>
    <w:rsid w:val="2B632564"/>
    <w:rsid w:val="2BBC70E0"/>
    <w:rsid w:val="2CA91898"/>
    <w:rsid w:val="2DC11BD4"/>
    <w:rsid w:val="2E4C7796"/>
    <w:rsid w:val="2E9B3D4A"/>
    <w:rsid w:val="3073428B"/>
    <w:rsid w:val="309D5F8B"/>
    <w:rsid w:val="30AA1E9F"/>
    <w:rsid w:val="30C16223"/>
    <w:rsid w:val="33284289"/>
    <w:rsid w:val="3525384C"/>
    <w:rsid w:val="355759B9"/>
    <w:rsid w:val="35AA0C3E"/>
    <w:rsid w:val="36630DF9"/>
    <w:rsid w:val="37522F1B"/>
    <w:rsid w:val="377E2797"/>
    <w:rsid w:val="3AE01EFC"/>
    <w:rsid w:val="3BFC4E31"/>
    <w:rsid w:val="3CA23960"/>
    <w:rsid w:val="3D4B4DAF"/>
    <w:rsid w:val="3DA86637"/>
    <w:rsid w:val="3F317A64"/>
    <w:rsid w:val="3FE13309"/>
    <w:rsid w:val="3FFD05EA"/>
    <w:rsid w:val="402B45BC"/>
    <w:rsid w:val="409918AF"/>
    <w:rsid w:val="41540D13"/>
    <w:rsid w:val="41544103"/>
    <w:rsid w:val="417F39F8"/>
    <w:rsid w:val="41856871"/>
    <w:rsid w:val="424934FB"/>
    <w:rsid w:val="43765A46"/>
    <w:rsid w:val="43A97A82"/>
    <w:rsid w:val="441B49DA"/>
    <w:rsid w:val="44314922"/>
    <w:rsid w:val="44E61B51"/>
    <w:rsid w:val="461E3CF3"/>
    <w:rsid w:val="47424B6B"/>
    <w:rsid w:val="496A2251"/>
    <w:rsid w:val="49BA174B"/>
    <w:rsid w:val="4A7D666A"/>
    <w:rsid w:val="4AFC64BF"/>
    <w:rsid w:val="4B3C24D4"/>
    <w:rsid w:val="4BF076A6"/>
    <w:rsid w:val="4DF03C41"/>
    <w:rsid w:val="4E5A559D"/>
    <w:rsid w:val="4EA968C7"/>
    <w:rsid w:val="4F084D32"/>
    <w:rsid w:val="4FAD1624"/>
    <w:rsid w:val="4FF7145A"/>
    <w:rsid w:val="502C64EB"/>
    <w:rsid w:val="50310D19"/>
    <w:rsid w:val="505843D2"/>
    <w:rsid w:val="51F804E9"/>
    <w:rsid w:val="52BA2B2A"/>
    <w:rsid w:val="52F34943"/>
    <w:rsid w:val="54E265E6"/>
    <w:rsid w:val="550B62FE"/>
    <w:rsid w:val="555013D4"/>
    <w:rsid w:val="56A71D97"/>
    <w:rsid w:val="57403D19"/>
    <w:rsid w:val="598C133C"/>
    <w:rsid w:val="59D4211F"/>
    <w:rsid w:val="5A942BFD"/>
    <w:rsid w:val="5B081D13"/>
    <w:rsid w:val="5BD27D06"/>
    <w:rsid w:val="5C5972D6"/>
    <w:rsid w:val="5D431DB2"/>
    <w:rsid w:val="5E5169FC"/>
    <w:rsid w:val="5F4C6664"/>
    <w:rsid w:val="5F544FA6"/>
    <w:rsid w:val="5FE51CFE"/>
    <w:rsid w:val="60A01097"/>
    <w:rsid w:val="61A0399A"/>
    <w:rsid w:val="62500C24"/>
    <w:rsid w:val="62970C98"/>
    <w:rsid w:val="631A6A0C"/>
    <w:rsid w:val="63BB78FD"/>
    <w:rsid w:val="644A17F5"/>
    <w:rsid w:val="648B756B"/>
    <w:rsid w:val="64CB26DD"/>
    <w:rsid w:val="64FD140A"/>
    <w:rsid w:val="65333C46"/>
    <w:rsid w:val="65DC7871"/>
    <w:rsid w:val="677B16D0"/>
    <w:rsid w:val="67D656FB"/>
    <w:rsid w:val="69F6601D"/>
    <w:rsid w:val="69FB4534"/>
    <w:rsid w:val="6A38073E"/>
    <w:rsid w:val="6A4C0E1D"/>
    <w:rsid w:val="6AAC538C"/>
    <w:rsid w:val="6B2040CE"/>
    <w:rsid w:val="6BBF0373"/>
    <w:rsid w:val="6D034223"/>
    <w:rsid w:val="6D080D91"/>
    <w:rsid w:val="6D6B4B3B"/>
    <w:rsid w:val="6E0C5C8A"/>
    <w:rsid w:val="6F916EE8"/>
    <w:rsid w:val="6FC76DC8"/>
    <w:rsid w:val="70292300"/>
    <w:rsid w:val="74016705"/>
    <w:rsid w:val="745D7ABB"/>
    <w:rsid w:val="748425BE"/>
    <w:rsid w:val="74E603F2"/>
    <w:rsid w:val="75E82768"/>
    <w:rsid w:val="7601718B"/>
    <w:rsid w:val="763065E7"/>
    <w:rsid w:val="76780942"/>
    <w:rsid w:val="76D83408"/>
    <w:rsid w:val="773B465D"/>
    <w:rsid w:val="777B77B7"/>
    <w:rsid w:val="7A7852BF"/>
    <w:rsid w:val="7ADD3367"/>
    <w:rsid w:val="7B4643E1"/>
    <w:rsid w:val="7BFF29C3"/>
    <w:rsid w:val="7C346191"/>
    <w:rsid w:val="7CA9597C"/>
    <w:rsid w:val="7E694F74"/>
    <w:rsid w:val="7E7145A0"/>
    <w:rsid w:val="7F364DF4"/>
    <w:rsid w:val="7F6F61B1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qFormat/>
    <w:uiPriority w:val="22"/>
    <w:rPr>
      <w:b/>
      <w:bCs/>
    </w:rPr>
  </w:style>
  <w:style w:type="character" w:styleId="21">
    <w:name w:val="annotation reference"/>
    <w:basedOn w:val="19"/>
    <w:qFormat/>
    <w:uiPriority w:val="0"/>
    <w:rPr>
      <w:sz w:val="21"/>
      <w:szCs w:val="21"/>
    </w:rPr>
  </w:style>
  <w:style w:type="character" w:customStyle="1" w:styleId="22">
    <w:name w:val="页眉 Char2"/>
    <w:basedOn w:val="19"/>
    <w:qFormat/>
    <w:uiPriority w:val="0"/>
    <w:rPr>
      <w:sz w:val="18"/>
      <w:szCs w:val="18"/>
    </w:rPr>
  </w:style>
  <w:style w:type="character" w:customStyle="1" w:styleId="23">
    <w:name w:val="页脚 Char2"/>
    <w:basedOn w:val="19"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qFormat/>
    <w:uiPriority w:val="0"/>
    <w:pPr>
      <w:ind w:firstLine="420" w:firstLineChars="200"/>
    </w:pPr>
  </w:style>
  <w:style w:type="paragraph" w:customStyle="1" w:styleId="27">
    <w:name w:val="列出段落21"/>
    <w:basedOn w:val="1"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qFormat/>
    <w:uiPriority w:val="99"/>
    <w:rPr>
      <w:sz w:val="18"/>
      <w:szCs w:val="18"/>
    </w:rPr>
  </w:style>
  <w:style w:type="character" w:customStyle="1" w:styleId="39">
    <w:name w:val="页脚 Char"/>
    <w:basedOn w:val="19"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qFormat/>
    <w:uiPriority w:val="34"/>
    <w:pPr>
      <w:ind w:firstLine="420" w:firstLineChars="200"/>
    </w:pPr>
  </w:style>
  <w:style w:type="paragraph" w:customStyle="1" w:styleId="42">
    <w:name w:val="列出段落2"/>
    <w:basedOn w:val="1"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qFormat/>
    <w:uiPriority w:val="99"/>
    <w:rPr>
      <w:sz w:val="18"/>
      <w:szCs w:val="18"/>
    </w:rPr>
  </w:style>
  <w:style w:type="character" w:customStyle="1" w:styleId="54">
    <w:name w:val="页脚 字符"/>
    <w:basedOn w:val="19"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qFormat/>
    <w:uiPriority w:val="34"/>
    <w:rPr>
      <w:sz w:val="18"/>
      <w:szCs w:val="18"/>
    </w:rPr>
  </w:style>
  <w:style w:type="character" w:customStyle="1" w:styleId="68">
    <w:name w:val="页脚 字符1"/>
    <w:basedOn w:val="19"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qFormat/>
    <w:uiPriority w:val="99"/>
    <w:rPr>
      <w:sz w:val="18"/>
      <w:szCs w:val="18"/>
    </w:rPr>
  </w:style>
  <w:style w:type="character" w:customStyle="1" w:styleId="94">
    <w:name w:val="页眉 Char3"/>
    <w:basedOn w:val="19"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qFormat/>
    <w:uiPriority w:val="0"/>
    <w:rPr>
      <w:sz w:val="18"/>
      <w:szCs w:val="18"/>
    </w:rPr>
  </w:style>
  <w:style w:type="character" w:customStyle="1" w:styleId="106">
    <w:name w:val="页脚 Char4"/>
    <w:basedOn w:val="19"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qFormat/>
    <w:uiPriority w:val="0"/>
  </w:style>
  <w:style w:type="character" w:customStyle="1" w:styleId="108">
    <w:name w:val="批注框文本 Char3"/>
    <w:basedOn w:val="19"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qFormat/>
    <w:uiPriority w:val="0"/>
    <w:rPr>
      <w:sz w:val="18"/>
      <w:szCs w:val="18"/>
    </w:rPr>
  </w:style>
  <w:style w:type="character" w:customStyle="1" w:styleId="119">
    <w:name w:val="页脚 Char5"/>
    <w:basedOn w:val="19"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qFormat/>
    <w:uiPriority w:val="0"/>
  </w:style>
  <w:style w:type="character" w:customStyle="1" w:styleId="121">
    <w:name w:val="批注框文本 Char4"/>
    <w:basedOn w:val="19"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qFormat/>
    <w:uiPriority w:val="0"/>
  </w:style>
  <w:style w:type="character" w:customStyle="1" w:styleId="123">
    <w:name w:val="src1"/>
    <w:qFormat/>
    <w:uiPriority w:val="0"/>
  </w:style>
  <w:style w:type="character" w:customStyle="1" w:styleId="124">
    <w:name w:val="A8"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qFormat/>
    <w:uiPriority w:val="0"/>
    <w:rPr>
      <w:sz w:val="18"/>
      <w:szCs w:val="18"/>
    </w:rPr>
  </w:style>
  <w:style w:type="character" w:customStyle="1" w:styleId="135">
    <w:name w:val="页脚 Char6"/>
    <w:basedOn w:val="19"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qFormat/>
    <w:uiPriority w:val="0"/>
  </w:style>
  <w:style w:type="character" w:customStyle="1" w:styleId="137">
    <w:name w:val="批注框文本 Char5"/>
    <w:basedOn w:val="19"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qFormat/>
    <w:uiPriority w:val="0"/>
    <w:rPr>
      <w:sz w:val="18"/>
      <w:szCs w:val="18"/>
    </w:rPr>
  </w:style>
  <w:style w:type="character" w:customStyle="1" w:styleId="148">
    <w:name w:val="页脚 Char7"/>
    <w:basedOn w:val="19"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qFormat/>
    <w:uiPriority w:val="0"/>
  </w:style>
  <w:style w:type="character" w:customStyle="1" w:styleId="150">
    <w:name w:val="批注框文本 Char6"/>
    <w:basedOn w:val="19"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qFormat/>
    <w:uiPriority w:val="0"/>
    <w:rPr>
      <w:sz w:val="18"/>
      <w:szCs w:val="18"/>
    </w:rPr>
  </w:style>
  <w:style w:type="character" w:customStyle="1" w:styleId="161">
    <w:name w:val="页脚 Char8"/>
    <w:basedOn w:val="19"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qFormat/>
    <w:uiPriority w:val="0"/>
  </w:style>
  <w:style w:type="character" w:customStyle="1" w:styleId="163">
    <w:name w:val="批注框文本 Char7"/>
    <w:basedOn w:val="19"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qFormat/>
    <w:uiPriority w:val="0"/>
  </w:style>
  <w:style w:type="character" w:customStyle="1" w:styleId="165">
    <w:name w:val="src11"/>
    <w:qFormat/>
    <w:uiPriority w:val="0"/>
  </w:style>
  <w:style w:type="character" w:customStyle="1" w:styleId="166">
    <w:name w:val="A81"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qFormat/>
    <w:uiPriority w:val="0"/>
    <w:rPr>
      <w:sz w:val="18"/>
      <w:szCs w:val="18"/>
    </w:rPr>
  </w:style>
  <w:style w:type="character" w:customStyle="1" w:styleId="168">
    <w:name w:val="页脚 Char9"/>
    <w:basedOn w:val="19"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qFormat/>
    <w:uiPriority w:val="0"/>
    <w:rPr>
      <w:sz w:val="18"/>
      <w:szCs w:val="18"/>
    </w:rPr>
  </w:style>
  <w:style w:type="character" w:customStyle="1" w:styleId="183">
    <w:name w:val="页脚 字符2"/>
    <w:basedOn w:val="19"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  <w:style w:type="table" w:customStyle="1" w:styleId="234">
    <w:name w:val="网格表 4 - 着色 51"/>
    <w:basedOn w:val="17"/>
    <w:qFormat/>
    <w:uiPriority w:val="4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AEEF3" w:themeFill="accent5" w:themeFillTint="33"/>
      </w:tcPr>
    </w:tblStylePr>
    <w:tblStylePr w:type="band1Horz">
      <w:tcPr>
        <w:shd w:val="clear" w:color="auto" w:fill="DAEEF3" w:themeFill="accent5" w:themeFillTint="33"/>
      </w:tcPr>
    </w:tblStylePr>
  </w:style>
  <w:style w:type="paragraph" w:customStyle="1" w:styleId="235">
    <w:name w:val="样式2"/>
    <w:basedOn w:val="236"/>
    <w:autoRedefine/>
    <w:qFormat/>
    <w:uiPriority w:val="0"/>
  </w:style>
  <w:style w:type="paragraph" w:customStyle="1" w:styleId="236">
    <w:name w:val="样式1"/>
    <w:basedOn w:val="217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3</Pages>
  <Words>1570</Words>
  <Characters>3352</Characters>
  <Lines>19</Lines>
  <Paragraphs>5</Paragraphs>
  <TotalTime>0</TotalTime>
  <ScaleCrop>false</ScaleCrop>
  <LinksUpToDate>false</LinksUpToDate>
  <CharactersWithSpaces>3575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2024-12-05T08:28:18Z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2B4564F28AEB498882F1352BB0F86961</vt:lpwstr>
  </property>
</Properties>
</file>