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CEFEF3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bookmarkStart w:id="13" w:name="_GoBack"/>
      <w:bookmarkEnd w:id="13"/>
    </w:p>
    <w:p w14:paraId="0F0419A0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B5446BC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0F94B41">
      <w:pPr>
        <w:rPr>
          <w:rFonts w:hint="default" w:ascii="Times New Roman" w:hAnsi="Times New Roman" w:eastAsia="微软雅黑" w:cs="Times New Roman"/>
        </w:rPr>
      </w:pPr>
    </w:p>
    <w:p w14:paraId="076A98E7">
      <w:pPr>
        <w:rPr>
          <w:rFonts w:hint="default" w:ascii="Times New Roman" w:hAnsi="Times New Roman" w:eastAsia="微软雅黑" w:cs="Times New Roman"/>
        </w:rPr>
      </w:pPr>
    </w:p>
    <w:p w14:paraId="350751CE">
      <w:pPr>
        <w:rPr>
          <w:rFonts w:hint="default" w:ascii="Times New Roman" w:hAnsi="Times New Roman" w:eastAsia="微软雅黑" w:cs="Times New Roman"/>
        </w:rPr>
      </w:pPr>
    </w:p>
    <w:p w14:paraId="3AE55E5E">
      <w:pPr>
        <w:rPr>
          <w:rFonts w:hint="default" w:ascii="Times New Roman" w:hAnsi="Times New Roman" w:eastAsia="微软雅黑" w:cs="Times New Roman"/>
        </w:rPr>
      </w:pPr>
    </w:p>
    <w:p w14:paraId="6C0EFE02">
      <w:pPr>
        <w:rPr>
          <w:rFonts w:hint="default" w:ascii="Times New Roman" w:hAnsi="Times New Roman" w:eastAsia="微软雅黑" w:cs="Times New Roman"/>
        </w:rPr>
      </w:pPr>
    </w:p>
    <w:p w14:paraId="4B0AE09D">
      <w:pPr>
        <w:rPr>
          <w:rFonts w:hint="default" w:ascii="Times New Roman" w:hAnsi="Times New Roman" w:eastAsia="微软雅黑" w:cs="Times New Roman"/>
        </w:rPr>
      </w:pPr>
    </w:p>
    <w:p w14:paraId="7106CDB6">
      <w:pPr>
        <w:rPr>
          <w:rFonts w:hint="default" w:ascii="Times New Roman" w:hAnsi="Times New Roman" w:eastAsia="微软雅黑" w:cs="Times New Roman"/>
        </w:rPr>
      </w:pPr>
    </w:p>
    <w:p w14:paraId="2EF3F18B">
      <w:pPr>
        <w:rPr>
          <w:rFonts w:hint="default" w:ascii="Times New Roman" w:hAnsi="Times New Roman" w:eastAsia="微软雅黑" w:cs="Times New Roman"/>
        </w:rPr>
      </w:pPr>
    </w:p>
    <w:p w14:paraId="4702650B">
      <w:pPr>
        <w:rPr>
          <w:rFonts w:hint="default" w:ascii="Times New Roman" w:hAnsi="Times New Roman" w:eastAsia="微软雅黑" w:cs="Times New Roman"/>
          <w:lang w:eastAsia="zh-CN"/>
        </w:rPr>
      </w:pPr>
    </w:p>
    <w:p w14:paraId="70279190">
      <w:pPr>
        <w:rPr>
          <w:rFonts w:hint="default" w:ascii="Times New Roman" w:hAnsi="Times New Roman" w:eastAsia="微软雅黑" w:cs="Times New Roman"/>
        </w:rPr>
      </w:pPr>
    </w:p>
    <w:p w14:paraId="01C049CE">
      <w:pPr>
        <w:rPr>
          <w:rFonts w:hint="default" w:ascii="Times New Roman" w:hAnsi="Times New Roman" w:eastAsia="微软雅黑" w:cs="Times New Roman"/>
        </w:rPr>
      </w:pPr>
    </w:p>
    <w:p w14:paraId="1562D50F">
      <w:pPr>
        <w:rPr>
          <w:rFonts w:hint="default" w:ascii="Times New Roman" w:hAnsi="Times New Roman" w:eastAsia="微软雅黑" w:cs="Times New Roman"/>
        </w:rPr>
      </w:pPr>
    </w:p>
    <w:p w14:paraId="131DBA8E">
      <w:pPr>
        <w:rPr>
          <w:rFonts w:hint="default" w:ascii="Times New Roman" w:hAnsi="Times New Roman" w:eastAsia="微软雅黑" w:cs="Times New Roman"/>
        </w:rPr>
      </w:pPr>
    </w:p>
    <w:p w14:paraId="7F436829">
      <w:pPr>
        <w:rPr>
          <w:rFonts w:hint="default" w:ascii="Times New Roman" w:hAnsi="Times New Roman" w:eastAsia="微软雅黑" w:cs="Times New Roman"/>
        </w:rPr>
      </w:pPr>
    </w:p>
    <w:p w14:paraId="3D6A0865">
      <w:pPr>
        <w:jc w:val="center"/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color w:val="0083C3"/>
          <w:sz w:val="72"/>
          <w:szCs w:val="72"/>
          <w:highlight w:val="none"/>
          <w:lang w:val="en-US" w:eastAsia="zh-CN"/>
        </w:rPr>
        <w:t>HER</w:t>
      </w:r>
      <w:r>
        <w:rPr>
          <w:rFonts w:hint="eastAsia" w:ascii="Times New Roman" w:hAnsi="Times New Roman" w:eastAsia="黑体" w:cs="Times New Roman"/>
          <w:b w:val="0"/>
          <w:bCs w:val="0"/>
          <w:color w:val="0083C3"/>
          <w:sz w:val="72"/>
          <w:szCs w:val="72"/>
          <w:highlight w:val="none"/>
          <w:lang w:val="en-US" w:eastAsia="zh-CN"/>
        </w:rPr>
        <w:t>2</w:t>
      </w:r>
      <w:r>
        <w:rPr>
          <w:rFonts w:hint="default" w:ascii="Times New Roman" w:hAnsi="Times New Roman" w:eastAsia="黑体" w:cs="Times New Roman"/>
          <w:b w:val="0"/>
          <w:bCs w:val="0"/>
          <w:color w:val="0083C3"/>
          <w:sz w:val="72"/>
          <w:szCs w:val="72"/>
          <w:highlight w:val="none"/>
          <w:lang w:val="en-US" w:eastAsia="zh-CN"/>
        </w:rPr>
        <w:t>基因扩增检测报告</w:t>
      </w:r>
    </w:p>
    <w:p w14:paraId="5C356489">
      <w:pPr>
        <w:rPr>
          <w:rFonts w:hint="default" w:ascii="Times New Roman" w:hAnsi="Times New Roman" w:eastAsia="微软雅黑" w:cs="Times New Roman"/>
        </w:rPr>
      </w:pPr>
    </w:p>
    <w:tbl>
      <w:tblPr>
        <w:tblStyle w:val="15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7983F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CE696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392030EE">
            <w:pPr>
              <w:pStyle w:val="6"/>
              <w:jc w:val="center"/>
              <w:rPr>
                <w:rFonts w:ascii="黑体"/>
                <w:sz w:val="30"/>
                <w:szCs w:val="30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szCs w:val="30"/>
                <w:lang w:eastAsia="zh-CN"/>
              </w:rPr>
              <w:t>{{ client }}</w:t>
            </w:r>
          </w:p>
        </w:tc>
      </w:tr>
      <w:tr w14:paraId="3D31B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0340A2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6875952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15ACD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BDB684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4D24DC70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5AB38D70">
      <w:pPr>
        <w:jc w:val="center"/>
        <w:rPr>
          <w:rFonts w:hint="default" w:ascii="Times New Roman" w:hAnsi="Times New Roman" w:eastAsia="微软雅黑" w:cs="Times New Roman"/>
        </w:rPr>
      </w:pPr>
    </w:p>
    <w:p w14:paraId="607EDF3E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headerReference r:id="rId3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359389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0083C3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0083C3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69CE26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4D32A9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8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6ED05C63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730CD7B5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_Toc27202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_Toc27202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6FA4DF7A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_Toc27475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_Toc27475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6328BC7F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_Toc3942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_Toc3942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671D0468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_Toc21769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_Toc21769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17F73131">
          <w:pPr>
            <w:pStyle w:val="11"/>
            <w:tabs>
              <w:tab w:val="right" w:leader="dot" w:pos="9870"/>
            </w:tabs>
            <w:rPr>
              <w:color w:val="0083C3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_Toc14200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_Toc14200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5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3143D710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5D8346F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0143_WPSOffice_Level1"/>
      <w:bookmarkStart w:id="1" w:name="_Toc27500"/>
      <w:bookmarkStart w:id="2" w:name="_Toc13806"/>
      <w:bookmarkStart w:id="3" w:name="_Toc24397"/>
      <w:bookmarkStart w:id="4" w:name="_Toc32054"/>
      <w:bookmarkStart w:id="5" w:name="_Toc21669"/>
      <w:bookmarkStart w:id="6" w:name="_Toc21009_WPSOffice_Level1"/>
      <w:bookmarkStart w:id="7" w:name="_Toc24178_WPSOffice_Level1"/>
    </w:p>
    <w:p w14:paraId="647DFBAF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4"/>
        <w:tblpPr w:leftFromText="180" w:rightFromText="180" w:vertAnchor="text" w:horzAnchor="page" w:tblpX="973" w:tblpY="625"/>
        <w:tblW w:w="9870" w:type="dxa"/>
        <w:tblInd w:w="0" w:type="dxa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466262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397" w:hRule="exact"/>
        </w:trPr>
        <w:tc>
          <w:tcPr>
            <w:tcW w:w="3231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625864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5C7FC1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3D6E04D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CBE9EF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9C84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F8EA5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8A18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FAF7D0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0B55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2B3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6D74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4E0C8D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EE7A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9D61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DD68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09EE382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5420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7AE06C0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7202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1CDE858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48FCE1DB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7475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0083C3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65CDB976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B299F13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D9D5314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HER-2基因扩增检测</w:t>
            </w:r>
          </w:p>
        </w:tc>
      </w:tr>
      <w:tr w14:paraId="533C8E8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71BD051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3FBB36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16F583E9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A804A0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D339BC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2E3AAB3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7B3E87A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9E63770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35674A8C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C7E0F4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A57704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18AAC48C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6CE0197D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603B58F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3942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4940"/>
      </w:tblGrid>
      <w:tr w14:paraId="1A4DD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A1E3D1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AA8970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IHC</w:t>
            </w:r>
          </w:p>
        </w:tc>
      </w:tr>
      <w:tr w14:paraId="159AC0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4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9A8A9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C823AD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28CBEC1B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24BCB07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1769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516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940"/>
        <w:gridCol w:w="2320"/>
        <w:gridCol w:w="2134"/>
        <w:gridCol w:w="2593"/>
      </w:tblGrid>
      <w:tr w14:paraId="2FA89B3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CA8103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194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2FD650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9C5834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13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DAF4A3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D840A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组化结果</w:t>
            </w:r>
          </w:p>
        </w:tc>
      </w:tr>
      <w:tr w14:paraId="0482CA74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4B2E4F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 %}</w:t>
            </w:r>
          </w:p>
        </w:tc>
      </w:tr>
      <w:tr w14:paraId="61FC8072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33F10F">
            <w:pPr>
              <w:spacing w:line="276" w:lineRule="auto"/>
              <w:jc w:val="center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72AAD1">
            <w:pPr>
              <w:spacing w:line="276" w:lineRule="auto"/>
              <w:jc w:val="center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荧光原位杂交（FISH）</w:t>
            </w:r>
          </w:p>
        </w:tc>
        <w:tc>
          <w:tcPr>
            <w:tcW w:w="232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2BF5B0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her2.her2_cep17 }}</w:t>
            </w:r>
          </w:p>
        </w:tc>
        <w:tc>
          <w:tcPr>
            <w:tcW w:w="213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13E306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her2.cep17_cell }}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2A8EC4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</w:tr>
      <w:tr w14:paraId="30925100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6FCD65">
            <w:pPr>
              <w:pStyle w:val="47"/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D58E5F">
            <w:pPr>
              <w:pStyle w:val="47"/>
            </w:pPr>
          </w:p>
        </w:tc>
        <w:tc>
          <w:tcPr>
            <w:tcW w:w="232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A76E02">
            <w:pPr>
              <w:pStyle w:val="47"/>
            </w:pPr>
          </w:p>
        </w:tc>
        <w:tc>
          <w:tcPr>
            <w:tcW w:w="213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7C34C8">
            <w:pPr>
              <w:pStyle w:val="47"/>
            </w:pP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AFE934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her2.her2_cell }}</w:t>
            </w:r>
          </w:p>
        </w:tc>
      </w:tr>
      <w:tr w14:paraId="17B24DB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3A996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{%tr else %}</w:t>
            </w:r>
          </w:p>
        </w:tc>
      </w:tr>
      <w:tr w14:paraId="4269854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4FEBE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8C90C7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ABEB57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213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CED572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  <w:tc>
          <w:tcPr>
            <w:tcW w:w="259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EF3CD2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her2.histochemical }}</w:t>
            </w:r>
          </w:p>
        </w:tc>
      </w:tr>
      <w:tr w14:paraId="0FF99C3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F6E5B8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8DD22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4E72B3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213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668C59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DC7794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0481213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F139B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B2541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C76DEF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213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CFDAB8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666641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47B40CD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C1964C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2"/>
                <w:szCs w:val="22"/>
                <w:lang w:val="en-US" w:eastAsia="zh-CN" w:bidi="ar-SA"/>
              </w:rPr>
              <w:t>{%tr endif %}</w:t>
            </w:r>
          </w:p>
        </w:tc>
      </w:tr>
      <w:tr w14:paraId="6FF2FD6E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5BE91E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‘乳腺癌’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32CD55AA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C35FB9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2AD92801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456697">
            <w:pPr>
              <w:adjustRightInd w:val="0"/>
              <w:snapToGrid w:val="0"/>
              <w:spacing w:line="204" w:lineRule="auto"/>
              <w:jc w:val="center"/>
            </w:pPr>
          </w:p>
          <w:p w14:paraId="14F0803F">
            <w:pPr>
              <w:adjustRightInd w:val="0"/>
              <w:snapToGrid w:val="0"/>
              <w:spacing w:line="204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4756785" cy="2853055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l="14443" r="409" b="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6785" cy="285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0FFB2A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04" w:lineRule="auto"/>
              <w:ind w:firstLine="480" w:firstLineChars="3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来源于乳腺癌HER2检测指南(2019版)&amp;非小细胞肺癌HER2变异临床诊疗实践专家共识2022版</w:t>
            </w:r>
          </w:p>
        </w:tc>
      </w:tr>
      <w:tr w14:paraId="6A444F1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A3EA3B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胆管癌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2254C450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8473C3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D60A7E9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46A4E7">
            <w:pPr>
              <w:adjustRightInd w:val="0"/>
              <w:snapToGrid w:val="0"/>
              <w:spacing w:line="204" w:lineRule="auto"/>
              <w:jc w:val="center"/>
              <w:rPr>
                <w:rFonts w:hint="eastAsia" w:eastAsia="宋体"/>
                <w:lang w:eastAsia="zh-CN"/>
              </w:rPr>
            </w:pPr>
          </w:p>
          <w:p w14:paraId="558B5A88">
            <w:pPr>
              <w:adjustRightInd w:val="0"/>
              <w:snapToGrid w:val="0"/>
              <w:spacing w:line="204" w:lineRule="auto"/>
              <w:jc w:val="center"/>
              <w:rPr>
                <w:rFonts w:hint="eastAsia" w:eastAsia="宋体"/>
                <w:lang w:eastAsia="zh-CN"/>
              </w:rPr>
            </w:pPr>
            <w:r>
              <w:drawing>
                <wp:inline distT="0" distB="0" distL="114300" distR="114300">
                  <wp:extent cx="5238750" cy="1974850"/>
                  <wp:effectExtent l="0" t="0" r="6350" b="6350"/>
                  <wp:docPr id="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0" cy="1974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2C692C">
            <w:pPr>
              <w:adjustRightInd w:val="0"/>
              <w:snapToGrid w:val="0"/>
              <w:spacing w:line="204" w:lineRule="auto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注：来源于胆道恶性肿瘤 HER2 分子诊断与临床应用中国专家共识（2024 版）</w:t>
            </w:r>
          </w:p>
        </w:tc>
      </w:tr>
      <w:tr w14:paraId="5DC6E8E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C5781A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食管和食管胃交界处癌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7705725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C153E0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01C50B1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C3320C">
            <w:pPr>
              <w:adjustRightInd w:val="0"/>
              <w:snapToGrid w:val="0"/>
              <w:spacing w:line="204" w:lineRule="auto"/>
              <w:ind w:firstLine="440" w:firstLineChars="200"/>
              <w:jc w:val="center"/>
            </w:pPr>
          </w:p>
          <w:p w14:paraId="2E3A2DAC">
            <w:pPr>
              <w:adjustRightInd w:val="0"/>
              <w:snapToGrid w:val="0"/>
              <w:spacing w:line="204" w:lineRule="auto"/>
              <w:ind w:firstLine="440" w:firstLineChars="200"/>
              <w:jc w:val="center"/>
            </w:pPr>
            <w:r>
              <w:drawing>
                <wp:inline distT="0" distB="0" distL="114300" distR="114300">
                  <wp:extent cx="3860800" cy="1409700"/>
                  <wp:effectExtent l="0" t="0" r="0" b="0"/>
                  <wp:docPr id="6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0800" cy="1409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02FA8CF">
            <w:pPr>
              <w:adjustRightInd w:val="0"/>
              <w:snapToGrid w:val="0"/>
              <w:spacing w:line="204" w:lineRule="auto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注：Esophageal and Esophagogastric Junction Cancers NCCN 2025.V1</w:t>
            </w:r>
          </w:p>
        </w:tc>
      </w:tr>
      <w:tr w14:paraId="3B87547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874152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胃癌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D6C5112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AC8A5E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E9C54FB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E46F89">
            <w:pPr>
              <w:adjustRightInd w:val="0"/>
              <w:snapToGrid w:val="0"/>
              <w:spacing w:line="204" w:lineRule="auto"/>
            </w:pPr>
          </w:p>
          <w:p w14:paraId="4311334C">
            <w:pPr>
              <w:adjustRightInd w:val="0"/>
              <w:snapToGrid w:val="0"/>
              <w:spacing w:line="204" w:lineRule="auto"/>
            </w:pPr>
            <w:r>
              <w:drawing>
                <wp:inline distT="0" distB="0" distL="114300" distR="114300">
                  <wp:extent cx="5010150" cy="2465070"/>
                  <wp:effectExtent l="0" t="0" r="3810" b="381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r="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150" cy="246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BFC6BE7">
            <w:pPr>
              <w:adjustRightInd w:val="0"/>
              <w:snapToGrid w:val="0"/>
              <w:spacing w:line="204" w:lineRule="auto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注：来源于胃癌胃镜活检标本HER-2检测中国专家共识（2023版）&amp;胃癌HER2检测指南（2016版）</w:t>
            </w:r>
          </w:p>
        </w:tc>
      </w:tr>
      <w:tr w14:paraId="6E119925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8C2C8C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尿路上皮癌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2E5850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7D894E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33A5F49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E69811">
            <w:pPr>
              <w:adjustRightInd w:val="0"/>
              <w:snapToGrid w:val="0"/>
              <w:spacing w:line="204" w:lineRule="auto"/>
              <w:jc w:val="center"/>
            </w:pPr>
            <w:r>
              <w:drawing>
                <wp:inline distT="0" distB="0" distL="114300" distR="114300">
                  <wp:extent cx="5027295" cy="2075815"/>
                  <wp:effectExtent l="0" t="0" r="1905" b="12065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7295" cy="207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29797D">
            <w:pPr>
              <w:adjustRightInd w:val="0"/>
              <w:snapToGrid w:val="0"/>
              <w:spacing w:line="204" w:lineRule="auto"/>
              <w:jc w:val="left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中国尿路上皮癌人表皮生长因子受体2检测临床病理专家共识2021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版；低拷贝扩增：弱阳性</w:t>
            </w:r>
          </w:p>
        </w:tc>
      </w:tr>
      <w:tr w14:paraId="6DE4BC14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1AA45A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A7C484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503B23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2239A3F2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8D7EA3">
            <w:pPr>
              <w:adjustRightInd w:val="0"/>
              <w:snapToGrid w:val="0"/>
              <w:spacing w:line="204" w:lineRule="auto"/>
            </w:pPr>
          </w:p>
          <w:p w14:paraId="69763EAA">
            <w:pPr>
              <w:adjustRightInd w:val="0"/>
              <w:snapToGrid w:val="0"/>
              <w:spacing w:line="204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030470" cy="2801620"/>
                  <wp:effectExtent l="0" t="0" r="13970" b="2540"/>
                  <wp:docPr id="2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0470" cy="280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4ADA34E">
            <w:pP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注：来源于结直肠癌靶向治疗中国专家共识2023版。</w:t>
            </w:r>
          </w:p>
        </w:tc>
      </w:tr>
      <w:tr w14:paraId="6AA6BA44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1D6FB0">
            <w:pPr>
              <w:jc w:val="center"/>
              <w:rPr>
                <w:rFonts w:hint="default" w:ascii="微软雅黑" w:hAnsi="微软雅黑" w:eastAsia="微软雅黑" w:cs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{%tr endif %}</w:t>
            </w:r>
          </w:p>
        </w:tc>
      </w:tr>
    </w:tbl>
    <w:p w14:paraId="24BD3204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her2.result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her2.result }}{%endif%}</w:t>
      </w:r>
    </w:p>
    <w:tbl>
      <w:tblPr>
        <w:tblStyle w:val="56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0CFD1B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609F666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96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6FA2B1FE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22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246A691B">
            <w:pPr>
              <w:jc w:val="both"/>
              <w:rPr>
                <w:b/>
                <w:sz w:val="16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73211F06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</w:p>
        </w:tc>
      </w:tr>
      <w:tr w14:paraId="60549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0083C3" w:sz="12" w:space="0"/>
              <w:left w:val="nil"/>
              <w:bottom w:val="nil"/>
              <w:right w:val="nil"/>
            </w:tcBorders>
          </w:tcPr>
          <w:p w14:paraId="422C7430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11D04FA2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413F56A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4200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bookmarkEnd w:id="0"/>
    <w:bookmarkEnd w:id="1"/>
    <w:bookmarkEnd w:id="2"/>
    <w:bookmarkEnd w:id="3"/>
    <w:bookmarkEnd w:id="4"/>
    <w:bookmarkEnd w:id="5"/>
    <w:bookmarkEnd w:id="6"/>
    <w:bookmarkEnd w:id="7"/>
    <w:p w14:paraId="5F376EBA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HER2靶点解析</w:t>
      </w:r>
    </w:p>
    <w:p w14:paraId="1D56ED03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人表皮生长因子受体２（HER2）是由原癌基因erbb-2编码的、具有酪氨酸激酶活性的跨膜糖蛋白，属于表皮生长因子受体家族成员。ERBB2蛋白介导的信号转导途径主要有Ras/Raf/丝裂原活化蛋白激酶(MAPK)途径，磷脂酰肌醇3羟基激酶(P13K)/Akt途径，信号转导及转录激活(STAT)途径和PLC通路等。HER2癌基因的致瘤机制是抑制凋亡，促进增殖；增加肿瘤细胞的侵袭力；促进肿瘤血管新生和淋巴管新生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 xml:space="preserve"> [1,2]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。HER2与乳腺癌、胃癌、结直肠癌、膀胱癌、卵巢癌、宫颈癌（胰腺癌）、肺癌等多种恶性肿瘤密切相关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>[3]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，因此对于HER2的检测在这些肿瘤的诊断、治疗及预后判断中具有重要意义。</w:t>
      </w:r>
    </w:p>
    <w:p w14:paraId="36A0DE1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</w:t>
      </w: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靶点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已获批药物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[4,5]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849"/>
        <w:gridCol w:w="3139"/>
      </w:tblGrid>
      <w:tr w14:paraId="68866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shd w:val="clear" w:color="auto" w:fill="BEBEBE"/>
            <w:vAlign w:val="center"/>
          </w:tcPr>
          <w:p w14:paraId="7518B92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3849" w:type="dxa"/>
            <w:shd w:val="clear" w:color="auto" w:fill="BEBEBE"/>
            <w:vAlign w:val="center"/>
          </w:tcPr>
          <w:p w14:paraId="2E31F08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3139" w:type="dxa"/>
            <w:shd w:val="clear" w:color="auto" w:fill="BEBEBE"/>
            <w:vAlign w:val="center"/>
          </w:tcPr>
          <w:p w14:paraId="6B6C6A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获批机构</w:t>
            </w:r>
          </w:p>
        </w:tc>
      </w:tr>
      <w:tr w14:paraId="78A6E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FADEE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曲妥珠单抗</w:t>
            </w:r>
          </w:p>
        </w:tc>
        <w:tc>
          <w:tcPr>
            <w:tcW w:w="3849" w:type="dxa"/>
            <w:vAlign w:val="center"/>
          </w:tcPr>
          <w:p w14:paraId="79D3E7F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乳腺癌、胃癌、结直肠癌</w:t>
            </w:r>
          </w:p>
        </w:tc>
        <w:tc>
          <w:tcPr>
            <w:tcW w:w="3139" w:type="dxa"/>
            <w:vAlign w:val="center"/>
          </w:tcPr>
          <w:p w14:paraId="55B6E06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60339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2BBD29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帕妥珠单抗</w:t>
            </w:r>
          </w:p>
        </w:tc>
        <w:tc>
          <w:tcPr>
            <w:tcW w:w="3849" w:type="dxa"/>
            <w:vAlign w:val="center"/>
          </w:tcPr>
          <w:p w14:paraId="774E31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1701D39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2EA91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AD589F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拉帕替尼</w:t>
            </w:r>
          </w:p>
        </w:tc>
        <w:tc>
          <w:tcPr>
            <w:tcW w:w="3849" w:type="dxa"/>
            <w:vAlign w:val="center"/>
          </w:tcPr>
          <w:p w14:paraId="311F55E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A17BC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NMPA/FDA</w:t>
            </w:r>
          </w:p>
        </w:tc>
      </w:tr>
      <w:tr w14:paraId="3A4EB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ADEE1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吡咯替尼</w:t>
            </w:r>
          </w:p>
        </w:tc>
        <w:tc>
          <w:tcPr>
            <w:tcW w:w="3849" w:type="dxa"/>
            <w:vAlign w:val="center"/>
          </w:tcPr>
          <w:p w14:paraId="58A6FA2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A692CF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DE15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0E9BF2B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奈拉替尼</w:t>
            </w:r>
          </w:p>
        </w:tc>
        <w:tc>
          <w:tcPr>
            <w:tcW w:w="3849" w:type="dxa"/>
            <w:vAlign w:val="center"/>
          </w:tcPr>
          <w:p w14:paraId="2B848D9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0676590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D384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9A31C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图卡替尼</w:t>
            </w:r>
          </w:p>
        </w:tc>
        <w:tc>
          <w:tcPr>
            <w:tcW w:w="3849" w:type="dxa"/>
            <w:vAlign w:val="center"/>
          </w:tcPr>
          <w:p w14:paraId="567E99F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乳腺癌、结直肠癌</w:t>
            </w:r>
          </w:p>
        </w:tc>
        <w:tc>
          <w:tcPr>
            <w:tcW w:w="3139" w:type="dxa"/>
            <w:vAlign w:val="center"/>
          </w:tcPr>
          <w:p w14:paraId="2349F8C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752D5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1A8D94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伊尼妥单抗</w:t>
            </w:r>
          </w:p>
        </w:tc>
        <w:tc>
          <w:tcPr>
            <w:tcW w:w="3849" w:type="dxa"/>
            <w:vAlign w:val="center"/>
          </w:tcPr>
          <w:p w14:paraId="0E5E873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E12935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2348D4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067227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恩美曲妥珠单抗</w:t>
            </w:r>
          </w:p>
        </w:tc>
        <w:tc>
          <w:tcPr>
            <w:tcW w:w="3849" w:type="dxa"/>
            <w:vAlign w:val="center"/>
          </w:tcPr>
          <w:p w14:paraId="1C60B52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969795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6DA8F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restart"/>
            <w:vAlign w:val="center"/>
          </w:tcPr>
          <w:p w14:paraId="5826F6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德曲妥珠单抗*</w:t>
            </w:r>
          </w:p>
        </w:tc>
        <w:tc>
          <w:tcPr>
            <w:tcW w:w="3849" w:type="dxa"/>
            <w:vAlign w:val="center"/>
          </w:tcPr>
          <w:p w14:paraId="67E45670">
            <w:pPr>
              <w:adjustRightInd w:val="0"/>
              <w:snapToGrid w:val="0"/>
              <w:jc w:val="center"/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癌、非小细胞肺癌</w:t>
            </w:r>
            <w:r>
              <w:rPr>
                <w:rFonts w:hint="default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、胃癌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胃食管</w:t>
            </w:r>
          </w:p>
          <w:p w14:paraId="40110A1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结合腺癌</w:t>
            </w:r>
          </w:p>
        </w:tc>
        <w:tc>
          <w:tcPr>
            <w:tcW w:w="3139" w:type="dxa"/>
            <w:vAlign w:val="center"/>
          </w:tcPr>
          <w:p w14:paraId="0CBA2BC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251FB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continue"/>
            <w:vAlign w:val="center"/>
          </w:tcPr>
          <w:p w14:paraId="7C34D97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3849" w:type="dxa"/>
            <w:vAlign w:val="center"/>
          </w:tcPr>
          <w:p w14:paraId="41042A4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实体瘤</w:t>
            </w:r>
          </w:p>
        </w:tc>
        <w:tc>
          <w:tcPr>
            <w:tcW w:w="3139" w:type="dxa"/>
            <w:vAlign w:val="center"/>
          </w:tcPr>
          <w:p w14:paraId="14E0965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6A566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EFD0EE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马吉妥昔单抗</w:t>
            </w:r>
          </w:p>
        </w:tc>
        <w:tc>
          <w:tcPr>
            <w:tcW w:w="3849" w:type="dxa"/>
            <w:vAlign w:val="center"/>
          </w:tcPr>
          <w:p w14:paraId="1E67B35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24DA89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12F80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0853E49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维迪西妥单抗</w:t>
            </w:r>
          </w:p>
        </w:tc>
        <w:tc>
          <w:tcPr>
            <w:tcW w:w="3849" w:type="dxa"/>
            <w:vAlign w:val="center"/>
          </w:tcPr>
          <w:p w14:paraId="69B7308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胃癌、胃食管腺癌、膀胱尿路上皮癌</w:t>
            </w:r>
          </w:p>
        </w:tc>
        <w:tc>
          <w:tcPr>
            <w:tcW w:w="3139" w:type="dxa"/>
            <w:vAlign w:val="center"/>
          </w:tcPr>
          <w:p w14:paraId="54C7FC2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8091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3171" w:type="dxa"/>
            <w:vAlign w:val="center"/>
          </w:tcPr>
          <w:p w14:paraId="19F9D58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帕博利珠单抗</w:t>
            </w:r>
          </w:p>
        </w:tc>
        <w:tc>
          <w:tcPr>
            <w:tcW w:w="3849" w:type="dxa"/>
            <w:vAlign w:val="center"/>
          </w:tcPr>
          <w:p w14:paraId="207F016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</w:p>
        </w:tc>
        <w:tc>
          <w:tcPr>
            <w:tcW w:w="3139" w:type="dxa"/>
            <w:vAlign w:val="center"/>
          </w:tcPr>
          <w:p w14:paraId="76740AD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</w:tbl>
    <w:p w14:paraId="79B154AC">
      <w:pPr>
        <w:adjustRightInd w:val="0"/>
        <w:snapToGrid w:val="0"/>
        <w:jc w:val="both"/>
        <w:rPr>
          <w:rFonts w:hint="default" w:ascii="Times New Roman" w:hAnsi="Times New Roman" w:eastAsia="微软雅黑" w:cs="Times New Roman"/>
          <w:b/>
          <w:bCs/>
          <w:color w:val="548DD4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6"/>
          <w:szCs w:val="16"/>
          <w:lang w:eastAsia="zh-CN"/>
        </w:rPr>
        <w:t>注：德曲妥珠单抗* 经FDA批准可用于HER2低表达 (IHC 1+ or IHC 2+/ISH-）不可切除或转移性乳腺癌成人患者。</w:t>
      </w:r>
    </w:p>
    <w:p w14:paraId="32D6C863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其它处于临床研究阶段的</w:t>
      </w:r>
      <w:r>
        <w:rPr>
          <w:rFonts w:hint="default" w:ascii="Times New Roman" w:hAnsi="Times New Roman" w:eastAsia="微软雅黑" w:cs="Times New Roman"/>
          <w:b/>
          <w:bCs w:val="0"/>
          <w:lang w:val="en-US" w:eastAsia="zh-CN" w:bidi="ar-SA"/>
        </w:rPr>
        <w:t>（部分）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[6,7]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350"/>
        <w:gridCol w:w="1487"/>
        <w:gridCol w:w="2482"/>
        <w:gridCol w:w="1444"/>
      </w:tblGrid>
      <w:tr w14:paraId="5F338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shd w:val="clear" w:color="auto" w:fill="BEBEBE"/>
            <w:vAlign w:val="center"/>
          </w:tcPr>
          <w:p w14:paraId="38A20EE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公司</w:t>
            </w:r>
          </w:p>
        </w:tc>
        <w:tc>
          <w:tcPr>
            <w:tcW w:w="2350" w:type="dxa"/>
            <w:shd w:val="clear" w:color="auto" w:fill="BEBEBE"/>
            <w:vAlign w:val="center"/>
          </w:tcPr>
          <w:p w14:paraId="680A9F8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1487" w:type="dxa"/>
            <w:shd w:val="clear" w:color="auto" w:fill="BEBEBE"/>
            <w:vAlign w:val="center"/>
          </w:tcPr>
          <w:p w14:paraId="756AC5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靶点</w:t>
            </w:r>
          </w:p>
        </w:tc>
        <w:tc>
          <w:tcPr>
            <w:tcW w:w="2482" w:type="dxa"/>
            <w:shd w:val="clear" w:color="auto" w:fill="BEBEBE"/>
            <w:vAlign w:val="center"/>
          </w:tcPr>
          <w:p w14:paraId="14B6B2F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1444" w:type="dxa"/>
            <w:shd w:val="clear" w:color="auto" w:fill="BEBEBE"/>
            <w:vAlign w:val="center"/>
          </w:tcPr>
          <w:p w14:paraId="623395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临床分期</w:t>
            </w:r>
          </w:p>
        </w:tc>
      </w:tr>
      <w:tr w14:paraId="402D3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58F311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017EB90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5967537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34315D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胃癌或GEJ腺癌</w:t>
            </w:r>
          </w:p>
        </w:tc>
        <w:tc>
          <w:tcPr>
            <w:tcW w:w="1444" w:type="dxa"/>
            <w:vAlign w:val="center"/>
          </w:tcPr>
          <w:p w14:paraId="4D967F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6EB87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A50FBF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607D271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6EA29C9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9D3565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A6FD42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5682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E2370F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0754C6F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3E48E7E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DC94B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实体瘤</w:t>
            </w:r>
          </w:p>
        </w:tc>
        <w:tc>
          <w:tcPr>
            <w:tcW w:w="1444" w:type="dxa"/>
            <w:vAlign w:val="center"/>
          </w:tcPr>
          <w:p w14:paraId="6594D33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19D1D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3E94C7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阿斯利康</w:t>
            </w:r>
          </w:p>
        </w:tc>
        <w:tc>
          <w:tcPr>
            <w:tcW w:w="2350" w:type="dxa"/>
            <w:vAlign w:val="center"/>
          </w:tcPr>
          <w:p w14:paraId="0CA56EF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49EC62A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5B5C14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非小细胞肺癌</w:t>
            </w:r>
          </w:p>
        </w:tc>
        <w:tc>
          <w:tcPr>
            <w:tcW w:w="1444" w:type="dxa"/>
            <w:vAlign w:val="center"/>
          </w:tcPr>
          <w:p w14:paraId="4A8EF80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DF1D3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27B2773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5BB391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0548181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45085B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0320AA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55EDC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0C4624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2CEC7E7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4175674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3287D81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3A716A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5BFAB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B15BD7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盛禾生物</w:t>
            </w:r>
          </w:p>
        </w:tc>
        <w:tc>
          <w:tcPr>
            <w:tcW w:w="2350" w:type="dxa"/>
            <w:vAlign w:val="center"/>
          </w:tcPr>
          <w:p w14:paraId="51CF29B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IAH0968</w:t>
            </w:r>
          </w:p>
        </w:tc>
        <w:tc>
          <w:tcPr>
            <w:tcW w:w="1487" w:type="dxa"/>
            <w:vAlign w:val="center"/>
          </w:tcPr>
          <w:p w14:paraId="47A17A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33AC7F3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7A3169D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2468D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97DC74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康宁杰瑞</w:t>
            </w:r>
          </w:p>
        </w:tc>
        <w:tc>
          <w:tcPr>
            <w:tcW w:w="2350" w:type="dxa"/>
            <w:vAlign w:val="center"/>
          </w:tcPr>
          <w:p w14:paraId="0C39AF9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KN026</w:t>
            </w:r>
          </w:p>
        </w:tc>
        <w:tc>
          <w:tcPr>
            <w:tcW w:w="1487" w:type="dxa"/>
            <w:vAlign w:val="center"/>
          </w:tcPr>
          <w:p w14:paraId="5141983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A6394A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胃癌/胃食管结合腺癌</w:t>
            </w:r>
          </w:p>
        </w:tc>
        <w:tc>
          <w:tcPr>
            <w:tcW w:w="1444" w:type="dxa"/>
            <w:vAlign w:val="center"/>
          </w:tcPr>
          <w:p w14:paraId="0EDF4F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0AAAB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435B2C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55739B6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06F83F9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CF6695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48E2D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  <w:tr w14:paraId="53C75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B9B889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4A2001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60FB48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4E5EC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尿路上皮癌</w:t>
            </w:r>
          </w:p>
        </w:tc>
        <w:tc>
          <w:tcPr>
            <w:tcW w:w="1444" w:type="dxa"/>
            <w:vAlign w:val="center"/>
          </w:tcPr>
          <w:p w14:paraId="02AC2BD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</w:tbl>
    <w:p w14:paraId="1F76AA0A">
      <w:pPr>
        <w:autoSpaceDE w:val="0"/>
        <w:autoSpaceDN w:val="0"/>
        <w:adjustRightInd w:val="0"/>
        <w:snapToGrid w:val="0"/>
        <w:spacing w:line="360" w:lineRule="auto"/>
        <w:ind w:firstLine="44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bCs/>
          <w:kern w:val="0"/>
        </w:rPr>
        <w:br w:type="page"/>
      </w:r>
    </w:p>
    <w:p w14:paraId="1B549F6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参考文献</w:t>
      </w:r>
    </w:p>
    <w:p w14:paraId="0BF158F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Yarden, Y，et al. Untangling the ErbB signalling network. Nature reviews. Molecular cell biology. 2001 Feb;2(2):127-37.</w:t>
      </w:r>
    </w:p>
    <w:p w14:paraId="0869574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Hynes, N. E，et al. ERBB receptors and cancer: the complexity of targeted inhibitors. Nature reviews. Cancer. 2005 May;5(5):341-54.</w:t>
      </w:r>
    </w:p>
    <w:p w14:paraId="3942FFAC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 xml:space="preserve">Menard S，et al. Biologic and therapeutic role of HER2 in cancer［J］. Oncogene. 2003 Sep 29;22(42):6570-8. </w:t>
      </w:r>
    </w:p>
    <w:p w14:paraId="2EE3BB3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国家药品监督管理局药品审评中心 (cde.org.cn)</w:t>
      </w:r>
    </w:p>
    <w:p w14:paraId="7B3E81D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Drugs@FDA: FDA-Approved Drugs</w:t>
      </w:r>
    </w:p>
    <w:p w14:paraId="2E118E35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https://www.chictr.org.cn/</w:t>
      </w:r>
    </w:p>
    <w:p w14:paraId="39BB8C41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https://clinicaltrials.gov/</w:t>
      </w:r>
    </w:p>
    <w:p w14:paraId="35BF7219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sectPr>
      <w:headerReference r:id="rId6" w:type="default"/>
      <w:footerReference r:id="rId7" w:type="default"/>
      <w:pgSz w:w="11906" w:h="16838"/>
      <w:pgMar w:top="850" w:right="850" w:bottom="850" w:left="850" w:header="851" w:footer="397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29070D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498AF8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7DF61039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6D498AF8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7DF61039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582CAB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3208655</wp:posOffset>
              </wp:positionH>
              <wp:positionV relativeFrom="paragraph">
                <wp:posOffset>-43815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E47628B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.65pt;margin-top:-3.45pt;height:144pt;width:144pt;mso-position-horizontal-relative:margin;mso-wrap-style:none;z-index:251660288;mso-width-relative:page;mso-height-relative:page;" filled="f" stroked="f" coordsize="21600,21600" o:gfxdata="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deePr9gAAAAKAQAADwAAAAAAAAABACAAAAAiAAAAZHJzL2Rvd25yZXYueG1s&#10;UEsBAhQAFAAAAAgAh07iQOsAOHoxAgAAYwQAAA4AAAAAAAAAAQAgAAAAJwEAAGRycy9lMm9Eb2Mu&#10;eG1sUEsFBgAAAAAGAAYAWQEAAMo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E47628B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67117C">
    <w:pPr>
      <w:pStyle w:val="10"/>
    </w:pPr>
    <w:r>
      <w:rPr>
        <w:sz w:val="18"/>
      </w:rPr>
      <w:pict>
        <v:shape id="PowerPlusWaterMarkObject291817" o:spid="_x0000_s2049" o:spt="136" type="#_x0000_t136" style="position:absolute;left:0pt;height:48.3pt;width:166.5pt;mso-position-horizontal:center;mso-position-horizontal-relative:margin;mso-position-vertical:center;mso-position-vertical-relative:margin;rotation:-2949120f;z-index:-251655168;mso-width-relative:page;mso-height-relative:page;" fillcolor="#C0C0C0" filled="t" stroked="f" coordsize="21600,21600" adj="10800">
          <v:path/>
          <v:fill on="t" color2="#FFFFFF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EA2CC1">
    <w:pPr>
      <w:pStyle w:val="10"/>
      <w:jc w:val="right"/>
      <w:rPr>
        <w:lang w:eastAsia="zh-CN"/>
      </w:rPr>
    </w:pPr>
    <w:r>
      <w:rPr>
        <w:sz w:val="18"/>
      </w:rPr>
      <w:pict>
        <v:shape id="_x0000_s2050" o:spid="_x0000_s2050" o:spt="136" type="#_x0000_t136" style="position:absolute;left:0pt;height:48.3pt;width:166.5pt;mso-position-horizontal:center;mso-position-horizontal-relative:margin;mso-position-vertical:center;mso-position-vertical-relative:margin;rotation:-2949120f;z-index:-251654144;mso-width-relative:page;mso-height-relative:page;" fillcolor="#C0C0C0" filled="t" stroked="f" coordsize="21600,21600" adj="10800">
          <v:path/>
          <v:fill on="t" color2="#FFFFFF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C73AC6">
    <w:pPr>
      <w:pStyle w:val="10"/>
      <w:jc w:val="right"/>
      <w:rPr>
        <w:lang w:eastAsia="zh-CN"/>
      </w:rPr>
    </w:pPr>
    <w:r>
      <w:rPr>
        <w:sz w:val="18"/>
      </w:rPr>
      <w:pict>
        <v:shape id="_x0000_s2051" o:spid="_x0000_s2051" o:spt="136" type="#_x0000_t136" style="position:absolute;left:0pt;height:48.3pt;width:166.5pt;mso-position-horizontal:center;mso-position-horizontal-relative:margin;mso-position-vertical:center;mso-position-vertical-relative:margin;rotation:-2949120f;z-index:-251653120;mso-width-relative:page;mso-height-relative:page;" fillcolor="#C0C0C0" filled="t" stroked="f" coordsize="21600,21600" adj="10800">
          <v:path/>
          <v:fill on="t" color2="#FFFFFF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750F2A0"/>
    <w:multiLevelType w:val="singleLevel"/>
    <w:tmpl w:val="C750F2A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  <w:sz w:val="18"/>
        <w:szCs w:val="18"/>
      </w:rPr>
    </w:lvl>
  </w:abstractNum>
  <w:abstractNum w:abstractNumId="1">
    <w:nsid w:val="EF752B0B"/>
    <w:multiLevelType w:val="singleLevel"/>
    <w:tmpl w:val="EF752B0B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D36A00"/>
    <w:rsid w:val="07DB59EB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06684"/>
    <w:rsid w:val="0BA7225B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A4687E"/>
    <w:rsid w:val="0DF02F5A"/>
    <w:rsid w:val="0E11445D"/>
    <w:rsid w:val="0E542351"/>
    <w:rsid w:val="0E632099"/>
    <w:rsid w:val="0E9B7D94"/>
    <w:rsid w:val="0EBF2A43"/>
    <w:rsid w:val="0EC510F2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237E00"/>
    <w:rsid w:val="10A519AE"/>
    <w:rsid w:val="11067689"/>
    <w:rsid w:val="110D3F98"/>
    <w:rsid w:val="11216BAF"/>
    <w:rsid w:val="11E05943"/>
    <w:rsid w:val="12744159"/>
    <w:rsid w:val="12850E64"/>
    <w:rsid w:val="12963DA1"/>
    <w:rsid w:val="12F372F0"/>
    <w:rsid w:val="131E6B23"/>
    <w:rsid w:val="132612E4"/>
    <w:rsid w:val="13884061"/>
    <w:rsid w:val="13897526"/>
    <w:rsid w:val="13AB527B"/>
    <w:rsid w:val="13DB6AB5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915022"/>
    <w:rsid w:val="15D73C77"/>
    <w:rsid w:val="165063E4"/>
    <w:rsid w:val="16560F01"/>
    <w:rsid w:val="16BD5BE8"/>
    <w:rsid w:val="16E67B0D"/>
    <w:rsid w:val="16EF32B7"/>
    <w:rsid w:val="16F8465A"/>
    <w:rsid w:val="179E5A16"/>
    <w:rsid w:val="17EF172D"/>
    <w:rsid w:val="17EF6030"/>
    <w:rsid w:val="18036692"/>
    <w:rsid w:val="18207D72"/>
    <w:rsid w:val="184F5A03"/>
    <w:rsid w:val="188B1EE6"/>
    <w:rsid w:val="188E10A8"/>
    <w:rsid w:val="18A5002C"/>
    <w:rsid w:val="19437087"/>
    <w:rsid w:val="1969147D"/>
    <w:rsid w:val="199369D8"/>
    <w:rsid w:val="19C00606"/>
    <w:rsid w:val="1A765356"/>
    <w:rsid w:val="1A810FAD"/>
    <w:rsid w:val="1B10343F"/>
    <w:rsid w:val="1B28649B"/>
    <w:rsid w:val="1BA36B7F"/>
    <w:rsid w:val="1BAD3E87"/>
    <w:rsid w:val="1C7A05D0"/>
    <w:rsid w:val="1C98707F"/>
    <w:rsid w:val="1CCD19AC"/>
    <w:rsid w:val="1CFB3D7D"/>
    <w:rsid w:val="1D0B7646"/>
    <w:rsid w:val="1D103BE7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C77337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8B3D71"/>
    <w:rsid w:val="21B65BCC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591449B"/>
    <w:rsid w:val="26393298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7B7847"/>
    <w:rsid w:val="29DE0525"/>
    <w:rsid w:val="29EF70C8"/>
    <w:rsid w:val="2A1A518F"/>
    <w:rsid w:val="2A221D03"/>
    <w:rsid w:val="2A3716AB"/>
    <w:rsid w:val="2A51621C"/>
    <w:rsid w:val="2A860F62"/>
    <w:rsid w:val="2A9646DF"/>
    <w:rsid w:val="2ABA75FF"/>
    <w:rsid w:val="2AC300D3"/>
    <w:rsid w:val="2ADE2A02"/>
    <w:rsid w:val="2B0025D7"/>
    <w:rsid w:val="2B485DBB"/>
    <w:rsid w:val="2B5520BD"/>
    <w:rsid w:val="2B671B1E"/>
    <w:rsid w:val="2B692B05"/>
    <w:rsid w:val="2B8C0A94"/>
    <w:rsid w:val="2BDE1876"/>
    <w:rsid w:val="2BF7758D"/>
    <w:rsid w:val="2C165FD1"/>
    <w:rsid w:val="2C180353"/>
    <w:rsid w:val="2C427C83"/>
    <w:rsid w:val="2D99461C"/>
    <w:rsid w:val="2DA70DD9"/>
    <w:rsid w:val="2E0C0EE9"/>
    <w:rsid w:val="2E2868F4"/>
    <w:rsid w:val="2E3D6CA4"/>
    <w:rsid w:val="2E7C3545"/>
    <w:rsid w:val="2EB35A8A"/>
    <w:rsid w:val="2F1809B2"/>
    <w:rsid w:val="2F28730D"/>
    <w:rsid w:val="2F311567"/>
    <w:rsid w:val="2F37139C"/>
    <w:rsid w:val="2F9768C8"/>
    <w:rsid w:val="2FF67B04"/>
    <w:rsid w:val="2FFE5FA2"/>
    <w:rsid w:val="303F18CE"/>
    <w:rsid w:val="304862D7"/>
    <w:rsid w:val="307F054F"/>
    <w:rsid w:val="30DA24F1"/>
    <w:rsid w:val="30E41C41"/>
    <w:rsid w:val="31033685"/>
    <w:rsid w:val="310959FE"/>
    <w:rsid w:val="3109732A"/>
    <w:rsid w:val="314B21CA"/>
    <w:rsid w:val="315E5833"/>
    <w:rsid w:val="31F97D80"/>
    <w:rsid w:val="32080EDC"/>
    <w:rsid w:val="323C7625"/>
    <w:rsid w:val="32AB7EAB"/>
    <w:rsid w:val="32B71D27"/>
    <w:rsid w:val="32DE07F1"/>
    <w:rsid w:val="32F01EBB"/>
    <w:rsid w:val="32F85E9D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E26DA6"/>
    <w:rsid w:val="39334160"/>
    <w:rsid w:val="39525C52"/>
    <w:rsid w:val="399A5E65"/>
    <w:rsid w:val="39A64D30"/>
    <w:rsid w:val="39C16D7E"/>
    <w:rsid w:val="3A202424"/>
    <w:rsid w:val="3AEF4843"/>
    <w:rsid w:val="3AF460F5"/>
    <w:rsid w:val="3B0C44A5"/>
    <w:rsid w:val="3B42564A"/>
    <w:rsid w:val="3B6E4C22"/>
    <w:rsid w:val="3B721C7C"/>
    <w:rsid w:val="3B9B0105"/>
    <w:rsid w:val="3BE02CB1"/>
    <w:rsid w:val="3BEA5380"/>
    <w:rsid w:val="3C3F24CA"/>
    <w:rsid w:val="3C5D7D9D"/>
    <w:rsid w:val="3CC95781"/>
    <w:rsid w:val="3CD218BB"/>
    <w:rsid w:val="3D1C54C3"/>
    <w:rsid w:val="3D6C60E9"/>
    <w:rsid w:val="3D855C98"/>
    <w:rsid w:val="3DC8028C"/>
    <w:rsid w:val="3E3A3804"/>
    <w:rsid w:val="3E3E1B09"/>
    <w:rsid w:val="3E557A55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530140"/>
    <w:rsid w:val="42D665BD"/>
    <w:rsid w:val="42F70CC1"/>
    <w:rsid w:val="43037B90"/>
    <w:rsid w:val="43370708"/>
    <w:rsid w:val="43821027"/>
    <w:rsid w:val="438A6A89"/>
    <w:rsid w:val="44C23006"/>
    <w:rsid w:val="452112A4"/>
    <w:rsid w:val="452151CC"/>
    <w:rsid w:val="454A2BAB"/>
    <w:rsid w:val="459308E1"/>
    <w:rsid w:val="45A93012"/>
    <w:rsid w:val="45D4644E"/>
    <w:rsid w:val="462C11BE"/>
    <w:rsid w:val="46550A34"/>
    <w:rsid w:val="46B72EB2"/>
    <w:rsid w:val="477517FF"/>
    <w:rsid w:val="47A33F8A"/>
    <w:rsid w:val="480368AF"/>
    <w:rsid w:val="4811052D"/>
    <w:rsid w:val="48480CC1"/>
    <w:rsid w:val="48531B40"/>
    <w:rsid w:val="48C5225E"/>
    <w:rsid w:val="48C65C4C"/>
    <w:rsid w:val="48F33103"/>
    <w:rsid w:val="49463453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09298A"/>
    <w:rsid w:val="4B2E54EA"/>
    <w:rsid w:val="4B315A79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10D07DF"/>
    <w:rsid w:val="516C72A2"/>
    <w:rsid w:val="51967B24"/>
    <w:rsid w:val="519B28E7"/>
    <w:rsid w:val="52594F0F"/>
    <w:rsid w:val="52742DE8"/>
    <w:rsid w:val="52832C8D"/>
    <w:rsid w:val="52972F71"/>
    <w:rsid w:val="52DB3A4A"/>
    <w:rsid w:val="52E57CC3"/>
    <w:rsid w:val="52FF44FB"/>
    <w:rsid w:val="5312550A"/>
    <w:rsid w:val="53287C34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66343D"/>
    <w:rsid w:val="55A47060"/>
    <w:rsid w:val="55AC636A"/>
    <w:rsid w:val="55C15CC7"/>
    <w:rsid w:val="55C40B66"/>
    <w:rsid w:val="55F3376F"/>
    <w:rsid w:val="56021356"/>
    <w:rsid w:val="56111690"/>
    <w:rsid w:val="56225350"/>
    <w:rsid w:val="563648E8"/>
    <w:rsid w:val="56765A9B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B201627"/>
    <w:rsid w:val="5B2616E5"/>
    <w:rsid w:val="5B3A4C3E"/>
    <w:rsid w:val="5B884B96"/>
    <w:rsid w:val="5C702399"/>
    <w:rsid w:val="5D090FC9"/>
    <w:rsid w:val="5D534B31"/>
    <w:rsid w:val="5E8C7702"/>
    <w:rsid w:val="5EB2544D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76303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01380D"/>
    <w:rsid w:val="6D2D26D4"/>
    <w:rsid w:val="6D425E8D"/>
    <w:rsid w:val="6D550E72"/>
    <w:rsid w:val="6D57537F"/>
    <w:rsid w:val="6D6F7597"/>
    <w:rsid w:val="6D8E38BF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BD4527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686B98"/>
    <w:rsid w:val="7677072C"/>
    <w:rsid w:val="768076F4"/>
    <w:rsid w:val="76937428"/>
    <w:rsid w:val="76A00464"/>
    <w:rsid w:val="76A021B3"/>
    <w:rsid w:val="76B664D7"/>
    <w:rsid w:val="76BD0FA5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BE2A91"/>
    <w:rsid w:val="7A590988"/>
    <w:rsid w:val="7A992CC0"/>
    <w:rsid w:val="7B2965AD"/>
    <w:rsid w:val="7B3A50B0"/>
    <w:rsid w:val="7B7B235C"/>
    <w:rsid w:val="7B8B2C1D"/>
    <w:rsid w:val="7BCA3B47"/>
    <w:rsid w:val="7BD020E4"/>
    <w:rsid w:val="7C01614C"/>
    <w:rsid w:val="7C8D1210"/>
    <w:rsid w:val="7D2F0819"/>
    <w:rsid w:val="7D2F33BE"/>
    <w:rsid w:val="7D793C28"/>
    <w:rsid w:val="7D8C0F6F"/>
    <w:rsid w:val="7DD26D7D"/>
    <w:rsid w:val="7E0D3F64"/>
    <w:rsid w:val="7E517338"/>
    <w:rsid w:val="7E9771C1"/>
    <w:rsid w:val="7EB604BE"/>
    <w:rsid w:val="7EEF3669"/>
    <w:rsid w:val="7F6A5445"/>
    <w:rsid w:val="7FB34FF6"/>
    <w:rsid w:val="7FE30275"/>
    <w:rsid w:val="FE704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4">
    <w:name w:val="haha"/>
    <w:basedOn w:val="48"/>
    <w:autoRedefine/>
    <w:qFormat/>
    <w:uiPriority w:val="0"/>
    <w:rPr>
      <w:color w:val="FF0000"/>
    </w:rPr>
  </w:style>
  <w:style w:type="paragraph" w:customStyle="1" w:styleId="55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6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7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header" Target="header3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2049"/>
    <customShpInfo spid="_x0000_s2050"/>
    <customShpInfo spid="_x0000_s1026" textRotate="1"/>
    <customShpInfo spid="_x0000_s205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967</Words>
  <Characters>1885</Characters>
  <Lines>399</Lines>
  <Paragraphs>112</Paragraphs>
  <TotalTime>0</TotalTime>
  <ScaleCrop>false</ScaleCrop>
  <LinksUpToDate>false</LinksUpToDate>
  <CharactersWithSpaces>2027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tassles-L</cp:lastModifiedBy>
  <dcterms:modified xsi:type="dcterms:W3CDTF">2026-04-28T02:58:25Z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3DF5FEB73D0C4B6A9F07F7176AF1CF99_13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