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lang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eastAsia="zh-CN"/>
              </w:rPr>
              <w:t>BRCA1/2（体系+胚系）基因检测</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lang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lang w:eastAsia="zh-CN"/>
              </w:rPr>
            </w:pPr>
            <w:r>
              <w:rPr>
                <w:rFonts w:ascii="微软雅黑" w:hAnsi="微软雅黑" w:eastAsia="微软雅黑"/>
                <w:sz w:val="20"/>
                <w:lang w:eastAsia="zh-CN"/>
              </w:rPr>
              <w:t>合作检测机构：</w:t>
            </w:r>
            <w:r>
              <w:rPr>
                <w:rFonts w:ascii="微软雅黑" w:hAnsi="微软雅黑" w:eastAsia="微软雅黑"/>
                <w:b/>
                <w:sz w:val="20"/>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eastAsia="微软雅黑"/>
                <w:lang w:val="en-US" w:eastAsia="zh-CN"/>
              </w:rPr>
            </w:pPr>
            <w:r>
              <w:rPr>
                <w:rFonts w:ascii="微软雅黑" w:hAnsi="微软雅黑" w:eastAsia="微软雅黑"/>
                <w:sz w:val="20"/>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w:t>
            </w:r>
            <w:r>
              <w:rPr>
                <w:rFonts w:ascii="微软雅黑" w:hAnsi="微软雅黑" w:eastAsia="微软雅黑"/>
                <w:b/>
                <w:sz w:val="20"/>
                <w:lang w:eastAsia="zh-CN"/>
              </w:rPr>
              <w:t>BRCA1/2</w:t>
            </w:r>
            <w:r>
              <w:rPr>
                <w:rFonts w:hint="eastAsia" w:ascii="微软雅黑" w:hAnsi="微软雅黑" w:eastAsia="微软雅黑"/>
                <w:b/>
                <w:sz w:val="20"/>
                <w:lang w:eastAsia="zh-CN"/>
              </w:rPr>
              <w:t>基因全外显子±</w:t>
            </w:r>
            <w:r>
              <w:rPr>
                <w:rFonts w:ascii="微软雅黑" w:hAnsi="微软雅黑" w:eastAsia="微软雅黑"/>
                <w:b/>
                <w:sz w:val="20"/>
                <w:lang w:eastAsia="zh-CN"/>
              </w:rPr>
              <w:t>20 bp</w:t>
            </w:r>
            <w:r>
              <w:rPr>
                <w:rFonts w:hint="eastAsia" w:ascii="微软雅黑" w:hAnsi="微软雅黑" w:eastAsia="微软雅黑"/>
                <w:b/>
                <w:sz w:val="20"/>
                <w:lang w:eastAsia="zh-CN"/>
              </w:rPr>
              <w:t>内含子区域进行高通量测序，检测</w:t>
            </w:r>
            <w:r>
              <w:rPr>
                <w:rFonts w:ascii="微软雅黑" w:hAnsi="微软雅黑" w:eastAsia="微软雅黑"/>
                <w:b/>
                <w:sz w:val="20"/>
                <w:lang w:eastAsia="zh-CN"/>
              </w:rPr>
              <w:t>BRCA1/2</w:t>
            </w:r>
            <w:r>
              <w:rPr>
                <w:rFonts w:hint="eastAsia" w:ascii="微软雅黑" w:hAnsi="微软雅黑" w:eastAsia="微软雅黑"/>
                <w:b/>
                <w:sz w:val="20"/>
                <w:lang w:eastAsia="zh-CN"/>
              </w:rPr>
              <w:t>基因的靶向用药信息和遗传风险，适用于乳腺癌、卵巢癌、宫颈癌、子宫内膜癌、前列腺癌及胰腺癌等癌种。检测突变形式为点突变（</w:t>
            </w:r>
            <w:r>
              <w:rPr>
                <w:rFonts w:ascii="微软雅黑" w:hAnsi="微软雅黑" w:eastAsia="微软雅黑"/>
                <w:b/>
                <w:sz w:val="20"/>
                <w:lang w:eastAsia="zh-CN"/>
              </w:rPr>
              <w:t>SNV</w:t>
            </w:r>
            <w:r>
              <w:rPr>
                <w:rFonts w:hint="eastAsia" w:ascii="微软雅黑" w:hAnsi="微软雅黑" w:eastAsia="微软雅黑"/>
                <w:b/>
                <w:sz w:val="20"/>
                <w:lang w:eastAsia="zh-CN"/>
              </w:rPr>
              <w:t>）、小片段插入缺失（</w:t>
            </w:r>
            <w:r>
              <w:rPr>
                <w:rFonts w:ascii="微软雅黑" w:hAnsi="微软雅黑" w:eastAsia="微软雅黑"/>
                <w:b/>
                <w:sz w:val="20"/>
                <w:lang w:eastAsia="zh-CN"/>
              </w:rPr>
              <w:t>INDEL</w:t>
            </w:r>
            <w:r>
              <w:rPr>
                <w:rFonts w:hint="eastAsia" w:ascii="微软雅黑" w:hAnsi="微软雅黑" w:eastAsia="微软雅黑"/>
                <w:b/>
                <w:sz w:val="20"/>
                <w:lang w:eastAsia="zh-CN"/>
              </w:rPr>
              <w:t>）、</w:t>
            </w:r>
            <w:r>
              <w:rPr>
                <w:rFonts w:hint="eastAsia" w:ascii="微软雅黑" w:hAnsi="微软雅黑" w:eastAsia="微软雅黑"/>
                <w:b/>
                <w:sz w:val="20"/>
                <w:lang w:val="en-US" w:eastAsia="zh-CN"/>
              </w:rPr>
              <w:t>拷贝数变异（CNV）</w:t>
            </w:r>
            <w:r>
              <w:rPr>
                <w:rFonts w:hint="eastAsia" w:ascii="微软雅黑" w:hAnsi="微软雅黑" w:eastAsia="微软雅黑"/>
                <w:b/>
                <w:sz w:val="20"/>
                <w:lang w:eastAsia="zh-CN"/>
              </w:rPr>
              <w:t>。</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p w14:paraId="5D13A2EA">
      <w:pPr>
        <w:rPr>
          <w:lang w:eastAsia="zh-CN"/>
        </w:rPr>
      </w:pPr>
    </w:p>
    <w:tbl>
      <w:tblPr>
        <w:tblStyle w:val="32"/>
        <w:tblpPr w:leftFromText="181" w:rightFromText="181" w:vertAnchor="text" w:horzAnchor="page" w:tblpX="1129" w:tblpY="1"/>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tbl>
    <w:p w14:paraId="43DD73DC">
      <w:pPr>
        <w:sectPr>
          <w:headerReference r:id="rId5" w:type="default"/>
          <w:footerReference r:id="rId6" w:type="default"/>
          <w:pgSz w:w="11900" w:h="16840"/>
          <w:pgMar w:top="1440" w:right="1134" w:bottom="1440" w:left="1134" w:header="720" w:footer="720" w:gutter="0"/>
          <w:cols w:space="720" w:num="1"/>
          <w:docGrid w:linePitch="360" w:charSpace="0"/>
        </w:sectPr>
      </w:pPr>
      <w:r>
        <w:br w:type="page"/>
      </w:r>
    </w:p>
    <w:p w14:paraId="3657D29B">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545"/>
        <w:gridCol w:w="5340"/>
      </w:tblGrid>
      <w:tr w14:paraId="4E33E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tcBorders>
              <w:top w:val="nil"/>
              <w:left w:val="nil"/>
              <w:bottom w:val="nil"/>
              <w:right w:val="single" w:color="FFFFFF" w:sz="18" w:space="0"/>
            </w:tcBorders>
            <w:shd w:val="clear" w:color="auto" w:fill="006600"/>
            <w:vAlign w:val="center"/>
          </w:tcPr>
          <w:p w14:paraId="46CCD341">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26939D34">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705B6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16368D31">
            <w:pPr>
              <w:widowControl w:val="0"/>
              <w:spacing w:after="0" w:line="240" w:lineRule="auto"/>
              <w:ind w:left="57" w:right="57"/>
              <w:jc w:val="both"/>
              <w:rPr>
                <w:rFonts w:ascii="Times New Roman" w:hAnsi="Times New Roman" w:eastAsia="微软雅黑" w:cs="Times New Roman"/>
                <w:b/>
                <w:bCs/>
                <w:sz w:val="21"/>
                <w:szCs w:val="21"/>
                <w:lang w:eastAsia="zh-CN"/>
              </w:rPr>
            </w:pPr>
            <w:r>
              <w:rPr>
                <w:rFonts w:ascii="微软雅黑" w:eastAsia="微软雅黑"/>
                <w:b/>
                <w:bCs/>
                <w:sz w:val="21"/>
                <w:lang w:eastAsia="zh-CN"/>
              </w:rPr>
              <w:t>靶向用药指导</w:t>
            </w:r>
          </w:p>
        </w:tc>
        <w:tc>
          <w:tcPr>
            <w:tcW w:w="5340" w:type="dxa"/>
            <w:tcBorders>
              <w:top w:val="nil"/>
              <w:left w:val="single" w:color="A4A4A4" w:sz="4" w:space="0"/>
              <w:bottom w:val="single" w:color="A4A4A4" w:sz="4" w:space="0"/>
              <w:right w:val="nil"/>
            </w:tcBorders>
            <w:vAlign w:val="center"/>
          </w:tcPr>
          <w:p w14:paraId="25BBF3A7">
            <w:pPr>
              <w:widowControl w:val="0"/>
              <w:spacing w:after="0" w:line="240" w:lineRule="auto"/>
              <w:ind w:left="57" w:right="57"/>
              <w:jc w:val="both"/>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351D51F6">
            <w:pPr>
              <w:widowControl w:val="0"/>
              <w:spacing w:after="0" w:line="240" w:lineRule="auto"/>
              <w:ind w:left="57" w:right="57"/>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7A4CB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595100D7">
            <w:pPr>
              <w:widowControl w:val="0"/>
              <w:spacing w:after="0" w:line="240" w:lineRule="auto"/>
              <w:ind w:left="57" w:right="57"/>
              <w:jc w:val="both"/>
              <w:rPr>
                <w:rFonts w:ascii="微软雅黑" w:eastAsia="微软雅黑"/>
                <w:b/>
                <w:bCs/>
                <w:sz w:val="21"/>
                <w:lang w:eastAsia="zh-CN"/>
              </w:rPr>
            </w:pPr>
            <w:r>
              <w:rPr>
                <w:rFonts w:hint="eastAsia" w:ascii="微软雅黑" w:eastAsia="微软雅黑"/>
                <w:b/>
                <w:bCs/>
                <w:sz w:val="21"/>
                <w:lang w:eastAsia="zh-CN"/>
              </w:rPr>
              <w:t>肿瘤遗传风险提示</w:t>
            </w:r>
          </w:p>
        </w:tc>
        <w:tc>
          <w:tcPr>
            <w:tcW w:w="5340" w:type="dxa"/>
            <w:tcBorders>
              <w:top w:val="nil"/>
              <w:left w:val="single" w:color="A4A4A4" w:sz="4" w:space="0"/>
              <w:bottom w:val="single" w:color="A4A4A4" w:sz="4" w:space="0"/>
              <w:right w:val="nil"/>
            </w:tcBorders>
            <w:vAlign w:val="center"/>
          </w:tcPr>
          <w:p w14:paraId="229F82C6">
            <w:pPr>
              <w:widowControl w:val="0"/>
              <w:spacing w:after="0" w:line="240" w:lineRule="auto"/>
              <w:ind w:left="57" w:right="57"/>
              <w:jc w:val="both"/>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}}个胚系突变，其中{{summaryOfRresults.hasPathogenicityCount}}个为致病/可能致病性突变</w:t>
            </w:r>
          </w:p>
        </w:tc>
      </w:tr>
      <w:tr w14:paraId="0153C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single" w:color="A4A4A4" w:sz="4" w:space="0"/>
              <w:left w:val="nil"/>
              <w:bottom w:val="single" w:color="A4A4A4" w:sz="4" w:space="0"/>
              <w:right w:val="single" w:color="A4A4A4" w:sz="4" w:space="0"/>
            </w:tcBorders>
            <w:vAlign w:val="center"/>
          </w:tcPr>
          <w:p w14:paraId="7319F068">
            <w:pPr>
              <w:widowControl w:val="0"/>
              <w:spacing w:after="0" w:line="240" w:lineRule="auto"/>
              <w:ind w:left="57" w:right="57"/>
              <w:jc w:val="both"/>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DC1F77B">
            <w:pPr>
              <w:widowControl w:val="0"/>
              <w:spacing w:after="0" w:line="240" w:lineRule="auto"/>
              <w:ind w:left="57" w:right="57"/>
              <w:jc w:val="both"/>
              <w:rPr>
                <w:rFonts w:ascii="Times New Roman" w:hAnsi="Times New Roman" w:eastAsia="微软雅黑" w:cs="Times New Roman"/>
                <w:sz w:val="21"/>
                <w:szCs w:val="21"/>
              </w:rPr>
            </w:pPr>
            <w:r>
              <w:rPr>
                <w:rFonts w:hint="eastAsia" w:ascii="微软雅黑" w:hAnsi="微软雅黑" w:eastAsia="微软雅黑" w:cs="微软雅黑"/>
                <w:sz w:val="18"/>
                <w:szCs w:val="18"/>
                <w:lang w:eastAsia="zh-CN"/>
              </w:rPr>
              <w:t>{{ overall_quality_assessment }}</w:t>
            </w:r>
          </w:p>
        </w:tc>
      </w:tr>
    </w:tbl>
    <w:p w14:paraId="565E9B97">
      <w:pPr>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br w:type="page"/>
      </w: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2A457E0F">
      <w:pPr>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lang w:eastAsia="zh-CN"/>
        </w:rPr>
        <w:t>提示</w:t>
      </w:r>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8"/>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0" w:name="_Toc28455"/>
      <w:bookmarkStart w:id="1" w:name="_Toc27793"/>
      <w:bookmarkStart w:id="2" w:name="_Toc149837259"/>
      <w:bookmarkStart w:id="3" w:name="_Toc20084"/>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0"/>
      <w:bookmarkEnd w:id="1"/>
      <w:bookmarkEnd w:id="2"/>
      <w:bookmarkEnd w:id="3"/>
    </w:p>
    <w:p w14:paraId="3C05E22E">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094121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7D138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4D3C513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1369D95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2EF37030">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11850D51">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24576CE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7AEB07C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789743E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6ED1F6A2">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617100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76C0C31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248BDC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0B2ADB0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62B105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34A5BEC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652052C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7AA4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2B5791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4F27226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741C41C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6114909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40B71FEC">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487BBF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5FA355C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3105D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1FC09FE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151226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649D767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7FC635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1105095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913DD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37B2A8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0746FE9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1F59CCC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1957877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6D8ABF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2E7DA7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25D06C22">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43FA2A6C">
      <w:pPr>
        <w:widowControl w:val="0"/>
        <w:numPr>
          <w:ilvl w:val="0"/>
          <w:numId w:val="9"/>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76FAF457">
      <w:pPr>
        <w:widowControl w:val="0"/>
        <w:numPr>
          <w:ilvl w:val="0"/>
          <w:numId w:val="10"/>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09E45B7D">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6D13DEDE">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C29248F">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05E9DA4E">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23D46008">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4A79170">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1BB0F3D8">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hint="eastAsia" w:ascii="Times New Roman" w:hAnsi="Times New Roman" w:eastAsia="微软雅黑" w:cs="Times New Roman"/>
          <w:sz w:val="24"/>
          <w:szCs w:val="24"/>
          <w:lang w:eastAsia="zh-CN"/>
        </w:rPr>
        <w:t>{%if BodyDrugDrugDetectionStr or geneticCancerRiskInfo %}</w:t>
      </w:r>
    </w:p>
    <w:p w14:paraId="79D881EB">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4" w:name="_Toc18974"/>
      <w:bookmarkStart w:id="5" w:name="_Toc27011"/>
      <w:bookmarkStart w:id="6" w:name="_Toc3250"/>
      <w:bookmarkStart w:id="7"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4"/>
      <w:bookmarkEnd w:id="5"/>
      <w:bookmarkEnd w:id="6"/>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7"/>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auto"/>
          <w:sz w:val="24"/>
          <w:szCs w:val="24"/>
          <w:lang w:val="en-US" w:eastAsia="zh-CN" w:bidi="ar-SA"/>
        </w:rPr>
        <w:t>{% endif %}</w:t>
      </w: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8" w:name="_Toc13837"/>
      <w:bookmarkStart w:id="9" w:name="_Toc11208"/>
      <w:bookmarkStart w:id="10" w:name="_Toc8321"/>
      <w:bookmarkStart w:id="11"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8"/>
      <w:bookmarkEnd w:id="9"/>
      <w:bookmarkEnd w:id="10"/>
    </w:p>
    <w:p w14:paraId="0AE2F0EC">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
    </w:p>
    <w:p w14:paraId="257DDF55">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7E9EE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482D83BF">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17EB917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7CCC2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29BB566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36054E8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71A9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5750E0C">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3AE7B27B">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1CBA111">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245FBB4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88EFD8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320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50FB21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125DB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B314BE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4676D880">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32B95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4661D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C847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E73036">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9E3C10">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5B413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B54BDA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F3369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726D4C">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9B65BCA">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C0EB01E">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D64B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3FAA46B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230A62E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0E6287C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3CC0FD90">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43D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0278F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C8711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870306">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C1F07F">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FE5DAE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9C839F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2C83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FF70B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4A8B13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E7D0FED">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8D9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2C98C65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34B2D1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489F4A2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59AEE6">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C24086F">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655E285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44D5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01E219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5D707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3C8A38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1DE93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1178B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EE6366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89DBBC">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0D9A3294">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4EC4A8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EC45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696E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1867E7E">
      <w:pPr>
        <w:spacing w:after="0"/>
        <w:outlineLvl w:val="9"/>
        <w:rPr>
          <w:rFonts w:hint="default" w:ascii="Times New Roman" w:hAnsi="Times New Roman" w:eastAsia="微软雅黑" w:cs="Times New Roman"/>
          <w:b/>
          <w:color w:val="000000"/>
          <w:sz w:val="21"/>
          <w:szCs w:val="21"/>
          <w:highlight w:val="none"/>
          <w:lang w:val="en-US" w:eastAsia="zh-CN" w:bidi="ar-SA"/>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spacing w:after="0"/>
        <w:outlineLvl w:val="1"/>
      </w:pPr>
      <w:r>
        <w:rPr>
          <w:rFonts w:ascii="微软雅黑" w:hAnsi="微软雅黑" w:eastAsia="微软雅黑"/>
          <w:b/>
          <w:color w:val="000000"/>
          <w:sz w:val="24"/>
        </w:rPr>
        <w:t>样本主要质控</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18997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592C7738">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质控环节</w:t>
            </w:r>
          </w:p>
        </w:tc>
        <w:tc>
          <w:tcPr>
            <w:tcW w:w="2717" w:type="dxa"/>
            <w:tcBorders>
              <w:top w:val="nil"/>
              <w:left w:val="single" w:color="FFFFFF" w:sz="18" w:space="0"/>
              <w:bottom w:val="nil"/>
              <w:right w:val="single" w:color="FFFFFF" w:sz="18" w:space="0"/>
            </w:tcBorders>
            <w:shd w:val="clear" w:color="auto" w:fill="006600"/>
            <w:vAlign w:val="center"/>
          </w:tcPr>
          <w:p w14:paraId="19E6871F">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质控参数</w:t>
            </w:r>
          </w:p>
        </w:tc>
        <w:tc>
          <w:tcPr>
            <w:tcW w:w="2378" w:type="dxa"/>
            <w:tcBorders>
              <w:top w:val="nil"/>
              <w:left w:val="single" w:color="FFFFFF" w:sz="18" w:space="0"/>
              <w:bottom w:val="nil"/>
              <w:right w:val="single" w:color="FFFFFF" w:sz="18" w:space="0"/>
            </w:tcBorders>
            <w:shd w:val="clear" w:color="auto" w:fill="006600"/>
            <w:vAlign w:val="center"/>
          </w:tcPr>
          <w:p w14:paraId="3BDA79B1">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质控数值</w:t>
            </w:r>
          </w:p>
        </w:tc>
        <w:tc>
          <w:tcPr>
            <w:tcW w:w="2731" w:type="dxa"/>
            <w:gridSpan w:val="2"/>
            <w:tcBorders>
              <w:top w:val="nil"/>
              <w:left w:val="single" w:color="FFFFFF" w:sz="18" w:space="0"/>
              <w:bottom w:val="nil"/>
              <w:right w:val="nil"/>
            </w:tcBorders>
            <w:shd w:val="clear" w:color="auto" w:fill="006600"/>
            <w:vAlign w:val="center"/>
          </w:tcPr>
          <w:p w14:paraId="477B5570">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质控标准</w:t>
            </w:r>
          </w:p>
        </w:tc>
      </w:tr>
      <w:tr w14:paraId="3415794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vAlign w:val="center"/>
          </w:tcPr>
          <w:p w14:paraId="767BA1B3">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病理评估</w:t>
            </w:r>
          </w:p>
        </w:tc>
        <w:tc>
          <w:tcPr>
            <w:tcW w:w="2717" w:type="dxa"/>
            <w:tcBorders>
              <w:top w:val="nil"/>
              <w:left w:val="single" w:color="A4A4A4" w:sz="4" w:space="0"/>
              <w:bottom w:val="single" w:color="A4A4A4" w:sz="4" w:space="0"/>
              <w:right w:val="single" w:color="A4A4A4" w:sz="4" w:space="0"/>
            </w:tcBorders>
            <w:vAlign w:val="center"/>
          </w:tcPr>
          <w:p w14:paraId="7FF7461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肿瘤细胞含量</w:t>
            </w:r>
          </w:p>
        </w:tc>
        <w:tc>
          <w:tcPr>
            <w:tcW w:w="2378" w:type="dxa"/>
            <w:tcBorders>
              <w:top w:val="nil"/>
              <w:left w:val="single" w:color="A4A4A4" w:sz="4" w:space="0"/>
              <w:bottom w:val="single" w:color="A4A4A4" w:sz="4" w:space="0"/>
              <w:right w:val="single" w:color="A4A4A4" w:sz="4" w:space="0"/>
            </w:tcBorders>
            <w:vAlign w:val="center"/>
          </w:tcPr>
          <w:p w14:paraId="4C49AA90">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31" w:type="dxa"/>
            <w:gridSpan w:val="2"/>
            <w:tcBorders>
              <w:top w:val="nil"/>
              <w:left w:val="single" w:color="A4A4A4" w:sz="4" w:space="0"/>
              <w:bottom w:val="single" w:color="A4A4A4" w:sz="4" w:space="0"/>
              <w:right w:val="nil"/>
            </w:tcBorders>
            <w:vAlign w:val="center"/>
          </w:tcPr>
          <w:p w14:paraId="4121430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0%</w:t>
            </w:r>
          </w:p>
        </w:tc>
      </w:tr>
      <w:tr w14:paraId="3FE0932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6D962F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4CB5977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6D80508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6E9E0988">
            <w:pPr>
              <w:keepNext w:val="0"/>
              <w:keepLines w:val="0"/>
              <w:pageBreakBefore w:val="0"/>
              <w:widowControl/>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 if summaryOfRresults.type == “tissue” %}≥100{% else %}≥20{% endif %}</w:t>
            </w:r>
          </w:p>
        </w:tc>
      </w:tr>
      <w:tr w14:paraId="537DA7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579220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31BDDA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4F1351D1">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3336AC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A/B/C</w:t>
            </w:r>
            <w:r>
              <w:rPr>
                <w:rFonts w:hint="eastAsia" w:ascii="微软雅黑" w:hAnsi="微软雅黑" w:eastAsia="微软雅黑" w:cs="微软雅黑"/>
                <w:sz w:val="18"/>
                <w:szCs w:val="18"/>
                <w:lang w:eastAsia="zh-CN" w:bidi="ar"/>
              </w:rPr>
              <w:t>级</w:t>
            </w:r>
          </w:p>
        </w:tc>
      </w:tr>
      <w:tr w14:paraId="12431B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1681283B">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73F11C5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预文库总量（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03D9760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4891890A">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p>
        </w:tc>
      </w:tr>
      <w:tr w14:paraId="08565B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38A7E6A">
            <w:pPr>
              <w:keepNext w:val="0"/>
              <w:keepLines w:val="0"/>
              <w:pageBreakBefore w:val="0"/>
              <w:widowControl w:val="0"/>
              <w:kinsoku/>
              <w:wordWrap/>
              <w:overflowPunct/>
              <w:topLinePunct w:val="0"/>
              <w:autoSpaceDN/>
              <w:bidi w:val="0"/>
              <w:adjustRightInd/>
              <w:snapToGrid/>
              <w:spacing w:after="0" w:line="240" w:lineRule="auto"/>
              <w:ind w:left="119"/>
              <w:jc w:val="center"/>
              <w:textAlignment w:val="auto"/>
              <w:rPr>
                <w:rFonts w:ascii="Times New Roman" w:hAnsi="Times New Roman" w:eastAsia="微软雅黑" w:cs="Times New Roman"/>
                <w:b/>
                <w:sz w:val="18"/>
                <w:szCs w:val="18"/>
                <w:lang w:eastAsia="zh-CN"/>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632080E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70FEC475">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78C3BDD4">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 if summaryOfRresults.type == “tissue” %}≥500{% else %}≥1500{% endif %}</w:t>
            </w:r>
          </w:p>
        </w:tc>
      </w:tr>
      <w:tr w14:paraId="707DF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74064C29">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0A4B9D4">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vAlign w:val="center"/>
          </w:tcPr>
          <w:p w14:paraId="3A79DA73">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coverage_uniformity }}</w:t>
            </w:r>
          </w:p>
        </w:tc>
        <w:tc>
          <w:tcPr>
            <w:tcW w:w="2731" w:type="dxa"/>
            <w:gridSpan w:val="2"/>
            <w:tcBorders>
              <w:top w:val="single" w:color="A4A4A4" w:sz="4" w:space="0"/>
              <w:left w:val="single" w:color="A4A4A4" w:sz="4" w:space="0"/>
              <w:bottom w:val="single" w:color="A4A4A4" w:sz="4" w:space="0"/>
              <w:right w:val="nil"/>
            </w:tcBorders>
            <w:vAlign w:val="center"/>
          </w:tcPr>
          <w:p w14:paraId="6FBE3ED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90%</w:t>
            </w:r>
          </w:p>
        </w:tc>
      </w:tr>
      <w:tr w14:paraId="161FBC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BCE08C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1A3449E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vAlign w:val="center"/>
          </w:tcPr>
          <w:p w14:paraId="63043447">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genome_alignment }}</w:t>
            </w:r>
          </w:p>
        </w:tc>
        <w:tc>
          <w:tcPr>
            <w:tcW w:w="2731" w:type="dxa"/>
            <w:gridSpan w:val="2"/>
            <w:tcBorders>
              <w:top w:val="single" w:color="A4A4A4" w:sz="4" w:space="0"/>
              <w:left w:val="single" w:color="A4A4A4" w:sz="4" w:space="0"/>
              <w:bottom w:val="single" w:color="A4A4A4" w:sz="4" w:space="0"/>
              <w:right w:val="nil"/>
            </w:tcBorders>
            <w:vAlign w:val="center"/>
          </w:tcPr>
          <w:p w14:paraId="335670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95%</w:t>
            </w:r>
          </w:p>
        </w:tc>
      </w:tr>
      <w:tr w14:paraId="6BA34F5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5A82E1A3">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6A171B8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碱基质量</w:t>
            </w:r>
            <w:r>
              <w:rPr>
                <w:rFonts w:ascii="Times New Roman" w:hAnsi="Times New Roman" w:eastAsia="微软雅黑" w:cs="Times New Roman"/>
                <w:sz w:val="18"/>
                <w:szCs w:val="18"/>
                <w:lang w:eastAsia="zh-CN" w:bidi="ar"/>
              </w:rPr>
              <w:t>Q30</w:t>
            </w:r>
            <w:r>
              <w:rPr>
                <w:rFonts w:hint="eastAsia" w:ascii="Times New Roman" w:hAnsi="Times New Roman" w:eastAsia="微软雅黑" w:cs="Times New Roman"/>
                <w:sz w:val="18"/>
                <w:szCs w:val="18"/>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vAlign w:val="center"/>
          </w:tcPr>
          <w:p w14:paraId="13871648">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base_quality }}</w:t>
            </w:r>
          </w:p>
        </w:tc>
        <w:tc>
          <w:tcPr>
            <w:tcW w:w="2731" w:type="dxa"/>
            <w:gridSpan w:val="2"/>
            <w:tcBorders>
              <w:top w:val="single" w:color="A4A4A4" w:sz="4" w:space="0"/>
              <w:left w:val="single" w:color="A4A4A4" w:sz="4" w:space="0"/>
              <w:bottom w:val="single" w:color="A4A4A4" w:sz="4" w:space="0"/>
              <w:right w:val="nil"/>
            </w:tcBorders>
            <w:vAlign w:val="center"/>
          </w:tcPr>
          <w:p w14:paraId="406E89A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80%</w:t>
            </w:r>
          </w:p>
        </w:tc>
      </w:tr>
      <w:tr w14:paraId="7B02BE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327929F">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030CBAE">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overall_quality_assessment }}</w:t>
            </w:r>
          </w:p>
        </w:tc>
      </w:tr>
    </w:tbl>
    <w:p w14:paraId="27BB586B">
      <w:pPr>
        <w:spacing w:after="0"/>
        <w:jc w:val="both"/>
        <w:rPr>
          <w:rFonts w:hint="eastAsia" w:ascii="微软雅黑" w:hAnsi="微软雅黑" w:eastAsia="微软雅黑"/>
          <w:color w:val="000000"/>
          <w:sz w:val="13"/>
          <w:lang w:eastAsia="zh-CN"/>
        </w:rPr>
      </w:pPr>
    </w:p>
    <w:p w14:paraId="054E67DC">
      <w:pPr>
        <w:spacing w:after="0"/>
        <w:jc w:val="both"/>
        <w:rPr>
          <w:rFonts w:hint="eastAsia" w:ascii="微软雅黑" w:hAnsi="微软雅黑" w:eastAsia="微软雅黑"/>
          <w:color w:val="000000"/>
          <w:sz w:val="13"/>
          <w:lang w:eastAsia="zh-CN"/>
        </w:rPr>
      </w:pPr>
      <w:r>
        <w:rPr>
          <w:rFonts w:hint="eastAsia" w:ascii="微软雅黑" w:hAnsi="微软雅黑" w:eastAsia="微软雅黑"/>
          <w:b/>
          <w:color w:val="000000"/>
          <w:sz w:val="24"/>
          <w:lang w:val="en-US" w:eastAsia="zh-CN"/>
        </w:rPr>
        <w:t>对照</w:t>
      </w:r>
      <w:r>
        <w:rPr>
          <w:rFonts w:ascii="微软雅黑" w:hAnsi="微软雅黑" w:eastAsia="微软雅黑"/>
          <w:b/>
          <w:color w:val="000000"/>
          <w:sz w:val="24"/>
        </w:rPr>
        <w:t>样本</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992"/>
        <w:gridCol w:w="992"/>
        <w:gridCol w:w="2717"/>
        <w:gridCol w:w="2378"/>
        <w:gridCol w:w="2712"/>
        <w:gridCol w:w="19"/>
      </w:tblGrid>
      <w:tr w14:paraId="2A22BA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gridSpan w:val="2"/>
            <w:tcBorders>
              <w:top w:val="nil"/>
              <w:left w:val="nil"/>
              <w:bottom w:val="nil"/>
              <w:right w:val="single" w:color="FFFFFF" w:sz="18" w:space="0"/>
            </w:tcBorders>
            <w:shd w:val="clear" w:color="auto" w:fill="006600"/>
            <w:vAlign w:val="center"/>
          </w:tcPr>
          <w:p w14:paraId="0561CE1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6600"/>
            <w:vAlign w:val="center"/>
          </w:tcPr>
          <w:p w14:paraId="4BFD24C9">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6600"/>
            <w:vAlign w:val="center"/>
          </w:tcPr>
          <w:p w14:paraId="73628AF3">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6600"/>
            <w:vAlign w:val="center"/>
          </w:tcPr>
          <w:p w14:paraId="7599A20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2226E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74572636">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default"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val="en-US" w:eastAsia="zh-CN" w:bidi="ar"/>
              </w:rPr>
              <w:t>DNA</w:t>
            </w:r>
            <w:r>
              <w:rPr>
                <w:rFonts w:hint="default" w:ascii="Times New Roman" w:hAnsi="Times New Roman" w:eastAsia="微软雅黑" w:cs="Times New Roman"/>
                <w:b/>
                <w:bCs/>
                <w:sz w:val="21"/>
                <w:szCs w:val="21"/>
                <w:lang w:eastAsia="zh-CN" w:bidi="ar"/>
              </w:rPr>
              <w:t>质量评估</w:t>
            </w: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01FCCB80">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0AAC6D">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619DF4">
            <w:pPr>
              <w:ind w:left="119" w:leftChars="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6905A3F">
            <w:pPr>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shd w:val="clear"/>
              </w:rPr>
              <w:t>≥100</w:t>
            </w:r>
          </w:p>
        </w:tc>
      </w:tr>
      <w:tr w14:paraId="526E2C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643524EA">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EB8EB89">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952079">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A296BB">
            <w:pPr>
              <w:ind w:left="119" w:leftChars="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9DC60A1">
            <w:pPr>
              <w:autoSpaceDE w:val="0"/>
              <w:ind w:left="110" w:leftChars="50"/>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lang w:eastAsia="zh-CN" w:bidi="ar"/>
              </w:rPr>
              <w:t>A/B/C级</w:t>
            </w:r>
          </w:p>
        </w:tc>
      </w:tr>
      <w:tr w14:paraId="5B368EC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3ACF4DA">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68A72A5F">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1EF89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46EE79F">
            <w:pPr>
              <w:ind w:left="119" w:leftChars="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CE8461">
            <w:pPr>
              <w:autoSpaceDE w:val="0"/>
              <w:ind w:left="110" w:leftChars="50"/>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highlight w:val="none"/>
                <w:lang w:val="en-US" w:eastAsia="zh-CN" w:bidi="ar"/>
              </w:rPr>
              <w:t>5</w:t>
            </w:r>
            <w:r>
              <w:rPr>
                <w:rFonts w:hint="default" w:ascii="Times New Roman" w:hAnsi="Times New Roman" w:eastAsia="微软雅黑" w:cs="Times New Roman"/>
                <w:sz w:val="21"/>
                <w:szCs w:val="21"/>
                <w:highlight w:val="none"/>
                <w:lang w:eastAsia="zh-CN" w:bidi="ar"/>
              </w:rPr>
              <w:t>00</w:t>
            </w:r>
          </w:p>
        </w:tc>
      </w:tr>
      <w:tr w14:paraId="2FDF627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4AE74786">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2B640ADC">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6D32B">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5BB9C2">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CDC9F05">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≥500</w:t>
            </w:r>
          </w:p>
        </w:tc>
      </w:tr>
      <w:tr w14:paraId="0011CD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7332D87">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71EBB245">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07B7">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50AD6C">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F7A588">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≥90%</w:t>
            </w:r>
          </w:p>
        </w:tc>
      </w:tr>
      <w:tr w14:paraId="29297D1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8201797">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459CBD3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5237D9">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7409D3">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1F1D2A8">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≥95%</w:t>
            </w:r>
          </w:p>
        </w:tc>
      </w:tr>
      <w:tr w14:paraId="24D246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3F99FDA">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CC2F5B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3406130">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9BD0C0">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base_quality</w:t>
            </w:r>
            <w:r>
              <w:rPr>
                <w:rFonts w:hint="default" w:ascii="Times New Roman" w:hAnsi="Times New Roman" w:eastAsia="微软雅黑" w:cs="Times New Roman"/>
                <w:sz w:val="18"/>
                <w:szCs w:val="18"/>
                <w:lang w:eastAsia="zh-CN"/>
              </w:rPr>
              <w:t xml:space="preserve"> }}</w:t>
            </w:r>
            <w:bookmarkStart w:id="13" w:name="_GoBack"/>
            <w:bookmarkEnd w:id="13"/>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7F332DE">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≥80%</w:t>
            </w:r>
          </w:p>
        </w:tc>
      </w:tr>
      <w:tr w14:paraId="255679B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gridSpan w:val="2"/>
            <w:tcBorders>
              <w:top w:val="single" w:color="A4A4A4" w:sz="4" w:space="0"/>
              <w:left w:val="nil"/>
              <w:bottom w:val="single" w:color="A4A4A4" w:sz="4" w:space="0"/>
              <w:right w:val="single" w:color="A4A4A4" w:sz="4" w:space="0"/>
            </w:tcBorders>
            <w:shd w:val="clear" w:color="auto" w:fill="F1F1F1"/>
            <w:vAlign w:val="center"/>
          </w:tcPr>
          <w:p w14:paraId="73E73F9E">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CA466A0">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765003E">
      <w:pPr>
        <w:widowControl w:val="0"/>
        <w:tabs>
          <w:tab w:val="left" w:pos="1317"/>
        </w:tabs>
        <w:kinsoku w:val="0"/>
        <w:overflowPunct w:val="0"/>
        <w:spacing w:before="40" w:after="0" w:line="187" w:lineRule="auto"/>
        <w:ind w:right="1128"/>
        <w:rPr>
          <w:rFonts w:hint="eastAsia" w:ascii="Times New Roman" w:hAnsi="Times New Roman" w:eastAsia="微软雅黑" w:cs="Times New Roman"/>
          <w:b/>
          <w:bCs/>
          <w:sz w:val="18"/>
          <w:lang w:eastAsia="zh-CN"/>
        </w:rPr>
      </w:pPr>
    </w:p>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1.  </w:t>
      </w:r>
      <w:r>
        <w:rPr>
          <w:rFonts w:hint="eastAsia" w:ascii="Times New Roman" w:hAnsi="Times New Roman" w:eastAsia="微软雅黑" w:cs="Times New Roman"/>
          <w:sz w:val="15"/>
          <w:szCs w:val="15"/>
          <w:lang w:eastAsia="zh-CN"/>
        </w:rPr>
        <w:t>肿瘤细胞含量：送检样本经</w:t>
      </w:r>
      <w:r>
        <w:rPr>
          <w:rFonts w:ascii="Times New Roman" w:hAnsi="Times New Roman" w:eastAsia="微软雅黑" w:cs="Times New Roman"/>
          <w:sz w:val="15"/>
          <w:szCs w:val="15"/>
          <w:lang w:eastAsia="zh-CN"/>
        </w:rPr>
        <w:t>HE</w:t>
      </w:r>
      <w:r>
        <w:rPr>
          <w:rFonts w:hint="eastAsia" w:ascii="Times New Roman" w:hAnsi="Times New Roman" w:eastAsia="微软雅黑" w:cs="Times New Roman"/>
          <w:sz w:val="15"/>
          <w:szCs w:val="15"/>
          <w:lang w:eastAsia="zh-CN"/>
        </w:rPr>
        <w:t>染色评估的肿瘤细胞含量。如送检样本不满足病理评估所需条件，则不进行此项评估。</w:t>
      </w:r>
    </w:p>
    <w:p w14:paraId="40308073">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2.  DNA</w:t>
      </w:r>
      <w:r>
        <w:rPr>
          <w:rFonts w:hint="eastAsia" w:ascii="Times New Roman" w:hAnsi="Times New Roman" w:eastAsia="微软雅黑" w:cs="Times New Roman"/>
          <w:sz w:val="15"/>
          <w:szCs w:val="15"/>
          <w:lang w:eastAsia="zh-CN"/>
        </w:rPr>
        <w:t>总量：送检样本的</w:t>
      </w:r>
      <w:r>
        <w:rPr>
          <w:rFonts w:ascii="Times New Roman" w:hAnsi="Times New Roman" w:eastAsia="微软雅黑" w:cs="Times New Roman"/>
          <w:sz w:val="15"/>
          <w:szCs w:val="15"/>
          <w:lang w:eastAsia="zh-CN"/>
        </w:rPr>
        <w:t>DNA</w:t>
      </w:r>
      <w:r>
        <w:rPr>
          <w:rFonts w:hint="eastAsia" w:ascii="Times New Roman" w:hAnsi="Times New Roman" w:eastAsia="微软雅黑" w:cs="Times New Roman"/>
          <w:sz w:val="15"/>
          <w:szCs w:val="15"/>
          <w:lang w:eastAsia="zh-CN"/>
        </w:rPr>
        <w:t>提取总量。</w:t>
      </w:r>
    </w:p>
    <w:p w14:paraId="1FBC8D87">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3.  DNA</w:t>
      </w:r>
      <w:r>
        <w:rPr>
          <w:rFonts w:hint="eastAsia" w:ascii="Times New Roman" w:hAnsi="Times New Roman" w:eastAsia="微软雅黑" w:cs="Times New Roman"/>
          <w:sz w:val="15"/>
          <w:szCs w:val="15"/>
          <w:lang w:eastAsia="zh-CN"/>
        </w:rPr>
        <w:t>降解程度：</w:t>
      </w:r>
    </w:p>
    <w:p w14:paraId="1F8E2E0A">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A</w:t>
      </w:r>
      <w:r>
        <w:rPr>
          <w:rFonts w:hint="eastAsia" w:ascii="Times New Roman" w:hAnsi="Times New Roman" w:eastAsia="微软雅黑" w:cs="Times New Roman"/>
          <w:sz w:val="15"/>
          <w:szCs w:val="15"/>
          <w:lang w:eastAsia="zh-CN"/>
        </w:rPr>
        <w:t>级：有主带，或降解均匀且降解区域主要集中在</w:t>
      </w:r>
      <w:r>
        <w:rPr>
          <w:rFonts w:ascii="Times New Roman" w:hAnsi="Times New Roman" w:eastAsia="微软雅黑" w:cs="Times New Roman"/>
          <w:sz w:val="15"/>
          <w:szCs w:val="15"/>
          <w:lang w:eastAsia="zh-CN"/>
        </w:rPr>
        <w:t>5000bp</w:t>
      </w:r>
      <w:r>
        <w:rPr>
          <w:rFonts w:hint="eastAsia" w:ascii="Times New Roman" w:hAnsi="Times New Roman" w:eastAsia="微软雅黑" w:cs="Times New Roman"/>
          <w:sz w:val="15"/>
          <w:szCs w:val="15"/>
          <w:lang w:eastAsia="zh-CN"/>
        </w:rPr>
        <w:t>以上；</w:t>
      </w:r>
    </w:p>
    <w:p w14:paraId="2C88FFBD">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B</w:t>
      </w:r>
      <w:r>
        <w:rPr>
          <w:rFonts w:hint="eastAsia" w:ascii="Times New Roman" w:hAnsi="Times New Roman" w:eastAsia="微软雅黑" w:cs="Times New Roman"/>
          <w:sz w:val="15"/>
          <w:szCs w:val="15"/>
          <w:lang w:eastAsia="zh-CN"/>
        </w:rPr>
        <w:t>级：无主带，降解均匀且降解区域主要集中在</w:t>
      </w:r>
      <w:r>
        <w:rPr>
          <w:rFonts w:ascii="Times New Roman" w:hAnsi="Times New Roman" w:eastAsia="微软雅黑" w:cs="Times New Roman"/>
          <w:sz w:val="15"/>
          <w:szCs w:val="15"/>
          <w:lang w:eastAsia="zh-CN"/>
        </w:rPr>
        <w:t>1500-5000bp</w:t>
      </w:r>
      <w:r>
        <w:rPr>
          <w:rFonts w:hint="eastAsia" w:ascii="Times New Roman" w:hAnsi="Times New Roman" w:eastAsia="微软雅黑" w:cs="Times New Roman"/>
          <w:sz w:val="15"/>
          <w:szCs w:val="15"/>
          <w:lang w:eastAsia="zh-CN"/>
        </w:rPr>
        <w:t>之间；</w:t>
      </w:r>
    </w:p>
    <w:p w14:paraId="1EC7C1CA">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C</w:t>
      </w:r>
      <w:r>
        <w:rPr>
          <w:rFonts w:hint="eastAsia" w:ascii="Times New Roman" w:hAnsi="Times New Roman" w:eastAsia="微软雅黑" w:cs="Times New Roman"/>
          <w:sz w:val="15"/>
          <w:szCs w:val="15"/>
          <w:lang w:eastAsia="zh-CN"/>
        </w:rPr>
        <w:t>级：无主带，降解均匀且降解区域主要集中在</w:t>
      </w:r>
      <w:r>
        <w:rPr>
          <w:rFonts w:ascii="Times New Roman" w:hAnsi="Times New Roman" w:eastAsia="微软雅黑" w:cs="Times New Roman"/>
          <w:sz w:val="15"/>
          <w:szCs w:val="15"/>
          <w:lang w:eastAsia="zh-CN"/>
        </w:rPr>
        <w:t>500-1500bp</w:t>
      </w:r>
      <w:r>
        <w:rPr>
          <w:rFonts w:hint="eastAsia" w:ascii="Times New Roman" w:hAnsi="Times New Roman" w:eastAsia="微软雅黑" w:cs="Times New Roman"/>
          <w:sz w:val="15"/>
          <w:szCs w:val="15"/>
          <w:lang w:eastAsia="zh-CN"/>
        </w:rPr>
        <w:t>之间；</w:t>
      </w:r>
    </w:p>
    <w:p w14:paraId="70622AD6">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D</w:t>
      </w:r>
      <w:r>
        <w:rPr>
          <w:rFonts w:hint="eastAsia" w:ascii="Times New Roman" w:hAnsi="Times New Roman" w:eastAsia="微软雅黑" w:cs="Times New Roman"/>
          <w:sz w:val="15"/>
          <w:szCs w:val="15"/>
          <w:lang w:eastAsia="zh-CN"/>
        </w:rPr>
        <w:t>级（不合格）：无主带，降解均匀且降解区域主要集中在</w:t>
      </w:r>
      <w:r>
        <w:rPr>
          <w:rFonts w:ascii="Times New Roman" w:hAnsi="Times New Roman" w:eastAsia="微软雅黑" w:cs="Times New Roman"/>
          <w:sz w:val="15"/>
          <w:szCs w:val="15"/>
          <w:lang w:eastAsia="zh-CN"/>
        </w:rPr>
        <w:t>500-1500bp</w:t>
      </w:r>
      <w:r>
        <w:rPr>
          <w:rFonts w:hint="eastAsia" w:ascii="Times New Roman" w:hAnsi="Times New Roman" w:eastAsia="微软雅黑" w:cs="Times New Roman"/>
          <w:sz w:val="15"/>
          <w:szCs w:val="15"/>
          <w:lang w:eastAsia="zh-CN"/>
        </w:rPr>
        <w:t>之间，但总量介于</w:t>
      </w:r>
      <w:r>
        <w:rPr>
          <w:rFonts w:ascii="Times New Roman" w:hAnsi="Times New Roman" w:eastAsia="微软雅黑" w:cs="Times New Roman"/>
          <w:sz w:val="15"/>
          <w:szCs w:val="15"/>
          <w:lang w:eastAsia="zh-CN"/>
        </w:rPr>
        <w:t>100ng</w:t>
      </w:r>
      <w:r>
        <w:rPr>
          <w:rFonts w:hint="eastAsia" w:ascii="Times New Roman" w:hAnsi="Times New Roman" w:eastAsia="微软雅黑" w:cs="Times New Roman"/>
          <w:sz w:val="15"/>
          <w:szCs w:val="15"/>
          <w:lang w:eastAsia="zh-CN"/>
        </w:rPr>
        <w:t>到</w:t>
      </w:r>
      <w:r>
        <w:rPr>
          <w:rFonts w:ascii="Times New Roman" w:hAnsi="Times New Roman" w:eastAsia="微软雅黑" w:cs="Times New Roman"/>
          <w:sz w:val="15"/>
          <w:szCs w:val="15"/>
          <w:lang w:eastAsia="zh-CN"/>
        </w:rPr>
        <w:t>300ng</w:t>
      </w:r>
      <w:r>
        <w:rPr>
          <w:rFonts w:hint="eastAsia" w:ascii="Times New Roman" w:hAnsi="Times New Roman" w:eastAsia="微软雅黑" w:cs="Times New Roman"/>
          <w:sz w:val="15"/>
          <w:szCs w:val="15"/>
          <w:lang w:eastAsia="zh-CN"/>
        </w:rPr>
        <w:t>之间；或降解区域弥散在</w:t>
      </w:r>
      <w:r>
        <w:rPr>
          <w:rFonts w:ascii="Times New Roman" w:hAnsi="Times New Roman" w:eastAsia="微软雅黑" w:cs="Times New Roman"/>
          <w:sz w:val="15"/>
          <w:szCs w:val="15"/>
          <w:lang w:eastAsia="zh-CN"/>
        </w:rPr>
        <w:t>150-1000bp</w:t>
      </w:r>
      <w:r>
        <w:rPr>
          <w:rFonts w:hint="eastAsia" w:ascii="Times New Roman" w:hAnsi="Times New Roman" w:eastAsia="微软雅黑" w:cs="Times New Roman"/>
          <w:sz w:val="15"/>
          <w:szCs w:val="15"/>
          <w:lang w:eastAsia="zh-CN"/>
        </w:rPr>
        <w:t>，或集中在</w:t>
      </w:r>
      <w:r>
        <w:rPr>
          <w:rFonts w:ascii="Times New Roman" w:hAnsi="Times New Roman" w:eastAsia="微软雅黑" w:cs="Times New Roman"/>
          <w:sz w:val="15"/>
          <w:szCs w:val="15"/>
          <w:lang w:eastAsia="zh-CN"/>
        </w:rPr>
        <w:t>500bp</w:t>
      </w:r>
      <w:r>
        <w:rPr>
          <w:rFonts w:hint="eastAsia" w:ascii="Times New Roman" w:hAnsi="Times New Roman" w:eastAsia="微软雅黑" w:cs="Times New Roman"/>
          <w:sz w:val="15"/>
          <w:szCs w:val="15"/>
          <w:lang w:eastAsia="zh-CN"/>
        </w:rPr>
        <w:t>以下。</w:t>
      </w:r>
    </w:p>
    <w:p w14:paraId="01124663">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4.  </w:t>
      </w:r>
      <w:r>
        <w:rPr>
          <w:rFonts w:hint="eastAsia" w:ascii="Times New Roman" w:hAnsi="Times New Roman" w:eastAsia="微软雅黑" w:cs="Times New Roman"/>
          <w:sz w:val="15"/>
          <w:szCs w:val="15"/>
          <w:lang w:eastAsia="zh-CN"/>
        </w:rPr>
        <w:t>预文库总量：核酸片段经过接头连接和扩增纯化后中间产物的总量。</w:t>
      </w:r>
    </w:p>
    <w:p w14:paraId="3522F425">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5.  </w:t>
      </w:r>
      <w:r>
        <w:rPr>
          <w:rFonts w:hint="eastAsia" w:ascii="Times New Roman" w:hAnsi="Times New Roman" w:eastAsia="微软雅黑" w:cs="Times New Roman"/>
          <w:sz w:val="15"/>
          <w:szCs w:val="15"/>
          <w:lang w:eastAsia="zh-CN"/>
        </w:rPr>
        <w:t>平均测序深度：目标区域每个碱基被测到的平均次数。</w:t>
      </w:r>
    </w:p>
    <w:p w14:paraId="18FD016B">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6.  </w:t>
      </w:r>
      <w:r>
        <w:rPr>
          <w:rFonts w:hint="eastAsia" w:ascii="Times New Roman" w:hAnsi="Times New Roman" w:eastAsia="微软雅黑" w:cs="Times New Roman"/>
          <w:sz w:val="15"/>
          <w:szCs w:val="15"/>
          <w:lang w:eastAsia="zh-CN"/>
        </w:rPr>
        <w:t>覆盖均一性：测序深度达到平均测序深度</w:t>
      </w:r>
      <w:r>
        <w:rPr>
          <w:rFonts w:ascii="Times New Roman" w:hAnsi="Times New Roman" w:eastAsia="微软雅黑" w:cs="Times New Roman"/>
          <w:sz w:val="15"/>
          <w:szCs w:val="15"/>
          <w:lang w:eastAsia="zh-CN"/>
        </w:rPr>
        <w:t>20%</w:t>
      </w:r>
      <w:r>
        <w:rPr>
          <w:rFonts w:hint="eastAsia" w:ascii="Times New Roman" w:hAnsi="Times New Roman" w:eastAsia="微软雅黑" w:cs="Times New Roman"/>
          <w:sz w:val="15"/>
          <w:szCs w:val="15"/>
          <w:lang w:eastAsia="zh-CN"/>
        </w:rPr>
        <w:t>的碱基占比。</w:t>
      </w:r>
    </w:p>
    <w:p w14:paraId="3D2C19E9">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7.  </w:t>
      </w:r>
      <w:r>
        <w:rPr>
          <w:rFonts w:hint="eastAsia" w:ascii="Times New Roman" w:hAnsi="Times New Roman" w:eastAsia="微软雅黑" w:cs="Times New Roman"/>
          <w:sz w:val="15"/>
          <w:szCs w:val="15"/>
          <w:lang w:eastAsia="zh-CN"/>
        </w:rPr>
        <w:t>基因组比对率：比对到参考基因组上的</w:t>
      </w:r>
      <w:r>
        <w:rPr>
          <w:rFonts w:ascii="Times New Roman" w:hAnsi="Times New Roman" w:eastAsia="微软雅黑" w:cs="Times New Roman"/>
          <w:sz w:val="15"/>
          <w:szCs w:val="15"/>
          <w:lang w:eastAsia="zh-CN"/>
        </w:rPr>
        <w:t>reads</w:t>
      </w:r>
      <w:r>
        <w:rPr>
          <w:rFonts w:hint="eastAsia" w:ascii="Times New Roman" w:hAnsi="Times New Roman" w:eastAsia="微软雅黑" w:cs="Times New Roman"/>
          <w:sz w:val="15"/>
          <w:szCs w:val="15"/>
          <w:lang w:eastAsia="zh-CN"/>
        </w:rPr>
        <w:t>数目占比。</w:t>
      </w:r>
    </w:p>
    <w:p w14:paraId="5FEACC08">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8.  </w:t>
      </w:r>
      <w:r>
        <w:rPr>
          <w:rFonts w:hint="eastAsia" w:ascii="Times New Roman" w:hAnsi="Times New Roman" w:eastAsia="微软雅黑" w:cs="Times New Roman"/>
          <w:sz w:val="15"/>
          <w:szCs w:val="15"/>
          <w:lang w:eastAsia="zh-CN"/>
        </w:rPr>
        <w:t>碱基质量</w:t>
      </w:r>
      <w:r>
        <w:rPr>
          <w:rFonts w:ascii="Times New Roman" w:hAnsi="Times New Roman" w:eastAsia="微软雅黑" w:cs="Times New Roman"/>
          <w:sz w:val="15"/>
          <w:szCs w:val="15"/>
          <w:lang w:eastAsia="zh-CN"/>
        </w:rPr>
        <w:t>Q30</w:t>
      </w:r>
      <w:r>
        <w:rPr>
          <w:rFonts w:hint="eastAsia" w:ascii="Times New Roman" w:hAnsi="Times New Roman" w:eastAsia="微软雅黑" w:cs="Times New Roman"/>
          <w:sz w:val="15"/>
          <w:szCs w:val="15"/>
          <w:lang w:eastAsia="zh-CN"/>
        </w:rPr>
        <w:t>占比：测序数据中碱基质量在</w:t>
      </w:r>
      <w:r>
        <w:rPr>
          <w:rFonts w:ascii="Times New Roman" w:hAnsi="Times New Roman" w:eastAsia="微软雅黑" w:cs="Times New Roman"/>
          <w:sz w:val="15"/>
          <w:szCs w:val="15"/>
          <w:lang w:eastAsia="zh-CN"/>
        </w:rPr>
        <w:t>Q30</w:t>
      </w:r>
      <w:r>
        <w:rPr>
          <w:rFonts w:hint="eastAsia" w:ascii="Times New Roman" w:hAnsi="Times New Roman" w:eastAsia="微软雅黑" w:cs="Times New Roman"/>
          <w:sz w:val="15"/>
          <w:szCs w:val="15"/>
          <w:lang w:eastAsia="zh-CN"/>
        </w:rPr>
        <w:t>以上（即碱基识别错误率在千分之一以下）的占比。</w:t>
      </w:r>
    </w:p>
    <w:p w14:paraId="4DA242E5">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9.  </w:t>
      </w:r>
      <w:r>
        <w:rPr>
          <w:rFonts w:hint="eastAsia" w:ascii="Times New Roman" w:hAnsi="Times New Roman" w:eastAsia="微软雅黑" w:cs="Times New Roman"/>
          <w:sz w:val="15"/>
          <w:szCs w:val="15"/>
          <w:lang w:eastAsia="zh-CN"/>
        </w:rPr>
        <w:t>总体质量评估：根据</w:t>
      </w:r>
      <w:r>
        <w:rPr>
          <w:rFonts w:ascii="Times New Roman" w:hAnsi="Times New Roman" w:eastAsia="微软雅黑" w:cs="Times New Roman"/>
          <w:sz w:val="15"/>
          <w:szCs w:val="15"/>
          <w:lang w:eastAsia="zh-CN"/>
        </w:rPr>
        <w:t xml:space="preserve"> DNA </w:t>
      </w:r>
      <w:r>
        <w:rPr>
          <w:rFonts w:hint="eastAsia" w:ascii="Times New Roman" w:hAnsi="Times New Roman" w:eastAsia="微软雅黑" w:cs="Times New Roman"/>
          <w:sz w:val="15"/>
          <w:szCs w:val="15"/>
          <w:lang w:eastAsia="zh-CN"/>
        </w:rPr>
        <w:t>平均测序深度进行评估，分为</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合格</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警戒</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不合格</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三个等级。总体质量评估为</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警戒</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或者</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不合格</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时，均会影响检测的准确性和敏感性。</w:t>
      </w:r>
    </w:p>
    <w:p w14:paraId="0626033D">
      <w:pPr>
        <w:rPr>
          <w:rFonts w:hint="eastAsia" w:eastAsia="宋体"/>
          <w:lang w:eastAsia="zh-CN"/>
        </w:rPr>
      </w:pPr>
      <w:r>
        <w:rPr>
          <w:rFonts w:hint="eastAsia" w:eastAsia="宋体"/>
          <w:lang w:eastAsia="zh-CN"/>
        </w:rPr>
        <w:br w:type="page"/>
      </w:r>
    </w:p>
    <w:p w14:paraId="3B7A24E0">
      <w:pPr>
        <w:spacing w:after="0"/>
        <w:outlineLvl w:val="1"/>
        <w:rPr>
          <w:rFonts w:hint="eastAsia" w:ascii="微软雅黑" w:hAnsi="微软雅黑" w:eastAsia="微软雅黑"/>
          <w:b/>
          <w:color w:val="000000"/>
          <w:sz w:val="32"/>
          <w:lang w:eastAsia="zh-CN"/>
        </w:rPr>
      </w:pPr>
      <w:bookmarkStart w:id="12" w:name="_Toc23686"/>
      <w:r>
        <w:rPr>
          <w:rFonts w:hint="eastAsia" w:ascii="微软雅黑" w:hAnsi="微软雅黑" w:eastAsia="微软雅黑"/>
          <w:b/>
          <w:color w:val="000000"/>
          <w:sz w:val="32"/>
          <w:lang w:eastAsia="zh-CN"/>
        </w:rPr>
        <w:t>检测</w:t>
      </w:r>
      <w:bookmarkEnd w:id="12"/>
      <w:r>
        <w:rPr>
          <w:rFonts w:hint="eastAsia" w:ascii="微软雅黑" w:hAnsi="微软雅黑" w:eastAsia="微软雅黑"/>
          <w:b/>
          <w:color w:val="000000"/>
          <w:sz w:val="32"/>
          <w:lang w:val="en-US" w:eastAsia="zh-CN"/>
        </w:rPr>
        <w:t>声明</w:t>
      </w:r>
    </w:p>
    <w:p w14:paraId="57E5861B">
      <w:pPr>
        <w:widowControl w:val="0"/>
        <w:spacing w:after="0" w:line="240" w:lineRule="auto"/>
        <w:rPr>
          <w:rFonts w:ascii="Times New Roman" w:hAnsi="Times New Roman" w:eastAsia="微软雅黑" w:cs="Times New Roman"/>
          <w:highlight w:val="yellow"/>
          <w:lang w:eastAsia="zh-CN"/>
        </w:rPr>
      </w:pP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F738594">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本次检测采用目标区域探针捕获技术，基于Illumina测序平台的二代高通量测序技术(NGS)对样本进行检测。本机构已依据相关技术指导准则完成技术平台验证。</w:t>
      </w:r>
    </w:p>
    <w:p w14:paraId="637A29AC">
      <w:pPr>
        <w:widowControl w:val="0"/>
        <w:spacing w:after="0" w:line="240" w:lineRule="auto"/>
        <w:rPr>
          <w:rFonts w:ascii="Times New Roman" w:hAnsi="Times New Roman" w:eastAsia="微软雅黑" w:cs="Times New Roman"/>
          <w:bCs/>
          <w:sz w:val="21"/>
          <w:szCs w:val="21"/>
          <w:lang w:eastAsia="zh-CN"/>
        </w:rPr>
      </w:pP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widowControl w:val="0"/>
        <w:spacing w:after="0" w:line="276" w:lineRule="auto"/>
        <w:ind w:firstLine="420" w:firstLineChars="200"/>
        <w:jc w:val="both"/>
        <w:rPr>
          <w:lang w:eastAsia="zh-CN"/>
        </w:rPr>
      </w:pPr>
      <w:r>
        <w:rPr>
          <w:rFonts w:hint="eastAsia" w:ascii="Times New Roman" w:hAnsi="Times New Roman" w:eastAsia="微软雅黑" w:cs="Times New Roman"/>
          <w:bCs/>
          <w:sz w:val="21"/>
          <w:szCs w:val="21"/>
          <w:lang w:eastAsia="zh-CN"/>
        </w:rPr>
        <w:t>{%endif%}{% endfor%}</w:t>
      </w:r>
    </w:p>
    <w:sectPr>
      <w:headerReference r:id="rId7" w:type="default"/>
      <w:pgSz w:w="11900" w:h="16840"/>
      <w:pgMar w:top="1440" w:right="1134" w:bottom="1440" w:left="11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微软雅黑">
    <w:panose1 w:val="020B0503020204020204"/>
    <w:charset w:val="86"/>
    <w:family w:val="swiss"/>
    <w:pitch w:val="default"/>
    <w:sig w:usb0="80000287" w:usb1="2ACF3C50" w:usb2="00000016" w:usb3="00000000" w:csb0="0004001F" w:csb1="00000000"/>
  </w:font>
  <w:font w:name="ＭＳ 明朝">
    <w:altName w:val="JetBrains Mono"/>
    <w:panose1 w:val="00000000000000000000"/>
    <w:charset w:val="00"/>
    <w:family w:val="auto"/>
    <w:pitch w:val="default"/>
    <w:sig w:usb0="00000000" w:usb1="00000000" w:usb2="00000000" w:usb3="00000000" w:csb0="00000000" w:csb1="00000000"/>
  </w:font>
  <w:font w:name="JetBrains Mono">
    <w:panose1 w:val="02000009000000000000"/>
    <w:charset w:val="00"/>
    <w:family w:val="auto"/>
    <w:pitch w:val="default"/>
    <w:sig w:usb0="A00402FF" w:usb1="1200F9FB" w:usb2="0200003C" w:usb3="00000000" w:csb0="2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rPr>
      <w:t>分子病理基因检测报告单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jc w:val="center"/>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7">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8">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9">
    <w:nsid w:val="4C0A1103"/>
    <w:multiLevelType w:val="singleLevel"/>
    <w:tmpl w:val="4C0A1103"/>
    <w:lvl w:ilvl="0" w:tentative="0">
      <w:start w:val="1"/>
      <w:numFmt w:val="decimal"/>
      <w:lvlText w:val="%1."/>
      <w:lvlJc w:val="left"/>
      <w:pPr>
        <w:ind w:left="425" w:hanging="425"/>
      </w:pPr>
      <w:rPr>
        <w:rFonts w:hint="default"/>
        <w:sz w:val="18"/>
        <w:szCs w:val="18"/>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7"/>
  </w:num>
  <w:num w:numId="8">
    <w:abstractNumId w:val="9"/>
    <w:lvlOverride w:ilvl="0">
      <w:startOverride w:val="1"/>
    </w:lvlOverride>
  </w:num>
  <w:num w:numId="9">
    <w:abstractNumId w:val="8"/>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33272F"/>
    <w:rsid w:val="006A331F"/>
    <w:rsid w:val="00906583"/>
    <w:rsid w:val="00AA1D8D"/>
    <w:rsid w:val="00AD6C03"/>
    <w:rsid w:val="00B47730"/>
    <w:rsid w:val="00CB0664"/>
    <w:rsid w:val="00D82770"/>
    <w:rsid w:val="00FC693F"/>
    <w:rsid w:val="01C26E13"/>
    <w:rsid w:val="03AA5DB1"/>
    <w:rsid w:val="057D69E2"/>
    <w:rsid w:val="07AF3996"/>
    <w:rsid w:val="097F1A8E"/>
    <w:rsid w:val="098F309D"/>
    <w:rsid w:val="0D35493D"/>
    <w:rsid w:val="0D705975"/>
    <w:rsid w:val="0DB26A52"/>
    <w:rsid w:val="0F4E1541"/>
    <w:rsid w:val="120B4A09"/>
    <w:rsid w:val="12A43147"/>
    <w:rsid w:val="13313C85"/>
    <w:rsid w:val="13A66595"/>
    <w:rsid w:val="14F41496"/>
    <w:rsid w:val="15C90318"/>
    <w:rsid w:val="16D74CB7"/>
    <w:rsid w:val="18AD4FC2"/>
    <w:rsid w:val="1A1C2B2A"/>
    <w:rsid w:val="1DA16221"/>
    <w:rsid w:val="227B30DE"/>
    <w:rsid w:val="25143F95"/>
    <w:rsid w:val="2705317A"/>
    <w:rsid w:val="27C941A8"/>
    <w:rsid w:val="28D265E4"/>
    <w:rsid w:val="29344BC9"/>
    <w:rsid w:val="2AA36F32"/>
    <w:rsid w:val="2B8054C5"/>
    <w:rsid w:val="2C974875"/>
    <w:rsid w:val="2CC82C80"/>
    <w:rsid w:val="2D5269E7"/>
    <w:rsid w:val="2F4D6084"/>
    <w:rsid w:val="331365F3"/>
    <w:rsid w:val="333F2E0A"/>
    <w:rsid w:val="33784CD4"/>
    <w:rsid w:val="34207080"/>
    <w:rsid w:val="34C463DA"/>
    <w:rsid w:val="357E3635"/>
    <w:rsid w:val="3AD4138A"/>
    <w:rsid w:val="3DBA42C7"/>
    <w:rsid w:val="3E6B5B61"/>
    <w:rsid w:val="3E7F6402"/>
    <w:rsid w:val="3FA62446"/>
    <w:rsid w:val="416A109C"/>
    <w:rsid w:val="43B379E8"/>
    <w:rsid w:val="46496210"/>
    <w:rsid w:val="4B0B4954"/>
    <w:rsid w:val="4B6A3DF6"/>
    <w:rsid w:val="4C7351BF"/>
    <w:rsid w:val="4D330192"/>
    <w:rsid w:val="4E0423C2"/>
    <w:rsid w:val="4E8C1402"/>
    <w:rsid w:val="4ED5661F"/>
    <w:rsid w:val="52625E45"/>
    <w:rsid w:val="5A126225"/>
    <w:rsid w:val="5A350349"/>
    <w:rsid w:val="5ADF54B5"/>
    <w:rsid w:val="5EF94460"/>
    <w:rsid w:val="5F031561"/>
    <w:rsid w:val="5FAA46BE"/>
    <w:rsid w:val="61FE4473"/>
    <w:rsid w:val="627F0373"/>
    <w:rsid w:val="66D37220"/>
    <w:rsid w:val="67080B97"/>
    <w:rsid w:val="687D7161"/>
    <w:rsid w:val="68B731E7"/>
    <w:rsid w:val="6907473B"/>
    <w:rsid w:val="6AD279A3"/>
    <w:rsid w:val="6B80239C"/>
    <w:rsid w:val="6D1A412B"/>
    <w:rsid w:val="6E324C1E"/>
    <w:rsid w:val="6EB8541A"/>
    <w:rsid w:val="6FA84DB7"/>
    <w:rsid w:val="70730F3D"/>
    <w:rsid w:val="70BA0DD5"/>
    <w:rsid w:val="723B701D"/>
    <w:rsid w:val="751F38D5"/>
    <w:rsid w:val="757E7D94"/>
    <w:rsid w:val="76DF4B3E"/>
    <w:rsid w:val="798C015E"/>
    <w:rsid w:val="7BF053B7"/>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3346</Words>
  <Characters>8633</Characters>
  <Lines>40</Lines>
  <Paragraphs>11</Paragraphs>
  <TotalTime>0</TotalTime>
  <ScaleCrop>false</ScaleCrop>
  <LinksUpToDate>false</LinksUpToDate>
  <CharactersWithSpaces>9284</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levi</cp:lastModifiedBy>
  <dcterms:modified xsi:type="dcterms:W3CDTF">2026-05-19T03:36:52Z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eyJoZGlkIjoiY2Y2NjU5MGIzZGFmM2M5NTIxMmI2NjdmNGQ0NDdjMDUiLCJ1c2VySWQiOiI2MjE3NDUxNTQifQ==</vt:lpwstr>
  </property>
  <property fmtid="{D5CDD505-2E9C-101B-9397-08002B2CF9AE}" pid="3" name="KSOProductBuildVer">
    <vt:lpwstr>2052-12.8.2.18205</vt:lpwstr>
  </property>
  <property fmtid="{D5CDD505-2E9C-101B-9397-08002B2CF9AE}" pid="4" name="ICV">
    <vt:lpwstr>77C7F60402E9466795C27868484F6D22_43</vt:lpwstr>
  </property>
</Properties>
</file>