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hint="default" w:ascii="Times New Roman" w:hAnsi="Times New Roman" w:eastAsia="思源黑体 CN Medium" w:cs="Times New Roman"/>
        </w:rPr>
      </w:pPr>
    </w:p>
    <w:p w14:paraId="444507BE">
      <w:pPr>
        <w:rPr>
          <w:rFonts w:hint="default" w:ascii="Times New Roman" w:hAnsi="Times New Roman" w:eastAsia="思源黑体 CN Medium"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rFonts w:hint="default" w:ascii="Times New Roman" w:hAnsi="Times New Roman" w:eastAsia="思源黑体 CN Medium" w:cs="Times New Roman"/>
          <w:sz w:val="20"/>
        </w:rPr>
        <mc:AlternateContent>
          <mc:Choice Requires="wps">
            <w:drawing>
              <wp:anchor distT="0" distB="0" distL="114300" distR="114300" simplePos="0" relativeHeight="251663360" behindDoc="0" locked="0" layoutInCell="1" allowOverlap="1">
                <wp:simplePos x="0" y="0"/>
                <wp:positionH relativeFrom="column">
                  <wp:posOffset>848360</wp:posOffset>
                </wp:positionH>
                <wp:positionV relativeFrom="paragraph">
                  <wp:posOffset>9794875</wp:posOffset>
                </wp:positionV>
                <wp:extent cx="5858510" cy="494665"/>
                <wp:effectExtent l="0" t="0" r="8890" b="8255"/>
                <wp:wrapNone/>
                <wp:docPr id="7" name="文本框 7"/>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8pt;margin-top:771.25pt;height:38.95pt;width:461.3pt;z-index:251663360;mso-width-relative:page;mso-height-relative:page;" fillcolor="#FFFFFF [3201]" filled="t" stroked="f" coordsize="21600,21600" o:gfxdata="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C9wo1wAAAA4BAAAPAAAA&#10;AAAAAAEAIAAAACIAAABkcnMvZG93bnJldi54bWxQSwECFAAUAAAACACHTuJATvJPgE8CAACPBAAA&#10;DgAAAAAAAAABACAAAAAmAQAAZHJzL2Uyb0RvYy54bWxQSwUGAAAAAAYABgBZAQAA5wU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2336" behindDoc="0" locked="0" layoutInCell="1" allowOverlap="1">
            <wp:simplePos x="0" y="0"/>
            <wp:positionH relativeFrom="column">
              <wp:posOffset>853440</wp:posOffset>
            </wp:positionH>
            <wp:positionV relativeFrom="paragraph">
              <wp:posOffset>109855</wp:posOffset>
            </wp:positionV>
            <wp:extent cx="1148715" cy="1050925"/>
            <wp:effectExtent l="0" t="0" r="9525" b="0"/>
            <wp:wrapNone/>
            <wp:docPr id="6" name="图片 6"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1312" behindDoc="0" locked="0" layoutInCell="1" allowOverlap="1">
                <wp:simplePos x="0" y="0"/>
                <wp:positionH relativeFrom="column">
                  <wp:posOffset>1442720</wp:posOffset>
                </wp:positionH>
                <wp:positionV relativeFrom="paragraph">
                  <wp:posOffset>2571115</wp:posOffset>
                </wp:positionV>
                <wp:extent cx="5858510" cy="1546225"/>
                <wp:effectExtent l="0" t="0" r="8890" b="8255"/>
                <wp:wrapNone/>
                <wp:docPr id="5" name="文本框 5"/>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3.6pt;margin-top:202.45pt;height:121.75pt;width:461.3pt;z-index:251661312;mso-width-relative:page;mso-height-relative:page;" fillcolor="#FFFFFF [3201]" filled="t" stroked="f" coordsize="21600,21600" o:gfxdata="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INQmNvXAAAADAEAAA8A&#10;AAAAAAAAAQAgAAAAIgAAAGRycy9kb3ducmV2LnhtbFBLAQIUABQAAAAIAIdO4kDfx6kaUQIAAJAE&#10;AAAOAAAAAAAAAAEAIAAAACYBAABkcnMvZTJvRG9jLnhtbFBLBQYAAAAABgAGAFkBAADp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0288" behindDoc="1" locked="0" layoutInCell="1" allowOverlap="1">
            <wp:simplePos x="0" y="0"/>
            <wp:positionH relativeFrom="column">
              <wp:posOffset>-106680</wp:posOffset>
            </wp:positionH>
            <wp:positionV relativeFrom="paragraph">
              <wp:posOffset>-163195</wp:posOffset>
            </wp:positionV>
            <wp:extent cx="7778750" cy="10693400"/>
            <wp:effectExtent l="0" t="0" r="8890" b="5080"/>
            <wp:wrapNone/>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6F2060D4">
      <w:pPr>
        <w:rPr>
          <w:rFonts w:hint="default" w:ascii="Times New Roman" w:hAnsi="Times New Roman" w:eastAsia="思源黑体 CN Medium" w:cs="Times New Roman"/>
          <w:sz w:val="20"/>
          <w:szCs w:val="20"/>
        </w:rPr>
      </w:pPr>
    </w:p>
    <w:p w14:paraId="5BBACDB8">
      <w:pPr>
        <w:rPr>
          <w:rFonts w:hint="default" w:ascii="Times New Roman" w:hAnsi="Times New Roman" w:eastAsia="思源黑体 CN Medium" w:cs="Times New Roman"/>
          <w:sz w:val="20"/>
          <w:szCs w:val="20"/>
        </w:rPr>
      </w:pPr>
    </w:p>
    <w:p w14:paraId="05604ACA">
      <w:pPr>
        <w:rPr>
          <w:rFonts w:hint="default" w:ascii="Times New Roman" w:hAnsi="Times New Roman" w:eastAsia="思源黑体 CN Medium" w:cs="Times New Roman"/>
          <w:sz w:val="20"/>
          <w:szCs w:val="20"/>
        </w:rPr>
      </w:pPr>
    </w:p>
    <w:p w14:paraId="53AA088A">
      <w:pPr>
        <w:rPr>
          <w:rFonts w:hint="default" w:ascii="Times New Roman" w:hAnsi="Times New Roman" w:eastAsia="思源黑体 CN Medium" w:cs="Times New Roman"/>
          <w:sz w:val="20"/>
          <w:szCs w:val="20"/>
        </w:rPr>
      </w:pPr>
    </w:p>
    <w:p w14:paraId="65455F78">
      <w:pPr>
        <w:rPr>
          <w:rFonts w:hint="default" w:ascii="Times New Roman" w:hAnsi="Times New Roman" w:eastAsia="思源黑体 CN Medium" w:cs="Times New Roman"/>
          <w:sz w:val="20"/>
          <w:szCs w:val="20"/>
        </w:rPr>
      </w:pPr>
    </w:p>
    <w:p w14:paraId="3F473E35">
      <w:pPr>
        <w:rPr>
          <w:rFonts w:hint="default" w:ascii="Times New Roman" w:hAnsi="Times New Roman" w:eastAsia="思源黑体 CN Medium" w:cs="Times New Roman"/>
          <w:sz w:val="20"/>
          <w:szCs w:val="20"/>
        </w:rPr>
      </w:pPr>
    </w:p>
    <w:p w14:paraId="576340E4">
      <w:pPr>
        <w:rPr>
          <w:rFonts w:hint="default" w:ascii="Times New Roman" w:hAnsi="Times New Roman" w:eastAsia="思源黑体 CN Medium" w:cs="Times New Roman"/>
          <w:sz w:val="20"/>
          <w:szCs w:val="20"/>
        </w:rPr>
      </w:pPr>
    </w:p>
    <w:p w14:paraId="6358590F">
      <w:pPr>
        <w:rPr>
          <w:rFonts w:hint="default" w:ascii="Times New Roman" w:hAnsi="Times New Roman" w:eastAsia="思源黑体 CN Medium" w:cs="Times New Roman"/>
          <w:sz w:val="20"/>
          <w:szCs w:val="20"/>
        </w:rPr>
      </w:pPr>
    </w:p>
    <w:p w14:paraId="3D73675D">
      <w:pPr>
        <w:rPr>
          <w:rFonts w:hint="default" w:ascii="Times New Roman" w:hAnsi="Times New Roman" w:eastAsia="思源黑体 CN Medium" w:cs="Times New Roman"/>
          <w:sz w:val="20"/>
          <w:szCs w:val="20"/>
        </w:rPr>
      </w:pPr>
    </w:p>
    <w:p w14:paraId="0672B3DB">
      <w:pPr>
        <w:rPr>
          <w:rFonts w:hint="default" w:ascii="Times New Roman" w:hAnsi="Times New Roman" w:eastAsia="思源黑体 CN Medium" w:cs="Times New Roman"/>
          <w:sz w:val="20"/>
          <w:szCs w:val="20"/>
        </w:rPr>
      </w:pPr>
    </w:p>
    <w:p w14:paraId="70F43907">
      <w:pPr>
        <w:rPr>
          <w:rFonts w:hint="default" w:ascii="Times New Roman" w:hAnsi="Times New Roman" w:eastAsia="思源黑体 CN Medium" w:cs="Times New Roman"/>
          <w:sz w:val="20"/>
          <w:szCs w:val="20"/>
        </w:rPr>
      </w:pPr>
    </w:p>
    <w:p w14:paraId="7CCE1A87">
      <w:pPr>
        <w:rPr>
          <w:rFonts w:hint="default" w:ascii="Times New Roman" w:hAnsi="Times New Roman" w:eastAsia="思源黑体 CN Medium" w:cs="Times New Roman"/>
          <w:sz w:val="20"/>
          <w:szCs w:val="20"/>
        </w:rPr>
      </w:pPr>
    </w:p>
    <w:p w14:paraId="6232A57A">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 if PDInfo == undefined %}淋巴瘤基因检测报告{% else %}淋巴瘤基因+PD-L1检测报告{% endif %}</w:t>
      </w:r>
    </w:p>
    <w:p w14:paraId="483453A0">
      <w:pPr>
        <w:rPr>
          <w:rFonts w:hint="default" w:ascii="Times New Roman" w:hAnsi="Times New Roman" w:eastAsia="思源黑体 CN Medium" w:cs="Times New Roman"/>
        </w:rPr>
      </w:pPr>
    </w:p>
    <w:p w14:paraId="71CA53B1">
      <w:pPr>
        <w:rPr>
          <w:rFonts w:hint="default" w:ascii="Times New Roman" w:hAnsi="Times New Roman" w:eastAsia="思源黑体 CN Medium" w:cs="Times New Roman"/>
        </w:rPr>
      </w:pPr>
    </w:p>
    <w:p w14:paraId="2DD39E89">
      <w:pPr>
        <w:rPr>
          <w:rFonts w:hint="default" w:ascii="Times New Roman" w:hAnsi="Times New Roman" w:eastAsia="思源黑体 CN Medium" w:cs="Times New Roman"/>
        </w:rPr>
      </w:pPr>
    </w:p>
    <w:p w14:paraId="3376E5B2">
      <w:pPr>
        <w:rPr>
          <w:rFonts w:hint="default" w:ascii="Times New Roman" w:hAnsi="Times New Roman" w:eastAsia="思源黑体 CN Medium" w:cs="Times New Roman"/>
        </w:rPr>
      </w:pPr>
    </w:p>
    <w:p w14:paraId="4C415A8B">
      <w:pPr>
        <w:rPr>
          <w:rFonts w:hint="default" w:ascii="Times New Roman" w:hAnsi="Times New Roman" w:eastAsia="思源黑体 CN Medium" w:cs="Times New Roman"/>
        </w:rPr>
      </w:pPr>
    </w:p>
    <w:p w14:paraId="3430C443">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22B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508400B5">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55D9875B">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30B8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9A06F6">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FFDECBD">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24FE6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DC79FEC">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5DCE61C">
            <w:pPr>
              <w:pStyle w:val="6"/>
              <w:jc w:val="center"/>
              <w:rPr>
                <w:rFonts w:hint="default" w:ascii="Times New Roman" w:hAnsi="Times New Roman" w:eastAsia="思源黑体 CN Medium" w:cs="Times New Roman"/>
                <w:sz w:val="30"/>
                <w:szCs w:val="30"/>
                <w:lang w:val="en-US" w:eastAsia="zh-CN"/>
              </w:rPr>
            </w:pPr>
          </w:p>
        </w:tc>
      </w:tr>
      <w:tr w14:paraId="7E32C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B1C5CB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2BDAC40B">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5AFCA270">
      <w:pPr>
        <w:rPr>
          <w:rFonts w:hint="default" w:ascii="Times New Roman" w:hAnsi="Times New Roman" w:eastAsia="思源黑体 CN Medium" w:cs="Times New Roman"/>
        </w:rPr>
      </w:pPr>
    </w:p>
    <w:p w14:paraId="504B2ABA">
      <w:pPr>
        <w:rPr>
          <w:rFonts w:hint="default" w:ascii="Times New Roman" w:hAnsi="Times New Roman" w:eastAsia="思源黑体 CN Medium" w:cs="Times New Roman"/>
        </w:rPr>
      </w:pPr>
    </w:p>
    <w:p w14:paraId="3ADEBBCE">
      <w:pPr>
        <w:rPr>
          <w:rFonts w:hint="default" w:ascii="Times New Roman" w:hAnsi="Times New Roman" w:eastAsia="思源黑体 CN Medium" w:cs="Times New Roman"/>
        </w:rPr>
      </w:pPr>
    </w:p>
    <w:p w14:paraId="0B8A286E">
      <w:pPr>
        <w:rPr>
          <w:rFonts w:hint="default" w:ascii="Times New Roman" w:hAnsi="Times New Roman" w:eastAsia="思源黑体 CN Medium" w:cs="Times New Roman"/>
        </w:rPr>
      </w:pPr>
    </w:p>
    <w:p w14:paraId="27278B03">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6"/>
          <w:szCs w:val="36"/>
          <w:lang w:eastAsia="zh-CN"/>
        </w:rPr>
        <w:t>Content</w:t>
      </w:r>
    </w:p>
    <w:p w14:paraId="4ECBC1C3">
      <w:pPr>
        <w:rPr>
          <w:rFonts w:hint="default" w:ascii="Times New Roman" w:hAnsi="Times New Roman" w:eastAsia="思源黑体 CN Medium" w:cs="Times New Roman"/>
          <w:lang w:eastAsia="zh-CN"/>
        </w:rPr>
      </w:pPr>
    </w:p>
    <w:sdt>
      <w:sdtPr>
        <w:rPr>
          <w:rFonts w:hint="default" w:ascii="Times New Roman" w:hAnsi="Times New Roman" w:eastAsia="思源黑体 CN Medium" w:cs="Times New Roman"/>
          <w:sz w:val="21"/>
        </w:rPr>
        <w:id w:val="147455418"/>
        <w:docPartObj>
          <w:docPartGallery w:val="Table of Contents"/>
          <w:docPartUnique/>
        </w:docPartObj>
      </w:sdtPr>
      <w:sdtEndPr>
        <w:rPr>
          <w:rFonts w:hint="default" w:ascii="Times New Roman" w:hAnsi="Times New Roman" w:eastAsia="思源黑体 CN Medium" w:cs="Times New Roman"/>
          <w:b/>
          <w:sz w:val="21"/>
        </w:rPr>
      </w:sdtEndPr>
      <w:sdtContent>
        <w:p w14:paraId="3F3715F2">
          <w:pPr>
            <w:jc w:val="center"/>
            <w:rPr>
              <w:rFonts w:hint="default" w:ascii="Times New Roman" w:hAnsi="Times New Roman" w:eastAsia="思源黑体 CN Medium" w:cs="Times New Roman"/>
            </w:rPr>
          </w:pPr>
        </w:p>
        <w:p w14:paraId="32B71A18">
          <w:pPr>
            <w:pStyle w:val="11"/>
            <w:keepNext w:val="0"/>
            <w:keepLines w:val="0"/>
            <w:pageBreakBefore w:val="0"/>
            <w:widowControl w:val="0"/>
            <w:tabs>
              <w:tab w:val="right" w:leader="dot" w:pos="9870"/>
            </w:tabs>
            <w:kinsoku/>
            <w:wordWrap/>
            <w:overflowPunct/>
            <w:topLinePunct w:val="0"/>
            <w:autoSpaceDE/>
            <w:autoSpaceDN/>
            <w:bidi w:val="0"/>
            <w:adjustRightInd/>
            <w:snapToGrid/>
            <w:ind w:left="0" w:leftChars="0"/>
            <w:textAlignment w:val="auto"/>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TOC \o "1-2" \h \u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_Toc28708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报告概览</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405D0DEF">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_Toc10787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样本信息</w:t>
          </w:r>
          <w:r>
            <w:rPr>
              <w:rStyle w:val="20"/>
              <w:rFonts w:hint="eastAsia" w:ascii="Times New Roman" w:hAnsi="Times New Roman" w:eastAsia="思源黑体 CN Medium" w:cs="Times New Roman"/>
              <w:sz w:val="24"/>
              <w:szCs w:val="21"/>
              <w:lang w:val="en-US" w:eastAsia="zh-CN" w:bidi="ar-SA"/>
            </w:rPr>
            <w:t>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_Toc10787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A0617C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_Toc30143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检测项目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_Toc30143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2FA5D2BD">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_Toc15634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检测结果小结</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_Toc15634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42F02E75">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625FAFFE">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_Toc25561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检测结果及用药提示</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6733987E">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_Toc18352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靶向药物用药提示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_Toc18352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00EA8C3">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_Toc26707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辅助分型提示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_Toc26707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72C73C8">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_Toc25572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疾病预后提示</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_Toc25572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7</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{%if PDInfo != undefined %}</w:t>
          </w:r>
        </w:p>
        <w:p w14:paraId="4D0C1C6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_Toc21238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PD-L1检测结果</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_Toc21238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8</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t>{% endif %}{%if BodyDrugDrugDetectionStr or unknownVarAnalysisStr %}</w:t>
          </w:r>
        </w:p>
        <w:p w14:paraId="43E51340">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45F6611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_Toc12767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检测结果详细解析</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28EC129C">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_Toc23672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靶向药物/分型/预后相关变异解析</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_Toc23672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10</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bookmarkStart w:id="105" w:name="_GoBack"/>
          <w:bookmarkEnd w:id="105"/>
        </w:p>
        <w:p w14:paraId="3C967C3A">
          <w:pPr>
            <w:pStyle w:val="11"/>
            <w:tabs>
              <w:tab w:val="right" w:leader="dot" w:pos="9870"/>
            </w:tabs>
            <w:rPr>
              <w:rStyle w:val="20"/>
              <w:rFonts w:hint="default" w:ascii="Times New Roman" w:hAnsi="Times New Roman" w:eastAsia="思源黑体 CN Medium" w:cs="Times New Roman"/>
              <w:b/>
              <w:bCs/>
              <w:color w:val="1250A1"/>
              <w:sz w:val="28"/>
              <w:szCs w:val="28"/>
              <w:u w:val="none"/>
              <w:lang w:val="en-US" w:eastAsia="zh-CN"/>
            </w:rPr>
          </w:pPr>
        </w:p>
        <w:p w14:paraId="2B04B653">
          <w:pPr>
            <w:pStyle w:val="11"/>
            <w:tabs>
              <w:tab w:val="right" w:leader="dot" w:pos="9870"/>
            </w:tabs>
            <w:rPr>
              <w:rStyle w:val="20"/>
              <w:rFonts w:hint="eastAsia" w:ascii="Times New Roman" w:hAnsi="Times New Roman" w:eastAsia="思源黑体 CN Medium" w:cs="Times New Roman"/>
              <w:b/>
              <w:bCs/>
              <w:color w:val="1250A1"/>
              <w:sz w:val="28"/>
              <w:szCs w:val="28"/>
              <w:u w:val="none"/>
              <w:lang w:val="en-US" w:eastAsia="zh-CN"/>
            </w:rPr>
          </w:pPr>
          <w:r>
            <w:rPr>
              <w:rStyle w:val="20"/>
              <w:rFonts w:hint="default" w:ascii="Times New Roman" w:hAnsi="Times New Roman" w:eastAsia="思源黑体 CN Medium" w:cs="Times New Roman"/>
              <w:b/>
              <w:bCs/>
              <w:color w:val="1250A1"/>
              <w:sz w:val="28"/>
              <w:szCs w:val="28"/>
              <w:u w:val="none"/>
              <w:lang w:val="en-US" w:eastAsia="zh-CN"/>
            </w:rPr>
            <w:fldChar w:fldCharType="begin"/>
          </w:r>
          <w:r>
            <w:rPr>
              <w:rStyle w:val="20"/>
              <w:rFonts w:hint="default" w:ascii="Times New Roman" w:hAnsi="Times New Roman" w:eastAsia="思源黑体 CN Medium" w:cs="Times New Roman"/>
              <w:b/>
              <w:bCs/>
              <w:color w:val="1250A1"/>
              <w:sz w:val="28"/>
              <w:szCs w:val="28"/>
              <w:u w:val="none"/>
              <w:lang w:val="en-US" w:eastAsia="zh-CN"/>
            </w:rPr>
            <w:instrText xml:space="preserve"> HYPERLINK \l _Toc25508 </w:instrText>
          </w:r>
          <w:r>
            <w:rPr>
              <w:rStyle w:val="20"/>
              <w:rFonts w:hint="default" w:ascii="Times New Roman" w:hAnsi="Times New Roman" w:eastAsia="思源黑体 CN Medium" w:cs="Times New Roman"/>
              <w:b/>
              <w:bCs/>
              <w:color w:val="1250A1"/>
              <w:sz w:val="28"/>
              <w:szCs w:val="28"/>
              <w:u w:val="none"/>
              <w:lang w:val="en-US" w:eastAsia="zh-CN"/>
            </w:rPr>
            <w:fldChar w:fldCharType="separate"/>
          </w:r>
          <w:r>
            <w:rPr>
              <w:rStyle w:val="20"/>
              <w:rFonts w:hint="default" w:ascii="Times New Roman" w:hAnsi="Times New Roman" w:eastAsia="思源黑体 CN Medium" w:cs="Times New Roman"/>
              <w:b/>
              <w:bCs/>
              <w:color w:val="1250A1"/>
              <w:sz w:val="28"/>
              <w:szCs w:val="28"/>
              <w:u w:val="none"/>
              <w:lang w:val="en-US" w:eastAsia="zh-CN"/>
            </w:rPr>
            <w:t>附录</w:t>
          </w:r>
          <w:r>
            <w:rPr>
              <w:rStyle w:val="20"/>
              <w:rFonts w:hint="default" w:ascii="Times New Roman" w:hAnsi="Times New Roman" w:eastAsia="思源黑体 CN Medium" w:cs="Times New Roman"/>
              <w:b/>
              <w:bCs/>
              <w:color w:val="1250A1"/>
              <w:sz w:val="28"/>
              <w:szCs w:val="28"/>
              <w:u w:val="none"/>
              <w:lang w:val="en-US" w:eastAsia="zh-CN"/>
            </w:rPr>
            <w:fldChar w:fldCharType="end"/>
          </w:r>
        </w:p>
        <w:p w14:paraId="01F36892">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_Toc28094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样本质控情况</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_Toc28094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13</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2EF0F36">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_Toc10126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检测基因列表</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_Toc10126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14</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1DB3AF0">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_Toc20098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检测方法与局限性</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_Toc20098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15</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6F1C536A">
          <w:pPr>
            <w:pStyle w:val="11"/>
            <w:tabs>
              <w:tab w:val="right" w:leader="dot" w:pos="9870"/>
            </w:tabs>
            <w:rPr>
              <w:rStyle w:val="20"/>
              <w:rFonts w:hint="default" w:ascii="Times New Roman" w:hAnsi="Times New Roman" w:eastAsia="思源黑体 CN Medium" w:cs="Times New Roman"/>
              <w:sz w:val="24"/>
              <w:szCs w:val="21"/>
              <w:lang w:val="en-US" w:eastAsia="zh-CN" w:bidi="ar-SA"/>
            </w:rPr>
          </w:pP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HYPERLINK \l _Toc25771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参考文献</w:t>
          </w:r>
          <w:r>
            <w:rPr>
              <w:rStyle w:val="20"/>
              <w:rFonts w:hint="default" w:ascii="Times New Roman" w:hAnsi="Times New Roman" w:eastAsia="思源黑体 CN Medium" w:cs="Times New Roman"/>
              <w:sz w:val="24"/>
              <w:szCs w:val="21"/>
              <w:lang w:val="en-US" w:eastAsia="zh-CN" w:bidi="ar-SA"/>
            </w:rPr>
            <w:tab/>
          </w:r>
          <w:r>
            <w:rPr>
              <w:rStyle w:val="20"/>
              <w:rFonts w:hint="default" w:ascii="Times New Roman" w:hAnsi="Times New Roman" w:eastAsia="思源黑体 CN Medium" w:cs="Times New Roman"/>
              <w:sz w:val="24"/>
              <w:szCs w:val="21"/>
              <w:lang w:val="en-US" w:eastAsia="zh-CN" w:bidi="ar-SA"/>
            </w:rPr>
            <w:fldChar w:fldCharType="begin"/>
          </w:r>
          <w:r>
            <w:rPr>
              <w:rStyle w:val="20"/>
              <w:rFonts w:hint="default" w:ascii="Times New Roman" w:hAnsi="Times New Roman" w:eastAsia="思源黑体 CN Medium" w:cs="Times New Roman"/>
              <w:sz w:val="24"/>
              <w:szCs w:val="21"/>
              <w:lang w:val="en-US" w:eastAsia="zh-CN" w:bidi="ar-SA"/>
            </w:rPr>
            <w:instrText xml:space="preserve"> PAGEREF _Toc25771 \h </w:instrText>
          </w:r>
          <w:r>
            <w:rPr>
              <w:rStyle w:val="20"/>
              <w:rFonts w:hint="default" w:ascii="Times New Roman" w:hAnsi="Times New Roman" w:eastAsia="思源黑体 CN Medium" w:cs="Times New Roman"/>
              <w:sz w:val="24"/>
              <w:szCs w:val="21"/>
              <w:lang w:val="en-US" w:eastAsia="zh-CN" w:bidi="ar-SA"/>
            </w:rPr>
            <w:fldChar w:fldCharType="separate"/>
          </w:r>
          <w:r>
            <w:rPr>
              <w:rStyle w:val="20"/>
              <w:rFonts w:hint="default" w:ascii="Times New Roman" w:hAnsi="Times New Roman" w:eastAsia="思源黑体 CN Medium" w:cs="Times New Roman"/>
              <w:sz w:val="24"/>
              <w:szCs w:val="21"/>
              <w:lang w:val="en-US" w:eastAsia="zh-CN" w:bidi="ar-SA"/>
            </w:rPr>
            <w:t>16</w:t>
          </w:r>
          <w:r>
            <w:rPr>
              <w:rStyle w:val="20"/>
              <w:rFonts w:hint="default" w:ascii="Times New Roman" w:hAnsi="Times New Roman" w:eastAsia="思源黑体 CN Medium" w:cs="Times New Roman"/>
              <w:sz w:val="24"/>
              <w:szCs w:val="21"/>
              <w:lang w:val="en-US" w:eastAsia="zh-CN" w:bidi="ar-SA"/>
            </w:rPr>
            <w:fldChar w:fldCharType="end"/>
          </w:r>
          <w:r>
            <w:rPr>
              <w:rStyle w:val="20"/>
              <w:rFonts w:hint="default" w:ascii="Times New Roman" w:hAnsi="Times New Roman" w:eastAsia="思源黑体 CN Medium" w:cs="Times New Roman"/>
              <w:sz w:val="24"/>
              <w:szCs w:val="21"/>
              <w:lang w:val="en-US" w:eastAsia="zh-CN" w:bidi="ar-SA"/>
            </w:rPr>
            <w:fldChar w:fldCharType="end"/>
          </w:r>
        </w:p>
        <w:p w14:paraId="08E91F2F">
          <w:pPr>
            <w:pStyle w:val="11"/>
            <w:tabs>
              <w:tab w:val="right" w:leader="dot" w:pos="9870"/>
            </w:tabs>
            <w:rPr>
              <w:rFonts w:hint="default" w:ascii="Times New Roman" w:hAnsi="Times New Roman" w:eastAsia="思源黑体 CN Medium" w:cs="Times New Roman"/>
            </w:rPr>
          </w:pPr>
          <w:r>
            <w:rPr>
              <w:rFonts w:hint="default" w:ascii="Times New Roman" w:hAnsi="Times New Roman" w:eastAsia="思源黑体 CN Medium" w:cs="Times New Roman"/>
              <w:szCs w:val="21"/>
              <w:lang w:val="en-US" w:eastAsia="zh-CN" w:bidi="ar-SA"/>
            </w:rPr>
            <w:fldChar w:fldCharType="end"/>
          </w:r>
        </w:p>
      </w:sdtContent>
    </w:sdt>
    <w:p w14:paraId="59EE53AF">
      <w:pPr>
        <w:pStyle w:val="2"/>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3619"/>
      <w:bookmarkStart w:id="2" w:name="_Toc21669"/>
      <w:bookmarkStart w:id="3" w:name="_Toc21009_WPSOffice_Level1"/>
      <w:bookmarkStart w:id="4" w:name="_Toc13806"/>
      <w:bookmarkStart w:id="5" w:name="_Toc10906"/>
      <w:bookmarkStart w:id="6" w:name="_Toc24178_WPSOffice_Level1"/>
      <w:bookmarkStart w:id="7" w:name="_Toc30143_WPSOffice_Level1"/>
    </w:p>
    <w:p w14:paraId="4C650C8B">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8" w:name="_Toc30317"/>
      <w:bookmarkStart w:id="9" w:name="_Toc28708"/>
      <w:r>
        <w:rPr>
          <w:rFonts w:hint="default" w:ascii="Times New Roman" w:hAnsi="Times New Roman" w:eastAsia="思源黑体 CN Medium" w:cs="Times New Roman"/>
          <w:color w:val="1250A1"/>
          <w:sz w:val="36"/>
          <w:szCs w:val="36"/>
          <w:lang w:val="en-US" w:eastAsia="zh-CN"/>
        </w:rPr>
        <w:t>报告概览</w:t>
      </w:r>
      <w:bookmarkEnd w:id="8"/>
      <w:bookmarkEnd w:id="9"/>
    </w:p>
    <w:bookmarkEnd w:id="1"/>
    <w:bookmarkEnd w:id="2"/>
    <w:bookmarkEnd w:id="3"/>
    <w:bookmarkEnd w:id="4"/>
    <w:bookmarkEnd w:id="5"/>
    <w:bookmarkEnd w:id="6"/>
    <w:bookmarkEnd w:id="7"/>
    <w:p w14:paraId="242B7995">
      <w:pPr>
        <w:outlineLvl w:val="1"/>
        <w:rPr>
          <w:rFonts w:hint="default" w:ascii="Times New Roman" w:hAnsi="Times New Roman" w:eastAsia="思源黑体 CN Medium" w:cs="Times New Roman"/>
          <w:b/>
          <w:bCs/>
          <w:color w:val="1250A1"/>
          <w:sz w:val="32"/>
          <w:szCs w:val="32"/>
          <w:lang w:eastAsia="zh-CN"/>
        </w:rPr>
      </w:pPr>
      <w:bookmarkStart w:id="10" w:name="_Toc8798"/>
      <w:bookmarkStart w:id="11" w:name="_Toc10787"/>
      <w:r>
        <w:rPr>
          <w:rFonts w:hint="default" w:ascii="Times New Roman" w:hAnsi="Times New Roman" w:eastAsia="思源黑体 CN Medium" w:cs="Times New Roman"/>
          <w:b/>
          <w:bCs/>
          <w:color w:val="1250A1"/>
          <w:sz w:val="32"/>
          <w:szCs w:val="32"/>
          <w:lang w:eastAsia="zh-CN"/>
        </w:rPr>
        <w:t>样本信息</w:t>
      </w:r>
      <w:r>
        <w:rPr>
          <w:rFonts w:hint="eastAsia" w:ascii="Times New Roman" w:hAnsi="Times New Roman" w:eastAsia="思源黑体 CN Medium" w:cs="Times New Roman"/>
          <w:b/>
          <w:bCs/>
          <w:color w:val="1250A1"/>
          <w:sz w:val="32"/>
          <w:szCs w:val="32"/>
          <w:lang w:val="en-US" w:eastAsia="zh-CN"/>
        </w:rPr>
        <w:t>结果</w:t>
      </w:r>
      <w:bookmarkEnd w:id="10"/>
      <w:bookmarkEnd w:id="11"/>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r>
    </w:tbl>
    <w:p w14:paraId="2D697539">
      <w:pPr>
        <w:rPr>
          <w:rFonts w:hint="default" w:ascii="Times New Roman" w:hAnsi="Times New Roman" w:eastAsia="思源黑体 CN Medium" w:cs="Times New Roman"/>
          <w:b/>
          <w:color w:val="00B050"/>
          <w:sz w:val="28"/>
          <w:szCs w:val="28"/>
          <w:lang w:eastAsia="zh-CN"/>
        </w:rPr>
      </w:pPr>
    </w:p>
    <w:p w14:paraId="4A0D89B6">
      <w:pPr>
        <w:outlineLvl w:val="1"/>
        <w:rPr>
          <w:rFonts w:hint="default" w:ascii="Times New Roman" w:hAnsi="Times New Roman" w:eastAsia="思源黑体 CN Medium" w:cs="Times New Roman"/>
          <w:b/>
          <w:bCs/>
          <w:color w:val="1250A1"/>
          <w:sz w:val="32"/>
          <w:szCs w:val="32"/>
          <w:lang w:eastAsia="zh-CN"/>
        </w:rPr>
      </w:pPr>
      <w:bookmarkStart w:id="12" w:name="_Toc17451"/>
      <w:bookmarkStart w:id="13" w:name="_Toc18062_WPSOffice_Level1"/>
      <w:bookmarkStart w:id="14" w:name="_Toc31917"/>
      <w:bookmarkStart w:id="15" w:name="_Toc7021_WPSOffice_Level1"/>
      <w:bookmarkStart w:id="16" w:name="_Toc26731"/>
      <w:bookmarkStart w:id="17" w:name="_Toc11015_WPSOffice_Level1"/>
      <w:bookmarkStart w:id="18" w:name="_Toc30143"/>
      <w:bookmarkStart w:id="19"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p>
    <w:p w14:paraId="4AC51AD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本产品对与淋巴瘤相关的129个基因进行高通量测序。检测突变形式为点突变（SNV）、小片段插入缺失（INDEL）。</w:t>
      </w:r>
      <w:r>
        <w:rPr>
          <w:rFonts w:hint="default" w:ascii="Times New Roman" w:hAnsi="Times New Roman" w:eastAsia="思源黑体 CN Medium" w:cs="Times New Roman"/>
          <w:sz w:val="21"/>
          <w:szCs w:val="21"/>
          <w:lang w:eastAsia="zh-CN"/>
        </w:rPr>
        <w:t>{% if PDInfo != undefined %}</w:t>
      </w:r>
      <w:r>
        <w:rPr>
          <w:rFonts w:hint="default" w:ascii="Times New Roman" w:hAnsi="Times New Roman" w:eastAsia="思源黑体 CN Medium" w:cs="Times New Roman"/>
          <w:bCs/>
          <w:sz w:val="21"/>
          <w:szCs w:val="21"/>
          <w:lang w:eastAsia="zh-CN"/>
        </w:rPr>
        <w:t>通过免疫组化检测PD-L1表达。</w:t>
      </w:r>
      <w:r>
        <w:rPr>
          <w:rFonts w:hint="default" w:ascii="Times New Roman" w:hAnsi="Times New Roman" w:eastAsia="思源黑体 CN Medium" w:cs="Times New Roman"/>
          <w:sz w:val="21"/>
          <w:szCs w:val="21"/>
          <w:lang w:eastAsia="zh-CN"/>
        </w:rPr>
        <w:t>{% endif %}</w:t>
      </w:r>
    </w:p>
    <w:p w14:paraId="7399B91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本报告分析基因变异与靶向药物、辅助诊断、疾病预后</w:t>
      </w:r>
      <w:r>
        <w:rPr>
          <w:rFonts w:hint="default" w:ascii="Times New Roman" w:hAnsi="Times New Roman" w:eastAsia="思源黑体 CN Medium" w:cs="Times New Roman"/>
          <w:bCs/>
          <w:sz w:val="21"/>
          <w:szCs w:val="21"/>
          <w:lang w:val="en-US" w:eastAsia="zh-CN"/>
        </w:rPr>
        <w:t>的相关性</w:t>
      </w:r>
      <w:r>
        <w:rPr>
          <w:rFonts w:hint="default" w:ascii="Times New Roman" w:hAnsi="Times New Roman" w:eastAsia="思源黑体 CN Medium" w:cs="Times New Roman"/>
          <w:bCs/>
          <w:sz w:val="21"/>
          <w:szCs w:val="21"/>
          <w:lang w:eastAsia="zh-CN"/>
        </w:rPr>
        <w:t>，给出靶向药物（FDA/NMPA批准药物、临床试验药物等）提示信息等，从而为临床制定治疗方案提供参考信息。</w:t>
      </w:r>
      <w:bookmarkStart w:id="20" w:name="_Toc534807930"/>
    </w:p>
    <w:p w14:paraId="23AFAC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思源黑体 CN Medium" w:cs="Times New Roman"/>
          <w:b/>
          <w:color w:val="00B050"/>
          <w:sz w:val="28"/>
          <w:szCs w:val="28"/>
          <w:lang w:eastAsia="zh-CN"/>
        </w:rPr>
      </w:pPr>
      <w:r>
        <w:rPr>
          <w:rFonts w:hint="default" w:ascii="Times New Roman" w:hAnsi="Times New Roman" w:eastAsia="思源黑体 CN Medium" w:cs="Times New Roman"/>
          <w:bCs/>
          <w:sz w:val="21"/>
          <w:szCs w:val="21"/>
          <w:lang w:eastAsia="zh-CN"/>
        </w:rPr>
        <w:t>注：检测基因列表见附录。</w:t>
      </w:r>
    </w:p>
    <w:p w14:paraId="408C0E20">
      <w:pPr>
        <w:spacing w:line="276" w:lineRule="auto"/>
        <w:jc w:val="center"/>
        <w:rPr>
          <w:rFonts w:hint="default" w:ascii="Times New Roman" w:hAnsi="Times New Roman" w:eastAsia="思源黑体 CN Medium" w:cs="Times New Roman"/>
          <w:bCs/>
          <w:sz w:val="21"/>
          <w:szCs w:val="21"/>
          <w:lang w:eastAsia="zh-CN"/>
        </w:rPr>
      </w:pPr>
    </w:p>
    <w:p w14:paraId="3F287A0A">
      <w:pPr>
        <w:outlineLvl w:val="1"/>
        <w:rPr>
          <w:rFonts w:hint="default" w:ascii="Times New Roman" w:hAnsi="Times New Roman" w:eastAsia="思源黑体 CN Medium" w:cs="Times New Roman"/>
          <w:b/>
          <w:bCs/>
          <w:color w:val="1250A1"/>
          <w:sz w:val="32"/>
          <w:szCs w:val="32"/>
          <w:lang w:eastAsia="zh-CN"/>
        </w:rPr>
      </w:pPr>
      <w:bookmarkStart w:id="21" w:name="_Toc18058"/>
      <w:bookmarkStart w:id="22" w:name="_Toc23369_WPSOffice_Level1"/>
      <w:bookmarkStart w:id="23" w:name="_Toc7969"/>
      <w:bookmarkStart w:id="24" w:name="_Toc6221_WPSOffice_Level1"/>
      <w:bookmarkStart w:id="25" w:name="_Toc23052"/>
      <w:bookmarkStart w:id="26" w:name="_Toc149837254"/>
      <w:bookmarkStart w:id="27" w:name="_Toc25920"/>
      <w:bookmarkStart w:id="28" w:name="_Toc2043"/>
      <w:bookmarkStart w:id="29" w:name="_Toc16576"/>
      <w:bookmarkStart w:id="30" w:name="_Toc15634"/>
      <w:r>
        <w:rPr>
          <w:rFonts w:hint="default" w:ascii="Times New Roman" w:hAnsi="Times New Roman" w:eastAsia="思源黑体 CN Medium" w:cs="Times New Roman"/>
          <w:b/>
          <w:bCs/>
          <w:color w:val="1250A1"/>
          <w:sz w:val="32"/>
          <w:szCs w:val="32"/>
          <w:lang w:eastAsia="zh-CN"/>
        </w:rPr>
        <w:t>检测结果小结</w:t>
      </w:r>
      <w:bookmarkEnd w:id="21"/>
      <w:bookmarkEnd w:id="22"/>
      <w:bookmarkEnd w:id="23"/>
      <w:bookmarkEnd w:id="24"/>
      <w:bookmarkEnd w:id="25"/>
      <w:bookmarkEnd w:id="26"/>
      <w:bookmarkEnd w:id="27"/>
      <w:bookmarkEnd w:id="28"/>
      <w:bookmarkEnd w:id="29"/>
      <w:bookmarkEnd w:id="30"/>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1250A1"/>
            <w:vAlign w:val="center"/>
          </w:tcPr>
          <w:p w14:paraId="1C244112">
            <w:pPr>
              <w:jc w:val="center"/>
              <w:rPr>
                <w:rFonts w:hint="default" w:ascii="Times New Roman" w:hAnsi="Times New Roman" w:eastAsia="思源黑体 CN Medium" w:cs="Times New Roman"/>
                <w:b/>
                <w:color w:val="FFFFFF" w:themeColor="background1"/>
                <w:sz w:val="21"/>
                <w14:textFill>
                  <w14:solidFill>
                    <w14:schemeClr w14:val="bg1"/>
                  </w14:solidFill>
                </w14:textFill>
              </w:rPr>
            </w:pPr>
            <w:r>
              <w:rPr>
                <w:rFonts w:hint="default" w:ascii="Times New Roman" w:hAnsi="Times New Roman" w:eastAsia="思源黑体 CN Medium" w:cs="Times New Roman"/>
                <w:b/>
                <w:bCs/>
                <w:color w:val="FFFFFF" w:themeColor="background1"/>
                <w:sz w:val="28"/>
                <w:szCs w:val="36"/>
                <w:lang w:eastAsia="zh-CN"/>
                <w14:textFill>
                  <w14:solidFill>
                    <w14:schemeClr w14:val="bg1"/>
                  </w14:solidFill>
                </w14:textFill>
              </w:rPr>
              <w:br w:type="page"/>
            </w:r>
            <w:r>
              <w:rPr>
                <w:rFonts w:hint="default" w:ascii="Times New Roman" w:hAnsi="Times New Roman" w:eastAsia="思源黑体 CN Medium"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1250A1"/>
            <w:vAlign w:val="center"/>
          </w:tcPr>
          <w:p w14:paraId="340102EA">
            <w:pPr>
              <w:jc w:val="center"/>
              <w:rPr>
                <w:rFonts w:hint="default" w:ascii="Times New Roman" w:hAnsi="Times New Roman" w:eastAsia="思源黑体 CN Medium" w:cs="Times New Roman"/>
                <w:b/>
                <w:color w:val="FFFFFF" w:themeColor="background1"/>
                <w14:textFill>
                  <w14:solidFill>
                    <w14:schemeClr w14:val="bg1"/>
                  </w14:solidFill>
                </w14:textFill>
              </w:rPr>
            </w:pPr>
            <w:r>
              <w:rPr>
                <w:rFonts w:hint="default" w:ascii="Times New Roman" w:hAnsi="Times New Roman" w:eastAsia="思源黑体 CN Medium"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本次检测共检出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summaryOfRresults.somaticCellMedicationNum}}</w:t>
            </w:r>
            <w:r>
              <w:rPr>
                <w:rFonts w:hint="default" w:ascii="Times New Roman" w:hAnsi="Times New Roman" w:eastAsia="思源黑体 CN Medium" w:cs="Times New Roman"/>
                <w:sz w:val="21"/>
                <w:szCs w:val="21"/>
                <w:lang w:eastAsia="zh-CN"/>
              </w:rPr>
              <w:t>个变异位点与靶向药物相关</w:t>
            </w:r>
            <w:r>
              <w:rPr>
                <w:rFonts w:hint="default" w:ascii="Times New Roman" w:hAnsi="Times New Roman" w:eastAsia="思源黑体 CN Medium" w:cs="Times New Roman"/>
                <w:sz w:val="21"/>
                <w:szCs w:val="21"/>
                <w:lang w:eastAsia="zh-CN" w:bidi="ar"/>
              </w:rPr>
              <w:t>{{bodyDrugStr}}</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summaryOfRresults.lymphomaTypingSize}}</w:t>
            </w:r>
            <w:r>
              <w:rPr>
                <w:rFonts w:hint="default" w:ascii="Times New Roman" w:hAnsi="Times New Roman" w:eastAsia="思源黑体 CN Medium"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检测结果中</w:t>
            </w:r>
            <w:r>
              <w:rPr>
                <w:rFonts w:hint="default" w:ascii="Times New Roman" w:hAnsi="Times New Roman" w:eastAsia="思源黑体 CN Medium" w:cs="Times New Roman"/>
                <w:sz w:val="21"/>
                <w:lang w:eastAsia="zh-CN"/>
              </w:rPr>
              <w:t>{{ summaryOfRresults.lymphomaTyping2Size}}</w:t>
            </w:r>
            <w:r>
              <w:rPr>
                <w:rFonts w:hint="default" w:ascii="Times New Roman" w:hAnsi="Times New Roman" w:eastAsia="思源黑体 CN Medium"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PD-L1蛋白表达水平</w:t>
            </w:r>
            <w:r>
              <w:rPr>
                <w:rFonts w:hint="default" w:ascii="Times New Roman" w:hAnsi="Times New Roman" w:eastAsia="思源黑体 CN Medium"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使用{{ PDInfo.Detect_antibody }}抗体；TPS: {{ PDInfo.TPS }}， CPS : {{ PDInfo.CPS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合格</w:t>
            </w:r>
          </w:p>
        </w:tc>
      </w:tr>
    </w:tbl>
    <w:p w14:paraId="1A117C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72F104">
      <w:pPr>
        <w:numPr>
          <w:ilvl w:val="0"/>
          <w:numId w:val="6"/>
        </w:numPr>
        <w:ind w:left="330" w:leftChars="150"/>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t>本报告为基因检测结果，基因、药物等信息列举未按照重要性排序。</w:t>
      </w:r>
    </w:p>
    <w:p w14:paraId="1E648A63">
      <w:pPr>
        <w:numPr>
          <w:ilvl w:val="0"/>
          <w:numId w:val="6"/>
        </w:numPr>
        <w:ind w:left="330" w:leftChars="150"/>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rPr>
        <w:t>检测结果仅供科学研究和临床用药参考，具体治疗方案请咨询主治医生。</w:t>
      </w:r>
    </w:p>
    <w:p w14:paraId="26D5B60B">
      <w:pPr>
        <w:numPr>
          <w:ilvl w:val="0"/>
          <w:numId w:val="6"/>
        </w:numPr>
        <w:ind w:left="330" w:leftChars="15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szCs w:val="18"/>
          <w:lang w:eastAsia="zh-CN"/>
        </w:rPr>
        <w:t>本报告只对本次采集样本负责，如有疑问，请在7个工作日内与我们联系。</w:t>
      </w:r>
    </w:p>
    <w:tbl>
      <w:tblPr>
        <w:tblStyle w:val="47"/>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11E4282A">
      <w:pPr>
        <w:rPr>
          <w:rFonts w:hint="default" w:ascii="Times New Roman" w:hAnsi="Times New Roman" w:eastAsia="思源黑体 CN Medium" w:cs="Times New Roman"/>
          <w:b/>
          <w:bCs/>
          <w:color w:val="00B050"/>
          <w:sz w:val="28"/>
          <w:szCs w:val="36"/>
          <w:lang w:eastAsia="zh-CN"/>
        </w:rPr>
      </w:pPr>
      <w:r>
        <w:rPr>
          <w:rFonts w:hint="default" w:ascii="Times New Roman" w:hAnsi="Times New Roman" w:eastAsia="思源黑体 CN Medium" w:cs="Times New Roman"/>
          <w:b/>
          <w:bCs/>
          <w:color w:val="00B050"/>
          <w:sz w:val="28"/>
          <w:szCs w:val="36"/>
          <w:lang w:eastAsia="zh-CN"/>
        </w:rPr>
        <w:br w:type="page"/>
      </w:r>
    </w:p>
    <w:bookmarkEnd w:id="20"/>
    <w:p w14:paraId="5C9DD5C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31" w:name="_Toc26564"/>
      <w:bookmarkStart w:id="32" w:name="_Toc25561"/>
      <w:bookmarkStart w:id="33" w:name="_Toc11015_WPSOffice_Level2"/>
      <w:bookmarkStart w:id="34" w:name="_Toc9088"/>
      <w:bookmarkStart w:id="35" w:name="_Toc18062_WPSOffice_Level2"/>
      <w:bookmarkStart w:id="36" w:name="_Toc15063"/>
      <w:bookmarkStart w:id="37" w:name="_Toc11924"/>
      <w:bookmarkStart w:id="38" w:name="_Toc23375"/>
      <w:r>
        <w:rPr>
          <w:rFonts w:hint="default" w:ascii="Times New Roman" w:hAnsi="Times New Roman" w:eastAsia="思源黑体 CN Medium" w:cs="Times New Roman"/>
          <w:color w:val="1250A1"/>
          <w:sz w:val="36"/>
          <w:szCs w:val="36"/>
          <w:lang w:val="en-US" w:eastAsia="zh-CN"/>
        </w:rPr>
        <w:t>检测结果及用药提示</w:t>
      </w:r>
      <w:bookmarkEnd w:id="31"/>
      <w:bookmarkEnd w:id="32"/>
    </w:p>
    <w:p w14:paraId="058D5286">
      <w:pPr>
        <w:outlineLvl w:val="1"/>
        <w:rPr>
          <w:rFonts w:hint="default" w:ascii="Times New Roman" w:hAnsi="Times New Roman" w:eastAsia="思源黑体 CN Medium" w:cs="Times New Roman"/>
          <w:b/>
          <w:bCs/>
          <w:color w:val="1250A1"/>
          <w:sz w:val="32"/>
          <w:szCs w:val="32"/>
          <w:lang w:eastAsia="zh-CN"/>
        </w:rPr>
      </w:pPr>
      <w:bookmarkStart w:id="39" w:name="_Toc18352"/>
      <w:r>
        <w:rPr>
          <w:rFonts w:hint="default" w:ascii="Times New Roman" w:hAnsi="Times New Roman" w:eastAsia="思源黑体 CN Medium" w:cs="Times New Roman"/>
          <w:b/>
          <w:bCs/>
          <w:color w:val="1250A1"/>
          <w:sz w:val="32"/>
          <w:szCs w:val="32"/>
          <w:lang w:eastAsia="zh-CN"/>
        </w:rPr>
        <w:t>靶向药物用药提示</w:t>
      </w:r>
      <w:bookmarkEnd w:id="33"/>
      <w:bookmarkEnd w:id="34"/>
      <w:bookmarkEnd w:id="35"/>
      <w:bookmarkEnd w:id="36"/>
      <w:bookmarkEnd w:id="37"/>
      <w:bookmarkEnd w:id="38"/>
      <w:bookmarkEnd w:id="39"/>
    </w:p>
    <w:p w14:paraId="5067DD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bookmarkStart w:id="40" w:name="_Toc19748"/>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相关</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。{%if BodyDrugDrugDetectionStr or unknownVarAnalysisStr %}具体信息详见“检测结果详细解析”</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1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5C8F2302">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3A76330">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本报告所列举的药物或基因变异并未按照基因或者药物的重要性排序，具体决策需参照临床实际。</w:t>
      </w:r>
    </w:p>
    <w:p w14:paraId="52AE6853">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基因变异所对应的可能获益/耐药药物信息来源于</w:t>
      </w:r>
      <w:r>
        <w:rPr>
          <w:rFonts w:hint="default" w:ascii="Times New Roman" w:hAnsi="Times New Roman" w:eastAsia="思源黑体 CN Medium" w:cs="Times New Roman"/>
          <w:bCs/>
          <w:lang w:val="en-US" w:eastAsia="zh-CN"/>
        </w:rPr>
        <w:t>本机构</w:t>
      </w:r>
      <w:r>
        <w:rPr>
          <w:rFonts w:hint="default" w:ascii="Times New Roman" w:hAnsi="Times New Roman" w:eastAsia="思源黑体 CN Medium"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default" w:ascii="Times New Roman" w:hAnsi="Times New Roman" w:eastAsia="思源黑体 CN Medium" w:cs="Times New Roman"/>
          <w:lang w:eastAsia="zh-CN"/>
        </w:rPr>
        <w:t>）</w:t>
      </w:r>
      <w:r>
        <w:rPr>
          <w:rFonts w:hint="default" w:ascii="Times New Roman" w:hAnsi="Times New Roman" w:eastAsia="思源黑体 CN Medium" w:cs="Times New Roman"/>
          <w:bCs/>
          <w:lang w:eastAsia="zh-CN"/>
        </w:rPr>
        <w:t>。</w:t>
      </w:r>
    </w:p>
    <w:p w14:paraId="33ED04C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“-”表示该位点无相应靶向药物提示。</w:t>
      </w:r>
    </w:p>
    <w:p w14:paraId="7810F941">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*标注的药物：NMPA批准的靶向药物。</w:t>
      </w:r>
    </w:p>
    <w:p w14:paraId="45C186C8">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分析注释时采用RefSeq转录本编号。</w:t>
      </w:r>
    </w:p>
    <w:p w14:paraId="058C3D24">
      <w:pPr>
        <w:pStyle w:val="6"/>
        <w:numPr>
          <w:ilvl w:val="0"/>
          <w:numId w:val="7"/>
        </w:numPr>
        <w:rPr>
          <w:rFonts w:hint="default" w:ascii="Times New Roman" w:hAnsi="Times New Roman" w:eastAsia="思源黑体 CN Medium" w:cs="Times New Roman"/>
          <w:bCs/>
          <w:lang w:eastAsia="zh-CN"/>
        </w:rPr>
      </w:pPr>
      <w:r>
        <w:rPr>
          <w:rFonts w:hint="default" w:ascii="Times New Roman" w:hAnsi="Times New Roman" w:eastAsia="思源黑体 CN Medium" w:cs="Times New Roman"/>
          <w:bCs/>
          <w:lang w:eastAsia="zh-CN"/>
        </w:rPr>
        <w:t>变异丰度：在某位点产生突变的等位基因在该位点全部等位基因中所占比率。</w:t>
      </w:r>
    </w:p>
    <w:p w14:paraId="0DBF08AC">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Cs/>
          <w:lang w:eastAsia="zh-CN"/>
        </w:rPr>
        <w:t>基因变异检测结果：“NM”为基因的转录本编号，“exon”为外显</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，“intron”为内含</w:t>
      </w:r>
      <w:r>
        <w:rPr>
          <w:rFonts w:hint="default" w:ascii="Times New Roman" w:hAnsi="Times New Roman" w:eastAsia="思源黑体 CN Medium" w:cs="Times New Roman"/>
          <w:bCs/>
          <w:lang w:val="en-US" w:eastAsia="zh-CN"/>
        </w:rPr>
        <w:t>子</w:t>
      </w:r>
      <w:r>
        <w:rPr>
          <w:rFonts w:hint="default" w:ascii="Times New Roman" w:hAnsi="Times New Roman" w:eastAsia="思源黑体 CN Medium" w:cs="Times New Roman"/>
          <w:bCs/>
          <w:lang w:eastAsia="zh-CN"/>
        </w:rPr>
        <w:t>，“c”为DNA序列，“p”为蛋</w:t>
      </w:r>
      <w:r>
        <w:rPr>
          <w:rFonts w:hint="default" w:ascii="Times New Roman" w:hAnsi="Times New Roman" w:eastAsia="思源黑体 CN Medium" w:cs="Times New Roman"/>
          <w:bCs/>
          <w:lang w:val="en-US" w:eastAsia="zh-CN"/>
        </w:rPr>
        <w:t>白</w:t>
      </w:r>
      <w:r>
        <w:rPr>
          <w:rFonts w:hint="default" w:ascii="Times New Roman" w:hAnsi="Times New Roman" w:eastAsia="思源黑体 CN Medium" w:cs="Times New Roman"/>
          <w:bCs/>
          <w:lang w:eastAsia="zh-CN"/>
        </w:rPr>
        <w:t>质。在DNA水平对某一突变位点的描述方式包括：碱基位点，正常碱基，“&gt;”符号，突变碱基。</w:t>
      </w:r>
      <w:r>
        <w:rPr>
          <w:rFonts w:hint="default" w:ascii="Times New Roman" w:hAnsi="Times New Roman" w:eastAsia="思源黑体 CN Medium" w:cs="Times New Roman"/>
          <w:lang w:eastAsia="zh-CN"/>
        </w:rPr>
        <w:t>{% if complex == True %}</w:t>
      </w:r>
    </w:p>
    <w:p w14:paraId="2B09AC36">
      <w:pPr>
        <w:pStyle w:val="6"/>
        <w:numPr>
          <w:ilvl w:val="0"/>
          <w:numId w:val="7"/>
        </w:num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多靶点循证检测结果中的符号意义：“+”表示“并且”，“/”表示“或者”，“!”表示“不满足”。{% endif %}</w:t>
      </w:r>
    </w:p>
    <w:p w14:paraId="50D4AEB9">
      <w:pPr>
        <w:numPr>
          <w:ilvl w:val="0"/>
          <w:numId w:val="8"/>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B050"/>
          <w:sz w:val="24"/>
          <w:szCs w:val="24"/>
          <w:lang w:eastAsia="zh-CN"/>
        </w:rPr>
        <w:br w:type="page"/>
      </w:r>
    </w:p>
    <w:p w14:paraId="2FA82243">
      <w:pPr>
        <w:outlineLvl w:val="1"/>
        <w:rPr>
          <w:rFonts w:hint="default" w:ascii="Times New Roman" w:hAnsi="Times New Roman" w:eastAsia="思源黑体 CN Medium" w:cs="Times New Roman"/>
          <w:b/>
          <w:bCs/>
          <w:color w:val="1250A1"/>
          <w:sz w:val="32"/>
          <w:szCs w:val="32"/>
          <w:lang w:eastAsia="zh-CN"/>
        </w:rPr>
      </w:pPr>
      <w:bookmarkStart w:id="41" w:name="_Toc26707"/>
      <w:r>
        <w:rPr>
          <w:rFonts w:hint="default" w:ascii="Times New Roman" w:hAnsi="Times New Roman" w:eastAsia="思源黑体 CN Medium" w:cs="Times New Roman"/>
          <w:b/>
          <w:bCs/>
          <w:color w:val="1250A1"/>
          <w:sz w:val="32"/>
          <w:szCs w:val="32"/>
          <w:lang w:eastAsia="zh-CN"/>
        </w:rPr>
        <w:t>辅助分型提示</w:t>
      </w:r>
      <w:bookmarkEnd w:id="40"/>
      <w:bookmarkEnd w:id="41"/>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24" w:hRule="atLeast"/>
          <w:tblHeader/>
        </w:trPr>
        <w:tc>
          <w:tcPr>
            <w:tcW w:w="1702" w:type="dxa"/>
            <w:tcBorders>
              <w:top w:val="nil"/>
              <w:left w:val="nil"/>
              <w:bottom w:val="nil"/>
              <w:right w:val="single" w:color="FFFFFF" w:sz="18" w:space="0"/>
            </w:tcBorders>
            <w:shd w:val="clear" w:color="auto" w:fill="1250A1"/>
            <w:vAlign w:val="center"/>
          </w:tcPr>
          <w:p w14:paraId="4448B0C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1250A1"/>
            <w:vAlign w:val="center"/>
          </w:tcPr>
          <w:p w14:paraId="5FB7253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3118443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78327D7E">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1250A1"/>
            <w:vAlign w:val="center"/>
          </w:tcPr>
          <w:p w14:paraId="1A4C0849">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 | split("\n") %}{%if loop.last%}{{ i }}{%else%}{{ i }}</w:t>
            </w:r>
          </w:p>
          <w:p w14:paraId="7352F38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469DED6C">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66B6F559">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辅助分型提示仅针对《WHO造血与淋巴组织肿瘤分类》（20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）指南中明确与淋巴瘤分型相关的基因变异进行解析。</w:t>
      </w:r>
    </w:p>
    <w:p w14:paraId="5E703293">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70EC8D7A">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本报告仅对本次标本检测负责，结果仅供医生参考。</w:t>
      </w:r>
    </w:p>
    <w:p w14:paraId="2F8ED4CB">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br w:type="page"/>
      </w:r>
    </w:p>
    <w:p w14:paraId="144945F4">
      <w:pPr>
        <w:outlineLvl w:val="1"/>
        <w:rPr>
          <w:rFonts w:hint="default" w:ascii="Times New Roman" w:hAnsi="Times New Roman" w:eastAsia="思源黑体 CN Medium" w:cs="Times New Roman"/>
          <w:b/>
          <w:bCs/>
          <w:color w:val="1250A1"/>
          <w:sz w:val="32"/>
          <w:szCs w:val="32"/>
          <w:lang w:eastAsia="zh-CN"/>
        </w:rPr>
      </w:pPr>
      <w:bookmarkStart w:id="42" w:name="_Toc4033"/>
      <w:bookmarkStart w:id="43" w:name="_Toc25572"/>
      <w:r>
        <w:rPr>
          <w:rFonts w:hint="default" w:ascii="Times New Roman" w:hAnsi="Times New Roman" w:eastAsia="思源黑体 CN Medium" w:cs="Times New Roman"/>
          <w:b/>
          <w:bCs/>
          <w:color w:val="1250A1"/>
          <w:sz w:val="32"/>
          <w:szCs w:val="32"/>
          <w:lang w:eastAsia="zh-CN"/>
        </w:rPr>
        <w:t>疾病预后提示</w:t>
      </w:r>
      <w:bookmarkEnd w:id="42"/>
      <w:bookmarkEnd w:id="43"/>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1250A1"/>
            <w:vAlign w:val="center"/>
          </w:tcPr>
          <w:p w14:paraId="6F7DCB6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1250A1"/>
            <w:vAlign w:val="center"/>
          </w:tcPr>
          <w:p w14:paraId="07148C2A">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1250A1"/>
            <w:vAlign w:val="center"/>
          </w:tcPr>
          <w:p w14:paraId="6E30E4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1250A1"/>
            <w:vAlign w:val="center"/>
          </w:tcPr>
          <w:p w14:paraId="047FCDD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1250A1"/>
            <w:vAlign w:val="center"/>
          </w:tcPr>
          <w:p w14:paraId="59BFFF94">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{%tr </w:t>
            </w:r>
            <w:r>
              <w:rPr>
                <w:rFonts w:hint="default" w:ascii="Times New Roman" w:hAnsi="Times New Roman" w:eastAsia="思源黑体 CN Medium" w:cs="Times New Roman"/>
                <w:sz w:val="21"/>
                <w:szCs w:val="21"/>
                <w:lang w:val="en-US" w:eastAsia="zh-CN"/>
              </w:rPr>
              <w:t>if</w:t>
            </w:r>
            <w:r>
              <w:rPr>
                <w:rFonts w:hint="default" w:ascii="Times New Roman" w:hAnsi="Times New Roman" w:eastAsia="思源黑体 CN Medium" w:cs="Times New Roman"/>
                <w:sz w:val="21"/>
                <w:szCs w:val="21"/>
                <w:lang w:eastAsia="zh-CN"/>
              </w:rPr>
              <w:t xml:space="preserve">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{%tr for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 xml:space="preserve"> in lymphomaTyping</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for i in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.lymphoma_subtype</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 split("\n") %}{%if loop.last%}{{ i }}{%else%}{{ i }}</w:t>
            </w:r>
          </w:p>
          <w:p w14:paraId="754C4B13">
            <w:pPr>
              <w:spacing w:before="2"/>
              <w:ind w:left="116" w:leftChars="0" w:right="116"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lt</w:t>
            </w:r>
            <w:r>
              <w:rPr>
                <w:rFonts w:hint="default" w:ascii="Times New Roman" w:hAnsi="Times New Roman" w:eastAsia="思源黑体 CN Medium"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w:t>
            </w:r>
            <w:r>
              <w:rPr>
                <w:rFonts w:hint="default" w:ascii="Times New Roman" w:hAnsi="Times New Roman" w:eastAsia="思源黑体 CN Medium" w:cs="Times New Roman"/>
                <w:sz w:val="21"/>
                <w:szCs w:val="21"/>
                <w:lang w:val="en-US" w:eastAsia="zh-CN"/>
              </w:rPr>
              <w:t>or</w:t>
            </w:r>
            <w:r>
              <w:rPr>
                <w:rFonts w:hint="default" w:ascii="Times New Roman" w:hAnsi="Times New Roman" w:eastAsia="思源黑体 CN Medium"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21"/>
                <w:szCs w:val="21"/>
                <w:lang w:eastAsia="zh-CN"/>
              </w:rPr>
              <w:t>{%tr endif %}</w:t>
            </w:r>
          </w:p>
        </w:tc>
      </w:tr>
    </w:tbl>
    <w:p w14:paraId="73388E4F">
      <w:pPr>
        <w:pStyle w:val="6"/>
        <w:ind w:left="420"/>
        <w:rPr>
          <w:rFonts w:hint="default" w:ascii="Times New Roman" w:hAnsi="Times New Roman" w:eastAsia="思源黑体 CN Medium" w:cs="Times New Roman"/>
          <w:b/>
          <w:sz w:val="20"/>
          <w:lang w:eastAsia="zh-CN"/>
        </w:rPr>
      </w:pPr>
    </w:p>
    <w:p w14:paraId="1B0F7794">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49493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疾病预后提示仅针对《WHO造血与淋巴组织肿瘤分类》（20</w:t>
      </w:r>
      <w:r>
        <w:rPr>
          <w:rFonts w:hint="default" w:ascii="Times New Roman" w:hAnsi="Times New Roman" w:eastAsia="思源黑体 CN Medium" w:cs="Times New Roman"/>
          <w:sz w:val="18"/>
          <w:szCs w:val="18"/>
          <w:lang w:val="en-US" w:eastAsia="zh-CN"/>
        </w:rPr>
        <w:t>22</w:t>
      </w:r>
      <w:r>
        <w:rPr>
          <w:rFonts w:hint="default" w:ascii="Times New Roman" w:hAnsi="Times New Roman" w:eastAsia="思源黑体 CN Medium" w:cs="Times New Roman"/>
          <w:sz w:val="18"/>
          <w:szCs w:val="18"/>
          <w:lang w:eastAsia="zh-CN"/>
        </w:rPr>
        <w:t>）指南中明确与淋巴瘤预后相关的基因变异进行解析。</w:t>
      </w:r>
    </w:p>
    <w:p w14:paraId="1A176F12">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变异与疾病变异的关联性见报告“检测结果详细解析”部分。</w:t>
      </w:r>
    </w:p>
    <w:p w14:paraId="669A0585">
      <w:pPr>
        <w:numPr>
          <w:ilvl w:val="0"/>
          <w:numId w:val="10"/>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变异丰度：在某位点产生突变的等位基因在该位点全部等位基因中所占比率。</w:t>
      </w:r>
    </w:p>
    <w:p w14:paraId="5E0FDEE9">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br w:type="page"/>
      </w:r>
    </w:p>
    <w:p w14:paraId="3BCEF468">
      <w:pPr>
        <w:rPr>
          <w:rFonts w:hint="default" w:ascii="Times New Roman" w:hAnsi="Times New Roman" w:eastAsia="思源黑体 CN Medium" w:cs="Times New Roman"/>
          <w:sz w:val="18"/>
          <w:szCs w:val="18"/>
          <w:shd w:val="clear" w:color="auto" w:fill="FFFFFF"/>
          <w:lang w:eastAsia="zh-CN"/>
        </w:rPr>
      </w:pPr>
      <w:bookmarkStart w:id="44" w:name="_Toc25727"/>
      <w:bookmarkStart w:id="45" w:name="_Toc23846_WPSOffice_Level1"/>
      <w:bookmarkStart w:id="46" w:name="_Toc11395"/>
      <w:bookmarkStart w:id="47" w:name="_Toc23903"/>
      <w:bookmarkStart w:id="48" w:name="_Toc4331_WPSOffice_Level1"/>
      <w:bookmarkStart w:id="49" w:name="_Toc32443_WPSOffice_Level1"/>
      <w:bookmarkStart w:id="50" w:name="_Toc180"/>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51" w:name="_Toc149837262"/>
      <w:bookmarkStart w:id="52" w:name="_Toc20034"/>
      <w:bookmarkStart w:id="53" w:name="_Toc106719764"/>
      <w:bookmarkStart w:id="54" w:name="_Toc21453"/>
      <w:bookmarkStart w:id="55" w:name="_Toc14657"/>
      <w:bookmarkStart w:id="56" w:name="_Toc21238"/>
      <w:r>
        <w:rPr>
          <w:rFonts w:hint="default" w:ascii="Times New Roman" w:hAnsi="Times New Roman" w:eastAsia="思源黑体 CN Medium" w:cs="Times New Roman"/>
          <w:b/>
          <w:bCs/>
          <w:color w:val="1250A1"/>
          <w:sz w:val="32"/>
          <w:szCs w:val="32"/>
          <w:lang w:val="en-US" w:eastAsia="zh-CN"/>
        </w:rPr>
        <w:t>PD-L1检测结果</w:t>
      </w:r>
      <w:bookmarkEnd w:id="51"/>
      <w:bookmarkEnd w:id="52"/>
      <w:bookmarkEnd w:id="53"/>
      <w:bookmarkEnd w:id="54"/>
      <w:bookmarkEnd w:id="55"/>
      <w:bookmarkEnd w:id="56"/>
    </w:p>
    <w:p w14:paraId="23974D1F">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3656BCB4">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%}{%if BodyDrugDrugDetectionStr or unknownVarAnalysisStr %}</w:t>
      </w:r>
    </w:p>
    <w:bookmarkEnd w:id="44"/>
    <w:bookmarkEnd w:id="45"/>
    <w:bookmarkEnd w:id="46"/>
    <w:bookmarkEnd w:id="47"/>
    <w:bookmarkEnd w:id="48"/>
    <w:bookmarkEnd w:id="49"/>
    <w:bookmarkEnd w:id="50"/>
    <w:p w14:paraId="7622BD9C">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57" w:name="_Toc4609"/>
      <w:bookmarkStart w:id="58" w:name="_Toc12767"/>
      <w:bookmarkStart w:id="59" w:name="_Toc149826013"/>
      <w:bookmarkStart w:id="60" w:name="_Toc14815"/>
      <w:bookmarkStart w:id="61" w:name="_Toc8516"/>
      <w:bookmarkStart w:id="62" w:name="_Toc149832737"/>
      <w:bookmarkStart w:id="63" w:name="_Toc26395"/>
      <w:r>
        <w:rPr>
          <w:rFonts w:hint="default" w:ascii="Times New Roman" w:hAnsi="Times New Roman" w:eastAsia="思源黑体 CN Medium" w:cs="Times New Roman"/>
          <w:color w:val="1250A1"/>
          <w:sz w:val="36"/>
          <w:szCs w:val="36"/>
          <w:lang w:val="en-US" w:eastAsia="zh-CN"/>
        </w:rPr>
        <w:t>检测结果详细解析</w:t>
      </w:r>
      <w:bookmarkEnd w:id="57"/>
      <w:bookmarkEnd w:id="58"/>
    </w:p>
    <w:p w14:paraId="7BFF32FB">
      <w:pPr>
        <w:outlineLvl w:val="1"/>
        <w:rPr>
          <w:rFonts w:hint="default" w:ascii="Times New Roman" w:hAnsi="Times New Roman" w:eastAsia="思源黑体 CN Medium" w:cs="Times New Roman"/>
          <w:b/>
          <w:bCs/>
          <w:color w:val="1250A1"/>
          <w:sz w:val="32"/>
          <w:szCs w:val="32"/>
          <w:lang w:eastAsia="zh-CN"/>
        </w:rPr>
      </w:pPr>
      <w:bookmarkStart w:id="64" w:name="_Toc23672"/>
      <w:r>
        <w:rPr>
          <w:rFonts w:hint="default" w:ascii="Times New Roman" w:hAnsi="Times New Roman" w:eastAsia="思源黑体 CN Medium" w:cs="Times New Roman"/>
          <w:b/>
          <w:bCs/>
          <w:color w:val="1250A1"/>
          <w:sz w:val="32"/>
          <w:szCs w:val="32"/>
          <w:lang w:eastAsia="zh-CN"/>
        </w:rPr>
        <w:t>靶向药物/分型/预后相关变异解析</w:t>
      </w:r>
      <w:bookmarkEnd w:id="64"/>
    </w:p>
    <w:p w14:paraId="32442E9E">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11391287">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1250A1"/>
            <w:vAlign w:val="center"/>
          </w:tcPr>
          <w:p w14:paraId="3170CE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04BDF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58FFFF1">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553FC5A">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60BF9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EF1C1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7ADD8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2887E6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F58202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E3816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CFB571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7655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2FA2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56589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8E5B42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059F1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E43C4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6F3DB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DF8FC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72906B7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9A921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1250A1"/>
            <w:vAlign w:val="center"/>
          </w:tcPr>
          <w:p w14:paraId="610E5F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无</w:t>
            </w:r>
          </w:p>
        </w:tc>
      </w:tr>
    </w:tbl>
    <w:p w14:paraId="63C5C26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672E0B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5DB539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B45DB7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78A0DF4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45DB01F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5DCEE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10976FD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EFCD0E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670707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3F51360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3E8B7F0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EBD6C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872FA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DBA7E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847E28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78C0C1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AE37E3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0EA67E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627C79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57EF2DE">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7B02053">
      <w:pPr>
        <w:bidi w:val="0"/>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bCs/>
          <w:lang w:eastAsia="zh-CN"/>
        </w:rPr>
        <w:t>{% for tdd in BodyDrugNoComplexStr %}</w:t>
      </w:r>
      <w:bookmarkEnd w:id="59"/>
      <w:bookmarkEnd w:id="60"/>
      <w:bookmarkEnd w:id="61"/>
      <w:bookmarkEnd w:id="62"/>
    </w:p>
    <w:p w14:paraId="34D61BA9">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423" w:type="dxa"/>
            <w:gridSpan w:val="2"/>
            <w:tcBorders>
              <w:top w:val="nil"/>
              <w:bottom w:val="single" w:color="FFFFFF" w:sz="18" w:space="0"/>
              <w:right w:val="nil"/>
            </w:tcBorders>
            <w:shd w:val="clear" w:color="auto" w:fill="1250A1"/>
            <w:vAlign w:val="center"/>
          </w:tcPr>
          <w:p w14:paraId="148728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47" w:type="dxa"/>
            <w:tcBorders>
              <w:left w:val="nil"/>
            </w:tcBorders>
            <w:vAlign w:val="center"/>
          </w:tcPr>
          <w:p w14:paraId="67E5765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37D33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sz="18" w:space="0"/>
              <w:bottom w:val="single" w:color="FFFFFF" w:sz="18" w:space="0"/>
              <w:right w:val="nil"/>
            </w:tcBorders>
            <w:shd w:val="clear" w:color="auto" w:fill="1250A1"/>
            <w:vAlign w:val="center"/>
          </w:tcPr>
          <w:p w14:paraId="6C60D47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47" w:type="dxa"/>
            <w:tcBorders>
              <w:left w:val="nil"/>
            </w:tcBorders>
            <w:vAlign w:val="center"/>
          </w:tcPr>
          <w:p w14:paraId="07B128E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1CD7C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79343384">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32EB9DA9">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739AB03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439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85BB80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67A47A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387641F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03F2B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18B0774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2B9B40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46F6F1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A3CE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BDCD3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03A32AB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7117CB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5D8D6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1250A1"/>
            <w:vAlign w:val="center"/>
          </w:tcPr>
          <w:p w14:paraId="5B87B13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5B8F84C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47" w:type="dxa"/>
            <w:tcBorders>
              <w:left w:val="nil"/>
            </w:tcBorders>
            <w:shd w:val="clear" w:color="auto" w:fill="auto"/>
            <w:vAlign w:val="center"/>
          </w:tcPr>
          <w:p w14:paraId="0AF52F46">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7ECA9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7671B5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7ADEA2B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47" w:type="dxa"/>
            <w:tcBorders>
              <w:left w:val="nil"/>
            </w:tcBorders>
            <w:shd w:val="clear" w:color="auto" w:fill="auto"/>
            <w:vAlign w:val="center"/>
          </w:tcPr>
          <w:p w14:paraId="00E2219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0C9F8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52D61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426C6B2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47" w:type="dxa"/>
            <w:tcBorders>
              <w:left w:val="nil"/>
            </w:tcBorders>
            <w:shd w:val="clear" w:color="auto" w:fill="auto"/>
            <w:vAlign w:val="center"/>
          </w:tcPr>
          <w:p w14:paraId="37A9590F">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BD33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1250A1"/>
            <w:vAlign w:val="center"/>
          </w:tcPr>
          <w:p w14:paraId="33F6E33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91" w:type="dxa"/>
            <w:tcBorders>
              <w:top w:val="single" w:color="FFFFFF" w:sz="18" w:space="0"/>
              <w:left w:val="single" w:color="FFFFFF" w:sz="18" w:space="0"/>
              <w:bottom w:val="single" w:color="FFFFFF" w:sz="18" w:space="0"/>
              <w:right w:val="nil"/>
            </w:tcBorders>
            <w:shd w:val="clear" w:color="auto" w:fill="1250A1"/>
            <w:vAlign w:val="center"/>
          </w:tcPr>
          <w:p w14:paraId="610BA8D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47" w:type="dxa"/>
            <w:tcBorders>
              <w:left w:val="nil"/>
            </w:tcBorders>
            <w:shd w:val="clear" w:color="auto" w:fill="auto"/>
            <w:vAlign w:val="center"/>
          </w:tcPr>
          <w:p w14:paraId="599F25C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781F8E0A">
        <w:tblPrEx>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3560A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47" w:type="dxa"/>
            <w:tcBorders>
              <w:left w:val="nil"/>
            </w:tcBorders>
            <w:vAlign w:val="center"/>
          </w:tcPr>
          <w:p w14:paraId="0E08BBD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4ED85D2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r w14:paraId="6FDE5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single" w:color="FFFFFF" w:sz="18" w:space="0"/>
              <w:right w:val="nil"/>
            </w:tcBorders>
            <w:shd w:val="clear" w:color="auto" w:fill="1250A1"/>
            <w:vAlign w:val="center"/>
          </w:tcPr>
          <w:p w14:paraId="7D8995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625D0A4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 | split("\n") %}{%if loop.last%}{{ i }}{%else%}{{ i }}</w:t>
            </w:r>
          </w:p>
          <w:p w14:paraId="5ABC4931">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r w14:paraId="4846B1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423" w:type="dxa"/>
            <w:gridSpan w:val="2"/>
            <w:tcBorders>
              <w:top w:val="single" w:color="FFFFFF" w:sz="18" w:space="0"/>
              <w:bottom w:val="nil"/>
              <w:right w:val="nil"/>
            </w:tcBorders>
            <w:shd w:val="clear" w:color="auto" w:fill="1250A1"/>
            <w:vAlign w:val="center"/>
          </w:tcPr>
          <w:p w14:paraId="0994560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提示解析</w:t>
            </w:r>
          </w:p>
        </w:tc>
        <w:tc>
          <w:tcPr>
            <w:tcW w:w="8447" w:type="dxa"/>
            <w:tcBorders>
              <w:left w:val="nil"/>
            </w:tcBorders>
            <w:vAlign w:val="center"/>
          </w:tcPr>
          <w:p w14:paraId="41AE230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i in </w:t>
            </w:r>
            <w:r>
              <w:rPr>
                <w:rFonts w:hint="default" w:ascii="Times New Roman" w:hAnsi="Times New Roman" w:eastAsia="思源黑体 CN Medium" w:cs="Times New Roman"/>
                <w:sz w:val="18"/>
                <w:szCs w:val="18"/>
                <w:lang w:val="en-US" w:eastAsia="zh-CN"/>
              </w:rPr>
              <w:t>tdd</w:t>
            </w:r>
            <w:r>
              <w:rPr>
                <w:rFonts w:hint="default" w:ascii="Times New Roman" w:hAnsi="Times New Roman" w:eastAsia="思源黑体 CN Medium" w:cs="Times New Roman"/>
                <w:sz w:val="18"/>
                <w:szCs w:val="18"/>
                <w:lang w:eastAsia="zh-CN"/>
              </w:rPr>
              <w:t>.lymphoma_subtype</w:t>
            </w:r>
            <w:r>
              <w:rPr>
                <w:rFonts w:hint="default" w:ascii="Times New Roman" w:hAnsi="Times New Roman" w:eastAsia="思源黑体 CN Medium" w:cs="Times New Roman"/>
                <w:sz w:val="18"/>
                <w:szCs w:val="18"/>
                <w:lang w:val="en-US" w:eastAsia="zh-CN"/>
              </w:rPr>
              <w:t>2</w:t>
            </w:r>
            <w:r>
              <w:rPr>
                <w:rFonts w:hint="default" w:ascii="Times New Roman" w:hAnsi="Times New Roman" w:eastAsia="思源黑体 CN Medium" w:cs="Times New Roman"/>
                <w:sz w:val="18"/>
                <w:szCs w:val="18"/>
                <w:lang w:eastAsia="zh-CN"/>
              </w:rPr>
              <w:t xml:space="preserve"> | split("\n") %}{%if loop.last%}{{ i }}{%else%}{{ i }}</w:t>
            </w:r>
          </w:p>
          <w:p w14:paraId="314C976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w:t>
            </w:r>
          </w:p>
        </w:tc>
      </w:tr>
    </w:tbl>
    <w:p w14:paraId="5649762E">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19017F8">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8B053B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ACEF84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EB3C30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136CF95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73EAEFB">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0CEE24F7">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2A77274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38964CD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1570B9DF">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0E90B02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C3232C5">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76AF01E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EE4665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BD78AA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FA357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521E1B1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BFAE3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0FEB8E7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52E25D">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3E5BDF53">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5770F763">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1250A1"/>
            <w:vAlign w:val="center"/>
          </w:tcPr>
          <w:p w14:paraId="1EC8506A">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4A2B9357">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59F31CDE">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4635953C">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w:t>
      </w:r>
    </w:p>
    <w:bookmarkEnd w:id="63"/>
    <w:p w14:paraId="5BB0D591">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65" w:name="_Toc25193"/>
      <w:bookmarkStart w:id="66" w:name="_Toc25508"/>
      <w:bookmarkStart w:id="67" w:name="_Toc14255_WPSOffice_Level1"/>
      <w:bookmarkStart w:id="68" w:name="_Toc24085_WPSOffice_Level1"/>
      <w:bookmarkStart w:id="69" w:name="_Toc15840_WPSOffice_Level1"/>
      <w:bookmarkStart w:id="70" w:name="_Toc25190"/>
      <w:bookmarkStart w:id="71" w:name="_Toc3674"/>
      <w:r>
        <w:rPr>
          <w:rFonts w:hint="default" w:ascii="Times New Roman" w:hAnsi="Times New Roman" w:eastAsia="思源黑体 CN Medium" w:cs="Times New Roman"/>
          <w:color w:val="1250A1"/>
          <w:sz w:val="36"/>
          <w:szCs w:val="36"/>
          <w:lang w:val="en-US" w:eastAsia="zh-CN"/>
        </w:rPr>
        <w:t>附录</w:t>
      </w:r>
      <w:bookmarkEnd w:id="65"/>
      <w:bookmarkEnd w:id="66"/>
    </w:p>
    <w:p w14:paraId="1BAF2FEB">
      <w:pPr>
        <w:outlineLvl w:val="1"/>
        <w:rPr>
          <w:rFonts w:hint="default" w:ascii="Times New Roman" w:hAnsi="Times New Roman" w:eastAsia="思源黑体 CN Medium" w:cs="Times New Roman"/>
          <w:b/>
          <w:bCs/>
          <w:color w:val="1250A1"/>
          <w:sz w:val="32"/>
          <w:szCs w:val="32"/>
          <w:lang w:val="en-US" w:eastAsia="zh-CN"/>
        </w:rPr>
      </w:pPr>
      <w:bookmarkStart w:id="72" w:name="_Toc28094"/>
      <w:r>
        <w:rPr>
          <w:rFonts w:hint="default" w:ascii="Times New Roman" w:hAnsi="Times New Roman" w:eastAsia="思源黑体 CN Medium" w:cs="Times New Roman"/>
          <w:b/>
          <w:bCs/>
          <w:color w:val="1250A1"/>
          <w:sz w:val="32"/>
          <w:szCs w:val="32"/>
          <w:lang w:val="en-US" w:eastAsia="zh-CN"/>
        </w:rPr>
        <w:t>样本质控情况</w:t>
      </w:r>
      <w:bookmarkEnd w:id="67"/>
      <w:bookmarkEnd w:id="68"/>
      <w:bookmarkEnd w:id="69"/>
      <w:bookmarkEnd w:id="70"/>
      <w:bookmarkEnd w:id="71"/>
      <w:bookmarkEnd w:id="7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5B3954ED">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60B3934C">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503B416B">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70AF5F3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≥100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≥20</w:t>
            </w:r>
            <w:r>
              <w:rPr>
                <w:rFonts w:hint="default" w:ascii="Times New Roman" w:hAnsi="Times New Roman" w:eastAsia="思源黑体 CN Medium" w:cs="Times New Roman"/>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if summaryOfRresults.type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overall_quality_assessment }}</w:t>
            </w:r>
          </w:p>
        </w:tc>
      </w:tr>
    </w:tbl>
    <w:p w14:paraId="2B03267D">
      <w:pPr>
        <w:spacing w:before="53" w:line="301" w:lineRule="exact"/>
        <w:rPr>
          <w:rFonts w:hint="default" w:ascii="Times New Roman" w:hAnsi="Times New Roman" w:eastAsia="思源黑体 CN Medium" w:cs="Times New Roman"/>
          <w:bCs/>
          <w:sz w:val="18"/>
          <w:highlight w:val="yellow"/>
          <w:lang w:eastAsia="zh-CN"/>
        </w:rPr>
      </w:pPr>
      <w:r>
        <w:rPr>
          <w:rFonts w:hint="default" w:ascii="Times New Roman" w:hAnsi="Times New Roman" w:eastAsia="思源黑体 CN Medium" w:cs="Times New Roman"/>
          <w:b/>
          <w:sz w:val="18"/>
          <w:lang w:eastAsia="zh-CN"/>
        </w:rPr>
        <w:t>注：</w:t>
      </w:r>
    </w:p>
    <w:p w14:paraId="2573BF25">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血浆cfDNA样本不做此项评估。</w:t>
      </w:r>
      <w:r>
        <w:rPr>
          <w:rFonts w:hint="default" w:ascii="Times New Roman" w:hAnsi="Times New Roman" w:eastAsia="思源黑体 CN Medium" w:cs="Times New Roman"/>
          <w:sz w:val="21"/>
          <w:lang w:eastAsia="zh-CN"/>
        </w:rPr>
        <w:t>{% endif %}</w:t>
      </w:r>
    </w:p>
    <w:p w14:paraId="2D3ACEA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DNA降解程度：</w:t>
      </w:r>
      <w:r>
        <w:rPr>
          <w:rFonts w:hint="default" w:ascii="Times New Roman" w:hAnsi="Times New Roman" w:eastAsia="思源黑体 CN Medium" w:cs="Times New Roman"/>
          <w:sz w:val="21"/>
          <w:lang w:eastAsia="zh-CN"/>
        </w:rPr>
        <w:t>{% if summaryOfRresults.type == “blood” %}</w:t>
      </w:r>
      <w:r>
        <w:rPr>
          <w:rFonts w:hint="default" w:ascii="Times New Roman" w:hAnsi="Times New Roman" w:eastAsia="思源黑体 CN Medium" w:cs="Times New Roman"/>
          <w:sz w:val="18"/>
          <w:lang w:eastAsia="zh-CN"/>
        </w:rPr>
        <w:t>cfDNA样本不适用于此项评估。</w:t>
      </w:r>
      <w:r>
        <w:rPr>
          <w:rFonts w:hint="default" w:ascii="Times New Roman" w:hAnsi="Times New Roman" w:eastAsia="思源黑体 CN Medium" w:cs="Times New Roman"/>
          <w:sz w:val="21"/>
          <w:lang w:eastAsia="zh-CN"/>
        </w:rPr>
        <w:t>{% endif %}</w:t>
      </w:r>
    </w:p>
    <w:p w14:paraId="134BBBB8">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bookmarkEnd w:id="19"/>
    <w:p w14:paraId="7D0F8D1D">
      <w:pPr>
        <w:outlineLvl w:val="1"/>
        <w:rPr>
          <w:rFonts w:hint="default" w:ascii="Times New Roman" w:hAnsi="Times New Roman" w:eastAsia="思源黑体 CN Medium" w:cs="Times New Roman"/>
          <w:b/>
          <w:bCs/>
          <w:color w:val="1250A1"/>
          <w:sz w:val="32"/>
          <w:szCs w:val="32"/>
          <w:lang w:eastAsia="zh-CN"/>
        </w:rPr>
      </w:pPr>
      <w:bookmarkStart w:id="73" w:name="_Toc4222"/>
      <w:bookmarkStart w:id="74" w:name="_Toc28910_WPSOffice_Level1"/>
      <w:bookmarkStart w:id="75" w:name="_Toc16368_WPSOffice_Level1"/>
      <w:bookmarkStart w:id="76" w:name="_Toc7549"/>
      <w:bookmarkStart w:id="77" w:name="_Toc11722"/>
      <w:bookmarkStart w:id="78" w:name="_Toc19099"/>
      <w:bookmarkStart w:id="79" w:name="_Toc22484_WPSOffice_Level1"/>
      <w:bookmarkStart w:id="80" w:name="_Toc10126"/>
      <w:r>
        <w:rPr>
          <w:rFonts w:hint="default" w:ascii="Times New Roman" w:hAnsi="Times New Roman" w:eastAsia="思源黑体 CN Medium" w:cs="Times New Roman"/>
          <w:b/>
          <w:bCs/>
          <w:color w:val="1250A1"/>
          <w:sz w:val="32"/>
          <w:szCs w:val="32"/>
          <w:lang w:eastAsia="zh-CN"/>
        </w:rPr>
        <w:t>检测基因列表</w:t>
      </w:r>
      <w:bookmarkEnd w:id="73"/>
      <w:bookmarkEnd w:id="74"/>
      <w:bookmarkEnd w:id="75"/>
      <w:bookmarkEnd w:id="76"/>
      <w:bookmarkEnd w:id="77"/>
      <w:bookmarkEnd w:id="78"/>
      <w:bookmarkEnd w:id="79"/>
      <w:bookmarkEnd w:id="80"/>
      <w:bookmarkStart w:id="81" w:name="_Toc17111_WPSOffice_Level2"/>
      <w:bookmarkStart w:id="82" w:name="_Toc11193_WPSOffice_Level2"/>
      <w:bookmarkStart w:id="83" w:name="_Toc3488_WPSOffice_Level2"/>
      <w:bookmarkStart w:id="84" w:name="_Toc19280_WPSOffice_Level2"/>
      <w:bookmarkStart w:id="85" w:name="_Toc31515_WPSOffice_Level2"/>
      <w:bookmarkStart w:id="86" w:name="_Toc6304_WPSOffice_Level2"/>
      <w:bookmarkStart w:id="87" w:name="_Toc6931_WPSOffice_Level2"/>
      <w:bookmarkStart w:id="88" w:name="_Toc28454_WPSOffice_Level1"/>
    </w:p>
    <w:bookmarkEnd w:id="81"/>
    <w:bookmarkEnd w:id="82"/>
    <w:bookmarkEnd w:id="83"/>
    <w:bookmarkEnd w:id="84"/>
    <w:bookmarkEnd w:id="85"/>
    <w:bookmarkEnd w:id="86"/>
    <w:bookmarkEnd w:id="87"/>
    <w:tbl>
      <w:tblPr>
        <w:tblStyle w:val="15"/>
        <w:tblpPr w:leftFromText="180" w:rightFromText="180" w:vertAnchor="text" w:horzAnchor="page" w:tblpX="1087" w:tblpY="264"/>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hint="default" w:ascii="Times New Roman" w:hAnsi="Times New Roman" w:eastAsia="思源黑体 CN Medium" w:cs="Times New Roman"/>
                <w:iCs/>
                <w:color w:val="333333"/>
                <w:sz w:val="16"/>
                <w:szCs w:val="16"/>
                <w:lang w:eastAsia="zh-CN" w:bidi="ar"/>
              </w:rPr>
            </w:pPr>
            <w:bookmarkStart w:id="89" w:name="_Toc5476"/>
            <w:bookmarkStart w:id="90" w:name="_Toc26985_WPSOffice_Level1"/>
            <w:bookmarkStart w:id="91" w:name="_Toc20170_WPSOffice_Level1"/>
            <w:r>
              <w:rPr>
                <w:rFonts w:hint="default" w:ascii="Times New Roman" w:hAnsi="Times New Roman" w:eastAsia="思源黑体 CN Medium" w:cs="Times New Roman"/>
                <w:sz w:val="18"/>
                <w:szCs w:val="18"/>
                <w:lang w:eastAsia="zh-CN"/>
              </w:rPr>
              <w:t>{%tr for Gene in gene.genes | red(8,16,True) %}</w:t>
            </w:r>
          </w:p>
        </w:tc>
      </w:tr>
      <w:tr w14:paraId="66CDA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Gene[0] }}</w:t>
            </w:r>
          </w:p>
        </w:tc>
        <w:tc>
          <w:tcPr>
            <w:tcW w:w="1202" w:type="dxa"/>
            <w:shd w:val="clear" w:color="auto" w:fill="auto"/>
            <w:noWrap/>
            <w:vAlign w:val="center"/>
          </w:tcPr>
          <w:p w14:paraId="4D7585EF">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Gene[1] }}</w:t>
            </w:r>
          </w:p>
        </w:tc>
        <w:tc>
          <w:tcPr>
            <w:tcW w:w="1257" w:type="dxa"/>
            <w:shd w:val="clear" w:color="auto" w:fill="auto"/>
            <w:noWrap/>
            <w:vAlign w:val="center"/>
          </w:tcPr>
          <w:p w14:paraId="24C5F8F4">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Gene[2] }}</w:t>
            </w:r>
          </w:p>
        </w:tc>
        <w:tc>
          <w:tcPr>
            <w:tcW w:w="1225" w:type="dxa"/>
            <w:shd w:val="clear" w:color="auto" w:fill="auto"/>
            <w:noWrap/>
            <w:vAlign w:val="center"/>
          </w:tcPr>
          <w:p w14:paraId="4F7D0512">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Gene[3] }}</w:t>
            </w:r>
          </w:p>
        </w:tc>
        <w:tc>
          <w:tcPr>
            <w:tcW w:w="1323" w:type="dxa"/>
            <w:shd w:val="clear" w:color="auto" w:fill="auto"/>
            <w:noWrap/>
            <w:vAlign w:val="center"/>
          </w:tcPr>
          <w:p w14:paraId="7F7BF068">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Gene[4] }}</w:t>
            </w:r>
          </w:p>
        </w:tc>
        <w:tc>
          <w:tcPr>
            <w:tcW w:w="1236" w:type="dxa"/>
            <w:shd w:val="clear" w:color="auto" w:fill="auto"/>
            <w:noWrap/>
            <w:vAlign w:val="center"/>
          </w:tcPr>
          <w:p w14:paraId="776A2C41">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Gene[5] }}</w:t>
            </w:r>
          </w:p>
        </w:tc>
        <w:tc>
          <w:tcPr>
            <w:tcW w:w="1202" w:type="dxa"/>
            <w:shd w:val="clear" w:color="auto" w:fill="auto"/>
            <w:noWrap/>
            <w:vAlign w:val="center"/>
          </w:tcPr>
          <w:p w14:paraId="3DB2C3CC">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Gene[6] }}</w:t>
            </w:r>
          </w:p>
        </w:tc>
        <w:tc>
          <w:tcPr>
            <w:tcW w:w="1213" w:type="dxa"/>
            <w:shd w:val="clear" w:color="auto" w:fill="auto"/>
            <w:noWrap/>
            <w:vAlign w:val="center"/>
          </w:tcPr>
          <w:p w14:paraId="38BFF0F6">
            <w:pPr>
              <w:widowControl/>
              <w:rPr>
                <w:rFonts w:hint="default" w:ascii="Times New Roman" w:hAnsi="Times New Roman" w:eastAsia="思源黑体 CN Medium" w:cs="Times New Roman"/>
                <w:i/>
                <w:iCs/>
                <w:color w:val="auto"/>
                <w:sz w:val="16"/>
                <w:szCs w:val="16"/>
                <w:lang w:eastAsia="zh-CN" w:bidi="ar"/>
              </w:rPr>
            </w:pPr>
            <w:r>
              <w:rPr>
                <w:rFonts w:hint="default" w:ascii="Times New Roman" w:hAnsi="Times New Roman" w:eastAsia="思源黑体 CN Medium" w:cs="Times New Roman"/>
                <w:i/>
                <w:iCs/>
                <w:color w:val="auto"/>
                <w:sz w:val="16"/>
                <w:szCs w:val="16"/>
                <w:lang w:eastAsia="zh-CN" w:bidi="ar"/>
              </w:rPr>
              <w:t>{{r Gene[7] }}</w:t>
            </w:r>
          </w:p>
        </w:tc>
      </w:tr>
      <w:tr w14:paraId="3B57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73149F69">
      <w:pPr>
        <w:spacing w:line="259" w:lineRule="exact"/>
        <w:ind w:right="3328"/>
        <w:rPr>
          <w:rFonts w:hint="default" w:ascii="Times New Roman" w:hAnsi="Times New Roman" w:eastAsia="思源黑体 CN Medium" w:cs="Times New Roman"/>
          <w:b/>
          <w:color w:val="416AAB"/>
          <w:sz w:val="24"/>
          <w:lang w:eastAsia="zh-CN"/>
        </w:rPr>
      </w:pPr>
    </w:p>
    <w:p w14:paraId="0CD9862C">
      <w:pPr>
        <w:spacing w:line="259" w:lineRule="exact"/>
        <w:ind w:right="3328"/>
        <w:rPr>
          <w:rFonts w:hint="default" w:ascii="Times New Roman" w:hAnsi="Times New Roman" w:eastAsia="思源黑体 CN Medium" w:cs="Times New Roman"/>
          <w:b/>
          <w:color w:val="416AAB"/>
          <w:sz w:val="24"/>
          <w:lang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w:t>
      </w:r>
    </w:p>
    <w:p w14:paraId="4040C016">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085F60EE">
      <w:pPr>
        <w:outlineLvl w:val="1"/>
        <w:rPr>
          <w:rFonts w:hint="default" w:ascii="Times New Roman" w:hAnsi="Times New Roman" w:eastAsia="思源黑体 CN Medium" w:cs="Times New Roman"/>
          <w:b/>
          <w:bCs/>
          <w:color w:val="1250A1"/>
          <w:sz w:val="32"/>
          <w:szCs w:val="32"/>
          <w:lang w:eastAsia="zh-CN"/>
        </w:rPr>
      </w:pPr>
      <w:bookmarkStart w:id="92" w:name="_Toc3409"/>
      <w:bookmarkStart w:id="93" w:name="_Toc15114"/>
      <w:bookmarkStart w:id="94" w:name="_Toc20098"/>
      <w:bookmarkStart w:id="95" w:name="_Toc9322"/>
      <w:r>
        <w:rPr>
          <w:rFonts w:hint="default" w:ascii="Times New Roman" w:hAnsi="Times New Roman" w:eastAsia="思源黑体 CN Medium" w:cs="Times New Roman"/>
          <w:b/>
          <w:bCs/>
          <w:color w:val="1250A1"/>
          <w:sz w:val="32"/>
          <w:szCs w:val="32"/>
          <w:lang w:eastAsia="zh-CN"/>
        </w:rPr>
        <w:t>检测方法与局限性</w:t>
      </w:r>
      <w:bookmarkEnd w:id="92"/>
      <w:bookmarkEnd w:id="93"/>
      <w:bookmarkEnd w:id="94"/>
    </w:p>
    <w:p w14:paraId="3C8BA6C2">
      <w:pPr>
        <w:rPr>
          <w:rFonts w:hint="default" w:ascii="Times New Roman" w:hAnsi="Times New Roman" w:eastAsia="思源黑体 CN Medium" w:cs="Times New Roman"/>
          <w:highlight w:val="yellow"/>
          <w:lang w:eastAsia="zh-CN"/>
        </w:rPr>
      </w:pPr>
    </w:p>
    <w:p w14:paraId="49EE3D4D">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557FCE2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136DAFFB">
      <w:pPr>
        <w:rPr>
          <w:rFonts w:hint="default" w:ascii="Times New Roman" w:hAnsi="Times New Roman" w:eastAsia="思源黑体 CN Medium" w:cs="Times New Roman"/>
          <w:bCs/>
          <w:sz w:val="21"/>
          <w:szCs w:val="21"/>
          <w:lang w:eastAsia="zh-CN"/>
        </w:rPr>
      </w:pPr>
    </w:p>
    <w:p w14:paraId="73F7BF79">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5949118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442B500F">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88"/>
    <w:bookmarkEnd w:id="89"/>
    <w:bookmarkEnd w:id="90"/>
    <w:bookmarkEnd w:id="91"/>
    <w:bookmarkEnd w:id="95"/>
    <w:p w14:paraId="38C902A6">
      <w:pPr>
        <w:outlineLvl w:val="1"/>
        <w:rPr>
          <w:rFonts w:hint="default" w:ascii="Times New Roman" w:hAnsi="Times New Roman" w:eastAsia="思源黑体 CN Medium" w:cs="Times New Roman"/>
          <w:b/>
          <w:bCs/>
          <w:color w:val="1250A1"/>
          <w:sz w:val="32"/>
          <w:szCs w:val="32"/>
          <w:lang w:eastAsia="zh-CN"/>
        </w:rPr>
      </w:pPr>
      <w:bookmarkStart w:id="96" w:name="_Toc21361"/>
      <w:bookmarkStart w:id="97" w:name="_Toc21649"/>
      <w:bookmarkStart w:id="98" w:name="_Toc25771"/>
      <w:bookmarkStart w:id="99" w:name="_Toc19584_WPSOffice_Level1"/>
      <w:bookmarkStart w:id="100" w:name="_Toc14611_WPSOffice_Level1"/>
      <w:bookmarkStart w:id="101" w:name="_Toc22623"/>
      <w:bookmarkStart w:id="102" w:name="_Toc17792_WPSOffice_Level2"/>
      <w:bookmarkStart w:id="103" w:name="_Toc13275"/>
      <w:bookmarkStart w:id="104" w:name="_Toc22162_WPSOffice_Level1"/>
      <w:r>
        <w:rPr>
          <w:rFonts w:hint="default" w:ascii="Times New Roman" w:hAnsi="Times New Roman" w:eastAsia="思源黑体 CN Medium" w:cs="Times New Roman"/>
          <w:b/>
          <w:bCs/>
          <w:color w:val="1250A1"/>
          <w:sz w:val="32"/>
          <w:szCs w:val="32"/>
          <w:lang w:eastAsia="zh-CN"/>
        </w:rPr>
        <w:t>参考文献</w:t>
      </w:r>
      <w:bookmarkEnd w:id="96"/>
      <w:bookmarkEnd w:id="97"/>
      <w:bookmarkEnd w:id="98"/>
    </w:p>
    <w:bookmarkEnd w:id="99"/>
    <w:bookmarkEnd w:id="100"/>
    <w:bookmarkEnd w:id="101"/>
    <w:bookmarkEnd w:id="102"/>
    <w:bookmarkEnd w:id="103"/>
    <w:bookmarkEnd w:id="104"/>
    <w:p w14:paraId="4B6FAE9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p>
    <w:p w14:paraId="313D65D7">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WHO-Classification-of-Tumours-of-Haematopoietic-and-Lymphoid-Tissues. (20</w:t>
      </w:r>
      <w:r>
        <w:rPr>
          <w:rFonts w:hint="default" w:ascii="Times New Roman" w:hAnsi="Times New Roman" w:eastAsia="思源黑体 CN Medium" w:cs="Times New Roman"/>
          <w:sz w:val="15"/>
          <w:szCs w:val="15"/>
          <w:lang w:val="en-US" w:eastAsia="zh-CN"/>
        </w:rPr>
        <w:t>22</w:t>
      </w:r>
      <w:r>
        <w:rPr>
          <w:rFonts w:hint="default" w:ascii="Times New Roman" w:hAnsi="Times New Roman" w:eastAsia="思源黑体 CN Medium" w:cs="Times New Roman"/>
          <w:sz w:val="15"/>
          <w:szCs w:val="15"/>
          <w:lang w:eastAsia="zh-CN"/>
        </w:rPr>
        <w:t>)</w:t>
      </w:r>
    </w:p>
    <w:p w14:paraId="2ADA8CE4">
      <w:pPr>
        <w:widowControl/>
        <w:spacing w:after="84" w:line="259" w:lineRule="auto"/>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中国临床肿瘤学会（CSCO）</w:t>
      </w:r>
      <w:r>
        <w:rPr>
          <w:rFonts w:hint="default" w:ascii="Times New Roman" w:hAnsi="Times New Roman" w:eastAsia="思源黑体 CN Medium" w:cs="Times New Roman"/>
          <w:sz w:val="15"/>
          <w:szCs w:val="15"/>
          <w:lang w:eastAsia="zh-CN"/>
        </w:rPr>
        <w:t>淋巴瘤</w:t>
      </w:r>
      <w:r>
        <w:rPr>
          <w:rFonts w:hint="default" w:ascii="Times New Roman" w:hAnsi="Times New Roman" w:eastAsia="思源黑体 CN Medium" w:cs="Times New Roman"/>
          <w:sz w:val="15"/>
          <w:szCs w:val="15"/>
          <w:lang w:eastAsia="zh-Hans"/>
        </w:rPr>
        <w:t>诊疗指南202</w:t>
      </w:r>
      <w:r>
        <w:rPr>
          <w:rFonts w:hint="default" w:ascii="Times New Roman" w:hAnsi="Times New Roman" w:eastAsia="思源黑体 CN Medium" w:cs="Times New Roman"/>
          <w:sz w:val="15"/>
          <w:szCs w:val="15"/>
          <w:lang w:val="en-US" w:eastAsia="zh-CN"/>
        </w:rPr>
        <w:t>5</w:t>
      </w:r>
      <w:r>
        <w:rPr>
          <w:rFonts w:hint="default" w:ascii="Times New Roman" w:hAnsi="Times New Roman" w:eastAsia="思源黑体 CN Medium" w:cs="Times New Roman"/>
          <w:sz w:val="15"/>
          <w:szCs w:val="15"/>
          <w:lang w:eastAsia="zh-Hans"/>
        </w:rPr>
        <w:t>.</w:t>
      </w:r>
    </w:p>
    <w:p w14:paraId="10A92E5E">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B-Cell Lymphomas</w:t>
      </w:r>
      <w:r>
        <w:rPr>
          <w:rFonts w:hint="default" w:ascii="Times New Roman" w:hAnsi="Times New Roman" w:eastAsia="思源黑体 CN Medium" w:cs="Times New Roman"/>
          <w:sz w:val="15"/>
          <w:szCs w:val="15"/>
          <w:lang w:eastAsia="zh-CN"/>
        </w:rPr>
        <w:t>.</w:t>
      </w:r>
    </w:p>
    <w:p w14:paraId="3638D943">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Chronic Lymphocytic Leukemia/Small Lymphocytic Lymphoma</w:t>
      </w:r>
      <w:r>
        <w:rPr>
          <w:rFonts w:hint="default" w:ascii="Times New Roman" w:hAnsi="Times New Roman" w:eastAsia="思源黑体 CN Medium" w:cs="Times New Roman"/>
          <w:sz w:val="15"/>
          <w:szCs w:val="15"/>
          <w:lang w:eastAsia="zh-CN"/>
        </w:rPr>
        <w:t>.</w:t>
      </w:r>
    </w:p>
    <w:p w14:paraId="33184974">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Hodgkin Lymphoma</w:t>
      </w:r>
      <w:r>
        <w:rPr>
          <w:rFonts w:hint="default" w:ascii="Times New Roman" w:hAnsi="Times New Roman" w:eastAsia="思源黑体 CN Medium" w:cs="Times New Roman"/>
          <w:sz w:val="15"/>
          <w:szCs w:val="15"/>
          <w:lang w:eastAsia="zh-CN"/>
        </w:rPr>
        <w:t>.</w:t>
      </w:r>
    </w:p>
    <w:p w14:paraId="10B7F6B6">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Aggressive Mature B-Cell Lymphomas</w:t>
      </w:r>
      <w:r>
        <w:rPr>
          <w:rFonts w:hint="default" w:ascii="Times New Roman" w:hAnsi="Times New Roman" w:eastAsia="思源黑体 CN Medium" w:cs="Times New Roman"/>
          <w:sz w:val="15"/>
          <w:szCs w:val="15"/>
          <w:lang w:eastAsia="zh-CN"/>
        </w:rPr>
        <w:t>.</w:t>
      </w:r>
    </w:p>
    <w:p w14:paraId="5F3F8A9B">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Pediatric Hodgkin Lymphoma</w:t>
      </w:r>
      <w:r>
        <w:rPr>
          <w:rFonts w:hint="default" w:ascii="Times New Roman" w:hAnsi="Times New Roman" w:eastAsia="思源黑体 CN Medium" w:cs="Times New Roman"/>
          <w:sz w:val="15"/>
          <w:szCs w:val="15"/>
          <w:lang w:eastAsia="zh-CN"/>
        </w:rPr>
        <w:t>.</w:t>
      </w:r>
    </w:p>
    <w:p w14:paraId="4CFDD791">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Primary Cutaneous Lymphoma</w:t>
      </w:r>
      <w:r>
        <w:rPr>
          <w:rFonts w:hint="default" w:ascii="Times New Roman" w:hAnsi="Times New Roman" w:eastAsia="思源黑体 CN Medium" w:cs="Times New Roman"/>
          <w:sz w:val="15"/>
          <w:szCs w:val="15"/>
          <w:lang w:eastAsia="zh-CN"/>
        </w:rPr>
        <w:t>.</w:t>
      </w:r>
    </w:p>
    <w:p w14:paraId="342EB31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T-Cell Lymphomas</w:t>
      </w:r>
      <w:r>
        <w:rPr>
          <w:rFonts w:hint="default" w:ascii="Times New Roman" w:hAnsi="Times New Roman" w:eastAsia="思源黑体 CN Medium" w:cs="Times New Roman"/>
          <w:sz w:val="15"/>
          <w:szCs w:val="15"/>
          <w:lang w:eastAsia="zh-CN"/>
        </w:rPr>
        <w:t>.</w:t>
      </w:r>
    </w:p>
    <w:p w14:paraId="6E149B0D">
      <w:pPr>
        <w:widowControl/>
        <w:adjustRightInd w:val="0"/>
        <w:snapToGrid w:val="0"/>
        <w:spacing w:after="120" w:afterLines="50"/>
        <w:jc w:val="both"/>
        <w:rPr>
          <w:rFonts w:hint="default" w:ascii="Times New Roman" w:hAnsi="Times New Roman" w:eastAsia="思源黑体 CN Medium" w:cs="Times New Roman"/>
          <w:sz w:val="15"/>
          <w:szCs w:val="15"/>
          <w:lang w:eastAsia="zh-Hans"/>
        </w:rPr>
      </w:pPr>
      <w:r>
        <w:rPr>
          <w:rFonts w:hint="default" w:ascii="Times New Roman" w:hAnsi="Times New Roman" w:eastAsia="思源黑体 CN Medium" w:cs="Times New Roman"/>
          <w:sz w:val="15"/>
          <w:szCs w:val="15"/>
          <w:lang w:eastAsia="zh-Hans"/>
        </w:rPr>
        <w:t xml:space="preserve">NCCN Guidelines </w:t>
      </w:r>
      <w:r>
        <w:rPr>
          <w:rFonts w:hint="default" w:ascii="Times New Roman" w:hAnsi="Times New Roman" w:eastAsia="思源黑体 CN Medium" w:cs="Times New Roman"/>
          <w:sz w:val="15"/>
          <w:szCs w:val="15"/>
          <w:lang w:val="en-US" w:eastAsia="zh-CN"/>
        </w:rPr>
        <w:t>2025</w:t>
      </w:r>
      <w:r>
        <w:rPr>
          <w:rFonts w:hint="default" w:ascii="Times New Roman" w:hAnsi="Times New Roman" w:eastAsia="思源黑体 CN Medium" w:cs="Times New Roman"/>
          <w:sz w:val="15"/>
          <w:szCs w:val="15"/>
          <w:lang w:eastAsia="zh-Hans"/>
        </w:rPr>
        <w:t xml:space="preserve"> Waldenström Macroglobulinemia/Lymphoplasmacytic Lymphoma</w:t>
      </w:r>
      <w:r>
        <w:rPr>
          <w:rFonts w:hint="default" w:ascii="Times New Roman" w:hAnsi="Times New Roman" w:eastAsia="思源黑体 CN Medium" w:cs="Times New Roman"/>
          <w:sz w:val="15"/>
          <w:szCs w:val="15"/>
          <w:lang w:eastAsia="zh-CN"/>
        </w:rPr>
        <w:t>.</w:t>
      </w:r>
    </w:p>
    <w:p w14:paraId="49C14966">
      <w:pPr>
        <w:widowControl/>
        <w:adjustRightInd w:val="0"/>
        <w:snapToGrid w:val="0"/>
        <w:spacing w:after="120" w:afterLines="50"/>
        <w:jc w:val="both"/>
        <w:rPr>
          <w:rFonts w:hint="default" w:ascii="Times New Roman" w:hAnsi="Times New Roman" w:eastAsia="思源黑体 CN Medium" w:cs="Times New Roman"/>
          <w:sz w:val="15"/>
          <w:szCs w:val="15"/>
          <w:lang w:eastAsia="zh-CN"/>
        </w:rPr>
      </w:pPr>
      <w:r>
        <w:rPr>
          <w:rFonts w:hint="default" w:ascii="Times New Roman" w:hAnsi="Times New Roman" w:eastAsia="思源黑体 CN Medium" w:cs="Times New Roman"/>
          <w:sz w:val="15"/>
          <w:szCs w:val="15"/>
          <w:lang w:eastAsia="zh-CN"/>
        </w:rPr>
        <w:t>《二代测序技术在血液肿瘤中的应用中国专家共识（2018年版）》,</w:t>
      </w:r>
      <w:r>
        <w:rPr>
          <w:rFonts w:hint="default" w:ascii="Times New Roman" w:hAnsi="Times New Roman" w:eastAsia="思源黑体 CN Medium" w:cs="Times New Roman"/>
          <w:lang w:eastAsia="zh-CN"/>
        </w:rPr>
        <w:t xml:space="preserve"> </w:t>
      </w:r>
      <w:r>
        <w:rPr>
          <w:rFonts w:hint="default" w:ascii="Times New Roman" w:hAnsi="Times New Roman" w:eastAsia="思源黑体 CN Medium" w:cs="Times New Roman"/>
          <w:sz w:val="15"/>
          <w:szCs w:val="15"/>
          <w:lang w:eastAsia="zh-CN"/>
        </w:rPr>
        <w:t>中国抗癌协会血液肿瘤专业委员会等.临床血液学杂志.2019,32(5):341-344.</w:t>
      </w:r>
    </w:p>
    <w:p w14:paraId="77CCFD43">
      <w:pPr>
        <w:widowControl/>
        <w:spacing w:after="84" w:line="259" w:lineRule="auto"/>
        <w:rPr>
          <w:rFonts w:hint="default" w:ascii="Times New Roman" w:hAnsi="Times New Roman" w:eastAsia="思源黑体 CN Medium" w:cs="Times New Roman"/>
          <w:sz w:val="15"/>
          <w:szCs w:val="15"/>
          <w:lang w:eastAsia="zh-CN"/>
        </w:rPr>
      </w:pPr>
    </w:p>
    <w:p w14:paraId="241E679A">
      <w:pPr>
        <w:rPr>
          <w:rFonts w:hint="default" w:ascii="Times New Roman" w:hAnsi="Times New Roman" w:eastAsia="思源黑体 CN Medium" w:cs="Times New Roman"/>
          <w:lang w:eastAsia="zh-CN"/>
        </w:rPr>
        <w:sectPr>
          <w:headerReference r:id="rId7" w:type="default"/>
          <w:footerReference r:id="rId8"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720" w:num="1"/>
        </w:sectPr>
      </w:pPr>
    </w:p>
    <w:p w14:paraId="1BC5DEE8">
      <w:pPr>
        <w:pStyle w:val="14"/>
        <w:widowControl/>
        <w:rPr>
          <w:rFonts w:hint="default" w:ascii="Times New Roman" w:hAnsi="Times New Roman" w:eastAsia="思源黑体 CN Medium" w:cs="Times New Roman"/>
          <w:sz w:val="15"/>
          <w:szCs w:val="15"/>
          <w:lang w:val="en-US" w:eastAsia="zh-CN"/>
        </w:r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02ECFCD">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017B7639">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default" w:ascii="Times New Roman" w:hAnsi="Times New Roman" w:eastAsia="微软雅黑" w:cs="Times New Roman"/>
                <w:color w:val="FFFFFF" w:themeColor="background1"/>
                <w:sz w:val="18"/>
                <w:szCs w:val="18"/>
                <w14:textFill>
                  <w14:solidFill>
                    <w14:schemeClr w14:val="bg1"/>
                  </w14:solidFill>
                </w14:textFill>
              </w:rPr>
            </w:pPr>
            <w:r>
              <w:rPr>
                <w:rFonts w:hint="default" w:ascii="Times New Roman" w:hAnsi="Times New Roman" w:eastAsia="微软雅黑" w:cs="Times New Roman"/>
                <w:color w:val="FFFFFF" w:themeColor="background1"/>
                <w:sz w:val="18"/>
                <w:szCs w:val="18"/>
                <w14:textFill>
                  <w14:solidFill>
                    <w14:schemeClr w14:val="bg1"/>
                  </w14:solidFill>
                </w14:textFill>
              </w:rPr>
              <w:t>邮箱：</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begin"/>
            </w:r>
            <w:r>
              <w:rPr>
                <w:rFonts w:hint="default" w:ascii="Times New Roman" w:hAnsi="Times New Roman" w:eastAsia="微软雅黑" w:cs="Times New Roman"/>
                <w:color w:val="FFFFFF" w:themeColor="background1"/>
                <w:sz w:val="18"/>
                <w:szCs w:val="18"/>
                <w14:textFill>
                  <w14:solidFill>
                    <w14:schemeClr w14:val="bg1"/>
                  </w14:solidFill>
                </w14:textFill>
              </w:rPr>
              <w:instrText xml:space="preserve"> HYPERLINK "mailto:szsys@hbblkj.com" </w:instrTex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separate"/>
            </w:r>
            <w:r>
              <w:rPr>
                <w:rFonts w:hint="default" w:ascii="Times New Roman" w:hAnsi="Times New Roman" w:eastAsia="微软雅黑" w:cs="Times New Roman"/>
                <w:color w:val="FFFFFF" w:themeColor="background1"/>
                <w:sz w:val="18"/>
                <w:szCs w:val="18"/>
                <w14:textFill>
                  <w14:solidFill>
                    <w14:schemeClr w14:val="bg1"/>
                  </w14:solidFill>
                </w14:textFill>
              </w:rPr>
              <w:t>szsys@hbblkj.com</w:t>
            </w:r>
            <w:r>
              <w:rPr>
                <w:rFonts w:hint="default" w:ascii="Times New Roman" w:hAnsi="Times New Roman" w:eastAsia="微软雅黑" w:cs="Times New Roman"/>
                <w:color w:val="FFFFFF" w:themeColor="background1"/>
                <w:sz w:val="18"/>
                <w:szCs w:val="18"/>
                <w14:textFill>
                  <w14:solidFill>
                    <w14:schemeClr w14:val="bg1"/>
                  </w14:solidFill>
                </w14:textFill>
              </w:rPr>
              <w:fldChar w:fldCharType="end"/>
            </w:r>
          </w:p>
          <w:p w14:paraId="2947D815">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ascii="Times New Roman" w:hAnsi="Times New Roman" w:eastAsia="微软雅黑" w:cs="Times New Roman"/>
                <w:vertAlign w:val="baseline"/>
                <w:lang w:val="en-US" w:eastAsia="zh-CN"/>
              </w:rPr>
            </w:pPr>
            <w:r>
              <w:rPr>
                <w:rFonts w:hint="default" w:ascii="Times New Roman" w:hAnsi="Times New Roman" w:eastAsia="微软雅黑" w:cs="Times New Roman"/>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t xml:space="preserve">           客服咨询 </w:t>
            </w:r>
          </w:p>
        </w:tc>
      </w:tr>
    </w:tbl>
    <w:p w14:paraId="5BDA1D97">
      <w:pPr>
        <w:pStyle w:val="14"/>
        <w:widowControl/>
        <w:rPr>
          <w:rFonts w:hint="default" w:ascii="Times New Roman" w:hAnsi="Times New Roman" w:eastAsia="思源黑体 CN Medium" w:cs="Times New Roman"/>
          <w:sz w:val="22"/>
        </w:rPr>
      </w:pPr>
      <w:r>
        <w:rPr>
          <w:rFonts w:hint="default" w:ascii="Times New Roman" w:hAnsi="Times New Roman" w:eastAsia="思源黑体 CN Medium" w:cs="Times New Roman"/>
          <w:sz w:val="15"/>
          <w:szCs w:val="15"/>
          <w:lang w:val="en-US" w:eastAsia="zh-CN"/>
        </w:rPr>
        <w:drawing>
          <wp:anchor distT="0" distB="0" distL="114300" distR="114300" simplePos="0" relativeHeight="251664384" behindDoc="0" locked="0" layoutInCell="1" allowOverlap="1">
            <wp:simplePos x="0" y="0"/>
            <wp:positionH relativeFrom="column">
              <wp:posOffset>5410835</wp:posOffset>
            </wp:positionH>
            <wp:positionV relativeFrom="paragraph">
              <wp:posOffset>8194040</wp:posOffset>
            </wp:positionV>
            <wp:extent cx="876300" cy="881380"/>
            <wp:effectExtent l="0" t="0" r="7620" b="2540"/>
            <wp:wrapNone/>
            <wp:docPr id="24" name="图片 24"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分子客服"/>
                    <pic:cNvPicPr>
                      <a:picLocks noChangeAspect="1"/>
                    </pic:cNvPicPr>
                  </pic:nvPicPr>
                  <pic:blipFill>
                    <a:blip r:embed="rId14"/>
                    <a:stretch>
                      <a:fillRect/>
                    </a:stretch>
                  </pic:blipFill>
                  <pic:spPr>
                    <a:xfrm>
                      <a:off x="0" y="0"/>
                      <a:ext cx="876300" cy="881380"/>
                    </a:xfrm>
                    <a:prstGeom prst="rect">
                      <a:avLst/>
                    </a:prstGeom>
                  </pic:spPr>
                </pic:pic>
              </a:graphicData>
            </a:graphic>
          </wp:anchor>
        </w:drawing>
      </w:r>
      <w:r>
        <w:rPr>
          <w:rFonts w:hint="default" w:ascii="Times New Roman" w:hAnsi="Times New Roman" w:eastAsia="思源黑体 CN Medium" w:cs="Times New Roman"/>
          <w:sz w:val="15"/>
          <w:szCs w:val="15"/>
          <w:lang w:val="en-US" w:eastAsia="zh-CN"/>
        </w:rPr>
        <w:drawing>
          <wp:anchor distT="0" distB="0" distL="114300" distR="114300" simplePos="0" relativeHeight="251665408" behindDoc="1" locked="0" layoutInCell="1" allowOverlap="1">
            <wp:simplePos x="0" y="0"/>
            <wp:positionH relativeFrom="column">
              <wp:posOffset>-531495</wp:posOffset>
            </wp:positionH>
            <wp:positionV relativeFrom="paragraph">
              <wp:posOffset>-911860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5"/>
                    <a:stretch>
                      <a:fillRect/>
                    </a:stretch>
                  </pic:blipFill>
                  <pic:spPr>
                    <a:xfrm>
                      <a:off x="0" y="0"/>
                      <a:ext cx="7566660" cy="10690860"/>
                    </a:xfrm>
                    <a:prstGeom prst="rect">
                      <a:avLst/>
                    </a:prstGeom>
                  </pic:spPr>
                </pic:pic>
              </a:graphicData>
            </a:graphic>
          </wp:anchor>
        </w:drawing>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900AC0">
    <w:pPr>
      <w:pStyle w:val="9"/>
    </w:pPr>
    <w:r>
      <w:rPr>
        <w:rFonts w:hint="eastAsia" w:eastAsia="宋体"/>
        <w:lang w:eastAsia="zh-CN"/>
      </w:rPr>
      <w:drawing>
        <wp:anchor distT="0" distB="0" distL="114300" distR="114300" simplePos="0" relativeHeight="251666432"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page">
                <wp:posOffset>3509010</wp:posOffset>
              </wp:positionH>
              <wp:positionV relativeFrom="paragraph">
                <wp:posOffset>25400</wp:posOffset>
              </wp:positionV>
              <wp:extent cx="104775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04775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76.3pt;margin-top:2pt;height:20.8pt;width:82.5pt;mso-position-horizontal-relative:page;z-index:251659264;mso-width-relative:page;mso-height-relative:page;" filled="f" stroked="f" coordsize="21600,21600" o:gfxdata="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W/xTdUAAAAIAQAADwAAAAAAAAABACAAAAAiAAAAZHJzL2Rvd25yZXYueG1sUEsB&#10;AhQAFAAAAAgAh07iQCSonkgxAgAAWAQAAA4AAAAAAAAAAQAgAAAAJAEAAGRycy9lMm9Eb2MueG1s&#10;UEsFBgAAAAAGAAYAWQEAAMc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94E63">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6A4A8">
    <w:pPr>
      <w:keepNext w:val="0"/>
      <w:keepLines w:val="0"/>
      <w:pageBreakBefore w:val="0"/>
      <w:widowControl w:val="0"/>
      <w:kinsoku/>
      <w:wordWrap/>
      <w:overflowPunct/>
      <w:topLinePunct w:val="0"/>
      <w:bidi w:val="0"/>
      <w:adjustRightInd/>
      <w:snapToGrid/>
      <w:spacing w:line="240" w:lineRule="auto"/>
      <w:jc w:val="right"/>
      <w:textAlignment w:val="auto"/>
      <w:rPr>
        <w:sz w:val="20"/>
        <w:szCs w:val="20"/>
        <w:lang w:eastAsia="zh-CN"/>
      </w:rPr>
    </w:pPr>
    <w:r>
      <w:rPr>
        <w:rFonts w:hint="eastAsia" w:eastAsia="宋体"/>
        <w:lang w:eastAsia="zh-CN"/>
      </w:rPr>
      <w:drawing>
        <wp:inline distT="0" distB="0" distL="114300" distR="114300">
          <wp:extent cx="883285" cy="655955"/>
          <wp:effectExtent l="0" t="0" r="635" b="0"/>
          <wp:docPr id="22" name="图片 2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29B4"/>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E5A5D"/>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9A406C"/>
    <w:rsid w:val="05CC64B2"/>
    <w:rsid w:val="05D63B33"/>
    <w:rsid w:val="05E35286"/>
    <w:rsid w:val="06A61E8D"/>
    <w:rsid w:val="06B259C3"/>
    <w:rsid w:val="06E36A2C"/>
    <w:rsid w:val="06EB7F4D"/>
    <w:rsid w:val="074043CC"/>
    <w:rsid w:val="07AB34E7"/>
    <w:rsid w:val="07AC3704"/>
    <w:rsid w:val="07C35693"/>
    <w:rsid w:val="07CC37A4"/>
    <w:rsid w:val="07D36A00"/>
    <w:rsid w:val="07DB59EB"/>
    <w:rsid w:val="07F54F0C"/>
    <w:rsid w:val="083262D3"/>
    <w:rsid w:val="083F50A2"/>
    <w:rsid w:val="08767256"/>
    <w:rsid w:val="088D7FF0"/>
    <w:rsid w:val="08AE00F1"/>
    <w:rsid w:val="08FF6B9F"/>
    <w:rsid w:val="09097AEB"/>
    <w:rsid w:val="09661F7E"/>
    <w:rsid w:val="09705B33"/>
    <w:rsid w:val="09BD4AE8"/>
    <w:rsid w:val="09CB6DEF"/>
    <w:rsid w:val="0A043ABA"/>
    <w:rsid w:val="0A4F2135"/>
    <w:rsid w:val="0A757891"/>
    <w:rsid w:val="0A845AB9"/>
    <w:rsid w:val="0ADA7F11"/>
    <w:rsid w:val="0AEC09F3"/>
    <w:rsid w:val="0B024724"/>
    <w:rsid w:val="0B38319D"/>
    <w:rsid w:val="0BC7245D"/>
    <w:rsid w:val="0BEA7418"/>
    <w:rsid w:val="0BF51ABF"/>
    <w:rsid w:val="0C1768CC"/>
    <w:rsid w:val="0C3A0C95"/>
    <w:rsid w:val="0C3E5385"/>
    <w:rsid w:val="0C96240B"/>
    <w:rsid w:val="0CC26BD0"/>
    <w:rsid w:val="0CC900DB"/>
    <w:rsid w:val="0CD8398F"/>
    <w:rsid w:val="0D055CE8"/>
    <w:rsid w:val="0D181FDD"/>
    <w:rsid w:val="0D422A78"/>
    <w:rsid w:val="0D495F97"/>
    <w:rsid w:val="0D751A5B"/>
    <w:rsid w:val="0D8747A0"/>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B348B4"/>
    <w:rsid w:val="15D73C77"/>
    <w:rsid w:val="165063E4"/>
    <w:rsid w:val="16A90098"/>
    <w:rsid w:val="16B202DE"/>
    <w:rsid w:val="16BD5BE8"/>
    <w:rsid w:val="16E67B0D"/>
    <w:rsid w:val="16F32DF9"/>
    <w:rsid w:val="16F85DAD"/>
    <w:rsid w:val="179E5A16"/>
    <w:rsid w:val="17EF172D"/>
    <w:rsid w:val="18361E85"/>
    <w:rsid w:val="184F5A03"/>
    <w:rsid w:val="18712CC9"/>
    <w:rsid w:val="188B1EE6"/>
    <w:rsid w:val="188E10A8"/>
    <w:rsid w:val="19062F57"/>
    <w:rsid w:val="19437087"/>
    <w:rsid w:val="198D5B01"/>
    <w:rsid w:val="199369D8"/>
    <w:rsid w:val="19F921AA"/>
    <w:rsid w:val="1A0652E5"/>
    <w:rsid w:val="1A3A3F65"/>
    <w:rsid w:val="1B28649B"/>
    <w:rsid w:val="1B570F0A"/>
    <w:rsid w:val="1B612D64"/>
    <w:rsid w:val="1B651E30"/>
    <w:rsid w:val="1BA36B7F"/>
    <w:rsid w:val="1BAD3E87"/>
    <w:rsid w:val="1BBA682B"/>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DB4B64"/>
    <w:rsid w:val="1EEB2832"/>
    <w:rsid w:val="1F2B7CAE"/>
    <w:rsid w:val="1F3512A1"/>
    <w:rsid w:val="1F68534E"/>
    <w:rsid w:val="1F697B09"/>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0C7A96"/>
    <w:rsid w:val="2322058C"/>
    <w:rsid w:val="235C2C2A"/>
    <w:rsid w:val="238E35CE"/>
    <w:rsid w:val="23A203FB"/>
    <w:rsid w:val="23B367B7"/>
    <w:rsid w:val="23DC4798"/>
    <w:rsid w:val="23FF1819"/>
    <w:rsid w:val="24390D5F"/>
    <w:rsid w:val="245E0E58"/>
    <w:rsid w:val="24F86B97"/>
    <w:rsid w:val="252A5A7D"/>
    <w:rsid w:val="253036C5"/>
    <w:rsid w:val="256C4478"/>
    <w:rsid w:val="256E67E6"/>
    <w:rsid w:val="259579AF"/>
    <w:rsid w:val="259721E1"/>
    <w:rsid w:val="259F4542"/>
    <w:rsid w:val="25F63B64"/>
    <w:rsid w:val="262A4A65"/>
    <w:rsid w:val="26395046"/>
    <w:rsid w:val="268C673B"/>
    <w:rsid w:val="26976104"/>
    <w:rsid w:val="271A3FF4"/>
    <w:rsid w:val="271C165B"/>
    <w:rsid w:val="27394565"/>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EF97A69"/>
    <w:rsid w:val="2F28730D"/>
    <w:rsid w:val="2F7377FA"/>
    <w:rsid w:val="2F8D7DD7"/>
    <w:rsid w:val="2FAB4359"/>
    <w:rsid w:val="2FFB2C99"/>
    <w:rsid w:val="30281C88"/>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6A35226"/>
    <w:rsid w:val="371E73E3"/>
    <w:rsid w:val="376B45FB"/>
    <w:rsid w:val="376D57DD"/>
    <w:rsid w:val="37E81DE8"/>
    <w:rsid w:val="38275D59"/>
    <w:rsid w:val="3848012E"/>
    <w:rsid w:val="38F86950"/>
    <w:rsid w:val="390D68A8"/>
    <w:rsid w:val="39525C52"/>
    <w:rsid w:val="3956425B"/>
    <w:rsid w:val="39A64D30"/>
    <w:rsid w:val="3A120448"/>
    <w:rsid w:val="3A202424"/>
    <w:rsid w:val="3A4F678F"/>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892743"/>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4612EC8"/>
    <w:rsid w:val="452112A4"/>
    <w:rsid w:val="4531573E"/>
    <w:rsid w:val="454A2BAB"/>
    <w:rsid w:val="456B1F0F"/>
    <w:rsid w:val="459308E1"/>
    <w:rsid w:val="45A93012"/>
    <w:rsid w:val="45AA6E21"/>
    <w:rsid w:val="45D4644E"/>
    <w:rsid w:val="45F204A2"/>
    <w:rsid w:val="46731369"/>
    <w:rsid w:val="467E0A90"/>
    <w:rsid w:val="46821C9A"/>
    <w:rsid w:val="46864DCE"/>
    <w:rsid w:val="46B14ACF"/>
    <w:rsid w:val="46B72EB2"/>
    <w:rsid w:val="46E84813"/>
    <w:rsid w:val="47325C70"/>
    <w:rsid w:val="476152FA"/>
    <w:rsid w:val="479C40A0"/>
    <w:rsid w:val="47B56EA9"/>
    <w:rsid w:val="487826AC"/>
    <w:rsid w:val="48F33103"/>
    <w:rsid w:val="494527BF"/>
    <w:rsid w:val="497C50C6"/>
    <w:rsid w:val="499E6F1D"/>
    <w:rsid w:val="49B82160"/>
    <w:rsid w:val="49C56F37"/>
    <w:rsid w:val="49DA05ED"/>
    <w:rsid w:val="4A1A1AFC"/>
    <w:rsid w:val="4A1C7F69"/>
    <w:rsid w:val="4A1F72D0"/>
    <w:rsid w:val="4A4A7BE5"/>
    <w:rsid w:val="4A5D78CF"/>
    <w:rsid w:val="4A693618"/>
    <w:rsid w:val="4A83553B"/>
    <w:rsid w:val="4A976212"/>
    <w:rsid w:val="4ABA2F68"/>
    <w:rsid w:val="4ACC052D"/>
    <w:rsid w:val="4B315A79"/>
    <w:rsid w:val="4B35377F"/>
    <w:rsid w:val="4B670988"/>
    <w:rsid w:val="4B6F6E49"/>
    <w:rsid w:val="4BC14EAA"/>
    <w:rsid w:val="4C050246"/>
    <w:rsid w:val="4C0F23A4"/>
    <w:rsid w:val="4C120763"/>
    <w:rsid w:val="4C6263AC"/>
    <w:rsid w:val="4CA74208"/>
    <w:rsid w:val="4CF054E3"/>
    <w:rsid w:val="4D6A309D"/>
    <w:rsid w:val="4D9E31C3"/>
    <w:rsid w:val="4DB6655A"/>
    <w:rsid w:val="4DC108F4"/>
    <w:rsid w:val="4E0176F5"/>
    <w:rsid w:val="4E1B37B3"/>
    <w:rsid w:val="4E4072D7"/>
    <w:rsid w:val="4E414BB2"/>
    <w:rsid w:val="4E7E4296"/>
    <w:rsid w:val="4E803067"/>
    <w:rsid w:val="4ED24E8A"/>
    <w:rsid w:val="4ED75229"/>
    <w:rsid w:val="4EF13605"/>
    <w:rsid w:val="4F2C4F1E"/>
    <w:rsid w:val="4F5624CB"/>
    <w:rsid w:val="4FA113E3"/>
    <w:rsid w:val="4FB467F9"/>
    <w:rsid w:val="4FD02F65"/>
    <w:rsid w:val="50DB2A86"/>
    <w:rsid w:val="50E5138E"/>
    <w:rsid w:val="50FE1750"/>
    <w:rsid w:val="51081F7D"/>
    <w:rsid w:val="510D07DF"/>
    <w:rsid w:val="512D6C02"/>
    <w:rsid w:val="519B28E7"/>
    <w:rsid w:val="521142C4"/>
    <w:rsid w:val="52832C8D"/>
    <w:rsid w:val="529B41B2"/>
    <w:rsid w:val="529C1EF6"/>
    <w:rsid w:val="52DB3A4A"/>
    <w:rsid w:val="52E57CC3"/>
    <w:rsid w:val="5312550A"/>
    <w:rsid w:val="53DE69BF"/>
    <w:rsid w:val="541E45C6"/>
    <w:rsid w:val="54CE5313"/>
    <w:rsid w:val="54D723E8"/>
    <w:rsid w:val="54E85C1C"/>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22857"/>
    <w:rsid w:val="57830686"/>
    <w:rsid w:val="579161E1"/>
    <w:rsid w:val="57C96345"/>
    <w:rsid w:val="57D17697"/>
    <w:rsid w:val="57D92384"/>
    <w:rsid w:val="57EB60A6"/>
    <w:rsid w:val="57ED32D0"/>
    <w:rsid w:val="58020827"/>
    <w:rsid w:val="58147C4F"/>
    <w:rsid w:val="581808D2"/>
    <w:rsid w:val="588E3A11"/>
    <w:rsid w:val="58941028"/>
    <w:rsid w:val="58A44110"/>
    <w:rsid w:val="58DE21CC"/>
    <w:rsid w:val="5927169E"/>
    <w:rsid w:val="5973475B"/>
    <w:rsid w:val="599963B4"/>
    <w:rsid w:val="59D51B3B"/>
    <w:rsid w:val="5AF939E4"/>
    <w:rsid w:val="5B2616E5"/>
    <w:rsid w:val="5B286E5C"/>
    <w:rsid w:val="5B3A4C3E"/>
    <w:rsid w:val="5B884B96"/>
    <w:rsid w:val="5BD614DF"/>
    <w:rsid w:val="5BF93517"/>
    <w:rsid w:val="5CD913D0"/>
    <w:rsid w:val="5D090FC9"/>
    <w:rsid w:val="5D480F4A"/>
    <w:rsid w:val="5D7217AC"/>
    <w:rsid w:val="5D952B68"/>
    <w:rsid w:val="5E167B03"/>
    <w:rsid w:val="5E7F5936"/>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B2933"/>
    <w:rsid w:val="63D615FE"/>
    <w:rsid w:val="640B7333"/>
    <w:rsid w:val="642A7420"/>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4474D"/>
    <w:rsid w:val="67B76D62"/>
    <w:rsid w:val="67D5239C"/>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D7E4E"/>
    <w:rsid w:val="6AFF6DD9"/>
    <w:rsid w:val="6B2031BA"/>
    <w:rsid w:val="6B3034CF"/>
    <w:rsid w:val="6B6721F6"/>
    <w:rsid w:val="6B713444"/>
    <w:rsid w:val="6B7A60D6"/>
    <w:rsid w:val="6B8005EE"/>
    <w:rsid w:val="6B9F6D44"/>
    <w:rsid w:val="6C203A9A"/>
    <w:rsid w:val="6C385BB0"/>
    <w:rsid w:val="6C4B29AA"/>
    <w:rsid w:val="6C5B368C"/>
    <w:rsid w:val="6CA6506C"/>
    <w:rsid w:val="6CB75CCD"/>
    <w:rsid w:val="6D2D26D4"/>
    <w:rsid w:val="6D3247B6"/>
    <w:rsid w:val="6D6F7597"/>
    <w:rsid w:val="6DB36CD1"/>
    <w:rsid w:val="6E9303C1"/>
    <w:rsid w:val="6EC55FDD"/>
    <w:rsid w:val="6ECF03D4"/>
    <w:rsid w:val="6ED70525"/>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6F1ED0"/>
    <w:rsid w:val="748F3308"/>
    <w:rsid w:val="749C38CA"/>
    <w:rsid w:val="74BC7F66"/>
    <w:rsid w:val="74C17D89"/>
    <w:rsid w:val="74DD127A"/>
    <w:rsid w:val="754B1A74"/>
    <w:rsid w:val="75686B98"/>
    <w:rsid w:val="7630676D"/>
    <w:rsid w:val="7677072C"/>
    <w:rsid w:val="76A00464"/>
    <w:rsid w:val="76A021B3"/>
    <w:rsid w:val="76B664D7"/>
    <w:rsid w:val="76E33575"/>
    <w:rsid w:val="76EB2B73"/>
    <w:rsid w:val="76F275C9"/>
    <w:rsid w:val="770644ED"/>
    <w:rsid w:val="770B0914"/>
    <w:rsid w:val="77A33591"/>
    <w:rsid w:val="77D16924"/>
    <w:rsid w:val="77EA549A"/>
    <w:rsid w:val="782C2784"/>
    <w:rsid w:val="78326601"/>
    <w:rsid w:val="78C42C57"/>
    <w:rsid w:val="79276A37"/>
    <w:rsid w:val="797F7147"/>
    <w:rsid w:val="79862C62"/>
    <w:rsid w:val="79BE2A91"/>
    <w:rsid w:val="79D56CEE"/>
    <w:rsid w:val="79FE23AA"/>
    <w:rsid w:val="7A023F5F"/>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BA173E"/>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table" w:customStyle="1" w:styleId="47">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2753</Words>
  <Characters>6295</Characters>
  <Lines>126</Lines>
  <Paragraphs>35</Paragraphs>
  <TotalTime>0</TotalTime>
  <ScaleCrop>false</ScaleCrop>
  <LinksUpToDate>false</LinksUpToDate>
  <CharactersWithSpaces>6807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2025-08-21T07:55:16Z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