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C4C3AC2">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检测基因列表（639个基因）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621DF2F">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07825547"/>
      <w:bookmarkStart w:id="4" w:name="_Toc24178_WPSOffice_Level1"/>
      <w:bookmarkStart w:id="5" w:name="_Toc14123"/>
      <w:bookmarkStart w:id="6" w:name="_Toc21009_WPSOffice_Level1"/>
      <w:bookmarkStart w:id="7" w:name="_Toc21669"/>
      <w:bookmarkStart w:id="8" w:name="_Toc30143_WPSOffice_Level1"/>
      <w:bookmarkStart w:id="9" w:name="_Toc409"/>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29272"/>
      <w:bookmarkStart w:id="13" w:name="_Toc11015_WPSOffice_Level1"/>
      <w:bookmarkStart w:id="14" w:name="_Toc16697"/>
      <w:bookmarkStart w:id="15" w:name="_Toc18062_WPSOffice_Level1"/>
      <w:bookmarkStart w:id="16" w:name="_Toc26731"/>
      <w:bookmarkStart w:id="17" w:name="_Toc1745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本产品利用探针杂交捕获技术和高通量测序技术全面检测639个基因，基于RNA水平精准检测多种重排，包括已知、未知以及复杂融合变异类型，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.cancerCount639}}{%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0136_WPSOffice_Level1"/>
      <w:bookmarkStart w:id="27" w:name="_Toc13776"/>
      <w:bookmarkStart w:id="28" w:name="_Toc22132"/>
      <w:bookmarkStart w:id="29" w:name="_Toc19898_WPSOffice_Level1"/>
      <w:bookmarkStart w:id="30" w:name="_Toc2781"/>
      <w:bookmarkStart w:id="31" w:name="_Toc24235"/>
      <w:bookmarkStart w:id="32" w:name="_Toc2866"/>
      <w:bookmarkStart w:id="33" w:name="_Toc107825550"/>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639</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639</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639</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31051"/>
      <w:bookmarkStart w:id="43" w:name="_Toc10223"/>
      <w:bookmarkStart w:id="44" w:name="_Toc2003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32443_WPSOffice_Level1"/>
      <w:bookmarkStart w:id="46" w:name="_Toc359"/>
      <w:bookmarkStart w:id="47" w:name="_Toc29372"/>
      <w:bookmarkStart w:id="48" w:name="_Toc180"/>
      <w:bookmarkStart w:id="49" w:name="_Toc23846_WPSOffice_Level1"/>
      <w:bookmarkStart w:id="50" w:name="_Toc4331_WPSOffice_Level1"/>
      <w:bookmarkStart w:id="51" w:name="_Toc24960"/>
      <w:bookmarkStart w:id="52" w:name="_Toc107825555"/>
      <w:bookmarkStart w:id="53" w:name="_Toc25727"/>
      <w:bookmarkStart w:id="54" w:name="_Toc23903"/>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8240"/>
      <w:bookmarkStart w:id="59" w:name="_Toc21764_WPSOffice_Level1"/>
      <w:bookmarkStart w:id="60" w:name="_Toc107825561"/>
      <w:bookmarkStart w:id="61" w:name="_Toc11294"/>
      <w:bookmarkStart w:id="62" w:name="_Toc13698"/>
      <w:bookmarkStart w:id="63" w:name="_Toc13196_WPSOffice_Level1"/>
      <w:bookmarkStart w:id="64" w:name="_Toc1707_WPSOffice_Level1"/>
      <w:bookmarkStart w:id="65" w:name="_Toc27302"/>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9066"/>
      <w:bookmarkStart w:id="69" w:name="_Toc24085_WPSOffice_Level1"/>
      <w:bookmarkStart w:id="70" w:name="_Toc27230"/>
      <w:bookmarkStart w:id="71" w:name="_Toc15840_WPSOffice_Level1"/>
      <w:bookmarkStart w:id="72" w:name="_Toc28605"/>
      <w:bookmarkStart w:id="73" w:name="_Toc3674"/>
      <w:bookmarkStart w:id="74" w:name="_Toc32150"/>
      <w:bookmarkStart w:id="75" w:name="_Toc19101"/>
      <w:bookmarkStart w:id="76" w:name="_Toc14255_WPSOffice_Level1"/>
      <w:bookmarkStart w:id="77" w:name="_Toc11896_WPSOffice_Level1"/>
      <w:bookmarkStart w:id="78" w:name="_Toc28810_WPSOffice_Level1"/>
      <w:bookmarkStart w:id="79" w:name="_Toc23688"/>
      <w:bookmarkStart w:id="80" w:name="_Toc11193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4303"/>
      <w:bookmarkStart w:id="82" w:name="_Toc107330130"/>
      <w:bookmarkStart w:id="83" w:name="_Toc31843"/>
      <w:bookmarkStart w:id="84" w:name="_Toc24780"/>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8911"/>
      <w:bookmarkStart w:id="89" w:name="_Toc107825570"/>
      <w:bookmarkStart w:id="90" w:name="_Toc20170_WPSOffice_Level1"/>
      <w:bookmarkStart w:id="91" w:name="_Toc5476"/>
      <w:bookmarkStart w:id="92" w:name="_Toc26985_WPSOffice_Level1"/>
      <w:bookmarkStart w:id="93" w:name="_Toc27034"/>
      <w:bookmarkStart w:id="94" w:name="_Toc28454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68C638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1540069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ELOC突变肾细胞癌</w:t>
            </w:r>
          </w:p>
        </w:tc>
        <w:tc>
          <w:tcPr>
            <w:tcW w:w="2750" w:type="dxa"/>
            <w:tcBorders>
              <w:tl2br w:val="nil"/>
              <w:tr2bl w:val="nil"/>
            </w:tcBorders>
            <w:shd w:val="clear" w:color="auto" w:fill="auto"/>
            <w:noWrap/>
            <w:vAlign w:val="center"/>
          </w:tcPr>
          <w:p w14:paraId="4CFB56A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分支管状、乳头状结构，肿瘤细胞胞质透亮或弱嗜酸性、胞界清楚</w:t>
            </w:r>
          </w:p>
        </w:tc>
        <w:tc>
          <w:tcPr>
            <w:tcW w:w="2510" w:type="dxa"/>
            <w:tcBorders>
              <w:tl2br w:val="nil"/>
              <w:tr2bl w:val="nil"/>
            </w:tcBorders>
            <w:shd w:val="clear" w:color="auto" w:fill="auto"/>
            <w:noWrap/>
            <w:vAlign w:val="center"/>
          </w:tcPr>
          <w:p w14:paraId="5459E75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ELOC(TCEB1）Y79C/S/F/N 或 A100P 点突变</w:t>
            </w:r>
          </w:p>
        </w:tc>
        <w:tc>
          <w:tcPr>
            <w:tcW w:w="2953" w:type="dxa"/>
            <w:tcBorders>
              <w:tl2br w:val="nil"/>
              <w:tr2bl w:val="nil"/>
            </w:tcBorders>
            <w:shd w:val="clear" w:color="auto" w:fill="auto"/>
            <w:noWrap/>
            <w:vAlign w:val="center"/>
          </w:tcPr>
          <w:p w14:paraId="0921F44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大多数ELOC突变的肾细胞癌表现为惰性生物学行为，预后好，少数病例出现转移及高级别转化成分</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C410F6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0A33AB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H</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缺陷型肾细胞癌</w:t>
            </w:r>
          </w:p>
        </w:tc>
        <w:tc>
          <w:tcPr>
            <w:tcW w:w="2750" w:type="dxa"/>
            <w:tcBorders>
              <w:tl2br w:val="nil"/>
              <w:tr2bl w:val="nil"/>
            </w:tcBorders>
            <w:shd w:val="clear" w:color="auto" w:fill="auto"/>
            <w:noWrap/>
            <w:vAlign w:val="center"/>
          </w:tcPr>
          <w:p w14:paraId="16DA06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乳头状、实性、管囊状、筛状和囊性结构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核异型明显，可见核周晕包绕的病毒包涵体样嗜酸性大核仁</w:t>
            </w:r>
          </w:p>
        </w:tc>
        <w:tc>
          <w:tcPr>
            <w:tcW w:w="2510" w:type="dxa"/>
            <w:tcBorders>
              <w:tl2br w:val="nil"/>
              <w:tr2bl w:val="nil"/>
            </w:tcBorders>
            <w:shd w:val="clear" w:color="auto" w:fill="auto"/>
            <w:noWrap/>
            <w:vAlign w:val="center"/>
          </w:tcPr>
          <w:p w14:paraId="2CB807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FH胚系或体细胞突变</w:t>
            </w:r>
          </w:p>
        </w:tc>
        <w:tc>
          <w:tcPr>
            <w:tcW w:w="2953" w:type="dxa"/>
            <w:tcBorders>
              <w:tl2br w:val="nil"/>
              <w:tr2bl w:val="nil"/>
            </w:tcBorders>
            <w:shd w:val="clear" w:color="auto" w:fill="auto"/>
            <w:noWrap/>
            <w:vAlign w:val="center"/>
          </w:tcPr>
          <w:p w14:paraId="0E599DC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FH缺陷型肾细胞癌患者发病时较年轻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精准诊断很重要</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肿瘤内浸润T细胞增加和PD-L1高表达</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免疫治疗可能获益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397884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2131785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SDH缺陷型肾细胞癌</w:t>
            </w:r>
          </w:p>
        </w:tc>
        <w:tc>
          <w:tcPr>
            <w:tcW w:w="2750" w:type="dxa"/>
            <w:tcBorders>
              <w:tl2br w:val="nil"/>
              <w:tr2bl w:val="nil"/>
            </w:tcBorders>
            <w:shd w:val="clear" w:color="auto" w:fill="auto"/>
            <w:noWrap/>
            <w:vAlign w:val="center"/>
          </w:tcPr>
          <w:p w14:paraId="335A6AB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实性片状或致密巢状排列,肿瘤细胞形态温 和、胞界清楚、胞质丰富、絮状浅嗜酸性，具有特征性的胞质内包涵体、呈空泡状</w:t>
            </w:r>
          </w:p>
        </w:tc>
        <w:tc>
          <w:tcPr>
            <w:tcW w:w="2510" w:type="dxa"/>
            <w:tcBorders>
              <w:tl2br w:val="nil"/>
              <w:tr2bl w:val="nil"/>
            </w:tcBorders>
            <w:shd w:val="clear" w:color="auto" w:fill="auto"/>
            <w:noWrap/>
            <w:vAlign w:val="center"/>
          </w:tcPr>
          <w:p w14:paraId="2293BA4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SDHB胚系突变最常见，其次是 SDHA和SDHC突变，SDHD最少 见</w:t>
            </w:r>
          </w:p>
        </w:tc>
        <w:tc>
          <w:tcPr>
            <w:tcW w:w="2953" w:type="dxa"/>
            <w:tcBorders>
              <w:tl2br w:val="nil"/>
              <w:tr2bl w:val="nil"/>
            </w:tcBorders>
            <w:shd w:val="clear" w:color="auto" w:fill="auto"/>
            <w:noWrap/>
            <w:vAlign w:val="center"/>
          </w:tcPr>
          <w:p w14:paraId="3B73E96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大部分SDH缺陷型肾细胞癌呈惰性，少数可出现高级别转化，肉瘤样或横纹肌样分化，伴或不伴有坏死，提示预后不良</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r w14:paraId="5CDF707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14" w:hRule="atLeast"/>
          <w:jc w:val="center"/>
        </w:trPr>
        <w:tc>
          <w:tcPr>
            <w:tcW w:w="1445" w:type="dxa"/>
            <w:tcBorders>
              <w:bottom w:val="single" w:color="A4A4A4" w:sz="4" w:space="0"/>
              <w:tl2br w:val="nil"/>
              <w:tr2bl w:val="nil"/>
            </w:tcBorders>
            <w:shd w:val="clear" w:color="auto" w:fill="auto"/>
            <w:noWrap/>
            <w:vAlign w:val="center"/>
          </w:tcPr>
          <w:p w14:paraId="4CCB496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w:t>
            </w:r>
          </w:p>
        </w:tc>
        <w:tc>
          <w:tcPr>
            <w:tcW w:w="2750" w:type="dxa"/>
            <w:tcBorders>
              <w:bottom w:val="single" w:color="A4A4A4" w:sz="4" w:space="0"/>
              <w:tl2br w:val="nil"/>
              <w:tr2bl w:val="nil"/>
            </w:tcBorders>
            <w:shd w:val="clear" w:color="auto" w:fill="auto"/>
            <w:noWrap/>
            <w:vAlign w:val="center"/>
          </w:tcPr>
          <w:p w14:paraId="06231F8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索状、巢状、片状、微囊、管状、筛状结构；肿 瘤细胞异型明显、空泡状、核仁明显，部分呈横纹肌样，中性粒细胞浸润</w:t>
            </w:r>
          </w:p>
        </w:tc>
        <w:tc>
          <w:tcPr>
            <w:tcW w:w="2510" w:type="dxa"/>
            <w:tcBorders>
              <w:bottom w:val="single" w:color="A4A4A4" w:sz="4" w:space="0"/>
              <w:tl2br w:val="nil"/>
              <w:tr2bl w:val="nil"/>
            </w:tcBorders>
            <w:shd w:val="clear" w:color="auto" w:fill="auto"/>
            <w:noWrap/>
            <w:vAlign w:val="center"/>
          </w:tcPr>
          <w:p w14:paraId="0C30FE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SMARCB1基因双等位失活</w:t>
            </w:r>
          </w:p>
        </w:tc>
        <w:tc>
          <w:tcPr>
            <w:tcW w:w="2953" w:type="dxa"/>
            <w:tcBorders>
              <w:bottom w:val="single" w:color="A4A4A4" w:sz="4" w:space="0"/>
              <w:tl2br w:val="nil"/>
              <w:tr2bl w:val="nil"/>
            </w:tcBorders>
            <w:shd w:val="clear" w:color="auto" w:fill="auto"/>
            <w:noWrap/>
            <w:vAlign w:val="center"/>
          </w:tcPr>
          <w:p w14:paraId="49CC254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SMARCB1缺陷型肾髓质癌侵袭性强、预后差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约90%病例诊断时已发生转移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缺乏有效的治疗手段</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新近的分子研究表明SMARCB1缺陷型肾髓质癌可能对蛋白酶体、DNA复制应激靶向治疗有效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检测基因列表（639个基因）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bookmarkStart w:id="115" w:name="_GoBack"/>
      <w:bookmarkEnd w:id="115"/>
    </w:p>
    <w:p w14:paraId="77B7B61B">
      <w:pPr>
        <w:pStyle w:val="3"/>
        <w:numPr>
          <w:ilvl w:val="255"/>
          <w:numId w:val="0"/>
        </w:numPr>
        <w:jc w:val="left"/>
        <w:rPr>
          <w:color w:val="auto"/>
          <w:sz w:val="30"/>
          <w:lang w:eastAsia="zh-CN"/>
        </w:rPr>
      </w:pPr>
      <w:bookmarkStart w:id="100" w:name="_Toc24071"/>
      <w:bookmarkStart w:id="101" w:name="_Toc3409"/>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07825571"/>
      <w:bookmarkStart w:id="104" w:name="_Toc26977"/>
      <w:bookmarkStart w:id="105" w:name="_Toc16927"/>
      <w:bookmarkStart w:id="106" w:name="_Toc21361"/>
      <w:bookmarkStart w:id="107" w:name="_Toc9662"/>
      <w:bookmarkStart w:id="108" w:name="_Toc13275"/>
      <w:bookmarkStart w:id="109" w:name="_Toc19584_WPSOffice_Level1"/>
      <w:bookmarkStart w:id="110" w:name="_Toc22162_WPSOffice_Level1"/>
      <w:bookmarkStart w:id="111" w:name="_Toc14611_WPSOffice_Level1"/>
      <w:bookmarkStart w:id="112" w:name="_Toc17792_WPSOffice_Level2"/>
      <w:bookmarkStart w:id="113" w:name="_Toc22623"/>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AD647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903</Words>
  <Characters>2113</Characters>
  <Lines>1</Lines>
  <Paragraphs>1</Paragraphs>
  <TotalTime>2</TotalTime>
  <ScaleCrop>false</ScaleCrop>
  <LinksUpToDate>false</LinksUpToDate>
  <CharactersWithSpaces>2314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fan</cp:lastModifiedBy>
  <dcterms:modified xsi:type="dcterms:W3CDTF">2025-04-27T05:31:52Z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eyJoZGlkIjoiMzY0NmY5OGY3YzgxNDRlNjJjOWRlYmVlZWJkM2UxNTAiLCJ1c2VySWQiOiIxNDg1Mjc3NTQ0In0=</vt:lpwstr>
  </property>
</Properties>
</file>