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w:t>
            </w:r>
            <w:r>
              <w:rPr>
                <w:rFonts w:hint="eastAsia" w:ascii="宋体" w:hAnsi="宋体" w:eastAsia="宋体" w:cs="宋体"/>
                <w:kern w:val="0"/>
                <w:sz w:val="24"/>
                <w:szCs w:val="24"/>
                <w:lang w:val="en-US" w:eastAsia="zh-CN"/>
              </w:rPr>
              <w:t>188</w:t>
            </w:r>
            <w:r>
              <w:rPr>
                <w:rFonts w:hint="eastAsia" w:ascii="宋体" w:hAnsi="宋体" w:eastAsia="宋体" w:cs="宋体"/>
                <w:kern w:val="0"/>
                <w:sz w:val="24"/>
                <w:szCs w:val="24"/>
                <w:lang w:eastAsia="zh-Hans"/>
              </w:rPr>
              <w:t>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检测188</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9EF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D124D5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endometrialCarcinoma == True %}</w:t>
            </w:r>
          </w:p>
        </w:tc>
      </w:tr>
      <w:tr w14:paraId="5C02B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52F961A0">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子宫内膜癌分子分型</w:t>
            </w:r>
          </w:p>
        </w:tc>
        <w:tc>
          <w:tcPr>
            <w:tcW w:w="3432" w:type="dxa"/>
            <w:gridSpan w:val="3"/>
            <w:tcBorders>
              <w:top w:val="single" w:color="000000" w:themeColor="text1" w:sz="4" w:space="0"/>
              <w:left w:val="nil"/>
              <w:bottom w:val="single" w:color="000000" w:themeColor="text1" w:sz="4" w:space="0"/>
              <w:right w:val="nil"/>
            </w:tcBorders>
            <w:vAlign w:val="center"/>
          </w:tcPr>
          <w:p w14:paraId="7E1A0AD5">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t>分子分型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F69F75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summaryOfRresults.tcga }}</w:t>
            </w:r>
          </w:p>
        </w:tc>
      </w:tr>
      <w:tr w14:paraId="7F53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995F7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Times New Roman" w:hAnsi="Times New Roman" w:eastAsia="微软雅黑" w:cs="Times New Roman"/>
                <w:b w:val="0"/>
                <w:bCs w:val="0"/>
                <w:color w:val="auto"/>
                <w:sz w:val="21"/>
                <w:szCs w:val="21"/>
                <w:lang w:val="en-US" w:eastAsia="zh-CN" w:bidi="ar-SA"/>
              </w:rPr>
              <w:t>{%</w:t>
            </w:r>
            <w:r>
              <w:rPr>
                <w:rFonts w:hint="default" w:ascii="Times New Roman" w:hAnsi="Times New Roman" w:eastAsia="宋体" w:cs="Times New Roman"/>
                <w:b w:val="0"/>
                <w:bCs w:val="0"/>
                <w:sz w:val="21"/>
                <w:szCs w:val="21"/>
                <w:lang w:eastAsia="zh-CN"/>
              </w:rPr>
              <w:t>tr i</w:t>
            </w:r>
            <w:r>
              <w:rPr>
                <w:rFonts w:hint="default" w:ascii="Times New Roman" w:hAnsi="Times New Roman" w:eastAsia="微软雅黑" w:cs="Times New Roman"/>
                <w:b w:val="0"/>
                <w:bCs w:val="0"/>
                <w:color w:val="auto"/>
                <w:sz w:val="21"/>
                <w:szCs w:val="21"/>
                <w:lang w:val="en-US" w:eastAsia="zh-CN" w:bidi="ar-SA"/>
              </w:rPr>
              <w:t>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{%tr endif %}</w:t>
            </w:r>
          </w:p>
        </w:tc>
      </w:tr>
      <w:tr w14:paraId="4772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C8CB6E5">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b w:val="0"/>
                <w:bCs w:val="0"/>
                <w:sz w:val="21"/>
                <w:szCs w:val="21"/>
                <w:lang w:eastAsia="zh-CN"/>
              </w:rPr>
              <w:t>{%tr if prostateCancerFlag == True %}</w:t>
            </w:r>
          </w:p>
        </w:tc>
      </w:tr>
      <w:tr w14:paraId="49CE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483DEF71">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内分泌相关</w:t>
            </w:r>
          </w:p>
        </w:tc>
        <w:tc>
          <w:tcPr>
            <w:tcW w:w="3432" w:type="dxa"/>
            <w:gridSpan w:val="3"/>
            <w:tcBorders>
              <w:top w:val="single" w:color="000000" w:themeColor="text1" w:sz="4" w:space="0"/>
              <w:left w:val="nil"/>
              <w:bottom w:val="single" w:color="000000" w:themeColor="text1" w:sz="4" w:space="0"/>
              <w:right w:val="nil"/>
            </w:tcBorders>
            <w:vAlign w:val="center"/>
          </w:tcPr>
          <w:p w14:paraId="549FDA9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内分泌治疗相关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9B9038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rPr>
              <w:t>}}个{% else %}未见变异{% endif %}</w:t>
            </w:r>
          </w:p>
        </w:tc>
      </w:tr>
      <w:tr w14:paraId="4E71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98C25C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4646DAF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神经内分泌分化相关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0DBEBD1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rPr>
              <w:t>}}个{% else %}未见变异{% endif %}</w:t>
            </w:r>
          </w:p>
        </w:tc>
      </w:tr>
      <w:tr w14:paraId="7264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F106A3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{%tr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6CF3B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FECFEC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urinaryProstateDisease != ‘’%}</w:t>
            </w:r>
          </w:p>
        </w:tc>
      </w:tr>
      <w:tr w14:paraId="5F05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236D9D7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预后相关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9C487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详见“预后相关基因检测结果及解析”部分</w:t>
            </w:r>
          </w:p>
        </w:tc>
      </w:tr>
      <w:tr w14:paraId="4683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756BD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2DC94AE6">
      <w:pPr>
        <w:keepNext w:val="0"/>
        <w:keepLines w:val="0"/>
        <w:pageBreakBefore w:val="0"/>
        <w:widowControl w:val="0"/>
        <w:kinsoku/>
        <w:wordWrap/>
        <w:overflowPunct/>
        <w:topLinePunct w:val="0"/>
        <w:autoSpaceDE/>
        <w:autoSpaceDN/>
        <w:bidi w:val="0"/>
        <w:adjustRightInd/>
        <w:snapToGrid/>
        <w:spacing w:line="240" w:lineRule="auto"/>
        <w:textAlignment w:val="auto"/>
        <w:rPr>
          <w:rFonts w:ascii="Gotham Book" w:hAnsi="Gotham Book" w:eastAsia="方正德赛黑简体 512B" w:cs="Times New Roman"/>
          <w:color w:val="006CB6"/>
          <w:sz w:val="21"/>
          <w:szCs w:val="21"/>
        </w:rPr>
      </w:pPr>
      <w:bookmarkStart w:id="0" w:name="_Toc149837259"/>
      <w:bookmarkStart w:id="1" w:name="_Toc30305"/>
      <w:r>
        <w:rPr>
          <w:rFonts w:hint="eastAsia" w:ascii="Times New Roman" w:hAnsi="Times New Roman" w:eastAsia="微软雅黑" w:cs="Times New Roman"/>
          <w:sz w:val="21"/>
          <w:szCs w:val="21"/>
          <w:lang w:eastAsia="zh-CN"/>
        </w:rPr>
        <w:t>{% if endometrialCarcinoma == True %}</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r>
        <w:rPr>
          <w:rFonts w:hint="eastAsia"/>
          <w:color w:val="00D392"/>
          <w:sz w:val="30"/>
          <w:lang w:eastAsia="zh-CN"/>
        </w:rPr>
        <w:br w:type="page"/>
      </w:r>
      <w:r>
        <w:rPr>
          <w:rFonts w:hint="eastAsia" w:ascii="Times New Roman" w:hAnsi="Times New Roman" w:eastAsia="微软雅黑" w:cs="Times New Roman"/>
          <w:sz w:val="21"/>
          <w:szCs w:val="21"/>
          <w:lang w:eastAsia="zh-CN"/>
        </w:rPr>
        <w:t>{% endif %}</w:t>
      </w:r>
      <w:bookmarkStart w:id="2" w:name="_Toc17828"/>
      <w:r>
        <w:rPr>
          <w:rFonts w:hint="default" w:ascii="Times New Roman" w:hAnsi="Times New Roman" w:eastAsia="微软雅黑" w:cs="Times New Roman"/>
          <w:b w:val="0"/>
          <w:bCs w:val="0"/>
          <w:color w:val="auto"/>
          <w:sz w:val="21"/>
          <w:szCs w:val="21"/>
          <w:lang w:val="en-US" w:eastAsia="zh-CN" w:bidi="ar-SA"/>
        </w:rPr>
        <w:t>{% if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2"/>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single" w:color="000000" w:themeColor="text1" w:sz="4" w:space="0"/>
              <w:right w:val="nil"/>
            </w:tcBorders>
            <w:shd w:val="clear" w:color="auto" w:fill="00D392"/>
            <w:vAlign w:val="center"/>
          </w:tcPr>
          <w:p w14:paraId="748D8ED3">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2385" w:type="dxa"/>
            <w:tcBorders>
              <w:top w:val="nil"/>
              <w:left w:val="nil"/>
              <w:bottom w:val="single" w:color="000000" w:themeColor="text1" w:sz="4" w:space="0"/>
              <w:right w:val="nil"/>
            </w:tcBorders>
            <w:shd w:val="clear" w:color="auto" w:fill="00D392"/>
            <w:vAlign w:val="center"/>
          </w:tcPr>
          <w:p w14:paraId="6EE608B1">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变异类型</w:t>
            </w:r>
          </w:p>
        </w:tc>
        <w:tc>
          <w:tcPr>
            <w:tcW w:w="2925" w:type="dxa"/>
            <w:tcBorders>
              <w:top w:val="nil"/>
              <w:left w:val="nil"/>
              <w:bottom w:val="single" w:color="000000" w:themeColor="text1" w:sz="4" w:space="0"/>
              <w:right w:val="nil"/>
            </w:tcBorders>
            <w:shd w:val="clear" w:color="auto" w:fill="00D392"/>
            <w:vAlign w:val="center"/>
          </w:tcPr>
          <w:p w14:paraId="7AD98A46">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c>
          <w:tcPr>
            <w:tcW w:w="2286" w:type="dxa"/>
            <w:tcBorders>
              <w:top w:val="nil"/>
              <w:left w:val="nil"/>
              <w:bottom w:val="single" w:color="000000" w:themeColor="text1" w:sz="4" w:space="0"/>
            </w:tcBorders>
            <w:shd w:val="clear" w:color="auto" w:fill="00D392"/>
            <w:vAlign w:val="center"/>
          </w:tcPr>
          <w:p w14:paraId="346DC97A">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7EB1C72D">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3931FE28">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417EC05F">
            <w:pPr>
              <w:spacing w:before="2"/>
              <w:ind w:left="116" w:right="116"/>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67CA5726">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000000" w:themeColor="text1" w:sz="4" w:space="0"/>
              <w:left w:val="nil"/>
              <w:bottom w:val="single" w:color="000000" w:themeColor="text1" w:sz="4" w:space="0"/>
            </w:tcBorders>
            <w:shd w:val="clear" w:color="auto" w:fill="auto"/>
            <w:vAlign w:val="center"/>
          </w:tcPr>
          <w:p w14:paraId="6134DF2F">
            <w:pPr>
              <w:ind w:left="162" w:right="163"/>
              <w:jc w:val="center"/>
              <w:rPr>
                <w:rFonts w:hint="eastAsia" w:ascii="宋体" w:hAnsi="宋体" w:eastAsia="宋体" w:cs="宋体"/>
                <w:color w:val="FF0000"/>
                <w:sz w:val="18"/>
                <w:szCs w:val="18"/>
                <w:lang w:val="en-US" w:eastAsia="zh-CN" w:bidi="ar"/>
              </w:rPr>
            </w:pPr>
            <w:r>
              <w:rPr>
                <w:rFonts w:hint="eastAsia" w:ascii="宋体" w:hAnsi="宋体" w:eastAsia="宋体" w:cs="宋体"/>
                <w:color w:val="000000"/>
                <w:sz w:val="18"/>
                <w:szCs w:val="18"/>
                <w:lang w:eastAsia="zh-CN" w:bidi="ar"/>
              </w:rPr>
              <w:t>{% if tip.situation == ‘未检出’ %}{{ tip.situation }}</w:t>
            </w:r>
            <w:r>
              <w:rPr>
                <w:rFonts w:hint="eastAsia" w:ascii="宋体" w:hAnsi="宋体" w:eastAsia="宋体" w:cs="宋体"/>
                <w:color w:val="000000"/>
                <w:sz w:val="18"/>
                <w:szCs w:val="18"/>
                <w:lang w:val="en-US" w:eastAsia="zh-CN" w:bidi="ar"/>
              </w:rPr>
              <w:t>{% else %}</w:t>
            </w:r>
            <w:r>
              <w:rPr>
                <w:rFonts w:hint="eastAsia" w:ascii="宋体" w:hAnsi="宋体" w:eastAsia="宋体" w:cs="宋体"/>
                <w:color w:val="FF0000"/>
                <w:sz w:val="18"/>
                <w:szCs w:val="18"/>
                <w:lang w:eastAsia="zh-CN" w:bidi="ar"/>
              </w:rPr>
              <w:t>{{ tip.situation }}</w:t>
            </w:r>
            <w:r>
              <w:rPr>
                <w:rFonts w:hint="eastAsia" w:ascii="宋体" w:hAnsi="宋体" w:eastAsia="宋体" w:cs="宋体"/>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1893661B">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endfor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1DD01015">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7F898A33">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71ADADFC">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分型、免疫用药</w:t>
            </w:r>
          </w:p>
        </w:tc>
        <w:tc>
          <w:tcPr>
            <w:tcW w:w="2286" w:type="dxa"/>
            <w:tcBorders>
              <w:top w:val="single" w:color="000000" w:themeColor="text1" w:sz="4" w:space="0"/>
              <w:left w:val="nil"/>
              <w:bottom w:val="single" w:color="000000" w:themeColor="text1" w:sz="4" w:space="0"/>
            </w:tcBorders>
            <w:shd w:val="clear" w:color="auto" w:fill="auto"/>
            <w:vAlign w:val="center"/>
          </w:tcPr>
          <w:p w14:paraId="3F5904E1">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auto"/>
                <w:sz w:val="18"/>
                <w:szCs w:val="18"/>
                <w:lang w:eastAsia="zh-CN" w:bidi="ar"/>
              </w:rPr>
              <w:t xml:space="preserve">{% if summaryOfRresults.msi_status </w:t>
            </w:r>
            <w:r>
              <w:rPr>
                <w:rFonts w:hint="eastAsia" w:ascii="宋体" w:hAnsi="宋体" w:eastAsia="宋体" w:cs="宋体"/>
                <w:color w:val="auto"/>
                <w:sz w:val="18"/>
                <w:szCs w:val="18"/>
                <w:lang w:val="en-US" w:eastAsia="zh-CN" w:bidi="ar"/>
              </w:rPr>
              <w:t>=</w:t>
            </w:r>
            <w:r>
              <w:rPr>
                <w:rFonts w:hint="eastAsia" w:ascii="宋体" w:hAnsi="宋体" w:eastAsia="宋体" w:cs="宋体"/>
                <w:color w:val="auto"/>
                <w:sz w:val="18"/>
                <w:szCs w:val="18"/>
                <w:lang w:eastAsia="zh-CN" w:bidi="ar"/>
              </w:rPr>
              <w:t>= ‘</w:t>
            </w:r>
            <w:r>
              <w:rPr>
                <w:rFonts w:hint="eastAsia" w:ascii="宋体" w:hAnsi="宋体" w:eastAsia="宋体" w:cs="宋体"/>
                <w:color w:val="auto"/>
                <w:sz w:val="18"/>
                <w:szCs w:val="18"/>
                <w:lang w:val="en-US" w:eastAsia="zh-CN" w:bidi="ar"/>
              </w:rPr>
              <w:t>MSS</w:t>
            </w:r>
            <w:r>
              <w:rPr>
                <w:rFonts w:hint="eastAsia" w:ascii="宋体" w:hAnsi="宋体" w:eastAsia="宋体" w:cs="宋体"/>
                <w:color w:val="auto"/>
                <w:sz w:val="18"/>
                <w:szCs w:val="18"/>
                <w:lang w:eastAsia="zh-CN" w:bidi="ar"/>
              </w:rPr>
              <w:t>’ %}</w:t>
            </w:r>
            <w:r>
              <w:rPr>
                <w:rFonts w:hint="eastAsia" w:ascii="宋体" w:hAnsi="宋体" w:eastAsia="宋体" w:cs="宋体"/>
                <w:color w:val="000000"/>
                <w:sz w:val="18"/>
                <w:szCs w:val="18"/>
                <w:lang w:eastAsia="zh-CN" w:bidi="ar"/>
              </w:rPr>
              <w:t>{{ summaryOfRresults.msi_status }}</w:t>
            </w:r>
            <w:r>
              <w:rPr>
                <w:rFonts w:hint="eastAsia" w:ascii="宋体" w:hAnsi="宋体" w:eastAsia="宋体" w:cs="宋体"/>
                <w:color w:val="auto"/>
                <w:sz w:val="18"/>
                <w:szCs w:val="18"/>
                <w:lang w:eastAsia="zh-CN" w:bidi="ar"/>
              </w:rPr>
              <w:t>{%else%}</w:t>
            </w:r>
            <w:r>
              <w:rPr>
                <w:rFonts w:hint="eastAsia" w:ascii="宋体" w:hAnsi="宋体" w:eastAsia="宋体" w:cs="宋体"/>
                <w:color w:val="FF0000"/>
                <w:sz w:val="18"/>
                <w:szCs w:val="18"/>
                <w:lang w:eastAsia="zh-CN" w:bidi="ar"/>
              </w:rPr>
              <w:t>{{summaryOfRresults.msi_status }}</w:t>
            </w:r>
            <w:r>
              <w:rPr>
                <w:rFonts w:hint="eastAsia" w:ascii="宋体" w:hAnsi="宋体" w:eastAsia="宋体" w:cs="宋体"/>
                <w:color w:val="auto"/>
                <w:sz w:val="18"/>
                <w:szCs w:val="18"/>
                <w:lang w:eastAsia="zh-CN" w:bidi="ar"/>
              </w:rPr>
              <w:t>{% endif</w:t>
            </w:r>
            <w:r>
              <w:rPr>
                <w:rFonts w:hint="eastAsia" w:ascii="宋体" w:hAnsi="宋体" w:eastAsia="宋体" w:cs="宋体"/>
                <w:color w:val="auto"/>
                <w:sz w:val="18"/>
                <w:szCs w:val="18"/>
                <w:lang w:val="en-US" w:eastAsia="zh-CN" w:bidi="ar"/>
              </w:rPr>
              <w:t xml:space="preserve"> </w:t>
            </w:r>
            <w:r>
              <w:rPr>
                <w:rFonts w:hint="eastAsia" w:ascii="宋体" w:hAnsi="宋体" w:eastAsia="宋体" w:cs="宋体"/>
                <w:color w:val="auto"/>
                <w:sz w:val="18"/>
                <w:szCs w:val="18"/>
                <w:lang w:eastAsia="zh-CN" w:bidi="ar"/>
              </w:rPr>
              <w:t>%}</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CFDEC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highlight w:val="none"/>
          <w:lang w:eastAsia="zh-CN"/>
        </w:rPr>
        <w:t>{% endif %}</w:t>
      </w:r>
      <w:bookmarkStart w:id="3" w:name="_Toc26758"/>
      <w:bookmarkStart w:id="4"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3AC7A068">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1740" cy="314325"/>
                <wp:effectExtent l="4445" t="4445" r="18415" b="16510"/>
                <wp:docPr id="6" name="同侧圆角矩形 6"/>
                <wp:cNvGraphicFramePr/>
                <a:graphic xmlns:a="http://schemas.openxmlformats.org/drawingml/2006/main">
                  <a:graphicData uri="http://schemas.microsoft.com/office/word/2010/wordprocessingShape">
                    <wps:wsp>
                      <wps:cNvSpPr/>
                      <wps:spPr>
                        <a:xfrm>
                          <a:off x="0" y="0"/>
                          <a:ext cx="6301740" cy="314325"/>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4.75pt;width:496.2pt;v-text-anchor:middle;" fillcolor="#18CF96" filled="t" stroked="t" coordsize="6301740,314325" o:gfxdata="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KfkkrtUAAAAE&#10;AQAADwAAAAAAAAABACAAAAAiAAAAZHJzL2Rvd25yZXYueG1sUEsBAhQAFAAAAAgAh07iQORytJWR&#10;AgAAGgUAAA4AAAAAAAAAAQAgAAAAJAEAAGRycy9lMm9Eb2MueG1sUEsFBgAAAAAGAAYAWQEAACcG&#10;AAAAAA==&#10;" path="m52388,0l6249351,0c6278284,0,6301739,23455,6301739,52388l6301740,314325,6301740,314325,0,314325,0,314325,0,52388c0,23455,23455,0,52388,0xe">
                <v:path textboxrect="0,0,6301740,314325" o:connectlocs="6301740,157162;3150870,314325;0,157162;3150870,0" o:connectangles="0,82,164,247"/>
                <v:fill on="t" focussize="0,0"/>
                <v:stroke weight="0.5pt" color="#18CF96 [3204]" miterlimit="8" joinstyle="miter"/>
                <v:imagedata o:title=""/>
                <o:lock v:ext="edit" aspectratio="f"/>
                <v:textbox inset="1mm,0mm,1mm,0mm">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v:textbox>
                <w10:wrap type="none"/>
                <w10:anchorlock/>
              </v:shape>
            </w:pict>
          </mc:Fallback>
        </mc:AlternateContent>
      </w:r>
    </w:p>
    <w:bookmarkEnd w:id="3"/>
    <w:bookmarkEnd w:id="4"/>
    <w:p w14:paraId="65E3491D">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内分泌治疗相关基因检测结果及临床意义提示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4E6CB6E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5C65E45C">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73" w:type="dxa"/>
            <w:tcBorders>
              <w:top w:val="nil"/>
              <w:left w:val="nil"/>
              <w:bottom w:val="single" w:color="000000" w:themeColor="text1" w:sz="4" w:space="0"/>
              <w:right w:val="nil"/>
            </w:tcBorders>
            <w:shd w:val="clear" w:color="auto" w:fill="00D392"/>
            <w:vAlign w:val="center"/>
          </w:tcPr>
          <w:p w14:paraId="707A2E02">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702" w:type="dxa"/>
            <w:tcBorders>
              <w:top w:val="nil"/>
              <w:left w:val="nil"/>
              <w:bottom w:val="single" w:color="000000" w:themeColor="text1" w:sz="4" w:space="0"/>
              <w:right w:val="nil"/>
            </w:tcBorders>
            <w:shd w:val="clear" w:color="auto" w:fill="00D392"/>
            <w:vAlign w:val="center"/>
          </w:tcPr>
          <w:p w14:paraId="42F6399A">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43F6ED3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APC</w:t>
            </w:r>
          </w:p>
          <w:p w14:paraId="144C003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22DA90A">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et.APC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03C445F0">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single" w:color="000000" w:themeColor="text1" w:sz="4" w:space="0"/>
              <w:left w:val="nil"/>
              <w:bottom w:val="single" w:color="000000" w:themeColor="text1" w:sz="4" w:space="0"/>
            </w:tcBorders>
            <w:shd w:val="clear" w:color="auto" w:fill="auto"/>
            <w:vAlign w:val="center"/>
          </w:tcPr>
          <w:p w14:paraId="5252D7F1">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17058013">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AR</w:t>
            </w:r>
          </w:p>
          <w:p w14:paraId="1E0885D3">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sz w:val="18"/>
                <w:szCs w:val="18"/>
                <w:lang w:eastAsia="zh-CN"/>
              </w:rPr>
              <w:t>突变和扩增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B7B89E5">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et.AR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1501998">
            <w:pPr>
              <w:widowControl/>
              <w:snapToGrid w:val="0"/>
              <w:spacing w:line="240" w:lineRule="atLeast"/>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068431D6">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27148695</w:t>
            </w:r>
          </w:p>
          <w:p w14:paraId="1F76F78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28604629</w:t>
            </w:r>
          </w:p>
          <w:p w14:paraId="6294A9D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23580326</w:t>
            </w:r>
          </w:p>
          <w:p w14:paraId="7B3D39E1">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6719CE6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CTNNB1</w:t>
            </w:r>
          </w:p>
          <w:p w14:paraId="130E5E18">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体系突变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197DFC7">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et.CTNNB1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DD71E26">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连环蛋白信号通路的激活与阿比特龙/恩扎卢胺的疗效较差相关。CTNNB1基因编码产物是</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连环蛋白，是与WNT信号通路相关的一种转录激活因子。</w:t>
            </w:r>
          </w:p>
        </w:tc>
        <w:tc>
          <w:tcPr>
            <w:tcW w:w="1702" w:type="dxa"/>
            <w:tcBorders>
              <w:top w:val="single" w:color="000000" w:themeColor="text1" w:sz="4" w:space="0"/>
              <w:left w:val="nil"/>
              <w:bottom w:val="single" w:color="000000" w:themeColor="text1" w:sz="4" w:space="0"/>
            </w:tcBorders>
            <w:shd w:val="clear" w:color="auto" w:fill="auto"/>
            <w:vAlign w:val="center"/>
          </w:tcPr>
          <w:p w14:paraId="1C0F141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22617422</w:t>
            </w:r>
          </w:p>
          <w:p w14:paraId="31AA9B8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31BA754">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FOXA1</w:t>
            </w:r>
          </w:p>
          <w:p w14:paraId="2797607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A2D6E5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et.FOXA1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71D729B">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前列腺癌临床研究提示，FOXA1突变型患者的无生化复发生存期更短，更易发生转移进展。</w:t>
            </w:r>
          </w:p>
        </w:tc>
        <w:tc>
          <w:tcPr>
            <w:tcW w:w="1702" w:type="dxa"/>
            <w:tcBorders>
              <w:top w:val="single" w:color="000000" w:themeColor="text1" w:sz="4" w:space="0"/>
              <w:left w:val="nil"/>
              <w:bottom w:val="single" w:color="000000" w:themeColor="text1" w:sz="4" w:space="0"/>
            </w:tcBorders>
            <w:shd w:val="clear" w:color="auto" w:fill="auto"/>
            <w:vAlign w:val="center"/>
          </w:tcPr>
          <w:p w14:paraId="567FBF57">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CE5180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PTEN</w:t>
            </w:r>
          </w:p>
          <w:p w14:paraId="2409846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3755EC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et.PTEN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EA7D55D">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去势抵抗性前列腺癌临床研究提示，PTEN蛋白功能的缺失与阿比特龙疗效较差相关。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297F1C4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E61204E">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SPOP</w:t>
            </w:r>
          </w:p>
          <w:p w14:paraId="2E03B4D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0188E09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et.SPOP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2AB1CC5E">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SPOP基因编码CUL3泛素连接酶复合体中的接头蛋白，该基因部分突变会导致前列腺癌细胞的增殖和侵袭。</w:t>
            </w:r>
          </w:p>
        </w:tc>
        <w:tc>
          <w:tcPr>
            <w:tcW w:w="1702" w:type="dxa"/>
            <w:tcBorders>
              <w:top w:val="single" w:color="000000" w:themeColor="text1" w:sz="4" w:space="0"/>
              <w:left w:val="nil"/>
              <w:bottom w:val="single" w:color="000000" w:themeColor="text1" w:sz="4" w:space="0"/>
            </w:tcBorders>
            <w:shd w:val="clear" w:color="auto" w:fill="auto"/>
            <w:vAlign w:val="center"/>
          </w:tcPr>
          <w:p w14:paraId="225BBF9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25766326</w:t>
            </w:r>
          </w:p>
          <w:p w14:paraId="21E5DF8B">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BA16B8">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TP53</w:t>
            </w:r>
          </w:p>
          <w:p w14:paraId="4532614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1D720E6">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et.TP53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79752C25">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前列腺癌临床研究提示，TP53失活突变与抗雄激素治疗效果较差相关。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32D2689D">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5E18EC0A">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29367197</w:t>
            </w:r>
          </w:p>
        </w:tc>
      </w:tr>
    </w:tbl>
    <w:p w14:paraId="6D876EE2">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1F87206">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前列腺癌内分泌治疗相关基因突变检测对于提示内分泌药物疗效和预后情况有一定的作用。</w:t>
      </w:r>
    </w:p>
    <w:p w14:paraId="784A3BEC">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67638F1">
      <w:pPr>
        <w:rPr>
          <w:rFonts w:hint="eastAsia" w:ascii="宋体" w:hAnsi="宋体" w:eastAsia="宋体" w:cs="宋体"/>
          <w:sz w:val="30"/>
          <w:lang w:eastAsia="zh-CN"/>
        </w:rPr>
      </w:pPr>
      <w:r>
        <w:rPr>
          <w:rFonts w:hint="eastAsia" w:ascii="宋体" w:hAnsi="宋体" w:eastAsia="宋体" w:cs="宋体"/>
          <w:sz w:val="30"/>
          <w:lang w:eastAsia="zh-CN"/>
        </w:rPr>
        <w:br w:type="page"/>
      </w:r>
    </w:p>
    <w:p w14:paraId="10FD3067">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神经内分泌分化相关基因检测结果及临床意义提示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2A945637">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326C0B5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83" w:type="dxa"/>
            <w:tcBorders>
              <w:top w:val="nil"/>
              <w:left w:val="nil"/>
              <w:bottom w:val="single" w:color="000000" w:themeColor="text1" w:sz="4" w:space="0"/>
              <w:right w:val="nil"/>
            </w:tcBorders>
            <w:shd w:val="clear" w:color="auto" w:fill="00D392"/>
            <w:vAlign w:val="center"/>
          </w:tcPr>
          <w:p w14:paraId="3003AA0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692" w:type="dxa"/>
            <w:tcBorders>
              <w:top w:val="nil"/>
              <w:left w:val="nil"/>
              <w:bottom w:val="single" w:color="000000" w:themeColor="text1" w:sz="4" w:space="0"/>
              <w:right w:val="nil"/>
            </w:tcBorders>
            <w:shd w:val="clear" w:color="auto" w:fill="00D392"/>
            <w:vAlign w:val="center"/>
          </w:tcPr>
          <w:p w14:paraId="3AB151FF">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155B3E">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AURKA</w:t>
            </w:r>
          </w:p>
          <w:p w14:paraId="48BF372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17F68300">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ed.AURKA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1FCA960C">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single" w:color="000000" w:themeColor="text1" w:sz="4" w:space="0"/>
              <w:left w:val="nil"/>
              <w:bottom w:val="single" w:color="000000" w:themeColor="text1" w:sz="4" w:space="0"/>
            </w:tcBorders>
            <w:shd w:val="clear" w:color="auto" w:fill="auto"/>
            <w:vAlign w:val="center"/>
          </w:tcPr>
          <w:p w14:paraId="4DC7F19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25128228</w:t>
            </w:r>
          </w:p>
          <w:p w14:paraId="59AA23F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692B8C3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A46E17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MYCN</w:t>
            </w:r>
          </w:p>
          <w:p w14:paraId="22A4763C">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CABBCC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ed.MYCN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CC919B4">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有研究发现，AURKA和MYCN扩增是激素治疗后肿瘤发展为治疗相关NEPC(t-NEPC)风险的先兆。</w:t>
            </w:r>
          </w:p>
        </w:tc>
        <w:tc>
          <w:tcPr>
            <w:tcW w:w="1692" w:type="dxa"/>
            <w:tcBorders>
              <w:top w:val="single" w:color="000000" w:themeColor="text1" w:sz="4" w:space="0"/>
              <w:left w:val="nil"/>
              <w:bottom w:val="single" w:color="000000" w:themeColor="text1" w:sz="4" w:space="0"/>
            </w:tcBorders>
            <w:shd w:val="clear" w:color="auto" w:fill="auto"/>
            <w:vAlign w:val="center"/>
          </w:tcPr>
          <w:p w14:paraId="3F120727">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1F0769B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14A84A9">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RB1</w:t>
            </w:r>
            <w:r>
              <w:rPr>
                <w:rStyle w:val="32"/>
                <w:rFonts w:hint="eastAsia" w:ascii="宋体" w:hAnsi="宋体" w:eastAsia="宋体" w:cs="宋体"/>
                <w:b w:val="0"/>
                <w:bCs w:val="0"/>
                <w:sz w:val="18"/>
                <w:szCs w:val="18"/>
                <w:lang w:eastAsia="zh-CN" w:bidi="ar"/>
              </w:rPr>
              <w:t>和</w:t>
            </w:r>
          </w:p>
          <w:p w14:paraId="69A7CCD1">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TP53</w:t>
            </w:r>
          </w:p>
          <w:p w14:paraId="347A8736">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b w:val="0"/>
                <w:bCs w:val="0"/>
                <w:sz w:val="18"/>
                <w:szCs w:val="18"/>
                <w:lang w:eastAsia="zh-CN" w:bidi="ar"/>
              </w:rPr>
              <w:t>共突变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49647922">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ed.RB1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102C29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op w:val="single" w:color="000000" w:themeColor="text1" w:sz="4" w:space="0"/>
              <w:left w:val="nil"/>
              <w:bottom w:val="single" w:color="000000" w:themeColor="text1" w:sz="4" w:space="0"/>
            </w:tcBorders>
            <w:shd w:val="clear" w:color="auto" w:fill="auto"/>
            <w:vAlign w:val="center"/>
          </w:tcPr>
          <w:p w14:paraId="63F8F42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3C16596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28059768</w:t>
            </w:r>
          </w:p>
          <w:p w14:paraId="5D5AD35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29460922</w:t>
            </w:r>
          </w:p>
        </w:tc>
      </w:tr>
    </w:tbl>
    <w:p w14:paraId="11718538">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4D011DD0">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eastAsia" w:ascii="宋体" w:hAnsi="宋体" w:eastAsia="宋体" w:cs="宋体"/>
          <w:sz w:val="18"/>
          <w:szCs w:val="18"/>
          <w:lang w:eastAsia="zh-CN"/>
        </w:rPr>
        <w:br w:type="page"/>
      </w:r>
      <w:r>
        <w:rPr>
          <w:rFonts w:hint="eastAsia" w:ascii="Times New Roman" w:hAnsi="Times New Roman" w:eastAsia="微软雅黑" w:cs="Times New Roman"/>
          <w:sz w:val="24"/>
          <w:szCs w:val="24"/>
          <w:highlight w:val="none"/>
          <w:lang w:eastAsia="zh-CN"/>
        </w:rPr>
        <w:t>{% endif %}</w:t>
      </w:r>
      <w:bookmarkStart w:id="5" w:name="_Toc17242"/>
      <w:bookmarkStart w:id="6" w:name="_Toc8577"/>
      <w:bookmarkStart w:id="7" w:name="_Toc20859"/>
      <w:r>
        <w:rPr>
          <w:rFonts w:hint="default" w:ascii="Times New Roman" w:hAnsi="Times New Roman" w:eastAsia="微软雅黑" w:cs="Times New Roman"/>
          <w:sz w:val="24"/>
          <w:szCs w:val="24"/>
          <w:lang w:eastAsia="zh-CN"/>
        </w:rPr>
        <w:t>{%if</w:t>
      </w:r>
      <w:r>
        <w:rPr>
          <w:rStyle w:val="15"/>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3D13D5ED">
      <w:pPr>
        <w:rPr>
          <w:rFonts w:hint="default" w:ascii="Times New Roman" w:hAnsi="Times New Roman" w:eastAsia="微软雅黑" w:cs="Times New Roman"/>
          <w:sz w:val="24"/>
          <w:szCs w:val="24"/>
          <w:highlight w:val="none"/>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28B34ECA">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l2br w:val="nil"/>
              <w:tr2bl w:val="nil"/>
            </w:tcBorders>
            <w:shd w:val="clear" w:color="auto" w:fill="00D392"/>
            <w:vAlign w:val="center"/>
          </w:tcPr>
          <w:p w14:paraId="1F180563">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3F144295">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668832F1">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507AE34F">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5AE50A0D">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shd w:val="clear" w:color="auto" w:fill="auto"/>
            <w:vAlign w:val="center"/>
          </w:tcPr>
          <w:p w14:paraId="3D9ECCAE">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5DFDFC3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5BD137C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BE7A360">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21"/>
                <w:szCs w:val="21"/>
                <w:highlight w:val="none"/>
                <w:lang w:val="en-US" w:eastAsia="zh-CN"/>
              </w:rPr>
              <w:t xml:space="preserve">{%tr 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 =</w:t>
            </w:r>
            <w:r>
              <w:rPr>
                <w:rFonts w:hint="eastAsia" w:ascii="宋体" w:hAnsi="宋体" w:eastAsia="宋体" w:cs="宋体"/>
                <w:sz w:val="21"/>
                <w:szCs w:val="21"/>
                <w:highlight w:val="none"/>
                <w:lang w:val="en-US" w:eastAsia="zh-CN"/>
              </w:rPr>
              <w:t>= 0 %}</w:t>
            </w:r>
          </w:p>
        </w:tc>
      </w:tr>
      <w:tr w14:paraId="705D0FA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B6FDB64">
            <w:pPr>
              <w:widowControl/>
              <w:snapToGrid w:val="0"/>
              <w:jc w:val="center"/>
              <w:textAlignment w:val="center"/>
              <w:rPr>
                <w:rStyle w:val="32"/>
                <w:rFonts w:hint="eastAsia" w:ascii="宋体" w:hAnsi="宋体" w:eastAsia="宋体" w:cs="宋体"/>
                <w:sz w:val="18"/>
                <w:szCs w:val="18"/>
                <w:highlight w:val="none"/>
                <w:lang w:val="en-US" w:eastAsia="zh-CN" w:bidi="ar"/>
              </w:rPr>
            </w:pPr>
            <w:r>
              <w:rPr>
                <w:rStyle w:val="32"/>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442931BA">
            <w:pPr>
              <w:snapToGrid w:val="0"/>
              <w:jc w:val="left"/>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38B3AD8A">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06279668">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257C7D">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29674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4E8F03DA">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B1FE30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6619AF">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A68288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27D0D7A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6AE860F7">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C23EF5A">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35AAD20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227FA1E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3D474B6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DCD9262">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34E49CC8">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23841897">
            <w:pPr>
              <w:widowControl/>
              <w:snapToGrid w:val="0"/>
              <w:jc w:val="center"/>
              <w:textAlignment w:val="center"/>
              <w:rPr>
                <w:rStyle w:val="32"/>
                <w:rFonts w:hint="eastAsia" w:ascii="宋体" w:hAnsi="宋体" w:eastAsia="宋体" w:cs="宋体"/>
                <w:sz w:val="18"/>
                <w:szCs w:val="18"/>
                <w:highlight w:val="yellow"/>
                <w:lang w:eastAsia="zh-CN" w:bidi="ar"/>
              </w:rPr>
            </w:pPr>
            <w:r>
              <w:rPr>
                <w:rStyle w:val="32"/>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13D26644">
            <w:pPr>
              <w:snapToGrid w:val="0"/>
              <w:jc w:val="left"/>
              <w:rPr>
                <w:rStyle w:val="32"/>
                <w:rFonts w:hint="eastAsia" w:ascii="宋体" w:hAnsi="宋体" w:eastAsia="宋体" w:cs="宋体"/>
                <w:sz w:val="18"/>
                <w:szCs w:val="18"/>
                <w:highlight w:val="none"/>
                <w:lang w:val="en-US" w:eastAsia="zh-CN" w:bidi="ar"/>
              </w:rPr>
            </w:pPr>
            <w:r>
              <w:rPr>
                <w:rStyle w:val="37"/>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9F9B37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57BCF1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0FA4D5F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09E3A7B9">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47A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8783D2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7466511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B51F79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E7ACC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8A8AA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798F2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5896DB0">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0B44FA6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A2622A">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86978FF">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CD35DB1">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C4C8BB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DB67EC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4619CC9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4"/>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6674BD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151BE8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F0E1729">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1FB97A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numPr>
          <w:ilvl w:val="0"/>
          <w:numId w:val="0"/>
        </w:numPr>
        <w:ind w:leftChars="0"/>
        <w:rPr>
          <w:sz w:val="28"/>
          <w:lang w:eastAsia="zh-CN"/>
        </w:rPr>
      </w:pP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3971358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op w:val="nil"/>
              <w:left w:val="nil"/>
              <w:right w:val="nil"/>
            </w:tcBorders>
            <w:shd w:val="clear" w:color="auto" w:fill="00D392"/>
            <w:vAlign w:val="center"/>
          </w:tcPr>
          <w:p w14:paraId="256DDDEB">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op w:val="nil"/>
              <w:left w:val="nil"/>
              <w:right w:val="nil"/>
            </w:tcBorders>
            <w:shd w:val="clear" w:color="auto" w:fill="00D392"/>
            <w:vAlign w:val="center"/>
          </w:tcPr>
          <w:p w14:paraId="3D47E0B2">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E543822">
      <w:pPr>
        <w:rPr>
          <w:rFonts w:hint="default" w:ascii="Times New Roman" w:hAnsi="Times New Roman" w:eastAsia="微软雅黑" w:cs="Times New Roman"/>
          <w:sz w:val="24"/>
          <w:szCs w:val="24"/>
          <w:lang w:val="en-US" w:eastAsia="zh-CN"/>
        </w:rPr>
      </w:pP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ascii="宋体" w:hAnsi="宋体" w:eastAsia="宋体" w:cs="宋体"/>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2497"/>
        <w:gridCol w:w="6323"/>
      </w:tblGrid>
      <w:tr w14:paraId="2E3E3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74332122">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97" w:type="dxa"/>
            <w:tcBorders>
              <w:top w:val="nil"/>
              <w:left w:val="nil"/>
              <w:bottom w:val="single" w:color="000000" w:themeColor="text1" w:sz="4" w:space="0"/>
              <w:right w:val="nil"/>
            </w:tcBorders>
            <w:shd w:val="clear" w:color="auto" w:fill="00D392"/>
            <w:vAlign w:val="center"/>
          </w:tcPr>
          <w:p w14:paraId="594D02FD">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eastAsia="zh-CN" w:bidi="ar"/>
              </w:rPr>
              <w:t>检测结果</w:t>
            </w:r>
          </w:p>
        </w:tc>
        <w:tc>
          <w:tcPr>
            <w:tcW w:w="6323" w:type="dxa"/>
            <w:tcBorders>
              <w:top w:val="nil"/>
              <w:left w:val="nil"/>
              <w:bottom w:val="single" w:color="000000" w:themeColor="text1" w:sz="4" w:space="0"/>
            </w:tcBorders>
            <w:shd w:val="clear" w:color="auto" w:fill="00D392"/>
            <w:vAlign w:val="center"/>
          </w:tcPr>
          <w:p w14:paraId="0FE03148">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val="en-US" w:eastAsia="zh-CN" w:bidi="ar"/>
              </w:rPr>
              <w:t>临床</w:t>
            </w:r>
            <w:r>
              <w:rPr>
                <w:rStyle w:val="31"/>
                <w:rFonts w:hint="eastAsia" w:ascii="宋体" w:hAnsi="宋体" w:eastAsia="宋体" w:cs="宋体"/>
                <w:sz w:val="18"/>
                <w:szCs w:val="18"/>
                <w:lang w:eastAsia="zh-CN" w:bidi="ar"/>
              </w:rPr>
              <w:t>意义</w:t>
            </w:r>
          </w:p>
        </w:tc>
      </w:tr>
      <w:tr w14:paraId="65D34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19BDA69D">
            <w:pPr>
              <w:pStyle w:val="10"/>
              <w:keepNext w:val="0"/>
              <w:keepLines w:val="0"/>
              <w:widowControl/>
              <w:suppressLineNumbers w:val="0"/>
              <w:jc w:val="both"/>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lang w:val="en-US" w:eastAsia="zh-CN"/>
              </w:rPr>
              <w:t>{%tr if HRRInfo.BRCA1 == ‘-’ and HRRInfo.BRCA2 == ‘-’%}</w:t>
            </w:r>
          </w:p>
        </w:tc>
      </w:tr>
      <w:tr w14:paraId="08CD3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C277B9C">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042073E">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6651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9273627">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24F89F0">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40E5B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73ABFF2F">
            <w:pPr>
              <w:pStyle w:val="10"/>
              <w:keepNext w:val="0"/>
              <w:keepLines w:val="0"/>
              <w:widowControl/>
              <w:suppressLineNumbers w:val="0"/>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37B1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FECC6A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1FF02E5">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HRRInfo.BRCA1 ==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7BF0C09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32B54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7E07FE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CE963A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73AF60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8991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D3C016D">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{%tr endif %}</w:t>
            </w:r>
          </w:p>
        </w:tc>
      </w:tr>
      <w:tr w14:paraId="088CA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602FC39F">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color w:val="auto"/>
                <w:sz w:val="18"/>
                <w:szCs w:val="18"/>
                <w:lang w:val="en-US" w:eastAsia="zh-CN"/>
              </w:rPr>
              <w:t>{%tr if HRRInfo.clinical_significance_desc2 == ‘-’%}</w:t>
            </w:r>
          </w:p>
        </w:tc>
      </w:tr>
      <w:tr w14:paraId="3F36E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2062CBA">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D8223C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70715E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BD03D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AD6D305">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F3AD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3EF0A21">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C42F99F">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2DD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FC72C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04CE1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6ABC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DE8B19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32BBF89B">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C988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C2A896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450887F4">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84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C0D9DF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3471DC5">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C858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5E4862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3042D3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37BE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BEB8B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72F6B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BAAD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881CB2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35E0971">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C4A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FD32DB4">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50EAD5F8">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5AC58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8DFE7B9">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D3289C4">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310E6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F3CCB6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B51ABAA">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633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0416A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536A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A81D87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3598B0E">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 xml:space="preserve">ATM </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ATM |</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451C81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w:t>
            </w:r>
            <w:bookmarkStart w:id="49" w:name="_GoBack"/>
            <w:bookmarkEnd w:id="49"/>
            <w:r>
              <w:rPr>
                <w:rFonts w:hint="eastAsia" w:ascii="宋体" w:hAnsi="宋体" w:eastAsia="宋体" w:cs="宋体"/>
                <w:color w:val="000000"/>
                <w:sz w:val="18"/>
                <w:szCs w:val="18"/>
                <w:lang w:val="en-US" w:eastAsia="zh-CN"/>
              </w:rPr>
              <w:t>RRInfo.clinical_significance_desc2}}</w:t>
            </w:r>
          </w:p>
        </w:tc>
      </w:tr>
      <w:tr w14:paraId="72053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5E16BF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F42DE0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004073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68F0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1156D95">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DAAE9D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4909426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8C5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E4A18D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60F43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E845CC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0DDC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74C0FD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4BF924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238CFF1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4E6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428810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378B7A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09AC210">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93E0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B89B8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9ECDA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69CBB55">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1812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2843EB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F822A1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9CE43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FE2E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A1873D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63F6A4B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6A10E9A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F4EF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D1943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579E75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2714949">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710E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CD69F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A8FCFE1">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CB9EB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3A7C3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627838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DB7047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79F0DBC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717E1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24BB26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A1010C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F18119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1EE62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20FD5B2E">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{%tr endif %}</w:t>
            </w:r>
          </w:p>
        </w:tc>
      </w:tr>
    </w:tbl>
    <w:p w14:paraId="7E592E8C">
      <w:pPr>
        <w:rPr>
          <w:rFonts w:hint="eastAsia" w:ascii="宋体" w:hAnsi="宋体" w:eastAsia="宋体" w:cs="宋体"/>
          <w:sz w:val="13"/>
          <w:szCs w:val="13"/>
          <w:lang w:val="en-US" w:eastAsia="zh-CN"/>
        </w:rPr>
      </w:pPr>
    </w:p>
    <w:p w14:paraId="4C95FA7C">
      <w:pPr>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注：HRR模块只报出HRR基因的体系I、II类，胚系P/LP突变，其他无意义或者意义未明的不在该模块展示</w:t>
      </w:r>
    </w:p>
    <w:p w14:paraId="752C876D">
      <w:pPr>
        <w:rPr>
          <w:rFonts w:hint="default"/>
          <w:lang w:val="en-US" w:eastAsia="zh-CN"/>
        </w:rPr>
      </w:pPr>
      <w:r>
        <w:rPr>
          <w:rFonts w:hint="default"/>
          <w:lang w:val="en-US"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709D7201">
      <w:pPr>
        <w:spacing w:before="26"/>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29942"/>
      <w:bookmarkStart w:id="9" w:name="_Toc32694"/>
      <w:bookmarkStart w:id="10" w:name="_Toc1349"/>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5"/>
          <w:rFonts w:hint="eastAsia" w:ascii="Times New Roman" w:hAnsi="Times New Roman" w:eastAsia="微软雅黑" w:cs="Times New Roman"/>
          <w:color w:val="auto"/>
          <w:sz w:val="21"/>
          <w:szCs w:val="21"/>
          <w:lang w:val="en-US" w:eastAsia="zh-CN"/>
        </w:rPr>
        <w:t xml:space="preserve"> disease.ThyroidCarcinoma</w:t>
      </w:r>
      <w:r>
        <w:rPr>
          <w:rStyle w:val="15"/>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sz w:val="24"/>
          <w:szCs w:val="24"/>
          <w:lang w:val="en-US"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C419247">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0B30A412">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6A43231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4D96F20B">
      <w:pPr>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12" name="同侧圆角矩形 12"/>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BeqH2nV&#10;AAAABAEAAA8AAAAAAAAAAQAgAAAAIgAAAGRycy9kb3ducmV2LnhtbFBLAQIUABQAAAAIAIdO4kAp&#10;7C4wlQIAABwFAAAOAAAAAAAAAAEAIAAAACQBAABkcnMvZTJvRG9jLnhtbFBLBQYAAAAABgAGAFkB&#10;AAArBg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v:textbox>
                <w10:wrap type="none"/>
                <w10:anchorlock/>
              </v:shape>
            </w:pict>
          </mc:Fallback>
        </mc:AlternateContent>
      </w:r>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4"/>
        <w:gridCol w:w="1102"/>
        <w:gridCol w:w="1161"/>
        <w:gridCol w:w="5400"/>
        <w:gridCol w:w="1311"/>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single" w:color="000000" w:themeColor="text1" w:sz="4" w:space="0"/>
              <w:right w:val="nil"/>
            </w:tcBorders>
            <w:shd w:val="clear" w:color="auto" w:fill="00D392"/>
            <w:vAlign w:val="center"/>
          </w:tcPr>
          <w:p w14:paraId="454F468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554" w:type="pct"/>
            <w:tcBorders>
              <w:top w:val="nil"/>
              <w:left w:val="nil"/>
              <w:bottom w:val="single" w:color="000000" w:themeColor="text1" w:sz="4" w:space="0"/>
              <w:right w:val="nil"/>
            </w:tcBorders>
            <w:shd w:val="clear" w:color="auto" w:fill="00D392"/>
            <w:vAlign w:val="center"/>
          </w:tcPr>
          <w:p w14:paraId="71A4A4DD">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584" w:type="pct"/>
            <w:tcBorders>
              <w:top w:val="nil"/>
              <w:left w:val="nil"/>
              <w:bottom w:val="single" w:color="000000" w:themeColor="text1" w:sz="4" w:space="0"/>
              <w:right w:val="nil"/>
            </w:tcBorders>
            <w:shd w:val="clear" w:color="auto" w:fill="00D392"/>
            <w:vAlign w:val="center"/>
          </w:tcPr>
          <w:p w14:paraId="5473B3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716" w:type="pct"/>
            <w:tcBorders>
              <w:top w:val="nil"/>
              <w:left w:val="nil"/>
              <w:bottom w:val="single" w:color="000000" w:themeColor="text1" w:sz="4" w:space="0"/>
              <w:right w:val="nil"/>
            </w:tcBorders>
            <w:shd w:val="clear" w:color="auto" w:fill="00D392"/>
            <w:vAlign w:val="center"/>
          </w:tcPr>
          <w:p w14:paraId="4ED056A1">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59" w:type="pct"/>
            <w:tcBorders>
              <w:top w:val="nil"/>
              <w:left w:val="nil"/>
              <w:bottom w:val="single" w:color="000000" w:themeColor="text1" w:sz="4" w:space="0"/>
            </w:tcBorders>
            <w:shd w:val="clear" w:color="auto" w:fill="00D392"/>
            <w:vAlign w:val="center"/>
          </w:tcPr>
          <w:p w14:paraId="60F9D609">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DBFEED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BAP1</w:t>
            </w:r>
          </w:p>
          <w:p w14:paraId="630B3B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65C7F6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2C955ED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up.BAP1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074748A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有研究发现从OS上评估，BAP1和TP53中一个突变或两个均突变（PBRM1无突变）的肾透明细胞癌（ccRCC）相较于野生型预后较差。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709BC1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7D8AE2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5A675C6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54206E7B">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7053B39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5701323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3F3D08E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CDKN2A 突变的 ccRCC、pRCC、chRCC 患者预后较差。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5ADC5C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B43975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PBRM1</w:t>
            </w:r>
          </w:p>
          <w:p w14:paraId="51BEE53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2EF5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4D41C3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up.PBRM1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FEC3D3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A7B0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151FD90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4AFA3AE1">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596EF69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3FC3FA3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0C82A5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2399F1C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有研究发现从OS上评估，PTEN 突变的肾嫌色细胞癌（chRCC）相较于野生型预后较差。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195EC0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FD99F2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TERT</w:t>
            </w:r>
          </w:p>
          <w:p w14:paraId="04C9C6C8">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启动子突变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508BB8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6B1EF5E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up.TERT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6A98C92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有研究称，在肾透明细胞癌（ccRCC）患者中，TERT启动子突变与一些较差的预后相关。</w:t>
            </w:r>
          </w:p>
        </w:tc>
        <w:tc>
          <w:tcPr>
            <w:tcW w:w="659" w:type="pct"/>
            <w:tcBorders>
              <w:top w:val="single" w:color="000000" w:themeColor="text1" w:sz="4" w:space="0"/>
              <w:left w:val="nil"/>
              <w:bottom w:val="single" w:color="000000" w:themeColor="text1" w:sz="4" w:space="0"/>
            </w:tcBorders>
            <w:shd w:val="clear" w:color="auto" w:fill="auto"/>
            <w:vAlign w:val="center"/>
          </w:tcPr>
          <w:p w14:paraId="12B915D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6E0380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62C947E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4A2CE24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BB82F5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4BBCA21">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有研究发现，TP53 突变的肾透明细胞癌（ccRCC）及乳头状肾细胞癌（pRCC）预后可能较差。</w:t>
            </w:r>
          </w:p>
        </w:tc>
        <w:tc>
          <w:tcPr>
            <w:tcW w:w="659" w:type="pct"/>
            <w:tcBorders>
              <w:top w:val="single" w:color="000000" w:themeColor="text1" w:sz="4" w:space="0"/>
              <w:left w:val="nil"/>
              <w:bottom w:val="single" w:color="000000" w:themeColor="text1" w:sz="4" w:space="0"/>
            </w:tcBorders>
            <w:shd w:val="clear" w:color="auto" w:fill="auto"/>
            <w:vAlign w:val="center"/>
          </w:tcPr>
          <w:p w14:paraId="4FB336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28413127</w:t>
            </w:r>
          </w:p>
          <w:p w14:paraId="78F7F26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0649334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21"/>
        <w:gridCol w:w="1277"/>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03427049">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562358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50A37C6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7" w:type="pct"/>
            <w:tcBorders>
              <w:top w:val="nil"/>
              <w:left w:val="nil"/>
              <w:bottom w:val="single" w:color="000000" w:themeColor="text1" w:sz="4" w:space="0"/>
              <w:right w:val="nil"/>
            </w:tcBorders>
            <w:shd w:val="clear" w:color="auto" w:fill="00D392"/>
            <w:vAlign w:val="center"/>
          </w:tcPr>
          <w:p w14:paraId="36FF5026">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2" w:type="pct"/>
            <w:tcBorders>
              <w:top w:val="nil"/>
              <w:left w:val="nil"/>
              <w:bottom w:val="single" w:color="000000" w:themeColor="text1" w:sz="4" w:space="0"/>
            </w:tcBorders>
            <w:shd w:val="clear" w:color="auto" w:fill="00D392"/>
            <w:vAlign w:val="center"/>
          </w:tcPr>
          <w:p w14:paraId="7D058DB0">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DE9FE4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3D7DB316">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AA3E3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9D2E8A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558458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single" w:color="000000" w:themeColor="text1" w:sz="4" w:space="0"/>
              <w:left w:val="nil"/>
              <w:bottom w:val="single" w:color="000000" w:themeColor="text1" w:sz="4" w:space="0"/>
            </w:tcBorders>
            <w:shd w:val="clear" w:color="auto" w:fill="auto"/>
            <w:vAlign w:val="center"/>
          </w:tcPr>
          <w:p w14:paraId="52629FF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B64E93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1EB639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82F8F2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21C34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88CB1E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op w:val="single" w:color="000000" w:themeColor="text1" w:sz="4" w:space="0"/>
              <w:left w:val="nil"/>
              <w:bottom w:val="single" w:color="000000" w:themeColor="text1" w:sz="4" w:space="0"/>
            </w:tcBorders>
            <w:shd w:val="clear" w:color="auto" w:fill="auto"/>
            <w:vAlign w:val="center"/>
          </w:tcPr>
          <w:p w14:paraId="159B3DA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6C1780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7E5CF6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0134482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1FB54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8E92A5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3A675F7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op w:val="single" w:color="000000" w:themeColor="text1" w:sz="4" w:space="0"/>
              <w:left w:val="nil"/>
              <w:bottom w:val="single" w:color="000000" w:themeColor="text1" w:sz="4" w:space="0"/>
            </w:tcBorders>
            <w:shd w:val="clear" w:color="auto" w:fill="auto"/>
            <w:vAlign w:val="center"/>
          </w:tcPr>
          <w:p w14:paraId="7710DF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491480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p w14:paraId="271D1C8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F11A2B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CDK12</w:t>
            </w:r>
          </w:p>
          <w:p w14:paraId="28B6B6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19ADE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45AF55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up.CDK12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3C3669D">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有临床研究发现，CDK12失活突变的患者无进展生存期（PFS）及总生存期（OS）更短，进展更快，更具侵袭性。</w:t>
            </w:r>
          </w:p>
        </w:tc>
        <w:tc>
          <w:tcPr>
            <w:tcW w:w="642" w:type="pct"/>
            <w:tcBorders>
              <w:top w:val="single" w:color="000000" w:themeColor="text1" w:sz="4" w:space="0"/>
              <w:left w:val="nil"/>
              <w:bottom w:val="single" w:color="000000" w:themeColor="text1" w:sz="4" w:space="0"/>
            </w:tcBorders>
            <w:shd w:val="clear" w:color="auto" w:fill="auto"/>
            <w:vAlign w:val="center"/>
          </w:tcPr>
          <w:p w14:paraId="230A74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31134918</w:t>
            </w:r>
          </w:p>
          <w:p w14:paraId="5D77007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31640893</w:t>
            </w:r>
          </w:p>
          <w:p w14:paraId="25038DE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59B5F0E">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TMPRSS2</w:t>
            </w:r>
            <w:r>
              <w:rPr>
                <w:rFonts w:hint="eastAsia" w:ascii="宋体" w:hAnsi="宋体" w:eastAsia="宋体" w:cs="宋体"/>
                <w:color w:val="000000" w:themeColor="text1"/>
                <w:sz w:val="18"/>
                <w:szCs w:val="18"/>
                <w:lang w:val="en-US" w:eastAsia="zh-CN"/>
                <w14:textFill>
                  <w14:solidFill>
                    <w14:schemeClr w14:val="tx1"/>
                  </w14:solidFill>
                </w14:textFill>
              </w:rPr>
              <w:t>-</w:t>
            </w:r>
            <w:r>
              <w:rPr>
                <w:rFonts w:hint="eastAsia" w:ascii="宋体" w:hAnsi="宋体" w:eastAsia="宋体" w:cs="宋体"/>
                <w:color w:val="000000" w:themeColor="text1"/>
                <w:sz w:val="18"/>
                <w:szCs w:val="18"/>
                <w:lang w:eastAsia="zh-CN"/>
                <w14:textFill>
                  <w14:solidFill>
                    <w14:schemeClr w14:val="tx1"/>
                  </w14:solidFill>
                </w14:textFill>
              </w:rPr>
              <w:t>ERG融合</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37CC17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A573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up.ERG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44F6399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临床研究提示，在血液中检测到TMPRSS2-ERG融合的前列腺癌患者，无进展生存期（PFS）和总生存期（OS）较短。</w:t>
            </w:r>
          </w:p>
        </w:tc>
        <w:tc>
          <w:tcPr>
            <w:tcW w:w="642" w:type="pct"/>
            <w:tcBorders>
              <w:top w:val="single" w:color="000000" w:themeColor="text1" w:sz="4" w:space="0"/>
              <w:left w:val="nil"/>
              <w:bottom w:val="single" w:color="000000" w:themeColor="text1" w:sz="4" w:space="0"/>
            </w:tcBorders>
            <w:shd w:val="clear" w:color="auto" w:fill="auto"/>
            <w:vAlign w:val="center"/>
          </w:tcPr>
          <w:p w14:paraId="680F661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28520829</w:t>
            </w:r>
          </w:p>
          <w:p w14:paraId="63A5222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189118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FOXA1</w:t>
            </w:r>
          </w:p>
          <w:p w14:paraId="03BA0C5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370EB6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3AF6E7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up.FOXA1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667CBCF">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对上千例原发性前列腺癌数据回顾性分析发现，FOXA1突变相较于野生型，与更高的Gleason评分，更短的生化复发，更快的转移相关。</w:t>
            </w:r>
          </w:p>
        </w:tc>
        <w:tc>
          <w:tcPr>
            <w:tcW w:w="642" w:type="pct"/>
            <w:tcBorders>
              <w:top w:val="single" w:color="000000" w:themeColor="text1" w:sz="4" w:space="0"/>
              <w:left w:val="nil"/>
              <w:bottom w:val="single" w:color="000000" w:themeColor="text1" w:sz="4" w:space="0"/>
            </w:tcBorders>
            <w:shd w:val="clear" w:color="auto" w:fill="auto"/>
            <w:vAlign w:val="center"/>
          </w:tcPr>
          <w:p w14:paraId="16BD4FC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D7495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F654F3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突变和扩增</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3C2FAE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910A8A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0C1B536">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有研究发现，PIK3CA突变/扩增与较差的前列腺癌生存率、局部淋巴结转移、较高的原发肿瘤类别和较高的gleason评分相关。</w:t>
            </w:r>
          </w:p>
        </w:tc>
        <w:tc>
          <w:tcPr>
            <w:tcW w:w="642" w:type="pct"/>
            <w:tcBorders>
              <w:top w:val="single" w:color="000000" w:themeColor="text1" w:sz="4" w:space="0"/>
              <w:left w:val="nil"/>
              <w:bottom w:val="single" w:color="000000" w:themeColor="text1" w:sz="4" w:space="0"/>
            </w:tcBorders>
            <w:shd w:val="clear" w:color="auto" w:fill="auto"/>
            <w:vAlign w:val="center"/>
          </w:tcPr>
          <w:p w14:paraId="496E271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309408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48E8E2EB">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271C90F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81F48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6C930C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PTEN功能缺失的去势前列腺癌总生存期（OS）更短，阿比特龙响应时间更短，疾病进展更快，生化复发时间更短。</w:t>
            </w:r>
          </w:p>
        </w:tc>
        <w:tc>
          <w:tcPr>
            <w:tcW w:w="642" w:type="pct"/>
            <w:tcBorders>
              <w:top w:val="single" w:color="000000" w:themeColor="text1" w:sz="4" w:space="0"/>
              <w:left w:val="nil"/>
              <w:bottom w:val="single" w:color="000000" w:themeColor="text1" w:sz="4" w:space="0"/>
            </w:tcBorders>
            <w:shd w:val="clear" w:color="auto" w:fill="auto"/>
            <w:vAlign w:val="center"/>
          </w:tcPr>
          <w:p w14:paraId="0C8F8B2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25454616</w:t>
            </w:r>
          </w:p>
          <w:p w14:paraId="2D38EE4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p w14:paraId="1EFDBA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5E461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RB1</w:t>
            </w:r>
          </w:p>
          <w:p w14:paraId="3D37EB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AC94F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184EE3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up.RB1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AD2D85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25A12F4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30928160</w:t>
            </w:r>
          </w:p>
          <w:p w14:paraId="0975BD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D07D3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421FEED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187D2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553E04E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66F838DB">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5D46B2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28059767</w:t>
            </w:r>
          </w:p>
          <w:p w14:paraId="65CD23D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11"/>
        <w:gridCol w:w="1287"/>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2D2577E3">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16B065AC">
            <w:pPr>
              <w:spacing w:line="206" w:lineRule="exact"/>
              <w:jc w:val="center"/>
              <w:rPr>
                <w:rFonts w:hint="eastAsia" w:ascii="宋体" w:hAnsi="宋体" w:eastAsia="宋体" w:cs="宋体"/>
                <w:b/>
                <w:bCs/>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198ED70A">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2" w:type="pct"/>
            <w:tcBorders>
              <w:top w:val="nil"/>
              <w:left w:val="nil"/>
              <w:bottom w:val="single" w:color="000000" w:themeColor="text1" w:sz="4" w:space="0"/>
              <w:right w:val="nil"/>
            </w:tcBorders>
            <w:shd w:val="clear" w:color="auto" w:fill="00D392"/>
            <w:vAlign w:val="center"/>
          </w:tcPr>
          <w:p w14:paraId="04BCB5B3">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7" w:type="pct"/>
            <w:tcBorders>
              <w:top w:val="nil"/>
              <w:left w:val="nil"/>
              <w:bottom w:val="single" w:color="000000" w:themeColor="text1" w:sz="4" w:space="0"/>
            </w:tcBorders>
            <w:shd w:val="clear" w:color="auto" w:fill="00D392"/>
            <w:vAlign w:val="center"/>
          </w:tcPr>
          <w:p w14:paraId="041B4DEF">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C2A98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AKT1</w:t>
            </w:r>
          </w:p>
          <w:p w14:paraId="4984DB9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AB551A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5417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up.AKT1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E2B74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60D8E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ARID1A</w:t>
            </w:r>
          </w:p>
          <w:p w14:paraId="2D259A8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EF23F3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60ED94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up.ARID1A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有研究称，在有或没有辅助膀胱内治疗的100例患者接受TUR治疗组中，ARID1A 突变与肿瘤复发相关（HR=3.14, p=0.002）。</w:t>
            </w:r>
          </w:p>
        </w:tc>
        <w:tc>
          <w:tcPr>
            <w:tcW w:w="647" w:type="pct"/>
            <w:tcBorders>
              <w:top w:val="single" w:color="000000" w:themeColor="text1" w:sz="4" w:space="0"/>
              <w:left w:val="nil"/>
              <w:bottom w:val="single" w:color="000000" w:themeColor="text1" w:sz="4" w:space="0"/>
            </w:tcBorders>
            <w:shd w:val="clear" w:color="auto" w:fill="auto"/>
            <w:vAlign w:val="center"/>
          </w:tcPr>
          <w:p w14:paraId="2876A42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C976854">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5CE5AA1F">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85468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D8BEB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63A6269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039CEF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240EB46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A6534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9C57F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4FA050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E336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4B179F7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D361D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125AB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7676C8D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038ED4">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CCND1</w:t>
            </w:r>
          </w:p>
          <w:p w14:paraId="700F5BD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A11CA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1B483F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up.CCND1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w:t>
            </w:r>
          </w:p>
        </w:tc>
        <w:tc>
          <w:tcPr>
            <w:tcW w:w="647" w:type="pct"/>
            <w:tcBorders>
              <w:top w:val="single" w:color="000000" w:themeColor="text1" w:sz="4" w:space="0"/>
              <w:left w:val="nil"/>
              <w:bottom w:val="single" w:color="000000" w:themeColor="text1" w:sz="4" w:space="0"/>
            </w:tcBorders>
            <w:shd w:val="clear" w:color="auto" w:fill="auto"/>
            <w:vAlign w:val="center"/>
          </w:tcPr>
          <w:p w14:paraId="4DE624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2506DC2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A64FD3">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CDH1</w:t>
            </w:r>
          </w:p>
          <w:p w14:paraId="568083FA">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2F49660">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05E74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up.CDH1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研究发现，携带CDKN2A，TP53，CDH1 基因突变的尿路上皮癌患者，预后可能较差。</w:t>
            </w:r>
          </w:p>
        </w:tc>
        <w:tc>
          <w:tcPr>
            <w:tcW w:w="647" w:type="pct"/>
            <w:tcBorders>
              <w:top w:val="single" w:color="000000" w:themeColor="text1" w:sz="4" w:space="0"/>
              <w:left w:val="nil"/>
              <w:bottom w:val="single" w:color="000000" w:themeColor="text1" w:sz="4" w:space="0"/>
            </w:tcBorders>
            <w:shd w:val="clear" w:color="auto" w:fill="auto"/>
            <w:vAlign w:val="center"/>
          </w:tcPr>
          <w:p w14:paraId="6197608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945F6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1A023F1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261DEB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5E744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研究发现，接受RC治疗的膀胱尿路上皮癌患者中，TP53和 CDKN2A 改变与预后不良相关；多变量分析中，CDKN2A改变的肿瘤患者的RFS较差。</w:t>
            </w:r>
          </w:p>
        </w:tc>
        <w:tc>
          <w:tcPr>
            <w:tcW w:w="647" w:type="pct"/>
            <w:tcBorders>
              <w:top w:val="single" w:color="000000" w:themeColor="text1" w:sz="4" w:space="0"/>
              <w:left w:val="nil"/>
              <w:bottom w:val="single" w:color="000000" w:themeColor="text1" w:sz="4" w:space="0"/>
            </w:tcBorders>
            <w:shd w:val="clear" w:color="auto" w:fill="auto"/>
            <w:vAlign w:val="center"/>
          </w:tcPr>
          <w:p w14:paraId="0ECB69E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AAEAD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CREBBP</w:t>
            </w:r>
          </w:p>
          <w:p w14:paraId="2A492AAD">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F10E5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2272EC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up.CREBBP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在一项研究中，复发发生率31%（22/72），具有CREBBP 突变的复发率更高（9/18，50%），高于没有CREBBP突变的肿瘤复发率（13/54，24%）。</w:t>
            </w:r>
          </w:p>
        </w:tc>
        <w:tc>
          <w:tcPr>
            <w:tcW w:w="647" w:type="pct"/>
            <w:tcBorders>
              <w:top w:val="single" w:color="000000" w:themeColor="text1" w:sz="4" w:space="0"/>
              <w:left w:val="nil"/>
              <w:bottom w:val="single" w:color="000000" w:themeColor="text1" w:sz="4" w:space="0"/>
            </w:tcBorders>
            <w:shd w:val="clear" w:color="auto" w:fill="auto"/>
            <w:vAlign w:val="center"/>
          </w:tcPr>
          <w:p w14:paraId="6430D39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6A28FDA7">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ERCC2</w:t>
            </w:r>
          </w:p>
          <w:p w14:paraId="369CBC5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7974A7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88299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up.ERCC2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3961D9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93F4EA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FGFR3</w:t>
            </w:r>
          </w:p>
          <w:p w14:paraId="76318C6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E1B54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40A7A9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up.FGFR3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E95F07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10D8C2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75C0509">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PALB2</w:t>
            </w:r>
          </w:p>
          <w:p w14:paraId="0B0BE7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956744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F5488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up.PALB2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67BF3A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1D8B26B">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708E4F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D8364A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C829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AD011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p w14:paraId="7CF947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E9AA41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2614DFB6">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24BB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D7940F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 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5EAFF61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460AAC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5917DC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5FFEB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0C10E7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op w:val="single" w:color="000000" w:themeColor="text1" w:sz="4" w:space="0"/>
              <w:left w:val="nil"/>
              <w:bottom w:val="single" w:color="000000" w:themeColor="text1" w:sz="4" w:space="0"/>
            </w:tcBorders>
            <w:shd w:val="clear" w:color="auto" w:fill="auto"/>
            <w:vAlign w:val="center"/>
          </w:tcPr>
          <w:p w14:paraId="7C0572D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9434AF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2EE47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TSC1</w:t>
            </w:r>
          </w:p>
          <w:p w14:paraId="7A5C5412">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588414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8FE5D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680DBE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4AD4E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TSC2</w:t>
            </w:r>
          </w:p>
          <w:p w14:paraId="6E43E5C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9D8B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E0F60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37E2AE8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bl>
    <w:p w14:paraId="1B10D37C">
      <w:pPr>
        <w:pStyle w:val="26"/>
        <w:tabs>
          <w:tab w:val="left" w:pos="1317"/>
        </w:tabs>
        <w:kinsoku w:val="0"/>
        <w:overflowPunct w:val="0"/>
        <w:spacing w:before="1" w:line="187" w:lineRule="auto"/>
        <w:ind w:left="0" w:right="1131" w:firstLine="0"/>
        <w:rPr>
          <w:rFonts w:hint="eastAsia" w:ascii="宋体" w:hAnsi="宋体" w:eastAsia="宋体" w:cs="宋体"/>
          <w:b/>
          <w:bCs/>
          <w:sz w:val="13"/>
          <w:szCs w:val="13"/>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宋体" w:hAnsi="宋体" w:eastAsia="宋体" w:cs="宋体"/>
          <w:b/>
          <w:bCs/>
          <w:sz w:val="13"/>
          <w:szCs w:val="13"/>
          <w:lang w:eastAsia="zh-CN"/>
        </w:rPr>
        <w:t>注：</w:t>
      </w:r>
    </w:p>
    <w:p w14:paraId="16FBF8A4">
      <w:pPr>
        <w:numPr>
          <w:ilvl w:val="0"/>
          <w:numId w:val="5"/>
        </w:numPr>
        <w:rPr>
          <w:rFonts w:hint="eastAsia" w:ascii="宋体" w:hAnsi="宋体" w:eastAsia="宋体" w:cs="宋体"/>
          <w:sz w:val="13"/>
          <w:szCs w:val="13"/>
          <w:lang w:eastAsia="zh-CN"/>
        </w:rPr>
      </w:pPr>
      <w:r>
        <w:rPr>
          <w:rFonts w:hint="eastAsia" w:ascii="宋体" w:hAnsi="宋体" w:eastAsia="宋体" w:cs="宋体"/>
          <w:sz w:val="13"/>
          <w:szCs w:val="13"/>
          <w:lang w:eastAsia="zh-CN"/>
        </w:rPr>
        <w:t>预后情况与多种临床因素相关，提示信息仅供参考。</w:t>
      </w:r>
    </w:p>
    <w:p w14:paraId="57E337EE">
      <w:pPr>
        <w:numPr>
          <w:ilvl w:val="0"/>
          <w:numId w:val="5"/>
        </w:numPr>
        <w:rPr>
          <w:rFonts w:ascii="Times New Roman" w:hAnsi="Times New Roman" w:eastAsia="微软雅黑" w:cs="Times New Roman"/>
          <w:sz w:val="18"/>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7AEB23FD">
      <w:pPr>
        <w:rPr>
          <w:rFonts w:hint="eastAsia"/>
          <w:sz w:val="30"/>
          <w:lang w:eastAsia="zh-CN"/>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bottom w:val="nil"/>
              <w:right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left w:val="nil"/>
              <w:bottom w:val="nil"/>
              <w:right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nil"/>
              <w:bottom w:val="nil"/>
              <w:right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nil"/>
              <w:bottom w:val="nil"/>
              <w:right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nil"/>
              <w:bottom w:val="nil"/>
              <w:right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nil"/>
              <w:bottom w:val="nil"/>
              <w:right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nil"/>
              <w:bottom w:val="nil"/>
              <w:right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nil"/>
              <w:bottom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tcBorders>
              <w:top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6"/>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27302"/>
      <w:bookmarkStart w:id="12" w:name="_Toc16594"/>
      <w:bookmarkStart w:id="13" w:name="_Toc12505"/>
      <w:bookmarkStart w:id="14" w:name="_Toc21764_WPSOffice_Level1"/>
      <w:bookmarkStart w:id="15" w:name="_Toc13196_WPSOffice_Level1"/>
      <w:bookmarkStart w:id="16" w:name="_Toc28240"/>
      <w:bookmarkStart w:id="17" w:name="_Toc2409"/>
      <w:bookmarkStart w:id="18" w:name="_Toc1707_WPSOffice_Level1"/>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9443"/>
      <w:bookmarkStart w:id="20" w:name="_Toc149837268"/>
      <w:bookmarkStart w:id="21" w:name="_Toc30346"/>
      <w:bookmarkStart w:id="22"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21"/>
      <w:bookmarkEnd w:id="22"/>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11193_WPSOffice_Level2"/>
      <w:bookmarkStart w:id="24" w:name="_Toc31515_WPSOffice_Level2"/>
      <w:bookmarkStart w:id="25" w:name="_Toc19280_WPSOffice_Level2"/>
      <w:bookmarkStart w:id="26" w:name="_Toc17111_WPSOffice_Level2"/>
      <w:bookmarkStart w:id="27" w:name="_Toc6304_WPSOffice_Level2"/>
      <w:bookmarkStart w:id="28" w:name="_Toc3488_WPSOffice_Level2"/>
      <w:bookmarkStart w:id="29"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15114"/>
      <w:bookmarkStart w:id="31" w:name="_Toc3409"/>
      <w:bookmarkStart w:id="32" w:name="_Toc20170_WPSOffice_Level1"/>
      <w:bookmarkStart w:id="33" w:name="_Toc27693"/>
      <w:bookmarkStart w:id="34" w:name="_Toc20924"/>
      <w:bookmarkStart w:id="35" w:name="_Toc31185"/>
      <w:bookmarkStart w:id="36" w:name="_Toc28454_WPSOffice_Level1"/>
      <w:bookmarkStart w:id="37" w:name="_Toc26985_WPSOffice_Level1"/>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采用目标区域探针捕获技术，基于Illumina测序平台的二代高通量测序技术(NGS)对样本进行检测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8"/>
        <w:keepNext w:val="0"/>
        <w:keepLines w:val="0"/>
        <w:pageBreakBefore w:val="0"/>
        <w:widowControl w:val="0"/>
        <w:numPr>
          <w:ilvl w:val="0"/>
          <w:numId w:val="8"/>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17792_WPSOffice_Level2"/>
      <w:bookmarkStart w:id="39" w:name="_Toc22162_WPSOffice_Level1"/>
      <w:bookmarkStart w:id="40" w:name="_Toc13275"/>
      <w:bookmarkStart w:id="41" w:name="_Toc19584_WPSOffice_Level1"/>
      <w:bookmarkStart w:id="42" w:name="_Toc22623"/>
      <w:bookmarkStart w:id="43" w:name="_Toc14611_WPSOffice_Level1"/>
    </w:p>
    <w:p w14:paraId="23DBC5C7">
      <w:pPr>
        <w:rPr>
          <w:rFonts w:hint="eastAsia" w:ascii="Times New Roman" w:hAnsi="Times New Roman" w:eastAsia="微软雅黑" w:cs="Times New Roman"/>
          <w:bCs/>
          <w:sz w:val="21"/>
          <w:szCs w:val="21"/>
          <w:lang w:val="en-US" w:eastAsia="zh-CN"/>
        </w:rPr>
      </w:pPr>
      <w:bookmarkStart w:id="44" w:name="_Toc22967"/>
      <w:bookmarkStart w:id="45" w:name="_Toc24849"/>
      <w:bookmarkStart w:id="46" w:name="_Toc21361"/>
      <w:bookmarkStart w:id="47" w:name="_Toc23906"/>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5AE95908">
      <w:pPr>
        <w:keepNext w:val="0"/>
        <w:keepLines w:val="0"/>
        <w:pageBreakBefore w:val="0"/>
        <w:widowControl/>
        <w:numPr>
          <w:ilvl w:val="0"/>
          <w:numId w:val="9"/>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A7876B95"/>
    <w:multiLevelType w:val="singleLevel"/>
    <w:tmpl w:val="A7876B95"/>
    <w:lvl w:ilvl="0" w:tentative="0">
      <w:start w:val="1"/>
      <w:numFmt w:val="decimal"/>
      <w:lvlText w:val="%1."/>
      <w:lvlJc w:val="left"/>
      <w:pPr>
        <w:ind w:left="425" w:hanging="425"/>
      </w:pPr>
      <w:rPr>
        <w:rFonts w:hint="default"/>
      </w:rPr>
    </w:lvl>
  </w:abstractNum>
  <w:abstractNum w:abstractNumId="2">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288179BD"/>
    <w:multiLevelType w:val="singleLevel"/>
    <w:tmpl w:val="288179BD"/>
    <w:lvl w:ilvl="0" w:tentative="0">
      <w:start w:val="2"/>
      <w:numFmt w:val="decimal"/>
      <w:lvlText w:val="%1."/>
      <w:lvlJc w:val="left"/>
      <w:pPr>
        <w:tabs>
          <w:tab w:val="left" w:pos="312"/>
        </w:tabs>
      </w:pPr>
    </w:lvl>
  </w:abstractNum>
  <w:abstractNum w:abstractNumId="5">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6">
    <w:nsid w:val="33009314"/>
    <w:multiLevelType w:val="multilevel"/>
    <w:tmpl w:val="33009314"/>
    <w:lvl w:ilvl="0" w:tentative="0">
      <w:start w:val="1"/>
      <w:numFmt w:val="decimal"/>
      <w:lvlText w:val="%1."/>
      <w:lvlJc w:val="left"/>
      <w:pPr>
        <w:ind w:left="425" w:hanging="425"/>
      </w:pPr>
      <w:rPr>
        <w:rFonts w:hint="default"/>
        <w:sz w:val="13"/>
        <w:szCs w:val="13"/>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7"/>
  </w:num>
  <w:num w:numId="2">
    <w:abstractNumId w:val="5"/>
  </w:num>
  <w:num w:numId="3">
    <w:abstractNumId w:val="3"/>
  </w:num>
  <w:num w:numId="4">
    <w:abstractNumId w:val="0"/>
  </w:num>
  <w:num w:numId="5">
    <w:abstractNumId w:val="6"/>
  </w:num>
  <w:num w:numId="6">
    <w:abstractNumId w:val="4"/>
  </w:num>
  <w:num w:numId="7">
    <w:abstractNumId w:val="2"/>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A3073B"/>
    <w:rsid w:val="01C0331C"/>
    <w:rsid w:val="01D658DA"/>
    <w:rsid w:val="024A7274"/>
    <w:rsid w:val="02517CBA"/>
    <w:rsid w:val="032D36C9"/>
    <w:rsid w:val="0375569E"/>
    <w:rsid w:val="03E06E1F"/>
    <w:rsid w:val="03E57C61"/>
    <w:rsid w:val="04447FB3"/>
    <w:rsid w:val="05191617"/>
    <w:rsid w:val="057335C1"/>
    <w:rsid w:val="061C48FA"/>
    <w:rsid w:val="06622FDE"/>
    <w:rsid w:val="06862B05"/>
    <w:rsid w:val="071D3FAB"/>
    <w:rsid w:val="0757624F"/>
    <w:rsid w:val="084367D4"/>
    <w:rsid w:val="09812E93"/>
    <w:rsid w:val="09B6050D"/>
    <w:rsid w:val="0ABB4F52"/>
    <w:rsid w:val="0C5933F7"/>
    <w:rsid w:val="0CFF1530"/>
    <w:rsid w:val="0D404FEF"/>
    <w:rsid w:val="0D4E2FA5"/>
    <w:rsid w:val="0D5C636E"/>
    <w:rsid w:val="0D60450C"/>
    <w:rsid w:val="0DAF2144"/>
    <w:rsid w:val="0DD71E98"/>
    <w:rsid w:val="0E24538F"/>
    <w:rsid w:val="0ED57440"/>
    <w:rsid w:val="0F320836"/>
    <w:rsid w:val="0F5117D6"/>
    <w:rsid w:val="0FAC466A"/>
    <w:rsid w:val="10393FAE"/>
    <w:rsid w:val="109D2528"/>
    <w:rsid w:val="11CF09F1"/>
    <w:rsid w:val="11F748B7"/>
    <w:rsid w:val="124A1047"/>
    <w:rsid w:val="12AF5735"/>
    <w:rsid w:val="12C34799"/>
    <w:rsid w:val="13A445CA"/>
    <w:rsid w:val="13B121FA"/>
    <w:rsid w:val="13C46A1B"/>
    <w:rsid w:val="14206CB7"/>
    <w:rsid w:val="145C0341"/>
    <w:rsid w:val="14C97D21"/>
    <w:rsid w:val="14D412B4"/>
    <w:rsid w:val="152C0C00"/>
    <w:rsid w:val="16192126"/>
    <w:rsid w:val="16244997"/>
    <w:rsid w:val="167D2018"/>
    <w:rsid w:val="16891F33"/>
    <w:rsid w:val="168C1F89"/>
    <w:rsid w:val="17603F42"/>
    <w:rsid w:val="176123B1"/>
    <w:rsid w:val="17713378"/>
    <w:rsid w:val="183F48C2"/>
    <w:rsid w:val="18452030"/>
    <w:rsid w:val="189472EC"/>
    <w:rsid w:val="19066A98"/>
    <w:rsid w:val="19615925"/>
    <w:rsid w:val="199F74A2"/>
    <w:rsid w:val="1A642AC3"/>
    <w:rsid w:val="1A712159"/>
    <w:rsid w:val="1AB120EE"/>
    <w:rsid w:val="1B6509D4"/>
    <w:rsid w:val="1B9C1403"/>
    <w:rsid w:val="1BC22E43"/>
    <w:rsid w:val="1C170A7F"/>
    <w:rsid w:val="1C3F7586"/>
    <w:rsid w:val="1CA01EAA"/>
    <w:rsid w:val="1CD24EBC"/>
    <w:rsid w:val="1D5726AE"/>
    <w:rsid w:val="1D647A6D"/>
    <w:rsid w:val="1DF84375"/>
    <w:rsid w:val="1EB4180B"/>
    <w:rsid w:val="1FCB32AB"/>
    <w:rsid w:val="1FFE0153"/>
    <w:rsid w:val="20306204"/>
    <w:rsid w:val="20343022"/>
    <w:rsid w:val="20745615"/>
    <w:rsid w:val="20C279F7"/>
    <w:rsid w:val="21502035"/>
    <w:rsid w:val="21E40288"/>
    <w:rsid w:val="22BD432B"/>
    <w:rsid w:val="23AE14CB"/>
    <w:rsid w:val="23D03057"/>
    <w:rsid w:val="23EF6974"/>
    <w:rsid w:val="24285550"/>
    <w:rsid w:val="24D740D4"/>
    <w:rsid w:val="2533755C"/>
    <w:rsid w:val="25752322"/>
    <w:rsid w:val="259424BE"/>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4A2DAD"/>
    <w:rsid w:val="2CF27CFD"/>
    <w:rsid w:val="2D035FCE"/>
    <w:rsid w:val="2D391923"/>
    <w:rsid w:val="2D945258"/>
    <w:rsid w:val="2D983C96"/>
    <w:rsid w:val="2E0E7081"/>
    <w:rsid w:val="2EA15E7F"/>
    <w:rsid w:val="2F4955B7"/>
    <w:rsid w:val="2F5D4670"/>
    <w:rsid w:val="2FAF7450"/>
    <w:rsid w:val="2FEC6956"/>
    <w:rsid w:val="301F1E4C"/>
    <w:rsid w:val="30354AD0"/>
    <w:rsid w:val="30BF439A"/>
    <w:rsid w:val="3102072B"/>
    <w:rsid w:val="313A7EC4"/>
    <w:rsid w:val="324F174E"/>
    <w:rsid w:val="33775400"/>
    <w:rsid w:val="33D53ED4"/>
    <w:rsid w:val="346800E7"/>
    <w:rsid w:val="346C7CD4"/>
    <w:rsid w:val="34AB35B3"/>
    <w:rsid w:val="354A3431"/>
    <w:rsid w:val="356502F1"/>
    <w:rsid w:val="3571067D"/>
    <w:rsid w:val="35A5383E"/>
    <w:rsid w:val="35A81922"/>
    <w:rsid w:val="36B20052"/>
    <w:rsid w:val="37702892"/>
    <w:rsid w:val="37981C13"/>
    <w:rsid w:val="37982968"/>
    <w:rsid w:val="37A61E10"/>
    <w:rsid w:val="380354B4"/>
    <w:rsid w:val="39170258"/>
    <w:rsid w:val="39DE55F3"/>
    <w:rsid w:val="39FD7AC0"/>
    <w:rsid w:val="3A103993"/>
    <w:rsid w:val="3A1846D0"/>
    <w:rsid w:val="3A43603C"/>
    <w:rsid w:val="3A8B7AF3"/>
    <w:rsid w:val="3C4147FD"/>
    <w:rsid w:val="3C53013A"/>
    <w:rsid w:val="3C6A5F3E"/>
    <w:rsid w:val="3C942B48"/>
    <w:rsid w:val="3C9B7773"/>
    <w:rsid w:val="3CCA3A33"/>
    <w:rsid w:val="3D335711"/>
    <w:rsid w:val="3D3F5986"/>
    <w:rsid w:val="3E784CAF"/>
    <w:rsid w:val="40DA19C9"/>
    <w:rsid w:val="41011E2C"/>
    <w:rsid w:val="4106345F"/>
    <w:rsid w:val="421733CA"/>
    <w:rsid w:val="421A3B26"/>
    <w:rsid w:val="42784497"/>
    <w:rsid w:val="42FE0D52"/>
    <w:rsid w:val="430732B8"/>
    <w:rsid w:val="43776D56"/>
    <w:rsid w:val="43F76D91"/>
    <w:rsid w:val="45013EA7"/>
    <w:rsid w:val="45093545"/>
    <w:rsid w:val="45BF5ADC"/>
    <w:rsid w:val="45F51780"/>
    <w:rsid w:val="47C96C6C"/>
    <w:rsid w:val="47D71662"/>
    <w:rsid w:val="47EF7803"/>
    <w:rsid w:val="47FB1302"/>
    <w:rsid w:val="488D0130"/>
    <w:rsid w:val="48A560FB"/>
    <w:rsid w:val="48EC02BF"/>
    <w:rsid w:val="491D785B"/>
    <w:rsid w:val="49A62559"/>
    <w:rsid w:val="49C35028"/>
    <w:rsid w:val="4AAA6299"/>
    <w:rsid w:val="4B5C190B"/>
    <w:rsid w:val="4B6E01D6"/>
    <w:rsid w:val="4B8B3BFC"/>
    <w:rsid w:val="4B8D4E5E"/>
    <w:rsid w:val="4BAD6FF8"/>
    <w:rsid w:val="4C093628"/>
    <w:rsid w:val="4C405684"/>
    <w:rsid w:val="4C84146C"/>
    <w:rsid w:val="4CC21042"/>
    <w:rsid w:val="4D626381"/>
    <w:rsid w:val="4D903FFE"/>
    <w:rsid w:val="4DCE524B"/>
    <w:rsid w:val="4ECE7922"/>
    <w:rsid w:val="4ED37AFB"/>
    <w:rsid w:val="4F0348E3"/>
    <w:rsid w:val="4F91170B"/>
    <w:rsid w:val="4F964A55"/>
    <w:rsid w:val="4FF5558B"/>
    <w:rsid w:val="5011275F"/>
    <w:rsid w:val="50136F8F"/>
    <w:rsid w:val="505E1082"/>
    <w:rsid w:val="51890380"/>
    <w:rsid w:val="51B34B08"/>
    <w:rsid w:val="51D81308"/>
    <w:rsid w:val="52AF1549"/>
    <w:rsid w:val="52ED493F"/>
    <w:rsid w:val="53272682"/>
    <w:rsid w:val="53723B8B"/>
    <w:rsid w:val="53D17DBD"/>
    <w:rsid w:val="53D77AC3"/>
    <w:rsid w:val="55592760"/>
    <w:rsid w:val="55B464AB"/>
    <w:rsid w:val="55F4333F"/>
    <w:rsid w:val="56731990"/>
    <w:rsid w:val="56B56256"/>
    <w:rsid w:val="56E32460"/>
    <w:rsid w:val="571C1C97"/>
    <w:rsid w:val="574D1079"/>
    <w:rsid w:val="575D6537"/>
    <w:rsid w:val="57911F10"/>
    <w:rsid w:val="57E91301"/>
    <w:rsid w:val="580D1911"/>
    <w:rsid w:val="582A2734"/>
    <w:rsid w:val="58554097"/>
    <w:rsid w:val="58876AA7"/>
    <w:rsid w:val="58E01A95"/>
    <w:rsid w:val="5A160C1F"/>
    <w:rsid w:val="5A1E1DD0"/>
    <w:rsid w:val="5A816975"/>
    <w:rsid w:val="5A9015FB"/>
    <w:rsid w:val="5ADA39FB"/>
    <w:rsid w:val="5AFA409D"/>
    <w:rsid w:val="5B710073"/>
    <w:rsid w:val="5BC1147D"/>
    <w:rsid w:val="5BE2766C"/>
    <w:rsid w:val="5C417408"/>
    <w:rsid w:val="5CB54D70"/>
    <w:rsid w:val="5CD251BD"/>
    <w:rsid w:val="5D0D16D1"/>
    <w:rsid w:val="5D940211"/>
    <w:rsid w:val="5F2347E6"/>
    <w:rsid w:val="5FA1715B"/>
    <w:rsid w:val="5FBA5715"/>
    <w:rsid w:val="5FE3645C"/>
    <w:rsid w:val="603658A5"/>
    <w:rsid w:val="60607BB3"/>
    <w:rsid w:val="608163B8"/>
    <w:rsid w:val="60F168FC"/>
    <w:rsid w:val="60F55ECE"/>
    <w:rsid w:val="61AF16FF"/>
    <w:rsid w:val="624E41CF"/>
    <w:rsid w:val="628232F6"/>
    <w:rsid w:val="62B44FFF"/>
    <w:rsid w:val="62E00B42"/>
    <w:rsid w:val="6321538F"/>
    <w:rsid w:val="6321796C"/>
    <w:rsid w:val="63224191"/>
    <w:rsid w:val="638766EA"/>
    <w:rsid w:val="64065861"/>
    <w:rsid w:val="646C0BCA"/>
    <w:rsid w:val="64967EC8"/>
    <w:rsid w:val="64AA1754"/>
    <w:rsid w:val="65867FF5"/>
    <w:rsid w:val="65FB49E2"/>
    <w:rsid w:val="66064CBA"/>
    <w:rsid w:val="66874DE1"/>
    <w:rsid w:val="678A67A9"/>
    <w:rsid w:val="67AB72BD"/>
    <w:rsid w:val="67C80D34"/>
    <w:rsid w:val="685F6F23"/>
    <w:rsid w:val="68743ADC"/>
    <w:rsid w:val="68CD2E71"/>
    <w:rsid w:val="695D3A47"/>
    <w:rsid w:val="696E0130"/>
    <w:rsid w:val="6AFF0A3C"/>
    <w:rsid w:val="6B0A032C"/>
    <w:rsid w:val="6B230036"/>
    <w:rsid w:val="6B7519B8"/>
    <w:rsid w:val="6B8E6F9E"/>
    <w:rsid w:val="6BAA4AB8"/>
    <w:rsid w:val="6BCC3834"/>
    <w:rsid w:val="6D2A25C0"/>
    <w:rsid w:val="6D60320B"/>
    <w:rsid w:val="6E297E68"/>
    <w:rsid w:val="6E7C73C6"/>
    <w:rsid w:val="6E87371E"/>
    <w:rsid w:val="6EDD18B4"/>
    <w:rsid w:val="6F0C162D"/>
    <w:rsid w:val="6F2B4B68"/>
    <w:rsid w:val="6F4D4E57"/>
    <w:rsid w:val="6F6254D4"/>
    <w:rsid w:val="6FDA6F50"/>
    <w:rsid w:val="6FE70C3C"/>
    <w:rsid w:val="707E0E37"/>
    <w:rsid w:val="712D08D1"/>
    <w:rsid w:val="723B53D9"/>
    <w:rsid w:val="7261482B"/>
    <w:rsid w:val="72750781"/>
    <w:rsid w:val="734B0AAB"/>
    <w:rsid w:val="73D968FB"/>
    <w:rsid w:val="74BF0FAF"/>
    <w:rsid w:val="760342F6"/>
    <w:rsid w:val="761A613E"/>
    <w:rsid w:val="76CECDB4"/>
    <w:rsid w:val="76F27584"/>
    <w:rsid w:val="77106CCA"/>
    <w:rsid w:val="777546A8"/>
    <w:rsid w:val="77804029"/>
    <w:rsid w:val="77BF6B66"/>
    <w:rsid w:val="782F3180"/>
    <w:rsid w:val="784604CA"/>
    <w:rsid w:val="784A5363"/>
    <w:rsid w:val="78DC32F4"/>
    <w:rsid w:val="798C63B0"/>
    <w:rsid w:val="7A15284A"/>
    <w:rsid w:val="7A9A4A9F"/>
    <w:rsid w:val="7B582304"/>
    <w:rsid w:val="7B99466E"/>
    <w:rsid w:val="7BD35584"/>
    <w:rsid w:val="7BDF0250"/>
    <w:rsid w:val="7C1120EB"/>
    <w:rsid w:val="7D0E21AB"/>
    <w:rsid w:val="7D275E6F"/>
    <w:rsid w:val="7D3B6123"/>
    <w:rsid w:val="7D3D633F"/>
    <w:rsid w:val="7D806106"/>
    <w:rsid w:val="7E0B4B47"/>
    <w:rsid w:val="7E826381"/>
    <w:rsid w:val="7ECF7AEF"/>
    <w:rsid w:val="7F0A3FFF"/>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31</Pages>
  <Words>5903</Words>
  <Characters>14744</Characters>
  <Lines>37</Lines>
  <Paragraphs>10</Paragraphs>
  <TotalTime>1</TotalTime>
  <ScaleCrop>false</ScaleCrop>
  <LinksUpToDate>false</LinksUpToDate>
  <CharactersWithSpaces>15902</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2025-08-15T06:42:24Z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