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69F6ED">
      <w:pPr>
        <w:rPr>
          <w:sz w:val="20"/>
          <w:szCs w:val="20"/>
        </w:rPr>
      </w:pPr>
    </w:p>
    <w:p w14:paraId="58329306">
      <w:pPr>
        <w:rPr>
          <w:sz w:val="20"/>
          <w:szCs w:val="20"/>
        </w:rPr>
      </w:pPr>
    </w:p>
    <w:p w14:paraId="273F3E79">
      <w:pPr>
        <w:rPr>
          <w:sz w:val="20"/>
          <w:szCs w:val="20"/>
        </w:rPr>
      </w:pPr>
    </w:p>
    <w:p w14:paraId="404C7402">
      <w:pPr>
        <w:rPr>
          <w:rFonts w:ascii="黑体" w:hAnsi="黑体" w:eastAsia="黑体" w:cs="黑体"/>
          <w:color w:val="548235" w:themeColor="accent6" w:themeShade="BF"/>
          <w:sz w:val="56"/>
          <w:szCs w:val="56"/>
          <w:lang w:eastAsia="zh-CN"/>
        </w:rPr>
      </w:pPr>
      <w:r>
        <w:rPr>
          <w:sz w:val="24"/>
          <w:szCs w:val="24"/>
          <w:lang w:eastAsia="zh-CN" w:bidi="ar"/>
        </w:rPr>
        <w:drawing>
          <wp:inline distT="0" distB="0" distL="114300" distR="114300">
            <wp:extent cx="6261735" cy="1539240"/>
            <wp:effectExtent l="0" t="0" r="1905" b="0"/>
            <wp:docPr id="6" name="图片 6" descr="3153d4e3af5ec8d30c1caaddd57a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153d4e3af5ec8d30c1caaddd57ab7c"/>
                    <pic:cNvPicPr>
                      <a:picLocks noChangeAspect="1"/>
                    </pic:cNvPicPr>
                  </pic:nvPicPr>
                  <pic:blipFill>
                    <a:blip r:embed="rId7"/>
                    <a:stretch>
                      <a:fillRect/>
                    </a:stretch>
                  </pic:blipFill>
                  <pic:spPr>
                    <a:xfrm>
                      <a:off x="0" y="0"/>
                      <a:ext cx="6261735" cy="1539240"/>
                    </a:xfrm>
                    <a:prstGeom prst="rect">
                      <a:avLst/>
                    </a:prstGeom>
                  </pic:spPr>
                </pic:pic>
              </a:graphicData>
            </a:graphic>
          </wp:inline>
        </w:drawing>
      </w:r>
    </w:p>
    <w:p w14:paraId="500B5894">
      <w:pPr>
        <w:jc w:val="center"/>
        <w:rPr>
          <w:lang w:eastAsia="zh-CN"/>
        </w:rPr>
      </w:pPr>
      <w:r>
        <w:rPr>
          <w:rFonts w:hint="eastAsia" w:ascii="黑体" w:hAnsi="黑体" w:eastAsia="黑体" w:cs="黑体"/>
          <w:color w:val="205B39"/>
          <w:sz w:val="56"/>
          <w:szCs w:val="56"/>
          <w:lang w:eastAsia="zh-CN"/>
        </w:rPr>
        <w:t>病理科分子病理基因检测报告</w:t>
      </w:r>
    </w:p>
    <w:p w14:paraId="5E51F62A">
      <w:pPr>
        <w:jc w:val="right"/>
        <w:rPr>
          <w:lang w:eastAsia="zh-CN"/>
        </w:rPr>
      </w:pPr>
    </w:p>
    <w:p w14:paraId="095D7F47">
      <w:pPr>
        <w:jc w:val="center"/>
        <w:rPr>
          <w:lang w:eastAsia="zh-CN"/>
        </w:rPr>
      </w:pPr>
    </w:p>
    <w:tbl>
      <w:tblPr>
        <w:tblStyle w:val="18"/>
        <w:tblpPr w:leftFromText="181" w:rightFromText="181" w:vertAnchor="page" w:horzAnchor="page" w:tblpXSpec="center" w:tblpY="11529"/>
        <w:tblOverlap w:val="never"/>
        <w:tblW w:w="73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4"/>
        <w:gridCol w:w="5413"/>
      </w:tblGrid>
      <w:tr w14:paraId="24D35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67" w:hRule="atLeast"/>
          <w:jc w:val="center"/>
        </w:trPr>
        <w:tc>
          <w:tcPr>
            <w:tcW w:w="1914" w:type="dxa"/>
            <w:tcBorders>
              <w:top w:val="nil"/>
              <w:left w:val="nil"/>
              <w:bottom w:val="nil"/>
              <w:right w:val="nil"/>
            </w:tcBorders>
            <w:vAlign w:val="bottom"/>
          </w:tcPr>
          <w:p w14:paraId="62E88E59">
            <w:pPr>
              <w:pStyle w:val="8"/>
              <w:jc w:val="both"/>
              <w:rPr>
                <w:rFonts w:ascii="黑体"/>
                <w:sz w:val="48"/>
                <w:lang w:eastAsia="zh-CN"/>
              </w:rPr>
            </w:pPr>
            <w:r>
              <w:rPr>
                <w:rFonts w:hint="eastAsia" w:ascii="微软雅黑" w:eastAsia="微软雅黑"/>
                <w:sz w:val="30"/>
                <w:lang w:eastAsia="zh-CN"/>
              </w:rPr>
              <w:t>检测项目：</w:t>
            </w:r>
          </w:p>
        </w:tc>
        <w:tc>
          <w:tcPr>
            <w:tcW w:w="5413" w:type="dxa"/>
            <w:tcBorders>
              <w:top w:val="nil"/>
              <w:left w:val="nil"/>
              <w:bottom w:val="nil"/>
              <w:right w:val="nil"/>
            </w:tcBorders>
            <w:vAlign w:val="center"/>
          </w:tcPr>
          <w:p w14:paraId="0EA9D815">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黑体"/>
                <w:sz w:val="48"/>
                <w:lang w:eastAsia="zh-CN"/>
              </w:rPr>
            </w:pPr>
            <w:r>
              <w:rPr>
                <w:rFonts w:hint="eastAsia" w:ascii="微软雅黑" w:eastAsia="微软雅黑"/>
                <w:sz w:val="30"/>
                <w:szCs w:val="18"/>
                <w:lang w:eastAsia="zh-CN"/>
              </w:rPr>
              <w:t>实体瘤分子残留病灶（MRD）检测报告</w:t>
            </w:r>
          </w:p>
        </w:tc>
      </w:tr>
      <w:tr w14:paraId="1353D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1914" w:type="dxa"/>
            <w:tcBorders>
              <w:top w:val="nil"/>
              <w:left w:val="nil"/>
              <w:bottom w:val="nil"/>
              <w:right w:val="nil"/>
            </w:tcBorders>
            <w:vAlign w:val="bottom"/>
          </w:tcPr>
          <w:p w14:paraId="5B007D4A">
            <w:pPr>
              <w:pStyle w:val="8"/>
              <w:jc w:val="both"/>
              <w:rPr>
                <w:rFonts w:ascii="黑体"/>
                <w:sz w:val="48"/>
                <w:lang w:eastAsia="zh-CN"/>
              </w:rPr>
            </w:pPr>
            <w:r>
              <w:rPr>
                <w:rFonts w:hint="eastAsia" w:ascii="微软雅黑" w:eastAsia="微软雅黑"/>
                <w:sz w:val="30"/>
                <w:lang w:eastAsia="zh-CN"/>
              </w:rPr>
              <w:t>患者信息：</w:t>
            </w:r>
          </w:p>
        </w:tc>
        <w:tc>
          <w:tcPr>
            <w:tcW w:w="5413" w:type="dxa"/>
            <w:tcBorders>
              <w:top w:val="nil"/>
              <w:left w:val="nil"/>
              <w:bottom w:val="nil"/>
              <w:right w:val="nil"/>
            </w:tcBorders>
            <w:vAlign w:val="center"/>
          </w:tcPr>
          <w:p w14:paraId="3CD35AEC">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hAnsi="宋体" w:eastAsia="微软雅黑" w:cs="宋体"/>
                <w:sz w:val="30"/>
                <w:lang w:eastAsia="zh-CN"/>
              </w:rPr>
              <w:t>{{ client }}</w:t>
            </w:r>
          </w:p>
        </w:tc>
      </w:tr>
      <w:tr w14:paraId="27A77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1914" w:type="dxa"/>
            <w:tcBorders>
              <w:top w:val="nil"/>
              <w:left w:val="nil"/>
              <w:bottom w:val="nil"/>
              <w:right w:val="nil"/>
            </w:tcBorders>
            <w:vAlign w:val="bottom"/>
          </w:tcPr>
          <w:p w14:paraId="13713262">
            <w:pPr>
              <w:pStyle w:val="8"/>
              <w:jc w:val="both"/>
              <w:rPr>
                <w:rFonts w:ascii="黑体"/>
                <w:sz w:val="48"/>
                <w:lang w:eastAsia="zh-CN"/>
              </w:rPr>
            </w:pPr>
            <w:r>
              <w:rPr>
                <w:rFonts w:hint="eastAsia" w:ascii="微软雅黑" w:eastAsia="微软雅黑"/>
                <w:sz w:val="30"/>
                <w:lang w:eastAsia="zh-CN"/>
              </w:rPr>
              <w:t>送检日期：</w:t>
            </w:r>
          </w:p>
        </w:tc>
        <w:tc>
          <w:tcPr>
            <w:tcW w:w="5413" w:type="dxa"/>
            <w:tcBorders>
              <w:top w:val="nil"/>
              <w:left w:val="nil"/>
              <w:bottom w:val="nil"/>
              <w:right w:val="nil"/>
            </w:tcBorders>
            <w:vAlign w:val="center"/>
          </w:tcPr>
          <w:p w14:paraId="78A68774">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hAnsi="宋体" w:eastAsia="微软雅黑" w:cs="宋体"/>
                <w:sz w:val="30"/>
                <w:lang w:eastAsia="zh-CN"/>
              </w:rPr>
              <w:t>{{ commission_date }}</w:t>
            </w:r>
          </w:p>
        </w:tc>
      </w:tr>
      <w:tr w14:paraId="2CB7D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1914" w:type="dxa"/>
            <w:tcBorders>
              <w:top w:val="nil"/>
              <w:left w:val="nil"/>
              <w:bottom w:val="nil"/>
              <w:right w:val="nil"/>
            </w:tcBorders>
            <w:vAlign w:val="bottom"/>
          </w:tcPr>
          <w:p w14:paraId="5E0C0FDA">
            <w:pPr>
              <w:pStyle w:val="8"/>
              <w:jc w:val="both"/>
              <w:rPr>
                <w:rFonts w:ascii="黑体"/>
                <w:sz w:val="48"/>
                <w:lang w:eastAsia="zh-CN"/>
              </w:rPr>
            </w:pPr>
            <w:r>
              <w:rPr>
                <w:rFonts w:hint="eastAsia" w:ascii="微软雅黑" w:eastAsia="微软雅黑"/>
                <w:sz w:val="30"/>
                <w:lang w:eastAsia="zh-CN"/>
              </w:rPr>
              <w:t>分子病理号：</w:t>
            </w:r>
          </w:p>
        </w:tc>
        <w:tc>
          <w:tcPr>
            <w:tcW w:w="5413" w:type="dxa"/>
            <w:tcBorders>
              <w:top w:val="nil"/>
              <w:left w:val="nil"/>
              <w:bottom w:val="nil"/>
              <w:right w:val="nil"/>
            </w:tcBorders>
            <w:vAlign w:val="center"/>
          </w:tcPr>
          <w:p w14:paraId="0FC8FDA8">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eastAsia="微软雅黑"/>
                <w:sz w:val="30"/>
                <w:highlight w:val="none"/>
                <w:lang w:val="en-US" w:eastAsia="zh-CN"/>
              </w:rPr>
              <w:t>{{ patientid }}</w:t>
            </w:r>
          </w:p>
        </w:tc>
      </w:tr>
      <w:tr w14:paraId="2DF18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1914" w:type="dxa"/>
            <w:tcBorders>
              <w:top w:val="nil"/>
              <w:left w:val="nil"/>
              <w:bottom w:val="nil"/>
              <w:right w:val="nil"/>
            </w:tcBorders>
            <w:vAlign w:val="bottom"/>
          </w:tcPr>
          <w:p w14:paraId="2415F6BE">
            <w:pPr>
              <w:pStyle w:val="8"/>
              <w:jc w:val="both"/>
              <w:rPr>
                <w:rFonts w:ascii="黑体"/>
                <w:sz w:val="48"/>
                <w:lang w:eastAsia="zh-CN"/>
              </w:rPr>
            </w:pPr>
            <w:r>
              <w:rPr>
                <w:rFonts w:hint="eastAsia" w:ascii="微软雅黑" w:eastAsia="微软雅黑"/>
                <w:sz w:val="30"/>
                <w:lang w:eastAsia="zh-CN"/>
              </w:rPr>
              <w:t>报告日期：</w:t>
            </w:r>
          </w:p>
        </w:tc>
        <w:tc>
          <w:tcPr>
            <w:tcW w:w="5413" w:type="dxa"/>
            <w:tcBorders>
              <w:top w:val="nil"/>
              <w:left w:val="nil"/>
              <w:bottom w:val="nil"/>
              <w:right w:val="nil"/>
            </w:tcBorders>
            <w:vAlign w:val="center"/>
          </w:tcPr>
          <w:p w14:paraId="79A79AFB">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hAnsi="宋体" w:eastAsia="微软雅黑" w:cs="宋体"/>
                <w:sz w:val="30"/>
                <w:lang w:eastAsia="zh-CN"/>
              </w:rPr>
              <w:t>{{ reportdate }}</w:t>
            </w:r>
          </w:p>
        </w:tc>
      </w:tr>
    </w:tbl>
    <w:p w14:paraId="25A3CB79">
      <w:r>
        <w:rPr>
          <w:rFonts w:hint="eastAsia"/>
          <w:lang w:eastAsia="zh-CN"/>
        </w:rPr>
        <w:drawing>
          <wp:anchor distT="0" distB="0" distL="114300" distR="114300" simplePos="0" relativeHeight="251661312" behindDoc="0" locked="0" layoutInCell="1" allowOverlap="1">
            <wp:simplePos x="0" y="0"/>
            <wp:positionH relativeFrom="column">
              <wp:posOffset>2002790</wp:posOffset>
            </wp:positionH>
            <wp:positionV relativeFrom="paragraph">
              <wp:posOffset>61595</wp:posOffset>
            </wp:positionV>
            <wp:extent cx="2621280" cy="2583180"/>
            <wp:effectExtent l="0" t="0" r="0" b="0"/>
            <wp:wrapNone/>
            <wp:docPr id="1" name="图片 1" descr="a33fd20e4d4f678b2d46e339926d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33fd20e4d4f678b2d46e339926d935"/>
                    <pic:cNvPicPr>
                      <a:picLocks noChangeAspect="1"/>
                    </pic:cNvPicPr>
                  </pic:nvPicPr>
                  <pic:blipFill>
                    <a:blip r:embed="rId8"/>
                    <a:srcRect l="20506" t="19985" r="18065" b="19479"/>
                    <a:stretch>
                      <a:fillRect/>
                    </a:stretch>
                  </pic:blipFill>
                  <pic:spPr>
                    <a:xfrm>
                      <a:off x="0" y="0"/>
                      <a:ext cx="2621280" cy="2583180"/>
                    </a:xfrm>
                    <a:prstGeom prst="rect">
                      <a:avLst/>
                    </a:prstGeom>
                  </pic:spPr>
                </pic:pic>
              </a:graphicData>
            </a:graphic>
          </wp:anchor>
        </w:drawing>
      </w:r>
    </w:p>
    <w:p w14:paraId="17C19C74"/>
    <w:p w14:paraId="799BCA28"/>
    <w:p w14:paraId="68A74D53"/>
    <w:p w14:paraId="754E5F76"/>
    <w:p w14:paraId="5AB12ACD"/>
    <w:p w14:paraId="59C3DAE7"/>
    <w:p w14:paraId="49B1C75A"/>
    <w:p w14:paraId="4439B611"/>
    <w:p w14:paraId="750A7301"/>
    <w:p w14:paraId="2CEADC7C"/>
    <w:p w14:paraId="491942E9"/>
    <w:p w14:paraId="6928B185"/>
    <w:p w14:paraId="592F2317"/>
    <w:p w14:paraId="00621927"/>
    <w:p w14:paraId="4E6BA0F1">
      <w:pPr>
        <w:rPr>
          <w:lang w:eastAsia="zh-CN"/>
        </w:rPr>
      </w:pPr>
      <w:r>
        <w:rPr>
          <w:lang w:eastAsia="zh-CN"/>
        </w:rPr>
        <mc:AlternateContent>
          <mc:Choice Requires="wps">
            <w:drawing>
              <wp:anchor distT="0" distB="0" distL="114300" distR="114300" simplePos="0" relativeHeight="251660288"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92468E">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0288;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7A92468E">
                      <w:pPr>
                        <w:rPr>
                          <w:lang w:eastAsia="zh-CN"/>
                        </w:rPr>
                      </w:pPr>
                    </w:p>
                  </w:txbxContent>
                </v:textbox>
              </v:shape>
            </w:pict>
          </mc:Fallback>
        </mc:AlternateContent>
      </w:r>
    </w:p>
    <w:p w14:paraId="120A2B1A">
      <w:pPr>
        <w:rPr>
          <w:lang w:eastAsia="zh-CN"/>
        </w:rPr>
      </w:pPr>
    </w:p>
    <w:p w14:paraId="2B243560">
      <w:pPr>
        <w:rPr>
          <w:lang w:eastAsia="zh-CN"/>
        </w:rPr>
      </w:pPr>
    </w:p>
    <w:p w14:paraId="27206ECE">
      <w:pPr>
        <w:rPr>
          <w:lang w:eastAsia="zh-CN"/>
        </w:rPr>
      </w:pPr>
    </w:p>
    <w:p w14:paraId="2247A0E4">
      <w:pPr>
        <w:rPr>
          <w:lang w:eastAsia="zh-CN"/>
        </w:rPr>
      </w:pPr>
    </w:p>
    <w:p w14:paraId="30F40C51">
      <w:pPr>
        <w:rPr>
          <w:lang w:eastAsia="zh-CN"/>
        </w:rPr>
      </w:pPr>
    </w:p>
    <w:p w14:paraId="1D894FD4">
      <w:pPr>
        <w:rPr>
          <w:lang w:eastAsia="zh-CN"/>
        </w:rPr>
      </w:pPr>
    </w:p>
    <w:p w14:paraId="37C827AC">
      <w:pPr>
        <w:rPr>
          <w:lang w:eastAsia="zh-CN"/>
        </w:rPr>
      </w:pPr>
    </w:p>
    <w:p w14:paraId="14A6B90B">
      <w:pPr>
        <w:rPr>
          <w:lang w:eastAsia="zh-CN"/>
        </w:rPr>
      </w:pPr>
    </w:p>
    <w:p w14:paraId="5B15A061">
      <w:pPr>
        <w:rPr>
          <w:lang w:eastAsia="zh-CN"/>
        </w:rPr>
      </w:pPr>
    </w:p>
    <w:p w14:paraId="67B68AB8">
      <w:pPr>
        <w:rPr>
          <w:lang w:eastAsia="zh-CN"/>
        </w:rPr>
      </w:pPr>
    </w:p>
    <w:p w14:paraId="60F49ABF">
      <w:pPr>
        <w:rPr>
          <w:lang w:eastAsia="zh-CN"/>
        </w:rPr>
      </w:pPr>
    </w:p>
    <w:p w14:paraId="22E16C6D">
      <w:pPr>
        <w:rPr>
          <w:lang w:eastAsia="zh-CN"/>
        </w:rPr>
      </w:pPr>
    </w:p>
    <w:p w14:paraId="3D095FAC">
      <w:pPr>
        <w:rPr>
          <w:lang w:eastAsia="zh-CN"/>
        </w:rPr>
      </w:pPr>
    </w:p>
    <w:p w14:paraId="2BA82DAA">
      <w:pPr>
        <w:rPr>
          <w:lang w:eastAsia="zh-CN"/>
        </w:rPr>
      </w:pPr>
    </w:p>
    <w:p w14:paraId="6DECA6FA">
      <w:pPr>
        <w:rPr>
          <w:lang w:eastAsia="zh-CN"/>
        </w:rPr>
      </w:pPr>
    </w:p>
    <w:p w14:paraId="2ACEA4F4">
      <w:pPr>
        <w:rPr>
          <w:lang w:eastAsia="zh-CN"/>
        </w:rPr>
      </w:pPr>
    </w:p>
    <w:p w14:paraId="549B0047">
      <w:pPr>
        <w:ind w:firstLine="4482" w:firstLineChars="800"/>
        <w:rPr>
          <w:rFonts w:ascii="Times New Roman" w:hAnsi="Times New Roman" w:eastAsia="微软雅黑" w:cs="Times New Roman"/>
          <w:b/>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59668340">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3A8C9544">
      <w:pPr>
        <w:pStyle w:val="13"/>
        <w:keepNext w:val="0"/>
        <w:keepLines w:val="0"/>
        <w:pageBreakBefore w:val="0"/>
        <w:widowControl w:val="0"/>
        <w:tabs>
          <w:tab w:val="right" w:leader="dot" w:pos="10205"/>
        </w:tabs>
        <w:kinsoku/>
        <w:wordWrap/>
        <w:overflowPunct/>
        <w:topLinePunct w:val="0"/>
        <w:autoSpaceDE/>
        <w:autoSpaceDN/>
        <w:bidi w:val="0"/>
        <w:adjustRightInd/>
        <w:snapToGrid/>
        <w:textAlignment w:val="auto"/>
      </w:pPr>
      <w:r>
        <w:rPr>
          <w:rFonts w:cs="Times New Roman"/>
          <w:sz w:val="21"/>
          <w:szCs w:val="21"/>
          <w:lang w:eastAsia="zh-CN"/>
        </w:rPr>
        <w:fldChar w:fldCharType="begin"/>
      </w:r>
      <w:r>
        <w:rPr>
          <w:rFonts w:cs="Times New Roman"/>
          <w:sz w:val="21"/>
          <w:szCs w:val="21"/>
          <w:lang w:eastAsia="zh-CN"/>
        </w:rPr>
        <w:instrText xml:space="preserve">TOC \o "1-2" \h \u </w:instrText>
      </w:r>
      <w:r>
        <w:rPr>
          <w:rFonts w:cs="Times New Roman"/>
          <w:sz w:val="21"/>
          <w:szCs w:val="21"/>
          <w:lang w:eastAsia="zh-CN"/>
        </w:rPr>
        <w:fldChar w:fldCharType="separate"/>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_Toc17475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样本信息</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_Toc17475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1</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p>
    <w:p w14:paraId="36936390">
      <w:pPr>
        <w:pStyle w:val="13"/>
        <w:keepNext w:val="0"/>
        <w:keepLines w:val="0"/>
        <w:pageBreakBefore w:val="0"/>
        <w:widowControl w:val="0"/>
        <w:tabs>
          <w:tab w:val="right" w:leader="dot" w:pos="10205"/>
        </w:tabs>
        <w:kinsoku/>
        <w:wordWrap/>
        <w:overflowPunct/>
        <w:topLinePunct w:val="0"/>
        <w:autoSpaceDE/>
        <w:autoSpaceDN/>
        <w:bidi w:val="0"/>
        <w:adjustRightInd/>
        <w:snapToGrid/>
        <w:textAlignment w:val="auto"/>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_Toc31053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检测内容</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_Toc31053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1</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p>
    <w:p w14:paraId="0B213994">
      <w:pPr>
        <w:pStyle w:val="13"/>
        <w:tabs>
          <w:tab w:val="right" w:leader="dot" w:pos="10205"/>
        </w:tabs>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_Toc7104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检测结果总览</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_Toc7104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2</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p>
    <w:p w14:paraId="3B806775">
      <w:pPr>
        <w:pStyle w:val="14"/>
        <w:keepNext w:val="0"/>
        <w:keepLines w:val="0"/>
        <w:pageBreakBefore w:val="0"/>
        <w:widowControl w:val="0"/>
        <w:tabs>
          <w:tab w:val="right" w:leader="dot" w:pos="10206"/>
        </w:tabs>
        <w:kinsoku/>
        <w:wordWrap/>
        <w:overflowPunct/>
        <w:topLinePunct w:val="0"/>
        <w:autoSpaceDE/>
        <w:autoSpaceDN/>
        <w:bidi w:val="0"/>
        <w:adjustRightInd/>
        <w:snapToGrid/>
        <w:textAlignment w:val="auto"/>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_Toc28261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检测结果小结</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_Toc28261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2</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56DD57F0">
      <w:pPr>
        <w:pStyle w:val="14"/>
        <w:keepNext w:val="0"/>
        <w:keepLines w:val="0"/>
        <w:pageBreakBefore w:val="0"/>
        <w:widowControl w:val="0"/>
        <w:tabs>
          <w:tab w:val="right" w:leader="dot" w:pos="10206"/>
        </w:tabs>
        <w:kinsoku/>
        <w:wordWrap/>
        <w:overflowPunct/>
        <w:topLinePunct w:val="0"/>
        <w:autoSpaceDE/>
        <w:autoSpaceDN/>
        <w:bidi w:val="0"/>
        <w:adjustRightInd/>
        <w:snapToGrid/>
        <w:textAlignment w:val="auto"/>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_Toc3173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检测质控参数</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_Toc3173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3</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43620FE8">
      <w:pPr>
        <w:pStyle w:val="13"/>
        <w:tabs>
          <w:tab w:val="right" w:leader="dot" w:pos="10205"/>
        </w:tabs>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_Toc25800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检测结果</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_Toc25800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4</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p>
    <w:p w14:paraId="4E625D34">
      <w:pPr>
        <w:pStyle w:val="14"/>
        <w:keepNext w:val="0"/>
        <w:keepLines w:val="0"/>
        <w:pageBreakBefore w:val="0"/>
        <w:widowControl w:val="0"/>
        <w:tabs>
          <w:tab w:val="right" w:leader="dot" w:pos="10206"/>
        </w:tabs>
        <w:kinsoku/>
        <w:wordWrap/>
        <w:overflowPunct/>
        <w:topLinePunct w:val="0"/>
        <w:autoSpaceDE/>
        <w:autoSpaceDN/>
        <w:bidi w:val="0"/>
        <w:adjustRightInd/>
        <w:snapToGrid/>
        <w:textAlignment w:val="auto"/>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_Toc10216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val="en-US" w:eastAsia="zh-CN"/>
        </w:rPr>
        <w:t>本次检测结果及解析</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_Toc10216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4</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0EB7E1A8">
      <w:pPr>
        <w:pStyle w:val="14"/>
        <w:keepNext w:val="0"/>
        <w:keepLines w:val="0"/>
        <w:pageBreakBefore w:val="0"/>
        <w:widowControl w:val="0"/>
        <w:tabs>
          <w:tab w:val="right" w:leader="dot" w:pos="10206"/>
        </w:tabs>
        <w:kinsoku/>
        <w:wordWrap/>
        <w:overflowPunct/>
        <w:topLinePunct w:val="0"/>
        <w:autoSpaceDE/>
        <w:autoSpaceDN/>
        <w:bidi w:val="0"/>
        <w:adjustRightInd/>
        <w:snapToGrid/>
        <w:textAlignment w:val="auto"/>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_Toc3932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val="en-US" w:eastAsia="zh-CN"/>
        </w:rPr>
        <w:t>历史检测结果汇总</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_Toc3932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5</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1F3D5399">
      <w:pPr>
        <w:pStyle w:val="13"/>
        <w:tabs>
          <w:tab w:val="right" w:leader="dot" w:pos="10205"/>
        </w:tabs>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_Toc17784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附录</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_Toc17784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6</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p>
    <w:p w14:paraId="7AD1F9D8">
      <w:pPr>
        <w:pStyle w:val="14"/>
        <w:keepNext w:val="0"/>
        <w:keepLines w:val="0"/>
        <w:pageBreakBefore w:val="0"/>
        <w:widowControl w:val="0"/>
        <w:tabs>
          <w:tab w:val="right" w:leader="dot" w:pos="10206"/>
        </w:tabs>
        <w:kinsoku/>
        <w:wordWrap/>
        <w:overflowPunct/>
        <w:topLinePunct w:val="0"/>
        <w:autoSpaceDE/>
        <w:autoSpaceDN/>
        <w:bidi w:val="0"/>
        <w:adjustRightInd/>
        <w:snapToGrid/>
        <w:textAlignment w:val="auto"/>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_Toc8431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检测方法与局限性</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_Toc8431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6</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3FC6C162">
      <w:pPr>
        <w:pStyle w:val="14"/>
        <w:keepNext w:val="0"/>
        <w:keepLines w:val="0"/>
        <w:pageBreakBefore w:val="0"/>
        <w:widowControl w:val="0"/>
        <w:tabs>
          <w:tab w:val="right" w:leader="dot" w:pos="10206"/>
        </w:tabs>
        <w:kinsoku/>
        <w:wordWrap/>
        <w:overflowPunct/>
        <w:topLinePunct w:val="0"/>
        <w:autoSpaceDE/>
        <w:autoSpaceDN/>
        <w:bidi w:val="0"/>
        <w:adjustRightInd/>
        <w:snapToGrid/>
        <w:textAlignment w:val="auto"/>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_Toc2969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参考文献</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_Toc2969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7</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148A5A36">
      <w:pPr>
        <w:rPr>
          <w:lang w:eastAsia="zh-CN"/>
        </w:rPr>
        <w:sectPr>
          <w:headerReference r:id="rId3" w:type="default"/>
          <w:pgSz w:w="11905" w:h="16838"/>
          <w:pgMar w:top="850" w:right="850" w:bottom="850" w:left="850" w:header="850" w:footer="992" w:gutter="0"/>
          <w:pgBorders>
            <w:top w:val="none" w:sz="0" w:space="0"/>
            <w:left w:val="none" w:sz="0" w:space="0"/>
            <w:bottom w:val="none" w:sz="0" w:space="0"/>
            <w:right w:val="none" w:sz="0" w:space="0"/>
          </w:pgBorders>
          <w:pgNumType w:start="1"/>
          <w:cols w:space="0" w:num="1"/>
          <w:rtlGutter w:val="0"/>
          <w:docGrid w:linePitch="299" w:charSpace="0"/>
        </w:sectPr>
      </w:pPr>
      <w:r>
        <w:rPr>
          <w:rFonts w:ascii="Times New Roman" w:hAnsi="Times New Roman" w:eastAsia="微软雅黑" w:cs="Times New Roman"/>
          <w:szCs w:val="21"/>
          <w:lang w:eastAsia="zh-CN"/>
        </w:rPr>
        <w:fldChar w:fldCharType="end"/>
      </w:r>
      <w:bookmarkStart w:id="0" w:name="_Toc13806"/>
      <w:bookmarkStart w:id="1" w:name="_Toc4230"/>
      <w:bookmarkStart w:id="2" w:name="_Toc10446"/>
      <w:bookmarkStart w:id="3" w:name="_Toc24397"/>
      <w:bookmarkStart w:id="4" w:name="_Toc32054"/>
      <w:bookmarkStart w:id="5" w:name="_Toc30143_WPSOffice_Level1"/>
      <w:bookmarkStart w:id="6" w:name="_Toc21669"/>
      <w:bookmarkStart w:id="7" w:name="_Toc24178_WPSOffice_Level1"/>
      <w:bookmarkStart w:id="8" w:name="_Toc21009_WPSOffice_Level1"/>
      <w:bookmarkStart w:id="9" w:name="_Toc27500"/>
    </w:p>
    <w:p w14:paraId="59F89FEC">
      <w:pPr>
        <w:rPr>
          <w:color w:val="auto"/>
        </w:rPr>
      </w:pPr>
    </w:p>
    <w:p w14:paraId="09CA5424">
      <w:pPr>
        <w:pStyle w:val="2"/>
        <w:numPr>
          <w:ilvl w:val="255"/>
          <w:numId w:val="0"/>
        </w:numPr>
        <w:jc w:val="left"/>
        <w:rPr>
          <w:rFonts w:hint="eastAsia" w:eastAsia="微软雅黑" w:cs="Times New Roman"/>
          <w:sz w:val="44"/>
          <w:szCs w:val="44"/>
          <w:lang w:val="en-US" w:eastAsia="zh-CN"/>
        </w:rPr>
      </w:pPr>
      <w:bookmarkStart w:id="10" w:name="_Toc17475"/>
      <w:r>
        <w:rPr>
          <w:color w:val="auto"/>
          <w:sz w:val="44"/>
          <w:szCs w:val="44"/>
        </w:rPr>
        <w:t>样本信息</w:t>
      </w:r>
      <w:bookmarkEnd w:id="0"/>
      <w:bookmarkEnd w:id="1"/>
      <w:bookmarkEnd w:id="2"/>
      <w:bookmarkEnd w:id="3"/>
      <w:bookmarkEnd w:id="4"/>
      <w:bookmarkEnd w:id="5"/>
      <w:bookmarkEnd w:id="6"/>
      <w:bookmarkEnd w:id="7"/>
      <w:bookmarkEnd w:id="8"/>
      <w:bookmarkEnd w:id="9"/>
      <w:bookmarkEnd w:id="10"/>
    </w:p>
    <w:tbl>
      <w:tblPr>
        <w:tblStyle w:val="34"/>
        <w:tblW w:w="10189" w:type="dxa"/>
        <w:tblInd w:w="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03"/>
        <w:gridCol w:w="1698"/>
        <w:gridCol w:w="1678"/>
        <w:gridCol w:w="1848"/>
        <w:gridCol w:w="1599"/>
        <w:gridCol w:w="1763"/>
      </w:tblGrid>
      <w:tr w14:paraId="60695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4" w:hRule="atLeast"/>
        </w:trPr>
        <w:tc>
          <w:tcPr>
            <w:tcW w:w="10189" w:type="dxa"/>
            <w:gridSpan w:val="6"/>
            <w:shd w:val="clear" w:color="auto" w:fill="A8D08D" w:themeFill="accent6" w:themeFillTint="99"/>
            <w:vAlign w:val="center"/>
          </w:tcPr>
          <w:p w14:paraId="5BAEEA8F">
            <w:pPr>
              <w:ind w:firstLine="3840" w:firstLineChars="1200"/>
              <w:jc w:val="both"/>
            </w:pPr>
            <w:r>
              <w:rPr>
                <w:rFonts w:hint="eastAsia" w:ascii="黑体" w:hAnsi="黑体" w:eastAsia="黑体" w:cs="黑体"/>
                <w:sz w:val="32"/>
                <w:szCs w:val="32"/>
              </w:rPr>
              <w:t>受 检 者 信 息</w:t>
            </w:r>
          </w:p>
        </w:tc>
      </w:tr>
      <w:tr w14:paraId="6D6528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4482620F">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姓名</w:t>
            </w:r>
          </w:p>
        </w:tc>
        <w:tc>
          <w:tcPr>
            <w:tcW w:w="1698" w:type="dxa"/>
          </w:tcPr>
          <w:p w14:paraId="5A4A754D">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client }}</w:t>
            </w:r>
          </w:p>
        </w:tc>
        <w:tc>
          <w:tcPr>
            <w:tcW w:w="1678" w:type="dxa"/>
          </w:tcPr>
          <w:p w14:paraId="7582EBC7">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送检医院</w:t>
            </w:r>
          </w:p>
        </w:tc>
        <w:tc>
          <w:tcPr>
            <w:tcW w:w="1848" w:type="dxa"/>
          </w:tcPr>
          <w:p w14:paraId="3A9C2535">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hospital }}</w:t>
            </w:r>
          </w:p>
        </w:tc>
        <w:tc>
          <w:tcPr>
            <w:tcW w:w="1599" w:type="dxa"/>
          </w:tcPr>
          <w:p w14:paraId="134C3C19">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病理号</w:t>
            </w:r>
          </w:p>
        </w:tc>
        <w:tc>
          <w:tcPr>
            <w:tcW w:w="1763" w:type="dxa"/>
          </w:tcPr>
          <w:p w14:paraId="12F573B8">
            <w:pPr>
              <w:pStyle w:val="51"/>
              <w:spacing w:before="241" w:line="219" w:lineRule="auto"/>
              <w:ind w:left="97"/>
              <w:rPr>
                <w:rFonts w:hint="default" w:ascii="宋体" w:hAnsi="宋体" w:eastAsia="宋体" w:cs="宋体"/>
                <w:spacing w:val="-2"/>
                <w:sz w:val="22"/>
                <w:szCs w:val="22"/>
                <w:lang w:val="en-US" w:eastAsia="zh-CN" w:bidi="ar-SA"/>
              </w:rPr>
            </w:pPr>
            <w:r>
              <w:rPr>
                <w:rFonts w:hint="eastAsia" w:cs="宋体"/>
                <w:spacing w:val="-2"/>
                <w:sz w:val="22"/>
                <w:szCs w:val="22"/>
                <w:lang w:val="en-US" w:eastAsia="zh-CN" w:bidi="ar-SA"/>
              </w:rPr>
              <w:t>{{ patientid }}</w:t>
            </w:r>
          </w:p>
        </w:tc>
      </w:tr>
      <w:tr w14:paraId="45426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1603" w:type="dxa"/>
            <w:shd w:val="clear" w:color="auto" w:fill="C5E0B3" w:themeFill="accent6" w:themeFillTint="66"/>
          </w:tcPr>
          <w:p w14:paraId="5CC1E629">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性别</w:t>
            </w:r>
          </w:p>
        </w:tc>
        <w:tc>
          <w:tcPr>
            <w:tcW w:w="1698" w:type="dxa"/>
            <w:shd w:val="clear" w:color="auto" w:fill="C5E0B3" w:themeFill="accent6" w:themeFillTint="66"/>
          </w:tcPr>
          <w:p w14:paraId="15A7A11E">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sex }}</w:t>
            </w:r>
          </w:p>
        </w:tc>
        <w:tc>
          <w:tcPr>
            <w:tcW w:w="1678" w:type="dxa"/>
            <w:shd w:val="clear" w:color="auto" w:fill="C5E0B3" w:themeFill="accent6" w:themeFillTint="66"/>
          </w:tcPr>
          <w:p w14:paraId="5ADCB6CA">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送检科室</w:t>
            </w:r>
          </w:p>
        </w:tc>
        <w:tc>
          <w:tcPr>
            <w:tcW w:w="1848" w:type="dxa"/>
            <w:shd w:val="clear" w:color="auto" w:fill="C5E0B3" w:themeFill="accent6" w:themeFillTint="66"/>
          </w:tcPr>
          <w:p w14:paraId="605D5ABE">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locationname }}</w:t>
            </w:r>
          </w:p>
        </w:tc>
        <w:tc>
          <w:tcPr>
            <w:tcW w:w="1599" w:type="dxa"/>
            <w:shd w:val="clear" w:color="auto" w:fill="C5E0B3" w:themeFill="accent6" w:themeFillTint="66"/>
          </w:tcPr>
          <w:p w14:paraId="786F126C">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标本类型</w:t>
            </w:r>
          </w:p>
        </w:tc>
        <w:tc>
          <w:tcPr>
            <w:tcW w:w="1763" w:type="dxa"/>
            <w:shd w:val="clear" w:color="auto" w:fill="C5E0B3" w:themeFill="accent6" w:themeFillTint="66"/>
            <w:vAlign w:val="center"/>
          </w:tcPr>
          <w:p w14:paraId="5822AC8C">
            <w:pPr>
              <w:pStyle w:val="51"/>
              <w:keepNext w:val="0"/>
              <w:keepLines w:val="0"/>
              <w:pageBreakBefore w:val="0"/>
              <w:widowControl w:val="0"/>
              <w:kinsoku/>
              <w:wordWrap/>
              <w:overflowPunct/>
              <w:topLinePunct w:val="0"/>
              <w:autoSpaceDE/>
              <w:autoSpaceDN/>
              <w:bidi w:val="0"/>
              <w:adjustRightInd/>
              <w:snapToGrid w:val="0"/>
              <w:spacing w:before="63" w:beforeLines="20" w:line="240" w:lineRule="auto"/>
              <w:ind w:left="96" w:right="96"/>
              <w:jc w:val="both"/>
              <w:textAlignment w:val="auto"/>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specimentype }}</w:t>
            </w:r>
          </w:p>
        </w:tc>
      </w:tr>
      <w:tr w14:paraId="6546E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1F43907E">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年龄</w:t>
            </w:r>
          </w:p>
        </w:tc>
        <w:tc>
          <w:tcPr>
            <w:tcW w:w="1698" w:type="dxa"/>
          </w:tcPr>
          <w:p w14:paraId="7E0AE1CD">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age }}</w:t>
            </w:r>
          </w:p>
        </w:tc>
        <w:tc>
          <w:tcPr>
            <w:tcW w:w="1678" w:type="dxa"/>
          </w:tcPr>
          <w:p w14:paraId="02855FE0">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送检医生</w:t>
            </w:r>
          </w:p>
        </w:tc>
        <w:tc>
          <w:tcPr>
            <w:tcW w:w="1848" w:type="dxa"/>
          </w:tcPr>
          <w:p w14:paraId="2B874C87">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doctorname }}</w:t>
            </w:r>
          </w:p>
        </w:tc>
        <w:tc>
          <w:tcPr>
            <w:tcW w:w="1599" w:type="dxa"/>
          </w:tcPr>
          <w:p w14:paraId="008F9BFB">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标本情况</w:t>
            </w:r>
          </w:p>
        </w:tc>
        <w:tc>
          <w:tcPr>
            <w:tcW w:w="1763" w:type="dxa"/>
          </w:tcPr>
          <w:p w14:paraId="101DE0D4">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好</w:t>
            </w:r>
          </w:p>
        </w:tc>
      </w:tr>
      <w:tr w14:paraId="50E8F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shd w:val="clear" w:color="auto" w:fill="C5E0B3" w:themeFill="accent6" w:themeFillTint="66"/>
          </w:tcPr>
          <w:p w14:paraId="6B7D2967">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门诊/住院号</w:t>
            </w:r>
          </w:p>
        </w:tc>
        <w:tc>
          <w:tcPr>
            <w:tcW w:w="1698" w:type="dxa"/>
            <w:shd w:val="clear" w:color="auto" w:fill="C5E0B3" w:themeFill="accent6" w:themeFillTint="66"/>
          </w:tcPr>
          <w:p w14:paraId="0DA02A6A">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room }}</w:t>
            </w:r>
          </w:p>
        </w:tc>
        <w:tc>
          <w:tcPr>
            <w:tcW w:w="1678" w:type="dxa"/>
            <w:shd w:val="clear" w:color="auto" w:fill="C5E0B3" w:themeFill="accent6" w:themeFillTint="66"/>
          </w:tcPr>
          <w:p w14:paraId="5487E698">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医生电话</w:t>
            </w:r>
          </w:p>
        </w:tc>
        <w:tc>
          <w:tcPr>
            <w:tcW w:w="1848" w:type="dxa"/>
            <w:shd w:val="clear" w:color="auto" w:fill="C5E0B3" w:themeFill="accent6" w:themeFillTint="66"/>
          </w:tcPr>
          <w:p w14:paraId="7CA636FF">
            <w:pPr>
              <w:pStyle w:val="51"/>
              <w:spacing w:before="241" w:line="219" w:lineRule="auto"/>
              <w:ind w:left="97"/>
              <w:rPr>
                <w:rFonts w:ascii="宋体" w:hAnsi="宋体" w:eastAsia="宋体" w:cs="宋体"/>
                <w:spacing w:val="-2"/>
                <w:sz w:val="22"/>
                <w:szCs w:val="22"/>
                <w:lang w:val="en-US" w:eastAsia="zh-CN" w:bidi="ar-SA"/>
              </w:rPr>
            </w:pPr>
          </w:p>
        </w:tc>
        <w:tc>
          <w:tcPr>
            <w:tcW w:w="1599" w:type="dxa"/>
            <w:shd w:val="clear" w:color="auto" w:fill="C5E0B3" w:themeFill="accent6" w:themeFillTint="66"/>
          </w:tcPr>
          <w:p w14:paraId="0F98D66A">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接收</w:t>
            </w:r>
            <w:r>
              <w:rPr>
                <w:rFonts w:ascii="宋体" w:hAnsi="宋体" w:eastAsia="宋体" w:cs="宋体"/>
                <w:spacing w:val="-2"/>
                <w:sz w:val="22"/>
                <w:szCs w:val="22"/>
                <w:lang w:val="en-US" w:eastAsia="en-US" w:bidi="ar-SA"/>
              </w:rPr>
              <w:t>时间</w:t>
            </w:r>
          </w:p>
        </w:tc>
        <w:tc>
          <w:tcPr>
            <w:tcW w:w="1763" w:type="dxa"/>
            <w:shd w:val="clear" w:color="auto" w:fill="C5E0B3" w:themeFill="accent6" w:themeFillTint="66"/>
          </w:tcPr>
          <w:p w14:paraId="75261462">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receiveddate }}</w:t>
            </w:r>
          </w:p>
        </w:tc>
      </w:tr>
      <w:tr w14:paraId="53F44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1353FDCB">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临床诊断</w:t>
            </w:r>
          </w:p>
        </w:tc>
        <w:tc>
          <w:tcPr>
            <w:tcW w:w="8586" w:type="dxa"/>
            <w:gridSpan w:val="5"/>
          </w:tcPr>
          <w:p w14:paraId="183C14BD">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diseaseName }}</w:t>
            </w:r>
          </w:p>
        </w:tc>
      </w:tr>
      <w:tr w14:paraId="5F3272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5E7F2A5E">
            <w:pPr>
              <w:pStyle w:val="51"/>
              <w:spacing w:before="247" w:line="220" w:lineRule="auto"/>
              <w:ind w:left="104"/>
            </w:pPr>
            <w:r>
              <w:rPr>
                <w:spacing w:val="2"/>
              </w:rPr>
              <w:t>项目名称</w:t>
            </w:r>
          </w:p>
        </w:tc>
        <w:tc>
          <w:tcPr>
            <w:tcW w:w="8586" w:type="dxa"/>
            <w:gridSpan w:val="5"/>
          </w:tcPr>
          <w:p w14:paraId="4F893E93">
            <w:pPr>
              <w:pStyle w:val="51"/>
              <w:spacing w:before="247" w:line="219" w:lineRule="auto"/>
              <w:ind w:left="122"/>
              <w:rPr>
                <w:lang w:eastAsia="zh-CN"/>
              </w:rPr>
            </w:pPr>
            <w:r>
              <w:rPr>
                <w:rFonts w:hint="eastAsia"/>
                <w:spacing w:val="2"/>
                <w:lang w:eastAsia="zh-CN"/>
              </w:rPr>
              <w:t>实体瘤分子残留病灶（MRD）检测</w:t>
            </w:r>
          </w:p>
        </w:tc>
      </w:tr>
      <w:tr w14:paraId="12203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2D6D1327">
            <w:pPr>
              <w:pStyle w:val="51"/>
              <w:spacing w:before="248" w:line="219" w:lineRule="auto"/>
              <w:ind w:left="104"/>
            </w:pPr>
            <w:r>
              <w:rPr>
                <w:spacing w:val="-2"/>
              </w:rPr>
              <w:t>检测方法</w:t>
            </w:r>
          </w:p>
        </w:tc>
        <w:tc>
          <w:tcPr>
            <w:tcW w:w="8586" w:type="dxa"/>
            <w:gridSpan w:val="5"/>
          </w:tcPr>
          <w:p w14:paraId="4C847F9B">
            <w:pPr>
              <w:pStyle w:val="51"/>
              <w:keepNext w:val="0"/>
              <w:keepLines w:val="0"/>
              <w:pageBreakBefore w:val="0"/>
              <w:widowControl w:val="0"/>
              <w:kinsoku/>
              <w:wordWrap/>
              <w:overflowPunct/>
              <w:topLinePunct w:val="0"/>
              <w:autoSpaceDE/>
              <w:autoSpaceDN/>
              <w:bidi w:val="0"/>
              <w:adjustRightInd/>
              <w:snapToGrid/>
              <w:spacing w:before="260" w:line="214" w:lineRule="auto"/>
              <w:ind w:left="119"/>
              <w:textAlignment w:val="auto"/>
              <w:rPr>
                <w:lang w:eastAsia="zh-CN"/>
              </w:rPr>
            </w:pPr>
            <w:r>
              <w:rPr>
                <w:spacing w:val="8"/>
              </w:rPr>
              <w:t>二代测序(</w:t>
            </w:r>
            <w:r>
              <w:t>Next</w:t>
            </w:r>
            <w:r>
              <w:rPr>
                <w:spacing w:val="8"/>
              </w:rPr>
              <w:t xml:space="preserve"> </w:t>
            </w:r>
            <w:r>
              <w:t>Generation</w:t>
            </w:r>
            <w:r>
              <w:rPr>
                <w:spacing w:val="8"/>
              </w:rPr>
              <w:t xml:space="preserve"> </w:t>
            </w:r>
            <w:r>
              <w:t>Sequencing</w:t>
            </w:r>
            <w:r>
              <w:rPr>
                <w:rFonts w:hint="eastAsia"/>
                <w:lang w:eastAsia="zh-CN"/>
              </w:rPr>
              <w:t>）</w:t>
            </w:r>
          </w:p>
        </w:tc>
      </w:tr>
      <w:tr w14:paraId="758BB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2" w:hRule="atLeast"/>
        </w:trPr>
        <w:tc>
          <w:tcPr>
            <w:tcW w:w="1603" w:type="dxa"/>
          </w:tcPr>
          <w:p w14:paraId="42E593E7">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主要检测平台</w:t>
            </w:r>
          </w:p>
        </w:tc>
        <w:tc>
          <w:tcPr>
            <w:tcW w:w="3376" w:type="dxa"/>
            <w:gridSpan w:val="2"/>
          </w:tcPr>
          <w:p w14:paraId="366F5A72">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华大MGISEQ-2000基因测序仪</w:t>
            </w:r>
          </w:p>
        </w:tc>
        <w:tc>
          <w:tcPr>
            <w:tcW w:w="1848" w:type="dxa"/>
          </w:tcPr>
          <w:p w14:paraId="7C92ABD6">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参考基因组</w:t>
            </w:r>
          </w:p>
        </w:tc>
        <w:tc>
          <w:tcPr>
            <w:tcW w:w="3362" w:type="dxa"/>
            <w:gridSpan w:val="2"/>
          </w:tcPr>
          <w:p w14:paraId="58A2B878">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GRCh37/hg19</w:t>
            </w:r>
          </w:p>
        </w:tc>
      </w:tr>
    </w:tbl>
    <w:p w14:paraId="0BC29EE7">
      <w:pPr>
        <w:spacing w:before="238"/>
      </w:pPr>
      <w:bookmarkStart w:id="11" w:name="_Toc534807930"/>
      <w:bookmarkStart w:id="12" w:name="_Toc3823"/>
    </w:p>
    <w:p w14:paraId="4456C22F">
      <w:pPr>
        <w:spacing w:before="238"/>
      </w:pPr>
    </w:p>
    <w:p w14:paraId="4F645CBD">
      <w:pPr>
        <w:pStyle w:val="2"/>
        <w:numPr>
          <w:ilvl w:val="255"/>
          <w:numId w:val="0"/>
        </w:numPr>
        <w:jc w:val="left"/>
        <w:rPr>
          <w:color w:val="auto"/>
          <w:sz w:val="44"/>
          <w:szCs w:val="44"/>
        </w:rPr>
      </w:pPr>
      <w:bookmarkStart w:id="13" w:name="_Toc31053"/>
      <w:r>
        <w:rPr>
          <w:rFonts w:hint="eastAsia"/>
          <w:color w:val="auto"/>
          <w:sz w:val="44"/>
          <w:szCs w:val="44"/>
        </w:rPr>
        <w:t>检测内容</w:t>
      </w:r>
      <w:bookmarkEnd w:id="13"/>
    </w:p>
    <w:tbl>
      <w:tblPr>
        <w:tblStyle w:val="34"/>
        <w:tblW w:w="102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36"/>
        <w:gridCol w:w="2265"/>
        <w:gridCol w:w="6368"/>
      </w:tblGrid>
      <w:tr w14:paraId="2A51D5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4" w:hRule="atLeast"/>
        </w:trPr>
        <w:tc>
          <w:tcPr>
            <w:tcW w:w="10269" w:type="dxa"/>
            <w:gridSpan w:val="3"/>
            <w:shd w:val="clear" w:color="auto" w:fill="A8D08D" w:themeFill="accent6" w:themeFillTint="99"/>
          </w:tcPr>
          <w:p w14:paraId="5846AC6E">
            <w:pPr>
              <w:pStyle w:val="51"/>
              <w:spacing w:before="213" w:line="219" w:lineRule="auto"/>
              <w:ind w:left="4589"/>
              <w:rPr>
                <w:sz w:val="29"/>
                <w:szCs w:val="29"/>
              </w:rPr>
            </w:pPr>
            <w:r>
              <w:rPr>
                <w:rFonts w:hint="eastAsia" w:ascii="黑体" w:hAnsi="黑体" w:eastAsia="黑体" w:cs="黑体"/>
                <w:b/>
                <w:bCs/>
                <w:color w:val="000000" w:themeColor="text1"/>
                <w:spacing w:val="-6"/>
                <w:sz w:val="29"/>
                <w:szCs w:val="29"/>
                <w14:textFill>
                  <w14:solidFill>
                    <w14:schemeClr w14:val="tx1"/>
                  </w14:solidFill>
                </w14:textFill>
              </w:rPr>
              <w:t>检测内容</w:t>
            </w:r>
          </w:p>
        </w:tc>
      </w:tr>
      <w:tr w14:paraId="4FF6A8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636" w:type="dxa"/>
            <w:tcBorders>
              <w:bottom w:val="single" w:color="auto" w:sz="4" w:space="0"/>
            </w:tcBorders>
            <w:shd w:val="clear" w:color="auto" w:fill="C5E0B3" w:themeFill="accent6" w:themeFillTint="66"/>
          </w:tcPr>
          <w:p w14:paraId="2082D04B">
            <w:pPr>
              <w:pStyle w:val="51"/>
              <w:spacing w:before="275" w:line="219" w:lineRule="auto"/>
              <w:ind w:left="418"/>
            </w:pPr>
            <w:r>
              <w:rPr>
                <w:b/>
                <w:bCs/>
                <w:spacing w:val="-4"/>
              </w:rPr>
              <w:t>检测样本</w:t>
            </w:r>
          </w:p>
        </w:tc>
        <w:tc>
          <w:tcPr>
            <w:tcW w:w="2265" w:type="dxa"/>
            <w:tcBorders>
              <w:bottom w:val="single" w:color="auto" w:sz="4" w:space="0"/>
            </w:tcBorders>
            <w:shd w:val="clear" w:color="auto" w:fill="C5E0B3" w:themeFill="accent6" w:themeFillTint="66"/>
          </w:tcPr>
          <w:p w14:paraId="557D8C09">
            <w:pPr>
              <w:pStyle w:val="51"/>
              <w:spacing w:before="277" w:line="219" w:lineRule="auto"/>
              <w:ind w:left="645"/>
            </w:pPr>
            <w:r>
              <w:rPr>
                <w:b/>
                <w:bCs/>
                <w:spacing w:val="6"/>
              </w:rPr>
              <w:t>检测项目</w:t>
            </w:r>
          </w:p>
        </w:tc>
        <w:tc>
          <w:tcPr>
            <w:tcW w:w="6368" w:type="dxa"/>
            <w:shd w:val="clear" w:color="auto" w:fill="C5E0B3" w:themeFill="accent6" w:themeFillTint="66"/>
          </w:tcPr>
          <w:p w14:paraId="4C72175A">
            <w:pPr>
              <w:pStyle w:val="51"/>
              <w:spacing w:before="277" w:line="219" w:lineRule="auto"/>
              <w:ind w:left="2677"/>
            </w:pPr>
            <w:r>
              <w:rPr>
                <w:b/>
                <w:bCs/>
                <w:spacing w:val="-4"/>
              </w:rPr>
              <w:t>检测意义</w:t>
            </w:r>
          </w:p>
        </w:tc>
      </w:tr>
      <w:tr w14:paraId="4E1C3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636" w:type="dxa"/>
            <w:tcBorders>
              <w:top w:val="single" w:color="auto" w:sz="4" w:space="0"/>
              <w:left w:val="single" w:color="auto" w:sz="4" w:space="0"/>
              <w:bottom w:val="single" w:color="auto" w:sz="4" w:space="0"/>
              <w:right w:val="single" w:color="auto" w:sz="4" w:space="0"/>
            </w:tcBorders>
            <w:vAlign w:val="center"/>
          </w:tcPr>
          <w:p w14:paraId="5BB3D2F8">
            <w:pPr>
              <w:pStyle w:val="51"/>
              <w:spacing w:before="71" w:line="224" w:lineRule="auto"/>
              <w:jc w:val="center"/>
              <w:rPr>
                <w:lang w:eastAsia="zh-CN"/>
              </w:rPr>
            </w:pPr>
            <w:r>
              <w:rPr>
                <w:rFonts w:hint="eastAsia" w:ascii="宋体" w:hAnsi="宋体" w:eastAsia="宋体" w:cs="宋体"/>
                <w:spacing w:val="4"/>
                <w:sz w:val="22"/>
                <w:szCs w:val="22"/>
                <w:lang w:val="en-US" w:eastAsia="zh-CN" w:bidi="ar-SA"/>
              </w:rPr>
              <w:t>{{ specimentype }}</w:t>
            </w:r>
          </w:p>
        </w:tc>
        <w:tc>
          <w:tcPr>
            <w:tcW w:w="2265" w:type="dxa"/>
            <w:tcBorders>
              <w:top w:val="single" w:color="auto" w:sz="4" w:space="0"/>
              <w:left w:val="single" w:color="auto" w:sz="4" w:space="0"/>
              <w:bottom w:val="single" w:color="auto" w:sz="4" w:space="0"/>
              <w:right w:val="single" w:color="auto" w:sz="4" w:space="0"/>
            </w:tcBorders>
            <w:vAlign w:val="center"/>
          </w:tcPr>
          <w:p w14:paraId="5B2CA2CB">
            <w:pPr>
              <w:pStyle w:val="51"/>
              <w:spacing w:before="71" w:line="238" w:lineRule="auto"/>
              <w:ind w:left="81" w:right="84" w:firstLine="224" w:firstLineChars="104"/>
              <w:jc w:val="both"/>
              <w:rPr>
                <w:lang w:eastAsia="zh-CN"/>
              </w:rPr>
            </w:pPr>
            <w:r>
              <w:rPr>
                <w:rFonts w:hint="eastAsia"/>
                <w:spacing w:val="-2"/>
                <w:lang w:eastAsia="zh-CN"/>
              </w:rPr>
              <w:t>分子残留病灶（MRD）监测</w:t>
            </w:r>
          </w:p>
        </w:tc>
        <w:tc>
          <w:tcPr>
            <w:tcW w:w="6368" w:type="dxa"/>
            <w:tcBorders>
              <w:left w:val="single" w:color="auto" w:sz="4" w:space="0"/>
            </w:tcBorders>
          </w:tcPr>
          <w:p w14:paraId="4E7A8A65">
            <w:pPr>
              <w:keepNext w:val="0"/>
              <w:keepLines w:val="0"/>
              <w:pageBreakBefore w:val="0"/>
              <w:widowControl w:val="0"/>
              <w:kinsoku/>
              <w:wordWrap/>
              <w:overflowPunct/>
              <w:topLinePunct w:val="0"/>
              <w:autoSpaceDE/>
              <w:autoSpaceDN/>
              <w:bidi w:val="0"/>
              <w:adjustRightInd/>
              <w:snapToGrid/>
              <w:spacing w:before="313" w:beforeLines="100" w:after="313" w:afterLines="100" w:line="276" w:lineRule="auto"/>
              <w:ind w:left="66" w:leftChars="30" w:right="66" w:rightChars="30" w:firstLine="448" w:firstLineChars="200"/>
              <w:jc w:val="both"/>
              <w:textAlignment w:val="auto"/>
              <w:rPr>
                <w:lang w:eastAsia="zh-CN"/>
              </w:rPr>
            </w:pPr>
            <w:r>
              <w:rPr>
                <w:rFonts w:hint="eastAsia"/>
                <w:spacing w:val="2"/>
                <w:lang w:eastAsia="zh-CN"/>
              </w:rPr>
              <w:t>本产品基于肿瘤组织先验（tumor-informed）策略检测血液中的循环肿瘤DNA（ctDNA）片段，采用分子残留病灶（MRD）监测产品监测患者血液中肿瘤来源的残留病灶情况，通过对ctDNA进行超高深度测序评估患者外周血中MRD状态（“阳性”或“阴性”）。</w:t>
            </w:r>
          </w:p>
        </w:tc>
      </w:tr>
    </w:tbl>
    <w:p w14:paraId="37FB4D02">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6AE1467F">
      <w:pPr>
        <w:pStyle w:val="2"/>
        <w:numPr>
          <w:ilvl w:val="255"/>
          <w:numId w:val="0"/>
        </w:numPr>
        <w:jc w:val="left"/>
        <w:rPr>
          <w:rFonts w:hint="default"/>
          <w:color w:val="auto"/>
          <w:sz w:val="44"/>
          <w:szCs w:val="44"/>
          <w:lang w:val="en-US" w:eastAsia="zh-CN"/>
        </w:rPr>
      </w:pPr>
      <w:bookmarkStart w:id="14" w:name="_Toc7104"/>
      <w:bookmarkStart w:id="15" w:name="_Toc11436"/>
      <w:bookmarkStart w:id="16" w:name="_Toc149837254"/>
      <w:r>
        <w:rPr>
          <w:rFonts w:hint="eastAsia"/>
          <w:color w:val="auto"/>
          <w:sz w:val="44"/>
          <w:szCs w:val="44"/>
          <w:lang w:val="en-US" w:eastAsia="zh-CN"/>
        </w:rPr>
        <w:t>检测结果总览</w:t>
      </w:r>
      <w:bookmarkEnd w:id="14"/>
    </w:p>
    <w:p w14:paraId="3EC62962">
      <w:pPr>
        <w:pStyle w:val="3"/>
        <w:numPr>
          <w:ilvl w:val="255"/>
          <w:numId w:val="0"/>
        </w:numPr>
        <w:jc w:val="left"/>
        <w:rPr>
          <w:rFonts w:hint="eastAsia"/>
          <w:color w:val="auto"/>
          <w:lang w:eastAsia="zh-CN"/>
        </w:rPr>
      </w:pPr>
      <w:bookmarkStart w:id="17" w:name="_Toc28261"/>
      <w:r>
        <w:rPr>
          <w:rFonts w:hint="eastAsia"/>
          <w:color w:val="auto"/>
          <w:lang w:eastAsia="zh-CN"/>
        </w:rPr>
        <w:t>检测结果小结</w:t>
      </w:r>
      <w:bookmarkEnd w:id="15"/>
      <w:bookmarkEnd w:id="16"/>
      <w:bookmarkEnd w:id="17"/>
    </w:p>
    <w:tbl>
      <w:tblPr>
        <w:tblStyle w:val="34"/>
        <w:tblW w:w="10381"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08"/>
        <w:gridCol w:w="6973"/>
      </w:tblGrid>
      <w:tr w14:paraId="44901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0381" w:type="dxa"/>
            <w:gridSpan w:val="2"/>
            <w:shd w:val="clear" w:color="auto" w:fill="A8D08D" w:themeFill="accent6" w:themeFillTint="99"/>
          </w:tcPr>
          <w:p w14:paraId="5D92E848">
            <w:pPr>
              <w:pStyle w:val="51"/>
              <w:spacing w:before="203" w:line="219" w:lineRule="auto"/>
              <w:ind w:left="129"/>
              <w:rPr>
                <w:sz w:val="30"/>
                <w:szCs w:val="30"/>
              </w:rPr>
            </w:pPr>
            <w:bookmarkStart w:id="18" w:name="_Toc32584"/>
            <w:bookmarkStart w:id="19" w:name="_Toc149837255"/>
            <w:r>
              <w:rPr>
                <w:rFonts w:hint="eastAsia" w:ascii="黑体" w:hAnsi="黑体" w:eastAsia="黑体" w:cs="黑体"/>
                <w:b/>
                <w:bCs/>
                <w:color w:val="000000" w:themeColor="text1"/>
                <w:spacing w:val="4"/>
                <w:sz w:val="30"/>
                <w:szCs w:val="30"/>
                <w14:textFill>
                  <w14:solidFill>
                    <w14:schemeClr w14:val="tx1"/>
                  </w14:solidFill>
                </w14:textFill>
              </w:rPr>
              <w:t>检测项目</w:t>
            </w:r>
            <w:r>
              <w:rPr>
                <w:rFonts w:hint="eastAsia" w:ascii="黑体" w:hAnsi="黑体" w:eastAsia="黑体" w:cs="黑体"/>
                <w:color w:val="000000" w:themeColor="text1"/>
                <w:sz w:val="30"/>
                <w:szCs w:val="30"/>
                <w14:textFill>
                  <w14:solidFill>
                    <w14:schemeClr w14:val="tx1"/>
                  </w14:solidFill>
                </w14:textFill>
              </w:rPr>
              <w:t xml:space="preserve">                          </w:t>
            </w:r>
            <w:r>
              <w:rPr>
                <w:rFonts w:hint="eastAsia" w:ascii="黑体" w:hAnsi="黑体" w:eastAsia="黑体" w:cs="黑体"/>
                <w:b/>
                <w:bCs/>
                <w:color w:val="000000" w:themeColor="text1"/>
                <w:spacing w:val="4"/>
                <w:sz w:val="30"/>
                <w:szCs w:val="30"/>
                <w14:textFill>
                  <w14:solidFill>
                    <w14:schemeClr w14:val="tx1"/>
                  </w14:solidFill>
                </w14:textFill>
              </w:rPr>
              <w:t>检测结果</w:t>
            </w:r>
          </w:p>
        </w:tc>
      </w:tr>
      <w:tr w14:paraId="627FEF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 w:hRule="atLeast"/>
        </w:trPr>
        <w:tc>
          <w:tcPr>
            <w:tcW w:w="3408" w:type="dxa"/>
            <w:vAlign w:val="center"/>
          </w:tcPr>
          <w:p w14:paraId="33DD091F">
            <w:pPr>
              <w:jc w:val="center"/>
              <w:rPr>
                <w:rFonts w:ascii="Arial"/>
                <w:sz w:val="21"/>
              </w:rPr>
            </w:pPr>
            <w:r>
              <w:rPr>
                <w:rFonts w:hint="eastAsia" w:ascii="宋体" w:hAnsi="宋体" w:eastAsia="宋体" w:cs="宋体"/>
                <w:b/>
                <w:bCs/>
                <w:spacing w:val="-5"/>
                <w:sz w:val="21"/>
                <w:szCs w:val="21"/>
                <w:lang w:val="en-US" w:eastAsia="zh-CN" w:bidi="ar-SA"/>
              </w:rPr>
              <w:t>分子残留病灶（MRD）状态</w:t>
            </w:r>
          </w:p>
        </w:tc>
        <w:tc>
          <w:tcPr>
            <w:tcW w:w="6973" w:type="dxa"/>
            <w:vAlign w:val="center"/>
          </w:tcPr>
          <w:p w14:paraId="4FB108B3">
            <w:pPr>
              <w:pStyle w:val="51"/>
              <w:keepNext w:val="0"/>
              <w:keepLines w:val="0"/>
              <w:pageBreakBefore w:val="0"/>
              <w:widowControl w:val="0"/>
              <w:kinsoku/>
              <w:wordWrap/>
              <w:overflowPunct/>
              <w:topLinePunct w:val="0"/>
              <w:autoSpaceDE/>
              <w:autoSpaceDN/>
              <w:bidi w:val="0"/>
              <w:adjustRightInd/>
              <w:snapToGrid/>
              <w:spacing w:line="219" w:lineRule="auto"/>
              <w:ind w:left="125"/>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if mrd.mrd_status == “阳性”%}</w:t>
            </w:r>
            <w:r>
              <w:rPr>
                <w:rFonts w:hint="eastAsia" w:ascii="宋体" w:hAnsi="宋体" w:eastAsia="宋体" w:cs="宋体"/>
                <w:color w:val="FF0000"/>
                <w:spacing w:val="-1"/>
                <w:sz w:val="16"/>
                <w:szCs w:val="16"/>
                <w:lang w:val="en-US" w:eastAsia="zh-CN" w:bidi="ar-SA"/>
              </w:rPr>
              <w:t>阳性</w:t>
            </w:r>
            <w:r>
              <w:rPr>
                <w:rFonts w:hint="eastAsia" w:ascii="宋体" w:hAnsi="宋体" w:eastAsia="宋体" w:cs="宋体"/>
                <w:spacing w:val="-1"/>
                <w:sz w:val="16"/>
                <w:szCs w:val="16"/>
                <w:lang w:val="en-US" w:eastAsia="zh-CN" w:bidi="ar-SA"/>
              </w:rPr>
              <w:t>{% else%}阴性{% endif %}</w:t>
            </w:r>
          </w:p>
        </w:tc>
      </w:tr>
      <w:tr w14:paraId="7A0DF9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6" w:hRule="atLeast"/>
        </w:trPr>
        <w:tc>
          <w:tcPr>
            <w:tcW w:w="3408" w:type="dxa"/>
            <w:tcBorders>
              <w:top w:val="single" w:color="auto" w:sz="4" w:space="0"/>
              <w:left w:val="single" w:color="auto" w:sz="4" w:space="0"/>
              <w:bottom w:val="single" w:color="auto" w:sz="4" w:space="0"/>
              <w:right w:val="single" w:color="auto" w:sz="4" w:space="0"/>
            </w:tcBorders>
            <w:shd w:val="clear" w:color="auto" w:fill="auto"/>
            <w:vAlign w:val="center"/>
          </w:tcPr>
          <w:p w14:paraId="2E34E1CE">
            <w:pPr>
              <w:pStyle w:val="23"/>
              <w:snapToGrid w:val="0"/>
              <w:spacing w:before="100" w:line="187" w:lineRule="auto"/>
              <w:ind w:left="119" w:leftChars="0" w:right="119" w:rightChars="0"/>
              <w:jc w:val="center"/>
              <w:rPr>
                <w:rFonts w:hint="eastAsia"/>
                <w:spacing w:val="-1"/>
                <w:sz w:val="16"/>
                <w:szCs w:val="16"/>
                <w:lang w:eastAsia="zh-CN"/>
              </w:rPr>
            </w:pPr>
            <w:r>
              <w:rPr>
                <w:rFonts w:hint="eastAsia" w:ascii="宋体" w:hAnsi="宋体" w:eastAsia="宋体" w:cs="宋体"/>
                <w:b/>
                <w:bCs/>
                <w:spacing w:val="-5"/>
                <w:sz w:val="21"/>
                <w:szCs w:val="21"/>
                <w:lang w:val="en-US" w:eastAsia="zh-CN" w:bidi="ar-SA"/>
              </w:rPr>
              <w:t>ctDNA含量（MTM/mL）</w:t>
            </w:r>
          </w:p>
        </w:tc>
        <w:tc>
          <w:tcPr>
            <w:tcW w:w="6973" w:type="dxa"/>
            <w:tcBorders>
              <w:top w:val="single" w:color="auto" w:sz="4" w:space="0"/>
              <w:left w:val="single" w:color="auto" w:sz="4" w:space="0"/>
              <w:bottom w:val="single" w:color="auto" w:sz="4" w:space="0"/>
              <w:right w:val="single" w:color="auto" w:sz="4" w:space="0"/>
            </w:tcBorders>
            <w:shd w:val="clear" w:color="auto" w:fill="auto"/>
            <w:vAlign w:val="center"/>
          </w:tcPr>
          <w:p w14:paraId="5440EA35">
            <w:pPr>
              <w:pStyle w:val="23"/>
              <w:ind w:left="119" w:leftChars="0"/>
              <w:rPr>
                <w:rFonts w:hint="eastAsia"/>
                <w:spacing w:val="-1"/>
                <w:sz w:val="16"/>
                <w:szCs w:val="16"/>
                <w:lang w:val="en-US" w:eastAsia="zh-CN"/>
              </w:rPr>
            </w:pPr>
            <w:r>
              <w:rPr>
                <w:rFonts w:hint="eastAsia"/>
                <w:spacing w:val="-1"/>
                <w:sz w:val="16"/>
                <w:szCs w:val="16"/>
                <w:lang w:val="en-US" w:eastAsia="zh-CN"/>
              </w:rPr>
              <w:t>{{mrd.mrdJson.ctDNA_content}}</w:t>
            </w:r>
          </w:p>
        </w:tc>
      </w:tr>
    </w:tbl>
    <w:p w14:paraId="4173B129">
      <w:p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br w:type="page"/>
      </w:r>
      <w:bookmarkStart w:id="58" w:name="_GoBack"/>
      <w:bookmarkEnd w:id="58"/>
    </w:p>
    <w:p w14:paraId="31C0B48C">
      <w:pPr>
        <w:numPr>
          <w:ilvl w:val="255"/>
          <w:numId w:val="0"/>
        </w:numPr>
        <w:jc w:val="left"/>
        <w:outlineLvl w:val="9"/>
        <w:rPr>
          <w:rFonts w:ascii="黑体" w:hAnsi="黑体" w:eastAsia="黑体"/>
          <w:color w:val="000000" w:themeColor="text1"/>
          <w:spacing w:val="3"/>
          <w:sz w:val="41"/>
          <w:szCs w:val="41"/>
          <w:lang w:eastAsia="zh-CN"/>
          <w14:textFill>
            <w14:solidFill>
              <w14:schemeClr w14:val="tx1"/>
            </w14:solidFill>
          </w14:textFill>
        </w:rPr>
      </w:pPr>
    </w:p>
    <w:p w14:paraId="48DB3686">
      <w:pPr>
        <w:pStyle w:val="3"/>
        <w:numPr>
          <w:ilvl w:val="255"/>
          <w:numId w:val="0"/>
        </w:numPr>
        <w:jc w:val="left"/>
        <w:rPr>
          <w:rFonts w:hint="eastAsia"/>
          <w:color w:val="auto"/>
          <w:lang w:eastAsia="zh-CN"/>
        </w:rPr>
      </w:pPr>
      <w:bookmarkStart w:id="20" w:name="_Toc3173"/>
      <w:r>
        <w:rPr>
          <w:rFonts w:hint="eastAsia"/>
          <w:color w:val="auto"/>
          <w:lang w:eastAsia="zh-CN"/>
        </w:rPr>
        <w:t>检测质控参数</w:t>
      </w:r>
      <w:bookmarkEnd w:id="20"/>
    </w:p>
    <w:p w14:paraId="1CC7A074">
      <w:pPr>
        <w:rPr>
          <w:rFonts w:ascii="微软雅黑" w:hAnsi="微软雅黑" w:eastAsia="微软雅黑" w:cs="微软雅黑"/>
          <w:color w:val="000000" w:themeColor="text1"/>
          <w:lang w:eastAsia="zh-CN"/>
          <w14:textFill>
            <w14:solidFill>
              <w14:schemeClr w14:val="tx1"/>
            </w14:solidFill>
          </w14:textFill>
        </w:rPr>
      </w:pPr>
    </w:p>
    <w:p w14:paraId="171FD8EE">
      <w:pPr>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spacing w:val="-10"/>
          <w:sz w:val="29"/>
          <w:szCs w:val="29"/>
          <w:lang w:val="en-US" w:eastAsia="zh-CN"/>
          <w14:textFill>
            <w14:solidFill>
              <w14:schemeClr w14:val="tx1"/>
            </w14:solidFill>
          </w14:textFill>
        </w:rPr>
        <w:t>1.</w:t>
      </w:r>
      <w:r>
        <w:rPr>
          <w:rFonts w:hint="eastAsia" w:ascii="微软雅黑" w:hAnsi="微软雅黑" w:eastAsia="微软雅黑" w:cs="微软雅黑"/>
          <w:b/>
          <w:bCs/>
          <w:color w:val="000000" w:themeColor="text1"/>
          <w:spacing w:val="-10"/>
          <w:sz w:val="29"/>
          <w:szCs w:val="29"/>
          <w:lang w:eastAsia="zh-CN"/>
          <w14:textFill>
            <w14:solidFill>
              <w14:schemeClr w14:val="tx1"/>
            </w14:solidFill>
          </w14:textFill>
        </w:rPr>
        <w:t>样本病理评估结果</w:t>
      </w:r>
    </w:p>
    <w:tbl>
      <w:tblPr>
        <w:tblStyle w:val="34"/>
        <w:tblW w:w="1044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43"/>
        <w:gridCol w:w="2717"/>
        <w:gridCol w:w="2058"/>
        <w:gridCol w:w="669"/>
        <w:gridCol w:w="2653"/>
      </w:tblGrid>
      <w:tr w14:paraId="7E247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2343" w:type="dxa"/>
            <w:shd w:val="clear" w:color="auto" w:fill="C5E0B3" w:themeFill="accent6" w:themeFillTint="66"/>
          </w:tcPr>
          <w:p w14:paraId="46A51937">
            <w:pPr>
              <w:pStyle w:val="51"/>
              <w:spacing w:before="101" w:line="221" w:lineRule="auto"/>
              <w:ind w:left="108"/>
              <w:rPr>
                <w:rFonts w:ascii="微软雅黑" w:hAnsi="微软雅黑" w:eastAsia="微软雅黑" w:cs="微软雅黑"/>
                <w:sz w:val="21"/>
                <w:szCs w:val="21"/>
              </w:rPr>
            </w:pPr>
            <w:r>
              <w:rPr>
                <w:rFonts w:hint="eastAsia" w:ascii="微软雅黑" w:hAnsi="微软雅黑" w:eastAsia="微软雅黑" w:cs="微软雅黑"/>
                <w:b/>
                <w:bCs/>
                <w:color w:val="002330"/>
                <w:spacing w:val="-4"/>
                <w:sz w:val="21"/>
                <w:szCs w:val="21"/>
              </w:rPr>
              <w:t>病</w:t>
            </w:r>
            <w:r>
              <w:rPr>
                <w:rFonts w:hint="eastAsia" w:ascii="微软雅黑" w:hAnsi="微软雅黑" w:eastAsia="微软雅黑" w:cs="微软雅黑"/>
                <w:b/>
                <w:bCs/>
                <w:color w:val="002330"/>
                <w:spacing w:val="-4"/>
                <w:sz w:val="21"/>
                <w:szCs w:val="21"/>
                <w:lang w:eastAsia="zh-CN"/>
              </w:rPr>
              <w:t xml:space="preserve"> </w:t>
            </w:r>
            <w:r>
              <w:rPr>
                <w:rFonts w:hint="eastAsia" w:ascii="微软雅黑" w:hAnsi="微软雅黑" w:eastAsia="微软雅黑" w:cs="微软雅黑"/>
                <w:b/>
                <w:bCs/>
                <w:color w:val="002330"/>
                <w:spacing w:val="-4"/>
                <w:sz w:val="21"/>
                <w:szCs w:val="21"/>
              </w:rPr>
              <w:t>理</w:t>
            </w:r>
            <w:r>
              <w:rPr>
                <w:rFonts w:hint="eastAsia" w:ascii="微软雅黑" w:hAnsi="微软雅黑" w:eastAsia="微软雅黑" w:cs="微软雅黑"/>
                <w:b/>
                <w:bCs/>
                <w:color w:val="002330"/>
                <w:spacing w:val="-4"/>
                <w:sz w:val="21"/>
                <w:szCs w:val="21"/>
                <w:lang w:eastAsia="zh-CN"/>
              </w:rPr>
              <w:t xml:space="preserve"> </w:t>
            </w:r>
            <w:r>
              <w:rPr>
                <w:rFonts w:hint="eastAsia" w:ascii="微软雅黑" w:hAnsi="微软雅黑" w:eastAsia="微软雅黑" w:cs="微软雅黑"/>
                <w:b/>
                <w:bCs/>
                <w:color w:val="002330"/>
                <w:spacing w:val="-4"/>
                <w:sz w:val="21"/>
                <w:szCs w:val="21"/>
              </w:rPr>
              <w:t>号</w:t>
            </w:r>
          </w:p>
        </w:tc>
        <w:tc>
          <w:tcPr>
            <w:tcW w:w="2717" w:type="dxa"/>
            <w:shd w:val="clear" w:color="auto" w:fill="C5E0B3" w:themeFill="accent6" w:themeFillTint="66"/>
          </w:tcPr>
          <w:p w14:paraId="46C53822">
            <w:pPr>
              <w:rPr>
                <w:rFonts w:ascii="微软雅黑" w:hAnsi="微软雅黑" w:eastAsia="微软雅黑" w:cs="微软雅黑"/>
                <w:sz w:val="21"/>
                <w:lang w:eastAsia="zh-CN"/>
              </w:rPr>
            </w:pPr>
          </w:p>
        </w:tc>
        <w:tc>
          <w:tcPr>
            <w:tcW w:w="2058" w:type="dxa"/>
            <w:shd w:val="clear" w:color="auto" w:fill="C5E0B3" w:themeFill="accent6" w:themeFillTint="66"/>
          </w:tcPr>
          <w:p w14:paraId="1707526F">
            <w:pPr>
              <w:pStyle w:val="51"/>
              <w:spacing w:before="99" w:line="219" w:lineRule="auto"/>
              <w:ind w:left="118"/>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组织样本类型</w:t>
            </w:r>
          </w:p>
        </w:tc>
        <w:tc>
          <w:tcPr>
            <w:tcW w:w="3322" w:type="dxa"/>
            <w:gridSpan w:val="2"/>
            <w:shd w:val="clear" w:color="auto" w:fill="C5E0B3" w:themeFill="accent6" w:themeFillTint="66"/>
          </w:tcPr>
          <w:p w14:paraId="0EF23D40">
            <w:pPr>
              <w:pStyle w:val="51"/>
              <w:spacing w:before="101" w:line="220" w:lineRule="auto"/>
              <w:ind w:left="100"/>
              <w:rPr>
                <w:rFonts w:ascii="微软雅黑" w:hAnsi="微软雅黑" w:eastAsia="微软雅黑" w:cs="微软雅黑"/>
                <w:sz w:val="21"/>
                <w:szCs w:val="21"/>
              </w:rPr>
            </w:pPr>
          </w:p>
        </w:tc>
      </w:tr>
      <w:tr w14:paraId="2BDE2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440" w:type="dxa"/>
            <w:gridSpan w:val="5"/>
          </w:tcPr>
          <w:p w14:paraId="58756CDC">
            <w:pPr>
              <w:pStyle w:val="51"/>
              <w:spacing w:before="76" w:line="219" w:lineRule="auto"/>
              <w:ind w:left="118"/>
              <w:rPr>
                <w:rFonts w:ascii="微软雅黑" w:hAnsi="微软雅黑" w:eastAsia="微软雅黑" w:cs="微软雅黑"/>
                <w:sz w:val="21"/>
                <w:szCs w:val="21"/>
              </w:rPr>
            </w:pPr>
            <w:r>
              <w:rPr>
                <w:rFonts w:hint="eastAsia" w:ascii="微软雅黑" w:hAnsi="微软雅黑" w:eastAsia="微软雅黑" w:cs="微软雅黑"/>
                <w:b/>
                <w:bCs/>
                <w:spacing w:val="37"/>
                <w:sz w:val="21"/>
                <w:szCs w:val="21"/>
              </w:rPr>
              <w:t>病理</w:t>
            </w:r>
            <w:r>
              <w:rPr>
                <w:rFonts w:hint="eastAsia" w:ascii="微软雅黑" w:hAnsi="微软雅黑" w:eastAsia="微软雅黑" w:cs="微软雅黑"/>
                <w:b/>
                <w:bCs/>
                <w:sz w:val="21"/>
                <w:szCs w:val="21"/>
              </w:rPr>
              <w:t>HE</w:t>
            </w:r>
            <w:r>
              <w:rPr>
                <w:rFonts w:hint="eastAsia" w:ascii="微软雅黑" w:hAnsi="微软雅黑" w:eastAsia="微软雅黑" w:cs="微软雅黑"/>
                <w:b/>
                <w:bCs/>
                <w:spacing w:val="37"/>
                <w:sz w:val="21"/>
                <w:szCs w:val="21"/>
              </w:rPr>
              <w:t>切片典型形态</w:t>
            </w:r>
            <w:r>
              <w:rPr>
                <w:rFonts w:hint="eastAsia" w:ascii="微软雅黑" w:hAnsi="微软雅黑" w:eastAsia="微软雅黑" w:cs="微软雅黑"/>
                <w:b/>
                <w:bCs/>
                <w:spacing w:val="37"/>
                <w:sz w:val="21"/>
                <w:szCs w:val="21"/>
                <w:lang w:eastAsia="zh-CN"/>
              </w:rPr>
              <w:t>及诊断</w:t>
            </w:r>
            <w:r>
              <w:rPr>
                <w:rFonts w:hint="eastAsia" w:ascii="微软雅黑" w:hAnsi="微软雅黑" w:eastAsia="微软雅黑" w:cs="微软雅黑"/>
                <w:b/>
                <w:bCs/>
                <w:spacing w:val="37"/>
                <w:sz w:val="21"/>
                <w:szCs w:val="21"/>
              </w:rPr>
              <w:t>：</w:t>
            </w:r>
          </w:p>
        </w:tc>
      </w:tr>
      <w:tr w14:paraId="36435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4" w:hRule="atLeast"/>
        </w:trPr>
        <w:tc>
          <w:tcPr>
            <w:tcW w:w="5060" w:type="dxa"/>
            <w:gridSpan w:val="2"/>
          </w:tcPr>
          <w:p w14:paraId="03DC1FD2">
            <w:pPr>
              <w:spacing w:before="21" w:line="3440" w:lineRule="exact"/>
              <w:ind w:firstLine="165"/>
              <w:rPr>
                <w:rFonts w:ascii="微软雅黑" w:hAnsi="微软雅黑" w:eastAsia="微软雅黑" w:cs="微软雅黑"/>
                <w:lang w:eastAsia="zh-CN"/>
              </w:rPr>
            </w:pPr>
          </w:p>
        </w:tc>
        <w:tc>
          <w:tcPr>
            <w:tcW w:w="5380" w:type="dxa"/>
            <w:gridSpan w:val="3"/>
          </w:tcPr>
          <w:p w14:paraId="2EBD7BCE">
            <w:pPr>
              <w:spacing w:before="21" w:line="3459" w:lineRule="exact"/>
              <w:ind w:firstLine="365"/>
              <w:rPr>
                <w:rFonts w:ascii="微软雅黑" w:hAnsi="微软雅黑" w:eastAsia="微软雅黑" w:cs="微软雅黑"/>
                <w:lang w:eastAsia="zh-CN"/>
              </w:rPr>
            </w:pPr>
          </w:p>
        </w:tc>
      </w:tr>
      <w:tr w14:paraId="1C5EF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060" w:type="dxa"/>
            <w:gridSpan w:val="2"/>
          </w:tcPr>
          <w:p w14:paraId="4F6F31BD">
            <w:pPr>
              <w:pStyle w:val="51"/>
              <w:spacing w:before="66" w:line="222" w:lineRule="auto"/>
              <w:ind w:left="2048"/>
              <w:rPr>
                <w:rFonts w:ascii="微软雅黑" w:hAnsi="微软雅黑" w:eastAsia="微软雅黑" w:cs="微软雅黑"/>
                <w:sz w:val="21"/>
                <w:szCs w:val="21"/>
              </w:rPr>
            </w:pPr>
            <w:r>
              <w:rPr>
                <w:rFonts w:hint="eastAsia" w:ascii="微软雅黑" w:hAnsi="微软雅黑" w:eastAsia="微软雅黑" w:cs="微软雅黑"/>
                <w:b/>
                <w:bCs/>
                <w:spacing w:val="-3"/>
                <w:sz w:val="21"/>
                <w:szCs w:val="21"/>
              </w:rPr>
              <w:t>H&amp;E(100X)</w:t>
            </w:r>
          </w:p>
        </w:tc>
        <w:tc>
          <w:tcPr>
            <w:tcW w:w="5380" w:type="dxa"/>
            <w:gridSpan w:val="3"/>
          </w:tcPr>
          <w:p w14:paraId="77D408B5">
            <w:pPr>
              <w:pStyle w:val="51"/>
              <w:spacing w:before="68" w:line="221" w:lineRule="auto"/>
              <w:ind w:left="2204"/>
              <w:rPr>
                <w:rFonts w:ascii="微软雅黑" w:hAnsi="微软雅黑" w:eastAsia="微软雅黑" w:cs="微软雅黑"/>
                <w:sz w:val="21"/>
                <w:szCs w:val="21"/>
              </w:rPr>
            </w:pPr>
            <w:r>
              <w:rPr>
                <w:rFonts w:hint="eastAsia" w:ascii="微软雅黑" w:hAnsi="微软雅黑" w:eastAsia="微软雅黑" w:cs="微软雅黑"/>
                <w:b/>
                <w:bCs/>
                <w:spacing w:val="-3"/>
                <w:sz w:val="21"/>
                <w:szCs w:val="21"/>
              </w:rPr>
              <w:t>H&amp;E(200X)</w:t>
            </w:r>
          </w:p>
        </w:tc>
      </w:tr>
      <w:tr w14:paraId="5D45B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2343" w:type="dxa"/>
            <w:shd w:val="clear" w:color="auto" w:fill="C5E0B3" w:themeFill="accent6" w:themeFillTint="66"/>
          </w:tcPr>
          <w:p w14:paraId="02CCEA42">
            <w:pPr>
              <w:pStyle w:val="51"/>
              <w:spacing w:before="102" w:line="219" w:lineRule="auto"/>
              <w:ind w:left="748"/>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肿瘤含量</w:t>
            </w:r>
          </w:p>
        </w:tc>
        <w:tc>
          <w:tcPr>
            <w:tcW w:w="2717" w:type="dxa"/>
            <w:shd w:val="clear" w:color="auto" w:fill="C5E0B3" w:themeFill="accent6" w:themeFillTint="66"/>
          </w:tcPr>
          <w:p w14:paraId="0A439423">
            <w:pPr>
              <w:pStyle w:val="51"/>
              <w:spacing w:before="103" w:line="220" w:lineRule="auto"/>
              <w:ind w:left="935"/>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肿瘤面积</w:t>
            </w:r>
          </w:p>
        </w:tc>
        <w:tc>
          <w:tcPr>
            <w:tcW w:w="2727" w:type="dxa"/>
            <w:gridSpan w:val="2"/>
            <w:shd w:val="clear" w:color="auto" w:fill="C5E0B3" w:themeFill="accent6" w:themeFillTint="66"/>
          </w:tcPr>
          <w:p w14:paraId="5D96B1FF">
            <w:pPr>
              <w:pStyle w:val="51"/>
              <w:spacing w:before="103" w:line="220" w:lineRule="auto"/>
              <w:ind w:left="728"/>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坏死细胞占比</w:t>
            </w:r>
          </w:p>
        </w:tc>
        <w:tc>
          <w:tcPr>
            <w:tcW w:w="2653" w:type="dxa"/>
            <w:shd w:val="clear" w:color="auto" w:fill="C5E0B3" w:themeFill="accent6" w:themeFillTint="66"/>
          </w:tcPr>
          <w:p w14:paraId="793765B5">
            <w:pPr>
              <w:pStyle w:val="51"/>
              <w:spacing w:before="102" w:line="219" w:lineRule="auto"/>
              <w:ind w:left="901"/>
              <w:rPr>
                <w:rFonts w:ascii="微软雅黑" w:hAnsi="微软雅黑" w:eastAsia="微软雅黑" w:cs="微软雅黑"/>
                <w:sz w:val="21"/>
                <w:szCs w:val="21"/>
              </w:rPr>
            </w:pPr>
            <w:r>
              <w:rPr>
                <w:rFonts w:hint="eastAsia" w:ascii="微软雅黑" w:hAnsi="微软雅黑" w:eastAsia="微软雅黑" w:cs="微软雅黑"/>
                <w:b/>
                <w:bCs/>
                <w:color w:val="00293B"/>
                <w:spacing w:val="-5"/>
                <w:sz w:val="21"/>
                <w:szCs w:val="21"/>
              </w:rPr>
              <w:t>是否富集</w:t>
            </w:r>
          </w:p>
        </w:tc>
      </w:tr>
      <w:tr w14:paraId="5EF1E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2343" w:type="dxa"/>
          </w:tcPr>
          <w:p w14:paraId="56CDA272">
            <w:pPr>
              <w:pStyle w:val="51"/>
              <w:spacing w:before="199" w:line="183" w:lineRule="auto"/>
              <w:ind w:left="1008"/>
              <w:rPr>
                <w:rFonts w:ascii="微软雅黑" w:hAnsi="微软雅黑" w:eastAsia="微软雅黑" w:cs="微软雅黑"/>
                <w:sz w:val="21"/>
                <w:szCs w:val="21"/>
              </w:rPr>
            </w:pPr>
          </w:p>
        </w:tc>
        <w:tc>
          <w:tcPr>
            <w:tcW w:w="2717" w:type="dxa"/>
          </w:tcPr>
          <w:p w14:paraId="29DDE38E">
            <w:pPr>
              <w:pStyle w:val="51"/>
              <w:spacing w:before="165"/>
              <w:ind w:left="1035"/>
              <w:rPr>
                <w:rFonts w:ascii="微软雅黑" w:hAnsi="微软雅黑" w:eastAsia="微软雅黑" w:cs="微软雅黑"/>
                <w:sz w:val="21"/>
                <w:szCs w:val="21"/>
              </w:rPr>
            </w:pPr>
          </w:p>
        </w:tc>
        <w:tc>
          <w:tcPr>
            <w:tcW w:w="2727" w:type="dxa"/>
            <w:gridSpan w:val="2"/>
          </w:tcPr>
          <w:p w14:paraId="406F86E4">
            <w:pPr>
              <w:pStyle w:val="51"/>
              <w:spacing w:before="199" w:line="183" w:lineRule="auto"/>
              <w:ind w:left="1258"/>
              <w:rPr>
                <w:rFonts w:ascii="微软雅黑" w:hAnsi="微软雅黑" w:eastAsia="微软雅黑" w:cs="微软雅黑"/>
                <w:sz w:val="21"/>
                <w:szCs w:val="21"/>
              </w:rPr>
            </w:pPr>
          </w:p>
        </w:tc>
        <w:tc>
          <w:tcPr>
            <w:tcW w:w="2653" w:type="dxa"/>
          </w:tcPr>
          <w:p w14:paraId="1196BD89">
            <w:pPr>
              <w:pStyle w:val="51"/>
              <w:spacing w:before="144" w:line="220" w:lineRule="auto"/>
              <w:ind w:left="1221"/>
              <w:rPr>
                <w:rFonts w:ascii="微软雅黑" w:hAnsi="微软雅黑" w:eastAsia="微软雅黑" w:cs="微软雅黑"/>
                <w:sz w:val="21"/>
                <w:szCs w:val="21"/>
                <w:lang w:eastAsia="zh-CN"/>
              </w:rPr>
            </w:pPr>
          </w:p>
        </w:tc>
      </w:tr>
      <w:tr w14:paraId="1238F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4" w:hRule="atLeast"/>
        </w:trPr>
        <w:tc>
          <w:tcPr>
            <w:tcW w:w="5060" w:type="dxa"/>
            <w:gridSpan w:val="2"/>
            <w:shd w:val="clear" w:color="auto" w:fill="C5E0B3" w:themeFill="accent6" w:themeFillTint="66"/>
          </w:tcPr>
          <w:p w14:paraId="01860E49">
            <w:pPr>
              <w:pStyle w:val="51"/>
              <w:spacing w:before="182" w:line="218" w:lineRule="auto"/>
              <w:ind w:left="1688"/>
              <w:rPr>
                <w:rFonts w:ascii="微软雅黑" w:hAnsi="微软雅黑" w:eastAsia="微软雅黑" w:cs="微软雅黑"/>
                <w:sz w:val="21"/>
                <w:szCs w:val="21"/>
              </w:rPr>
            </w:pPr>
            <w:r>
              <w:rPr>
                <w:rFonts w:hint="eastAsia" w:ascii="微软雅黑" w:hAnsi="微软雅黑" w:eastAsia="微软雅黑" w:cs="微软雅黑"/>
                <w:b/>
                <w:bCs/>
                <w:spacing w:val="-2"/>
                <w:sz w:val="21"/>
                <w:szCs w:val="21"/>
              </w:rPr>
              <w:t>总体质量评估结果</w:t>
            </w:r>
          </w:p>
        </w:tc>
        <w:tc>
          <w:tcPr>
            <w:tcW w:w="5380" w:type="dxa"/>
            <w:gridSpan w:val="3"/>
            <w:shd w:val="clear" w:color="auto" w:fill="C5E0B3" w:themeFill="accent6" w:themeFillTint="66"/>
          </w:tcPr>
          <w:p w14:paraId="0EDEBE58">
            <w:pPr>
              <w:pStyle w:val="51"/>
              <w:spacing w:before="184" w:line="219" w:lineRule="auto"/>
              <w:ind w:left="2477"/>
              <w:rPr>
                <w:rFonts w:ascii="微软雅黑" w:hAnsi="微软雅黑" w:eastAsia="微软雅黑" w:cs="微软雅黑"/>
                <w:sz w:val="21"/>
                <w:szCs w:val="21"/>
              </w:rPr>
            </w:pPr>
          </w:p>
        </w:tc>
      </w:tr>
    </w:tbl>
    <w:p w14:paraId="2E3AE240">
      <w:pPr>
        <w:rPr>
          <w:rFonts w:ascii="微软雅黑" w:hAnsi="微软雅黑" w:eastAsia="微软雅黑" w:cs="微软雅黑"/>
          <w:lang w:eastAsia="zh-CN"/>
        </w:rPr>
      </w:pPr>
    </w:p>
    <w:p w14:paraId="24067D7E">
      <w:pPr>
        <w:pStyle w:val="8"/>
        <w:spacing w:line="286" w:lineRule="auto"/>
        <w:rPr>
          <w:rFonts w:ascii="微软雅黑" w:hAnsi="微软雅黑" w:eastAsia="微软雅黑" w:cs="微软雅黑"/>
        </w:rPr>
      </w:pPr>
    </w:p>
    <w:p w14:paraId="28090A80">
      <w:pPr>
        <w:rPr>
          <w:rFonts w:hint="eastAsia" w:ascii="微软雅黑" w:hAnsi="微软雅黑" w:eastAsia="微软雅黑" w:cs="微软雅黑"/>
          <w:b/>
          <w:bCs/>
          <w:color w:val="000000" w:themeColor="text1"/>
          <w:spacing w:val="-10"/>
          <w:sz w:val="29"/>
          <w:szCs w:val="29"/>
          <w:lang w:eastAsia="zh-CN"/>
          <w14:textFill>
            <w14:solidFill>
              <w14:schemeClr w14:val="tx1"/>
            </w14:solidFill>
          </w14:textFill>
        </w:rPr>
      </w:pPr>
      <w:r>
        <w:rPr>
          <w:rFonts w:hint="eastAsia" w:ascii="微软雅黑" w:hAnsi="微软雅黑" w:eastAsia="微软雅黑" w:cs="微软雅黑"/>
          <w:b/>
          <w:bCs/>
          <w:color w:val="000000" w:themeColor="text1"/>
          <w:spacing w:val="-10"/>
          <w:sz w:val="29"/>
          <w:szCs w:val="29"/>
          <w:lang w:val="en-US" w:eastAsia="zh-CN"/>
          <w14:textFill>
            <w14:solidFill>
              <w14:schemeClr w14:val="tx1"/>
            </w14:solidFill>
          </w14:textFill>
        </w:rPr>
        <w:t>2.</w:t>
      </w:r>
      <w:r>
        <w:rPr>
          <w:rFonts w:hint="eastAsia" w:ascii="微软雅黑" w:hAnsi="微软雅黑" w:eastAsia="微软雅黑" w:cs="微软雅黑"/>
          <w:b/>
          <w:bCs/>
          <w:color w:val="000000" w:themeColor="text1"/>
          <w:spacing w:val="-10"/>
          <w:sz w:val="29"/>
          <w:szCs w:val="29"/>
          <w:lang w:eastAsia="zh-CN"/>
          <w14:textFill>
            <w14:solidFill>
              <w14:schemeClr w14:val="tx1"/>
            </w14:solidFill>
          </w14:textFill>
        </w:rPr>
        <w:t>测序流程质量控制参数评估</w:t>
      </w:r>
    </w:p>
    <w:tbl>
      <w:tblPr>
        <w:tblStyle w:val="34"/>
        <w:tblW w:w="10350" w:type="dxa"/>
        <w:tblInd w:w="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84"/>
        <w:gridCol w:w="2887"/>
        <w:gridCol w:w="2937"/>
        <w:gridCol w:w="2942"/>
      </w:tblGrid>
      <w:tr w14:paraId="7A9FB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3" w:hRule="atLeast"/>
        </w:trPr>
        <w:tc>
          <w:tcPr>
            <w:tcW w:w="1584" w:type="dxa"/>
            <w:shd w:val="clear" w:color="auto" w:fill="C5E0B3" w:themeFill="accent6" w:themeFillTint="66"/>
          </w:tcPr>
          <w:p w14:paraId="48520E3F">
            <w:pPr>
              <w:rPr>
                <w:rFonts w:ascii="微软雅黑" w:hAnsi="微软雅黑" w:eastAsia="微软雅黑" w:cs="微软雅黑"/>
                <w:sz w:val="21"/>
                <w:lang w:eastAsia="zh-CN"/>
              </w:rPr>
            </w:pPr>
          </w:p>
        </w:tc>
        <w:tc>
          <w:tcPr>
            <w:tcW w:w="5824" w:type="dxa"/>
            <w:gridSpan w:val="2"/>
            <w:shd w:val="clear" w:color="auto" w:fill="C5E0B3" w:themeFill="accent6" w:themeFillTint="66"/>
          </w:tcPr>
          <w:p w14:paraId="0EF96C1E">
            <w:pPr>
              <w:pStyle w:val="51"/>
              <w:spacing w:before="102" w:line="219" w:lineRule="auto"/>
              <w:ind w:left="905"/>
              <w:rPr>
                <w:rFonts w:ascii="微软雅黑" w:hAnsi="微软雅黑" w:eastAsia="微软雅黑" w:cs="微软雅黑"/>
                <w:color w:val="000000" w:themeColor="text1"/>
                <w:sz w:val="29"/>
                <w:szCs w:val="29"/>
                <w14:textFill>
                  <w14:solidFill>
                    <w14:schemeClr w14:val="tx1"/>
                  </w14:solidFill>
                </w14:textFill>
              </w:rPr>
            </w:pPr>
            <w:r>
              <w:rPr>
                <w:rFonts w:hint="eastAsia" w:ascii="微软雅黑" w:hAnsi="微软雅黑" w:eastAsia="微软雅黑" w:cs="微软雅黑"/>
                <w:b/>
                <w:bCs/>
                <w:color w:val="000000" w:themeColor="text1"/>
                <w:spacing w:val="-1"/>
                <w:sz w:val="29"/>
                <w:szCs w:val="29"/>
                <w14:textFill>
                  <w14:solidFill>
                    <w14:schemeClr w14:val="tx1"/>
                  </w14:solidFill>
                </w14:textFill>
              </w:rPr>
              <w:t>质控参数</w:t>
            </w:r>
            <w:r>
              <w:rPr>
                <w:rFonts w:hint="eastAsia" w:ascii="微软雅黑" w:hAnsi="微软雅黑" w:eastAsia="微软雅黑" w:cs="微软雅黑"/>
                <w:color w:val="000000" w:themeColor="text1"/>
                <w:spacing w:val="-1"/>
                <w:sz w:val="29"/>
                <w:szCs w:val="29"/>
                <w14:textFill>
                  <w14:solidFill>
                    <w14:schemeClr w14:val="tx1"/>
                  </w14:solidFill>
                </w14:textFill>
              </w:rPr>
              <w:t xml:space="preserve">            </w:t>
            </w:r>
            <w:r>
              <w:rPr>
                <w:rFonts w:hint="eastAsia" w:ascii="微软雅黑" w:hAnsi="微软雅黑" w:eastAsia="微软雅黑" w:cs="微软雅黑"/>
                <w:b/>
                <w:bCs/>
                <w:color w:val="000000" w:themeColor="text1"/>
                <w:spacing w:val="-1"/>
                <w:sz w:val="29"/>
                <w:szCs w:val="29"/>
                <w14:textFill>
                  <w14:solidFill>
                    <w14:schemeClr w14:val="tx1"/>
                  </w14:solidFill>
                </w14:textFill>
              </w:rPr>
              <w:t>检测结果</w:t>
            </w:r>
          </w:p>
        </w:tc>
        <w:tc>
          <w:tcPr>
            <w:tcW w:w="2942" w:type="dxa"/>
            <w:shd w:val="clear" w:color="auto" w:fill="C5E0B3" w:themeFill="accent6" w:themeFillTint="66"/>
          </w:tcPr>
          <w:p w14:paraId="11B57D96">
            <w:pPr>
              <w:pStyle w:val="51"/>
              <w:spacing w:before="93" w:line="220" w:lineRule="auto"/>
              <w:ind w:left="891"/>
              <w:rPr>
                <w:rFonts w:ascii="微软雅黑" w:hAnsi="微软雅黑" w:eastAsia="微软雅黑" w:cs="微软雅黑"/>
                <w:color w:val="000000" w:themeColor="text1"/>
                <w:sz w:val="29"/>
                <w:szCs w:val="29"/>
                <w14:textFill>
                  <w14:solidFill>
                    <w14:schemeClr w14:val="tx1"/>
                  </w14:solidFill>
                </w14:textFill>
              </w:rPr>
            </w:pPr>
            <w:r>
              <w:rPr>
                <w:rFonts w:hint="eastAsia" w:ascii="微软雅黑" w:hAnsi="微软雅黑" w:eastAsia="微软雅黑" w:cs="微软雅黑"/>
                <w:b/>
                <w:bCs/>
                <w:color w:val="000000" w:themeColor="text1"/>
                <w:spacing w:val="-6"/>
                <w:sz w:val="29"/>
                <w:szCs w:val="29"/>
                <w14:textFill>
                  <w14:solidFill>
                    <w14:schemeClr w14:val="tx1"/>
                  </w14:solidFill>
                </w14:textFill>
              </w:rPr>
              <w:t>质控标准</w:t>
            </w:r>
          </w:p>
        </w:tc>
      </w:tr>
      <w:tr w14:paraId="62A95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1584" w:type="dxa"/>
            <w:vMerge w:val="restart"/>
            <w:tcBorders>
              <w:bottom w:val="nil"/>
            </w:tcBorders>
            <w:vAlign w:val="center"/>
          </w:tcPr>
          <w:p w14:paraId="4DB8B1E3">
            <w:pPr>
              <w:pStyle w:val="51"/>
              <w:keepNext w:val="0"/>
              <w:keepLines w:val="0"/>
              <w:pageBreakBefore w:val="0"/>
              <w:widowControl w:val="0"/>
              <w:kinsoku/>
              <w:wordWrap/>
              <w:overflowPunct/>
              <w:topLinePunct w:val="0"/>
              <w:autoSpaceDE/>
              <w:autoSpaceDN/>
              <w:bidi w:val="0"/>
              <w:adjustRightInd/>
              <w:snapToGrid/>
              <w:spacing w:line="224"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lang w:eastAsia="zh-CN"/>
              </w:rPr>
              <w:t>{% if summaryOfRresults.type == “tissue” %}</w:t>
            </w:r>
            <w:r>
              <w:rPr>
                <w:rFonts w:hint="eastAsia" w:ascii="微软雅黑" w:hAnsi="微软雅黑" w:eastAsia="微软雅黑" w:cs="微软雅黑"/>
                <w:b/>
                <w:bCs/>
                <w:spacing w:val="-5"/>
                <w:sz w:val="23"/>
                <w:szCs w:val="23"/>
              </w:rPr>
              <w:t>组织</w:t>
            </w:r>
            <w:r>
              <w:rPr>
                <w:rFonts w:hint="eastAsia" w:ascii="微软雅黑" w:hAnsi="微软雅黑" w:eastAsia="微软雅黑" w:cs="微软雅黑"/>
                <w:b/>
                <w:bCs/>
                <w:spacing w:val="-5"/>
                <w:sz w:val="23"/>
                <w:szCs w:val="23"/>
                <w:lang w:eastAsia="zh-CN"/>
              </w:rPr>
              <w:t>{% else %}</w:t>
            </w:r>
            <w:r>
              <w:rPr>
                <w:rFonts w:hint="eastAsia" w:ascii="微软雅黑" w:hAnsi="微软雅黑" w:eastAsia="微软雅黑" w:cs="微软雅黑"/>
                <w:b/>
                <w:bCs/>
                <w:spacing w:val="-5"/>
                <w:sz w:val="23"/>
                <w:szCs w:val="23"/>
                <w:lang w:val="en-US" w:eastAsia="zh-CN"/>
              </w:rPr>
              <w:t>血液c</w:t>
            </w:r>
            <w:r>
              <w:rPr>
                <w:rFonts w:hint="eastAsia" w:ascii="微软雅黑" w:hAnsi="微软雅黑" w:eastAsia="微软雅黑" w:cs="微软雅黑"/>
                <w:b/>
                <w:bCs/>
                <w:spacing w:val="-5"/>
                <w:sz w:val="23"/>
                <w:szCs w:val="23"/>
                <w:lang w:eastAsia="zh-CN"/>
              </w:rPr>
              <w:t>{% endif %}</w:t>
            </w:r>
            <w:r>
              <w:rPr>
                <w:rFonts w:hint="eastAsia" w:ascii="微软雅黑" w:hAnsi="微软雅黑" w:eastAsia="微软雅黑" w:cs="微软雅黑"/>
                <w:b/>
                <w:bCs/>
                <w:spacing w:val="-5"/>
                <w:sz w:val="23"/>
                <w:szCs w:val="23"/>
              </w:rPr>
              <w:t>tDNA</w:t>
            </w:r>
          </w:p>
        </w:tc>
        <w:tc>
          <w:tcPr>
            <w:tcW w:w="2887" w:type="dxa"/>
            <w:vAlign w:val="center"/>
          </w:tcPr>
          <w:p w14:paraId="418D2EFA">
            <w:pPr>
              <w:pStyle w:val="51"/>
              <w:keepNext w:val="0"/>
              <w:keepLines w:val="0"/>
              <w:pageBreakBefore w:val="0"/>
              <w:widowControl w:val="0"/>
              <w:kinsoku/>
              <w:wordWrap/>
              <w:overflowPunct/>
              <w:topLinePunct w:val="0"/>
              <w:autoSpaceDE/>
              <w:autoSpaceDN/>
              <w:bidi w:val="0"/>
              <w:adjustRightInd/>
              <w:snapToGrid/>
              <w:spacing w:line="220"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1"/>
                <w:sz w:val="23"/>
                <w:szCs w:val="23"/>
              </w:rPr>
              <w:t>平均测序深度(X)</w:t>
            </w:r>
          </w:p>
        </w:tc>
        <w:tc>
          <w:tcPr>
            <w:tcW w:w="2937" w:type="dxa"/>
            <w:vAlign w:val="center"/>
          </w:tcPr>
          <w:p w14:paraId="604FFAAB">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sequencing_depth }}</w:t>
            </w:r>
          </w:p>
        </w:tc>
        <w:tc>
          <w:tcPr>
            <w:tcW w:w="2942" w:type="dxa"/>
            <w:vAlign w:val="center"/>
          </w:tcPr>
          <w:p w14:paraId="7C415389">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300</w:t>
            </w:r>
            <w:r>
              <w:rPr>
                <w:rFonts w:hint="eastAsia" w:ascii="微软雅黑" w:hAnsi="微软雅黑" w:eastAsia="微软雅黑" w:cs="微软雅黑"/>
                <w:sz w:val="21"/>
                <w:szCs w:val="21"/>
                <w:lang w:eastAsia="zh-CN"/>
              </w:rPr>
              <w:t>00X</w:t>
            </w:r>
          </w:p>
        </w:tc>
      </w:tr>
      <w:tr w14:paraId="3CFB15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1584" w:type="dxa"/>
            <w:vMerge w:val="continue"/>
            <w:tcBorders>
              <w:top w:val="nil"/>
              <w:bottom w:val="nil"/>
            </w:tcBorders>
          </w:tcPr>
          <w:p w14:paraId="5C152FF6">
            <w:pPr>
              <w:rPr>
                <w:rFonts w:ascii="微软雅黑" w:hAnsi="微软雅黑" w:eastAsia="微软雅黑" w:cs="微软雅黑"/>
                <w:sz w:val="21"/>
              </w:rPr>
            </w:pPr>
          </w:p>
        </w:tc>
        <w:tc>
          <w:tcPr>
            <w:tcW w:w="2887" w:type="dxa"/>
            <w:vAlign w:val="center"/>
          </w:tcPr>
          <w:p w14:paraId="33DDE149">
            <w:pPr>
              <w:pStyle w:val="51"/>
              <w:keepNext w:val="0"/>
              <w:keepLines w:val="0"/>
              <w:pageBreakBefore w:val="0"/>
              <w:widowControl w:val="0"/>
              <w:kinsoku/>
              <w:wordWrap/>
              <w:overflowPunct/>
              <w:topLinePunct w:val="0"/>
              <w:autoSpaceDE/>
              <w:autoSpaceDN/>
              <w:bidi w:val="0"/>
              <w:adjustRightInd/>
              <w:snapToGrid/>
              <w:spacing w:line="213"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1"/>
                <w:sz w:val="23"/>
                <w:szCs w:val="23"/>
              </w:rPr>
              <w:t>序列比对率(</w:t>
            </w:r>
            <w:r>
              <w:rPr>
                <w:rFonts w:hint="eastAsia" w:ascii="微软雅黑" w:hAnsi="微软雅黑" w:eastAsia="微软雅黑" w:cs="微软雅黑"/>
                <w:b/>
                <w:bCs/>
                <w:sz w:val="23"/>
                <w:szCs w:val="23"/>
              </w:rPr>
              <w:t>On</w:t>
            </w:r>
            <w:r>
              <w:rPr>
                <w:rFonts w:hint="eastAsia" w:ascii="微软雅黑" w:hAnsi="微软雅黑" w:eastAsia="微软雅黑" w:cs="微软雅黑"/>
                <w:spacing w:val="1"/>
                <w:sz w:val="23"/>
                <w:szCs w:val="23"/>
              </w:rPr>
              <w:t xml:space="preserve"> </w:t>
            </w:r>
            <w:r>
              <w:rPr>
                <w:rFonts w:hint="eastAsia" w:ascii="微软雅黑" w:hAnsi="微软雅黑" w:eastAsia="微软雅黑" w:cs="微软雅黑"/>
                <w:b/>
                <w:bCs/>
                <w:sz w:val="23"/>
                <w:szCs w:val="23"/>
              </w:rPr>
              <w:t>Target</w:t>
            </w:r>
            <w:r>
              <w:rPr>
                <w:rFonts w:hint="eastAsia" w:ascii="微软雅黑" w:hAnsi="微软雅黑" w:eastAsia="微软雅黑" w:cs="微软雅黑"/>
                <w:b/>
                <w:bCs/>
                <w:spacing w:val="1"/>
                <w:sz w:val="23"/>
                <w:szCs w:val="23"/>
              </w:rPr>
              <w:t>)</w:t>
            </w:r>
          </w:p>
        </w:tc>
        <w:tc>
          <w:tcPr>
            <w:tcW w:w="2937" w:type="dxa"/>
            <w:vAlign w:val="center"/>
          </w:tcPr>
          <w:p w14:paraId="62187D17">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genome_alignment }}</w:t>
            </w:r>
          </w:p>
        </w:tc>
        <w:tc>
          <w:tcPr>
            <w:tcW w:w="2942" w:type="dxa"/>
            <w:vAlign w:val="center"/>
          </w:tcPr>
          <w:p w14:paraId="6083D7CF">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≥95%</w:t>
            </w:r>
          </w:p>
        </w:tc>
      </w:tr>
      <w:tr w14:paraId="36552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1584" w:type="dxa"/>
            <w:vMerge w:val="continue"/>
            <w:tcBorders>
              <w:top w:val="nil"/>
              <w:bottom w:val="nil"/>
            </w:tcBorders>
          </w:tcPr>
          <w:p w14:paraId="0764D49F">
            <w:pPr>
              <w:rPr>
                <w:rFonts w:ascii="微软雅黑" w:hAnsi="微软雅黑" w:eastAsia="微软雅黑" w:cs="微软雅黑"/>
                <w:sz w:val="21"/>
              </w:rPr>
            </w:pPr>
          </w:p>
        </w:tc>
        <w:tc>
          <w:tcPr>
            <w:tcW w:w="2887" w:type="dxa"/>
            <w:vAlign w:val="center"/>
          </w:tcPr>
          <w:p w14:paraId="423D9341">
            <w:pPr>
              <w:pStyle w:val="51"/>
              <w:keepNext w:val="0"/>
              <w:keepLines w:val="0"/>
              <w:pageBreakBefore w:val="0"/>
              <w:widowControl w:val="0"/>
              <w:kinsoku/>
              <w:wordWrap/>
              <w:overflowPunct/>
              <w:topLinePunct w:val="0"/>
              <w:autoSpaceDE/>
              <w:autoSpaceDN/>
              <w:bidi w:val="0"/>
              <w:adjustRightInd/>
              <w:snapToGrid/>
              <w:spacing w:line="180"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4"/>
                <w:sz w:val="23"/>
                <w:szCs w:val="23"/>
              </w:rPr>
              <w:t>Q30</w:t>
            </w:r>
          </w:p>
        </w:tc>
        <w:tc>
          <w:tcPr>
            <w:tcW w:w="2937" w:type="dxa"/>
            <w:vAlign w:val="center"/>
          </w:tcPr>
          <w:p w14:paraId="4F4706FE">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base_quality }}</w:t>
            </w:r>
          </w:p>
        </w:tc>
        <w:tc>
          <w:tcPr>
            <w:tcW w:w="2942" w:type="dxa"/>
            <w:vAlign w:val="center"/>
          </w:tcPr>
          <w:p w14:paraId="72E42B11">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≥85%</w:t>
            </w:r>
          </w:p>
        </w:tc>
      </w:tr>
      <w:tr w14:paraId="0D53C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1584" w:type="dxa"/>
            <w:vMerge w:val="continue"/>
            <w:tcBorders>
              <w:top w:val="nil"/>
              <w:bottom w:val="nil"/>
            </w:tcBorders>
          </w:tcPr>
          <w:p w14:paraId="7AF28B0E">
            <w:pPr>
              <w:rPr>
                <w:rFonts w:ascii="微软雅黑" w:hAnsi="微软雅黑" w:eastAsia="微软雅黑" w:cs="微软雅黑"/>
                <w:sz w:val="21"/>
              </w:rPr>
            </w:pPr>
          </w:p>
        </w:tc>
        <w:tc>
          <w:tcPr>
            <w:tcW w:w="2887" w:type="dxa"/>
            <w:vAlign w:val="center"/>
          </w:tcPr>
          <w:p w14:paraId="45CD7F56">
            <w:pPr>
              <w:pStyle w:val="51"/>
              <w:keepNext w:val="0"/>
              <w:keepLines w:val="0"/>
              <w:pageBreakBefore w:val="0"/>
              <w:widowControl w:val="0"/>
              <w:kinsoku/>
              <w:wordWrap/>
              <w:overflowPunct/>
              <w:topLinePunct w:val="0"/>
              <w:autoSpaceDE/>
              <w:autoSpaceDN/>
              <w:bidi w:val="0"/>
              <w:adjustRightInd/>
              <w:snapToGrid/>
              <w:spacing w:line="213"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2"/>
                <w:sz w:val="23"/>
                <w:szCs w:val="23"/>
              </w:rPr>
              <w:t>阳性质控</w:t>
            </w:r>
          </w:p>
        </w:tc>
        <w:tc>
          <w:tcPr>
            <w:tcW w:w="5879" w:type="dxa"/>
            <w:gridSpan w:val="2"/>
            <w:vAlign w:val="center"/>
          </w:tcPr>
          <w:p w14:paraId="779AEBC4">
            <w:pPr>
              <w:pStyle w:val="51"/>
              <w:keepNext w:val="0"/>
              <w:keepLines w:val="0"/>
              <w:pageBreakBefore w:val="0"/>
              <w:widowControl w:val="0"/>
              <w:kinsoku/>
              <w:wordWrap/>
              <w:overflowPunct/>
              <w:topLinePunct w:val="0"/>
              <w:autoSpaceDE/>
              <w:autoSpaceDN/>
              <w:bidi w:val="0"/>
              <w:adjustRightInd/>
              <w:snapToGrid/>
              <w:spacing w:line="213"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rPr>
              <w:t>在控</w:t>
            </w:r>
          </w:p>
        </w:tc>
      </w:tr>
      <w:tr w14:paraId="1C7C3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1584" w:type="dxa"/>
            <w:vMerge w:val="continue"/>
            <w:tcBorders>
              <w:top w:val="nil"/>
            </w:tcBorders>
          </w:tcPr>
          <w:p w14:paraId="61718574">
            <w:pPr>
              <w:rPr>
                <w:rFonts w:ascii="微软雅黑" w:hAnsi="微软雅黑" w:eastAsia="微软雅黑" w:cs="微软雅黑"/>
                <w:sz w:val="21"/>
              </w:rPr>
            </w:pPr>
          </w:p>
        </w:tc>
        <w:tc>
          <w:tcPr>
            <w:tcW w:w="2887" w:type="dxa"/>
            <w:vAlign w:val="center"/>
          </w:tcPr>
          <w:p w14:paraId="5B19A362">
            <w:pPr>
              <w:pStyle w:val="51"/>
              <w:keepNext w:val="0"/>
              <w:keepLines w:val="0"/>
              <w:pageBreakBefore w:val="0"/>
              <w:widowControl w:val="0"/>
              <w:kinsoku/>
              <w:wordWrap/>
              <w:overflowPunct/>
              <w:topLinePunct w:val="0"/>
              <w:autoSpaceDE/>
              <w:autoSpaceDN/>
              <w:bidi w:val="0"/>
              <w:adjustRightInd/>
              <w:snapToGrid/>
              <w:spacing w:line="205"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rPr>
              <w:t>无模板质控</w:t>
            </w:r>
          </w:p>
        </w:tc>
        <w:tc>
          <w:tcPr>
            <w:tcW w:w="5879" w:type="dxa"/>
            <w:gridSpan w:val="2"/>
            <w:vAlign w:val="center"/>
          </w:tcPr>
          <w:p w14:paraId="019DC431">
            <w:pPr>
              <w:pStyle w:val="51"/>
              <w:keepNext w:val="0"/>
              <w:keepLines w:val="0"/>
              <w:pageBreakBefore w:val="0"/>
              <w:widowControl w:val="0"/>
              <w:kinsoku/>
              <w:wordWrap/>
              <w:overflowPunct/>
              <w:topLinePunct w:val="0"/>
              <w:autoSpaceDE/>
              <w:autoSpaceDN/>
              <w:bidi w:val="0"/>
              <w:adjustRightInd/>
              <w:snapToGrid/>
              <w:spacing w:line="204"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rPr>
              <w:t>在控</w:t>
            </w:r>
          </w:p>
        </w:tc>
      </w:tr>
      <w:tr w14:paraId="164F2E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4471" w:type="dxa"/>
            <w:gridSpan w:val="2"/>
            <w:vAlign w:val="center"/>
          </w:tcPr>
          <w:p w14:paraId="64D3C121">
            <w:pPr>
              <w:pStyle w:val="51"/>
              <w:keepNext w:val="0"/>
              <w:keepLines w:val="0"/>
              <w:pageBreakBefore w:val="0"/>
              <w:widowControl w:val="0"/>
              <w:kinsoku/>
              <w:wordWrap/>
              <w:overflowPunct/>
              <w:topLinePunct w:val="0"/>
              <w:autoSpaceDE/>
              <w:autoSpaceDN/>
              <w:bidi w:val="0"/>
              <w:adjustRightInd/>
              <w:snapToGrid/>
              <w:spacing w:line="218"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2"/>
                <w:sz w:val="23"/>
                <w:szCs w:val="23"/>
              </w:rPr>
              <w:t>总体质量评估结果</w:t>
            </w:r>
          </w:p>
        </w:tc>
        <w:tc>
          <w:tcPr>
            <w:tcW w:w="5879" w:type="dxa"/>
            <w:gridSpan w:val="2"/>
            <w:vAlign w:val="center"/>
          </w:tcPr>
          <w:p w14:paraId="2AA4FB73">
            <w:pPr>
              <w:pStyle w:val="51"/>
              <w:keepNext w:val="0"/>
              <w:keepLines w:val="0"/>
              <w:pageBreakBefore w:val="0"/>
              <w:widowControl w:val="0"/>
              <w:kinsoku/>
              <w:wordWrap/>
              <w:overflowPunct/>
              <w:topLinePunct w:val="0"/>
              <w:autoSpaceDE/>
              <w:autoSpaceDN/>
              <w:bidi w:val="0"/>
              <w:adjustRightInd/>
              <w:snapToGrid/>
              <w:spacing w:line="219"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lang w:eastAsia="zh-CN"/>
              </w:rPr>
              <w:t>{{ overall_quality_assessment }}</w:t>
            </w:r>
          </w:p>
        </w:tc>
      </w:tr>
    </w:tbl>
    <w:p w14:paraId="76B83938">
      <w:r>
        <w:br w:type="page"/>
      </w:r>
    </w:p>
    <w:p w14:paraId="5C9E9705">
      <w:pPr>
        <w:pStyle w:val="2"/>
        <w:numPr>
          <w:ilvl w:val="255"/>
          <w:numId w:val="0"/>
        </w:numPr>
        <w:jc w:val="left"/>
        <w:rPr>
          <w:rFonts w:hint="eastAsia"/>
          <w:color w:val="auto"/>
          <w:sz w:val="44"/>
          <w:szCs w:val="44"/>
          <w:lang w:eastAsia="zh-CN"/>
        </w:rPr>
      </w:pPr>
      <w:bookmarkStart w:id="21" w:name="_Toc25800"/>
      <w:r>
        <w:rPr>
          <w:rFonts w:hint="eastAsia"/>
          <w:color w:val="auto"/>
          <w:sz w:val="44"/>
          <w:szCs w:val="44"/>
          <w:lang w:eastAsia="zh-CN"/>
        </w:rPr>
        <w:t>检测结果</w:t>
      </w:r>
      <w:bookmarkEnd w:id="21"/>
    </w:p>
    <w:bookmarkEnd w:id="11"/>
    <w:bookmarkEnd w:id="18"/>
    <w:bookmarkEnd w:id="19"/>
    <w:p w14:paraId="4A78A507">
      <w:pPr>
        <w:pStyle w:val="3"/>
        <w:keepNext w:val="0"/>
        <w:keepLines w:val="0"/>
        <w:pageBreakBefore w:val="0"/>
        <w:widowControl w:val="0"/>
        <w:numPr>
          <w:ilvl w:val="255"/>
          <w:numId w:val="0"/>
        </w:numPr>
        <w:kinsoku/>
        <w:wordWrap/>
        <w:overflowPunct/>
        <w:topLinePunct w:val="0"/>
        <w:autoSpaceDE/>
        <w:autoSpaceDN/>
        <w:bidi w:val="0"/>
        <w:adjustRightInd/>
        <w:snapToGrid/>
        <w:spacing w:after="157" w:afterLines="50"/>
        <w:jc w:val="left"/>
        <w:textAlignment w:val="auto"/>
        <w:rPr>
          <w:rFonts w:hint="default" w:ascii="Times New Roman" w:hAnsi="Times New Roman"/>
          <w:color w:val="auto"/>
          <w:sz w:val="30"/>
          <w:lang w:val="en-US" w:eastAsia="zh-CN"/>
        </w:rPr>
      </w:pPr>
      <w:bookmarkStart w:id="22" w:name="_Toc16241"/>
      <w:bookmarkStart w:id="23" w:name="_Toc10216"/>
      <w:bookmarkStart w:id="24" w:name="_Toc27840"/>
      <w:bookmarkStart w:id="25" w:name="_Toc21516"/>
      <w:bookmarkStart w:id="26" w:name="_Toc149837258"/>
      <w:bookmarkStart w:id="27" w:name="_Toc27173"/>
      <w:bookmarkStart w:id="28" w:name="_Toc11812"/>
      <w:bookmarkStart w:id="29" w:name="_Toc28810_WPSOffice_Level1"/>
      <w:bookmarkStart w:id="30" w:name="_Toc1779"/>
      <w:bookmarkStart w:id="31" w:name="_Toc11896_WPSOffice_Level1"/>
      <w:bookmarkStart w:id="32" w:name="_Toc4979"/>
      <w:bookmarkStart w:id="33" w:name="_Toc11193_WPSOffice_Level1"/>
      <w:bookmarkStart w:id="34" w:name="_Toc1986"/>
      <w:bookmarkStart w:id="35" w:name="_Toc20303"/>
      <w:r>
        <w:rPr>
          <w:rFonts w:hint="eastAsia" w:ascii="Times New Roman" w:hAnsi="Times New Roman"/>
          <w:color w:val="auto"/>
          <w:sz w:val="30"/>
          <w:lang w:val="en-US" w:eastAsia="zh-CN"/>
        </w:rPr>
        <w:t>本次检测结果及解析</w:t>
      </w:r>
      <w:bookmarkEnd w:id="22"/>
      <w:bookmarkEnd w:id="23"/>
    </w:p>
    <w:bookmarkEnd w:id="24"/>
    <w:bookmarkEnd w:id="25"/>
    <w:bookmarkEnd w:id="26"/>
    <w:tbl>
      <w:tblPr>
        <w:tblStyle w:val="17"/>
        <w:tblpPr w:leftFromText="180" w:rightFromText="180" w:vertAnchor="text" w:tblpXSpec="center" w:tblpY="1"/>
        <w:tblOverlap w:val="never"/>
        <w:tblW w:w="0" w:type="auto"/>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2680"/>
        <w:gridCol w:w="7421"/>
      </w:tblGrid>
      <w:tr w14:paraId="4BD569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54" w:hRule="atLeast"/>
          <w:jc w:val="center"/>
        </w:trPr>
        <w:tc>
          <w:tcPr>
            <w:tcW w:w="2680" w:type="dxa"/>
            <w:tcBorders>
              <w:top w:val="nil"/>
              <w:left w:val="nil"/>
              <w:bottom w:val="single" w:color="FFFFFF" w:themeColor="background1" w:sz="18" w:space="0"/>
              <w:right w:val="nil"/>
            </w:tcBorders>
            <w:shd w:val="clear" w:color="auto" w:fill="A9D18E"/>
            <w:vAlign w:val="center"/>
          </w:tcPr>
          <w:p w14:paraId="5F3591BC">
            <w:pPr>
              <w:keepNext/>
              <w:spacing w:before="26"/>
              <w:jc w:val="center"/>
              <w:rPr>
                <w:rFonts w:ascii="Times New Roman" w:hAnsi="Times New Roman" w:eastAsia="微软雅黑" w:cs="Times New Roman"/>
                <w:b/>
                <w:color w:val="auto"/>
                <w:sz w:val="18"/>
                <w:szCs w:val="18"/>
                <w:lang w:eastAsia="zh-CN"/>
              </w:rPr>
            </w:pPr>
            <w:r>
              <w:rPr>
                <w:rFonts w:hint="eastAsia" w:ascii="Times New Roman" w:hAnsi="Times New Roman" w:eastAsia="微软雅黑" w:cs="Times New Roman"/>
                <w:b/>
                <w:color w:val="auto"/>
                <w:sz w:val="18"/>
                <w:szCs w:val="18"/>
                <w:lang w:eastAsia="zh-CN"/>
              </w:rPr>
              <w:t>分子残留病灶（MRD）状态</w:t>
            </w:r>
          </w:p>
        </w:tc>
        <w:tc>
          <w:tcPr>
            <w:tcW w:w="7421" w:type="dxa"/>
            <w:tcBorders>
              <w:top w:val="single" w:color="A4A4A4" w:sz="4" w:space="0"/>
              <w:left w:val="nil"/>
              <w:bottom w:val="single" w:color="A4A4A4" w:sz="4" w:space="0"/>
              <w:right w:val="nil"/>
            </w:tcBorders>
            <w:vAlign w:val="center"/>
          </w:tcPr>
          <w:p w14:paraId="1A17E59F">
            <w:pPr>
              <w:keepNext/>
              <w:spacing w:before="26"/>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sz w:val="21"/>
                <w:szCs w:val="21"/>
                <w:lang w:val="en-US" w:eastAsia="zh-CN"/>
              </w:rPr>
              <w:t>{% if mrd.mrd_status == “阳性”%}</w:t>
            </w:r>
            <w:r>
              <w:rPr>
                <w:rFonts w:hint="default" w:ascii="Times New Roman" w:hAnsi="Times New Roman" w:eastAsia="微软雅黑" w:cs="Times New Roman"/>
                <w:color w:val="FF0000"/>
                <w:sz w:val="21"/>
                <w:szCs w:val="21"/>
                <w:lang w:val="en-US" w:eastAsia="zh-CN"/>
              </w:rPr>
              <w:t>阳性</w:t>
            </w:r>
            <w:r>
              <w:rPr>
                <w:rFonts w:hint="default" w:ascii="Times New Roman" w:hAnsi="Times New Roman" w:eastAsia="微软雅黑" w:cs="Times New Roman"/>
                <w:color w:val="auto"/>
                <w:sz w:val="21"/>
                <w:szCs w:val="21"/>
                <w:lang w:val="en-US" w:eastAsia="zh-CN"/>
              </w:rPr>
              <w:t>{% else%}阴性{% endif %}</w:t>
            </w:r>
          </w:p>
        </w:tc>
      </w:tr>
      <w:tr w14:paraId="5C1ECC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0" w:hRule="atLeast"/>
          <w:jc w:val="center"/>
        </w:trPr>
        <w:tc>
          <w:tcPr>
            <w:tcW w:w="2680" w:type="dxa"/>
            <w:tcBorders>
              <w:top w:val="single" w:color="FFFFFF" w:themeColor="background1" w:sz="18" w:space="0"/>
              <w:left w:val="nil"/>
              <w:bottom w:val="single" w:color="FFFFFF" w:themeColor="background1" w:sz="18" w:space="0"/>
              <w:right w:val="nil"/>
            </w:tcBorders>
            <w:shd w:val="clear" w:color="auto" w:fill="A9D18E"/>
            <w:vAlign w:val="center"/>
          </w:tcPr>
          <w:p w14:paraId="59259E49">
            <w:pPr>
              <w:keepNext/>
              <w:spacing w:before="26"/>
              <w:jc w:val="center"/>
              <w:rPr>
                <w:rFonts w:hint="eastAsia" w:ascii="Times New Roman" w:hAnsi="Times New Roman" w:eastAsia="微软雅黑" w:cs="Times New Roman"/>
                <w:b/>
                <w:color w:val="auto"/>
                <w:sz w:val="18"/>
                <w:szCs w:val="18"/>
                <w:lang w:val="en-US" w:eastAsia="zh-CN"/>
              </w:rPr>
            </w:pPr>
            <w:r>
              <w:rPr>
                <w:rFonts w:hint="eastAsia" w:ascii="Times New Roman" w:hAnsi="Times New Roman" w:eastAsia="微软雅黑" w:cs="Times New Roman"/>
                <w:b/>
                <w:color w:val="auto"/>
                <w:sz w:val="18"/>
                <w:szCs w:val="18"/>
                <w:lang w:val="en-US" w:eastAsia="zh-CN"/>
              </w:rPr>
              <w:t>指标解析</w:t>
            </w:r>
          </w:p>
        </w:tc>
        <w:tc>
          <w:tcPr>
            <w:tcW w:w="7421" w:type="dxa"/>
            <w:tcBorders>
              <w:top w:val="single" w:color="A4A4A4" w:sz="4" w:space="0"/>
              <w:left w:val="nil"/>
              <w:bottom w:val="single" w:color="A4A4A4" w:sz="4" w:space="0"/>
              <w:right w:val="nil"/>
            </w:tcBorders>
            <w:vAlign w:val="top"/>
          </w:tcPr>
          <w:p w14:paraId="09B39B9E">
            <w:pPr>
              <w:keepNext/>
              <w:spacing w:before="26" w:beforeLines="0" w:afterLines="0"/>
              <w:jc w:val="left"/>
              <w:rPr>
                <w:rFonts w:hint="eastAsia" w:ascii="Times New Roman" w:hAnsi="Times New Roman" w:eastAsia="微软雅黑" w:cs="Times New Roman"/>
                <w:sz w:val="18"/>
                <w:szCs w:val="18"/>
                <w:lang w:eastAsia="zh-CN"/>
              </w:rPr>
            </w:pPr>
            <w:r>
              <w:rPr>
                <w:rFonts w:hint="eastAsia" w:ascii="Times New Roman" w:hAnsi="Times New Roman" w:cs="Times New Roman"/>
                <w:sz w:val="21"/>
                <w:szCs w:val="21"/>
                <w:lang w:val="en-US" w:eastAsia="zh-CN"/>
              </w:rPr>
              <w:t xml:space="preserve">{% if mrd.mrd_status ==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阳性</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w:t>
            </w:r>
            <w:r>
              <w:rPr>
                <w:rFonts w:hint="eastAsia" w:ascii="Times New Roman" w:hAnsi="Times New Roman" w:eastAsia="微软雅黑" w:cs="Times New Roman"/>
                <w:b/>
                <w:bCs/>
                <w:sz w:val="18"/>
                <w:szCs w:val="18"/>
                <w:lang w:eastAsia="zh-CN"/>
              </w:rPr>
              <w:t>阳性：</w:t>
            </w:r>
            <w:r>
              <w:rPr>
                <w:rFonts w:hint="eastAsia" w:ascii="Times New Roman" w:hAnsi="Times New Roman" w:eastAsia="微软雅黑" w:cs="Times New Roman"/>
                <w:sz w:val="18"/>
                <w:szCs w:val="18"/>
                <w:lang w:eastAsia="zh-CN"/>
              </w:rPr>
              <w:t>本次样本检测</w:t>
            </w:r>
            <w:r>
              <w:rPr>
                <w:rFonts w:hint="eastAsia" w:ascii="Times New Roman" w:hAnsi="Times New Roman" w:eastAsia="微软雅黑" w:cs="Times New Roman"/>
                <w:sz w:val="18"/>
                <w:szCs w:val="18"/>
                <w:lang w:val="en-US" w:eastAsia="zh-CN"/>
              </w:rPr>
              <w:t>出</w:t>
            </w:r>
            <w:r>
              <w:rPr>
                <w:rFonts w:hint="eastAsia" w:ascii="Times New Roman" w:hAnsi="Times New Roman" w:eastAsia="微软雅黑" w:cs="Times New Roman"/>
                <w:sz w:val="18"/>
                <w:szCs w:val="18"/>
                <w:lang w:eastAsia="zh-CN"/>
              </w:rPr>
              <w:t>与初次肿瘤组织样本相关的突变残存，提示存在分子残留病灶，复发风险可能较高。</w:t>
            </w:r>
            <w:r>
              <w:rPr>
                <w:rFonts w:hint="eastAsia" w:ascii="Times New Roman" w:hAnsi="Times New Roman" w:cs="Times New Roman"/>
                <w:color w:val="auto"/>
                <w:sz w:val="21"/>
                <w:szCs w:val="21"/>
                <w:lang w:val="en-US" w:eastAsia="zh-CN"/>
              </w:rPr>
              <w:t>{% else%}</w:t>
            </w:r>
            <w:r>
              <w:rPr>
                <w:rFonts w:hint="eastAsia" w:ascii="Times New Roman" w:hAnsi="Times New Roman" w:eastAsia="微软雅黑" w:cs="Times New Roman"/>
                <w:b/>
                <w:sz w:val="18"/>
                <w:szCs w:val="18"/>
                <w:lang w:eastAsia="zh-CN"/>
              </w:rPr>
              <w:t>阴性：</w:t>
            </w:r>
            <w:r>
              <w:rPr>
                <w:rFonts w:hint="eastAsia" w:ascii="Times New Roman" w:hAnsi="Times New Roman" w:eastAsia="微软雅黑" w:cs="Times New Roman"/>
                <w:sz w:val="18"/>
                <w:szCs w:val="18"/>
                <w:lang w:eastAsia="zh-CN"/>
              </w:rPr>
              <w:t>本次样本未检测出与初次肿瘤组织样本相关的突变残存，提示复发风险可能较低。</w:t>
            </w:r>
          </w:p>
          <w:p w14:paraId="5E41C0E8">
            <w:pPr>
              <w:keepNext/>
              <w:spacing w:before="26"/>
              <w:jc w:val="left"/>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(由于肿瘤生物学行为的复杂性，不排除有些肿瘤因释放 ctDNA 极少而导致 MRD 检测结果呈阴性。)</w:t>
            </w:r>
            <w:r>
              <w:rPr>
                <w:rFonts w:hint="eastAsia" w:ascii="Times New Roman" w:hAnsi="Times New Roman" w:cs="Times New Roman"/>
                <w:color w:val="auto"/>
                <w:sz w:val="21"/>
                <w:szCs w:val="21"/>
                <w:lang w:val="en-US" w:eastAsia="zh-CN"/>
              </w:rPr>
              <w:t>{% endif %}</w:t>
            </w:r>
          </w:p>
        </w:tc>
      </w:tr>
      <w:tr w14:paraId="02CB83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5386" w:hRule="atLeast"/>
          <w:jc w:val="center"/>
        </w:trPr>
        <w:tc>
          <w:tcPr>
            <w:tcW w:w="2680" w:type="dxa"/>
            <w:tcBorders>
              <w:top w:val="single" w:color="FFFFFF" w:themeColor="background1" w:sz="18" w:space="0"/>
              <w:left w:val="nil"/>
              <w:bottom w:val="nil"/>
              <w:right w:val="nil"/>
            </w:tcBorders>
            <w:shd w:val="clear" w:color="auto" w:fill="A9D18E"/>
            <w:vAlign w:val="center"/>
          </w:tcPr>
          <w:p w14:paraId="202870A0">
            <w:pPr>
              <w:keepNext/>
              <w:spacing w:before="26"/>
              <w:jc w:val="center"/>
              <w:rPr>
                <w:rFonts w:hint="default" w:ascii="Times New Roman" w:hAnsi="Times New Roman" w:eastAsia="微软雅黑" w:cs="Times New Roman"/>
                <w:b/>
                <w:color w:val="auto"/>
                <w:sz w:val="18"/>
                <w:szCs w:val="18"/>
                <w:lang w:val="en-US" w:eastAsia="zh-CN"/>
              </w:rPr>
            </w:pPr>
            <w:r>
              <w:rPr>
                <w:rFonts w:hint="eastAsia" w:ascii="Times New Roman" w:hAnsi="Times New Roman" w:eastAsia="微软雅黑" w:cs="Times New Roman"/>
                <w:b/>
                <w:color w:val="auto"/>
                <w:sz w:val="18"/>
                <w:szCs w:val="18"/>
                <w:lang w:val="en-US" w:eastAsia="zh-CN"/>
              </w:rPr>
              <w:t>临床意义及文献报道</w:t>
            </w:r>
          </w:p>
        </w:tc>
        <w:tc>
          <w:tcPr>
            <w:tcW w:w="7421" w:type="dxa"/>
            <w:tcBorders>
              <w:top w:val="single" w:color="A4A4A4" w:sz="4" w:space="0"/>
              <w:left w:val="nil"/>
              <w:bottom w:val="single" w:color="A4A4A4" w:sz="4" w:space="0"/>
              <w:right w:val="nil"/>
            </w:tcBorders>
            <w:vAlign w:val="center"/>
          </w:tcPr>
          <w:p w14:paraId="316DA9BF">
            <w:pPr>
              <w:keepNext/>
              <w:spacing w:before="26"/>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val="en-US" w:eastAsia="zh-CN"/>
              </w:rPr>
              <w:t>在实体瘤中，MRD通常指分子残留病灶（molecular residual disease）也称微小残留病灶（minimal residual disease），</w:t>
            </w:r>
            <w:r>
              <w:rPr>
                <w:rFonts w:hint="eastAsia" w:ascii="Times New Roman" w:hAnsi="Times New Roman" w:eastAsia="微软雅黑" w:cs="Times New Roman"/>
                <w:b w:val="0"/>
                <w:bCs w:val="0"/>
                <w:sz w:val="18"/>
                <w:szCs w:val="18"/>
                <w:lang w:eastAsia="zh-CN"/>
              </w:rPr>
              <w:t>即通过循环肿瘤DNA（circulating tumor DNA，ctDNA）等</w:t>
            </w:r>
          </w:p>
          <w:p w14:paraId="716F648E">
            <w:pPr>
              <w:keepNext/>
              <w:spacing w:before="26"/>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eastAsia="zh-CN"/>
              </w:rPr>
              <w:t>肿瘤来源的分子异常，发现影像学（包括正电子发射计算机断层显像）或传统实验室方法不能发现的潜在病灶，代表着肿瘤的持续存在和临床进展可能。</w:t>
            </w:r>
          </w:p>
          <w:p w14:paraId="648F3597">
            <w:pPr>
              <w:keepNext/>
              <w:spacing w:before="26"/>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val="en-US" w:eastAsia="zh-CN"/>
              </w:rPr>
              <w:t>基于NGS的MRD检测</w:t>
            </w:r>
            <w:r>
              <w:rPr>
                <w:rFonts w:hint="eastAsia" w:ascii="Times New Roman" w:hAnsi="Times New Roman" w:eastAsia="微软雅黑" w:cs="Times New Roman"/>
                <w:b w:val="0"/>
                <w:bCs w:val="0"/>
                <w:sz w:val="18"/>
                <w:szCs w:val="18"/>
                <w:lang w:eastAsia="zh-CN"/>
              </w:rPr>
              <w:t>技术，具有较高的靶向序列覆盖率和均一性，可针对大量基因及多种突变类型进行分析。在实体瘤MRD检测中，NGS技术尤其是基于杂交捕获的NGS凭借其强大的综合性能，成为目前研究和临床实践中的首选方法。ctDNA是实体瘤MRD最常用的检测材料，准确检测ctDNA突变可以达到较好的MRD检测性能。</w:t>
            </w:r>
          </w:p>
          <w:p w14:paraId="6A0D767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val="0"/>
                <w:bCs w:val="0"/>
                <w:sz w:val="18"/>
                <w:szCs w:val="18"/>
                <w:lang w:eastAsia="zh-CN"/>
              </w:rPr>
              <w:t>目前，肿瘤的组织病理分型、分级和分期是肿瘤生物学行为评估和治疗方案制定的核心依据，但即使病理分型、分级和分期相同的患者，肿瘤预后也存在显著差异。这些传统指标无法区分复发高风险患者和长期无瘤生存的低风险患者。近年来，MRD检测在结直肠癌、</w:t>
            </w:r>
            <w:r>
              <w:rPr>
                <w:rFonts w:hint="eastAsia" w:ascii="Times New Roman" w:hAnsi="Times New Roman" w:eastAsia="微软雅黑" w:cs="Times New Roman"/>
                <w:b w:val="0"/>
                <w:bCs w:val="0"/>
                <w:sz w:val="18"/>
                <w:szCs w:val="18"/>
                <w:highlight w:val="none"/>
                <w:lang w:eastAsia="zh-CN"/>
              </w:rPr>
              <w:t>肺癌、乳腺癌等多种实体瘤中积累了大量证据，表明MRD检测可有效区分复发风险，可作为预后分层的重要指标</w:t>
            </w:r>
            <w:r>
              <w:rPr>
                <w:rFonts w:hint="eastAsia" w:ascii="Times New Roman" w:hAnsi="Times New Roman" w:eastAsia="微软雅黑" w:cs="Times New Roman"/>
                <w:b w:val="0"/>
                <w:bCs w:val="0"/>
                <w:sz w:val="18"/>
                <w:szCs w:val="18"/>
                <w:highlight w:val="none"/>
                <w:lang w:val="en-US" w:eastAsia="zh-CN"/>
              </w:rPr>
              <w:t xml:space="preserve"> </w:t>
            </w:r>
            <w:r>
              <w:rPr>
                <w:rFonts w:hint="eastAsia" w:ascii="Times New Roman" w:hAnsi="Times New Roman" w:eastAsia="微软雅黑" w:cs="Times New Roman"/>
                <w:b w:val="0"/>
                <w:bCs w:val="0"/>
                <w:sz w:val="18"/>
                <w:szCs w:val="18"/>
                <w:highlight w:val="none"/>
                <w:lang w:eastAsia="zh-CN"/>
              </w:rPr>
              <w:t>[PMID: 28445469；PMID: 34505064；PMID: 35543554；PMID: 28899864；PMID:26311728；PMID: 27384348；PMID: 31711920；PMID: 26154128；PMID: 31059311；PMID:34625408；ESMO2019 110P]。多项研究已证实MRD阳性实体瘤患者的无疾病生存期（DFS）与总生存期（OS）显著降低，复发风险显著升高（HR=3.1</w:t>
            </w:r>
            <w:r>
              <w:rPr>
                <w:rFonts w:hint="eastAsia" w:ascii="Times New Roman" w:hAnsi="Times New Roman" w:eastAsia="微软雅黑" w:cs="Times New Roman"/>
                <w:b w:val="0"/>
                <w:bCs w:val="0"/>
                <w:sz w:val="18"/>
                <w:szCs w:val="18"/>
                <w:highlight w:val="none"/>
                <w:lang w:val="en-US" w:eastAsia="zh-CN"/>
              </w:rPr>
              <w:t>~</w:t>
            </w:r>
            <w:r>
              <w:rPr>
                <w:rFonts w:hint="eastAsia" w:ascii="Times New Roman" w:hAnsi="Times New Roman" w:eastAsia="微软雅黑" w:cs="Times New Roman"/>
                <w:b w:val="0"/>
                <w:bCs w:val="0"/>
                <w:sz w:val="18"/>
                <w:szCs w:val="18"/>
                <w:highlight w:val="none"/>
                <w:lang w:eastAsia="zh-CN"/>
              </w:rPr>
              <w:t>43.4）[PMID:31088829]。约一半的复发患者（中位56%）在术后首次血样中可检测到MRD阳性，近九成（中位89%）的复发患者在持续随访监控血样中可检测到MRD阳性；同时MRD检测较传统影像学更早提示肿瘤复发（中位5.8个月）[PMID: 34785539]。美国NCCN结肠癌指南提示，术后ctDNA是I-III期结肠癌复发风险升高的标志物。</w:t>
            </w:r>
            <w:r>
              <w:rPr>
                <w:rFonts w:hint="eastAsia" w:ascii="Times New Roman" w:hAnsi="Times New Roman" w:eastAsia="微软雅黑" w:cs="Times New Roman"/>
                <w:b w:val="0"/>
                <w:bCs w:val="0"/>
                <w:sz w:val="18"/>
                <w:szCs w:val="18"/>
                <w:highlight w:val="none"/>
                <w:lang w:val="en-US" w:eastAsia="zh-CN"/>
              </w:rPr>
              <w:t>中国《实体瘤分子残留病灶检测共识》推荐意见：实体瘤MRD的Landmark检测（治疗后首次检测）大多选择在根治性治疗后1个月内进行，MRD动态监测有助于提升检测性能。</w:t>
            </w:r>
            <w:r>
              <w:rPr>
                <w:rFonts w:hint="eastAsia" w:ascii="Times New Roman" w:hAnsi="Times New Roman" w:eastAsia="微软雅黑" w:cs="Times New Roman"/>
                <w:b w:val="0"/>
                <w:bCs w:val="0"/>
                <w:sz w:val="18"/>
                <w:szCs w:val="18"/>
                <w:highlight w:val="none"/>
                <w:lang w:eastAsia="zh-CN"/>
              </w:rPr>
              <w:t>中国《非小细胞肺癌分子残留病灶专家共识》建议</w:t>
            </w:r>
            <w:r>
              <w:rPr>
                <w:rFonts w:hint="eastAsia" w:ascii="Times New Roman" w:hAnsi="Times New Roman" w:eastAsia="微软雅黑" w:cs="Times New Roman"/>
                <w:b w:val="0"/>
                <w:bCs w:val="0"/>
                <w:sz w:val="18"/>
                <w:szCs w:val="18"/>
                <w:lang w:eastAsia="zh-CN"/>
              </w:rPr>
              <w:t>对术后患者MRD进行密切随访管理，每3</w:t>
            </w:r>
            <w:r>
              <w:rPr>
                <w:rFonts w:hint="eastAsia" w:ascii="Times New Roman" w:hAnsi="Times New Roman" w:eastAsia="微软雅黑" w:cs="Times New Roman"/>
                <w:b w:val="0"/>
                <w:bCs w:val="0"/>
                <w:sz w:val="18"/>
                <w:szCs w:val="18"/>
                <w:lang w:val="en-US" w:eastAsia="zh-CN"/>
              </w:rPr>
              <w:t>~</w:t>
            </w:r>
            <w:r>
              <w:rPr>
                <w:rFonts w:hint="eastAsia" w:ascii="Times New Roman" w:hAnsi="Times New Roman" w:eastAsia="微软雅黑" w:cs="Times New Roman"/>
                <w:b w:val="0"/>
                <w:bCs w:val="0"/>
                <w:sz w:val="18"/>
                <w:szCs w:val="18"/>
                <w:lang w:eastAsia="zh-CN"/>
              </w:rPr>
              <w:t>6个月进行一次MRD检测。</w:t>
            </w:r>
          </w:p>
        </w:tc>
      </w:tr>
    </w:tbl>
    <w:p w14:paraId="13C7CC37">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0C002E58">
      <w:pPr>
        <w:numPr>
          <w:ilvl w:val="0"/>
          <w:numId w:val="0"/>
        </w:numPr>
        <w:ind w:leftChars="0"/>
        <w:rPr>
          <w:rFonts w:hint="eastAsia"/>
          <w:color w:val="auto"/>
          <w:lang w:eastAsia="zh-CN"/>
        </w:rPr>
      </w:pPr>
      <w:r>
        <w:rPr>
          <w:rFonts w:hint="eastAsia" w:ascii="Times New Roman" w:hAnsi="Times New Roman" w:eastAsia="微软雅黑" w:cs="Times New Roman"/>
          <w:sz w:val="18"/>
          <w:lang w:eastAsia="zh-CN"/>
        </w:rPr>
        <w:t>MRD预后提示基于现有临床研究报道，MRD的检测结果结合患者具体临床情况综合分析考虑，不应单独作为指导临床决策的依据。</w:t>
      </w:r>
    </w:p>
    <w:p w14:paraId="4878CADD">
      <w:pPr>
        <w:rPr>
          <w:rFonts w:hint="eastAsia" w:ascii="Times New Roman" w:hAnsi="Times New Roman" w:eastAsia="微软雅黑" w:cs="黑体"/>
          <w:b/>
          <w:bCs/>
          <w:color w:val="auto"/>
          <w:sz w:val="30"/>
          <w:szCs w:val="30"/>
          <w:lang w:val="en-US" w:eastAsia="zh-CN" w:bidi="ar-SA"/>
        </w:rPr>
      </w:pPr>
      <w:r>
        <w:rPr>
          <w:rFonts w:hint="eastAsia" w:ascii="Times New Roman" w:hAnsi="Times New Roman" w:eastAsia="微软雅黑" w:cs="黑体"/>
          <w:b/>
          <w:bCs/>
          <w:color w:val="auto"/>
          <w:sz w:val="30"/>
          <w:szCs w:val="30"/>
          <w:lang w:val="en-US" w:eastAsia="zh-CN" w:bidi="ar-SA"/>
        </w:rPr>
        <w:br w:type="page"/>
      </w:r>
    </w:p>
    <w:p w14:paraId="2D215D92">
      <w:pPr>
        <w:pStyle w:val="3"/>
        <w:numPr>
          <w:ilvl w:val="255"/>
          <w:numId w:val="0"/>
        </w:numPr>
        <w:jc w:val="left"/>
        <w:rPr>
          <w:rFonts w:hint="eastAsia"/>
          <w:color w:val="auto"/>
          <w:sz w:val="30"/>
          <w:lang w:val="en-US" w:eastAsia="zh-CN"/>
        </w:rPr>
      </w:pPr>
      <w:bookmarkStart w:id="36" w:name="_Toc30940"/>
      <w:bookmarkStart w:id="37" w:name="_Toc3932"/>
      <w:r>
        <w:rPr>
          <w:rFonts w:hint="eastAsia"/>
          <w:color w:val="auto"/>
          <w:sz w:val="30"/>
          <w:lang w:val="en-US" w:eastAsia="zh-CN"/>
        </w:rPr>
        <w:t>历史检测结果汇总</w:t>
      </w:r>
      <w:bookmarkEnd w:id="36"/>
      <w:bookmarkEnd w:id="37"/>
    </w:p>
    <w:tbl>
      <w:tblPr>
        <w:tblStyle w:val="24"/>
        <w:tblW w:w="102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2522"/>
        <w:gridCol w:w="4850"/>
        <w:gridCol w:w="2861"/>
      </w:tblGrid>
      <w:tr w14:paraId="1D92C2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0" w:hRule="atLeast"/>
          <w:jc w:val="center"/>
        </w:trPr>
        <w:tc>
          <w:tcPr>
            <w:tcW w:w="2522" w:type="dxa"/>
            <w:tcBorders>
              <w:top w:val="nil"/>
              <w:bottom w:val="nil"/>
              <w:right w:val="single" w:color="FFFFFF" w:sz="18" w:space="0"/>
            </w:tcBorders>
            <w:shd w:val="clear" w:color="auto" w:fill="A9D18E"/>
            <w:vAlign w:val="center"/>
          </w:tcPr>
          <w:p w14:paraId="00FBA219">
            <w:pPr>
              <w:pStyle w:val="23"/>
              <w:jc w:val="center"/>
              <w:rPr>
                <w:rFonts w:hint="default" w:ascii="Times New Roman" w:hAnsi="Times New Roman" w:eastAsia="微软雅黑" w:cs="Times New Roman"/>
                <w:b/>
                <w:bCs/>
                <w:color w:val="auto"/>
                <w:sz w:val="21"/>
                <w:szCs w:val="21"/>
                <w:lang w:val="en-US" w:eastAsia="zh-CN"/>
              </w:rPr>
            </w:pPr>
            <w:r>
              <w:rPr>
                <w:rFonts w:hint="eastAsia" w:ascii="Times New Roman" w:hAnsi="Times New Roman" w:eastAsia="微软雅黑" w:cs="Times New Roman"/>
                <w:b/>
                <w:bCs/>
                <w:color w:val="auto"/>
                <w:sz w:val="21"/>
                <w:szCs w:val="21"/>
                <w:lang w:val="en-US" w:eastAsia="zh-CN"/>
              </w:rPr>
              <w:t>{%tc for th in mrd.mrdJson.mrd_th%}</w:t>
            </w:r>
          </w:p>
        </w:tc>
        <w:tc>
          <w:tcPr>
            <w:tcW w:w="4850" w:type="dxa"/>
            <w:tcBorders>
              <w:top w:val="nil"/>
              <w:left w:val="single" w:color="FFFFFF" w:sz="18" w:space="0"/>
              <w:bottom w:val="nil"/>
              <w:right w:val="single" w:color="FFFFFF" w:sz="18" w:space="0"/>
            </w:tcBorders>
            <w:shd w:val="clear" w:color="auto" w:fill="A9D18E"/>
            <w:vAlign w:val="center"/>
          </w:tcPr>
          <w:p w14:paraId="64BABDDF">
            <w:pPr>
              <w:pStyle w:val="23"/>
              <w:jc w:val="center"/>
              <w:rPr>
                <w:rFonts w:hint="eastAsia" w:ascii="Times New Roman" w:hAnsi="Times New Roman" w:eastAsia="微软雅黑" w:cs="Times New Roman"/>
                <w:b/>
                <w:bCs/>
                <w:color w:val="auto"/>
                <w:sz w:val="21"/>
                <w:szCs w:val="21"/>
                <w:lang w:val="en-US" w:eastAsia="zh-CN"/>
              </w:rPr>
            </w:pPr>
            <w:r>
              <w:rPr>
                <w:rFonts w:hint="eastAsia" w:ascii="Times New Roman" w:hAnsi="Times New Roman" w:eastAsia="微软雅黑" w:cs="Times New Roman"/>
                <w:b/>
                <w:bCs/>
                <w:color w:val="auto"/>
                <w:sz w:val="21"/>
                <w:szCs w:val="21"/>
                <w:lang w:val="en-US" w:eastAsia="zh-CN"/>
              </w:rPr>
              <w:t>{% set items = th.split(",") %}{% if items[0] == "组织" %}{% for t in items[:2] %}{{ t }}{% if not loop.last %}</w:t>
            </w:r>
          </w:p>
          <w:p w14:paraId="7B5FF1A3">
            <w:pPr>
              <w:pStyle w:val="23"/>
              <w:jc w:val="center"/>
              <w:rPr>
                <w:rFonts w:hint="eastAsia" w:ascii="Times New Roman" w:hAnsi="Times New Roman" w:eastAsia="微软雅黑" w:cs="Times New Roman"/>
                <w:b/>
                <w:bCs/>
                <w:color w:val="auto"/>
                <w:sz w:val="21"/>
                <w:szCs w:val="21"/>
                <w:lang w:val="en-US" w:eastAsia="zh-CN"/>
              </w:rPr>
            </w:pPr>
            <w:r>
              <w:rPr>
                <w:rFonts w:hint="eastAsia" w:ascii="Times New Roman" w:hAnsi="Times New Roman" w:eastAsia="微软雅黑" w:cs="Times New Roman"/>
                <w:b/>
                <w:bCs/>
                <w:color w:val="auto"/>
                <w:sz w:val="21"/>
                <w:szCs w:val="21"/>
                <w:lang w:val="en-US" w:eastAsia="zh-CN"/>
              </w:rPr>
              <w:t>{% endif %}{% endfor %}{% else %}{% for t in items %}{{ t }}{% if not loop.last %}</w:t>
            </w:r>
          </w:p>
          <w:p w14:paraId="2FE1DC0F">
            <w:pPr>
              <w:pStyle w:val="23"/>
              <w:jc w:val="center"/>
              <w:rPr>
                <w:rFonts w:hint="default" w:ascii="Times New Roman" w:hAnsi="Times New Roman" w:eastAsia="微软雅黑" w:cs="Times New Roman"/>
                <w:b/>
                <w:bCs/>
                <w:color w:val="auto"/>
                <w:sz w:val="21"/>
                <w:szCs w:val="21"/>
                <w:lang w:val="en-US" w:eastAsia="zh-CN"/>
              </w:rPr>
            </w:pPr>
            <w:r>
              <w:rPr>
                <w:rFonts w:hint="eastAsia" w:ascii="Times New Roman" w:hAnsi="Times New Roman" w:eastAsia="微软雅黑" w:cs="Times New Roman"/>
                <w:b/>
                <w:bCs/>
                <w:color w:val="auto"/>
                <w:sz w:val="21"/>
                <w:szCs w:val="21"/>
                <w:lang w:val="en-US" w:eastAsia="zh-CN"/>
              </w:rPr>
              <w:t>{% endif %}{% endfor %}{% endif %}</w:t>
            </w:r>
          </w:p>
        </w:tc>
        <w:tc>
          <w:tcPr>
            <w:tcW w:w="2861" w:type="dxa"/>
            <w:tcBorders>
              <w:top w:val="nil"/>
              <w:left w:val="single" w:color="FFFFFF" w:sz="18" w:space="0"/>
              <w:bottom w:val="nil"/>
              <w:right w:val="nil"/>
            </w:tcBorders>
            <w:shd w:val="clear" w:color="auto" w:fill="A9D18E"/>
            <w:vAlign w:val="center"/>
          </w:tcPr>
          <w:p w14:paraId="4CCA48D4">
            <w:pPr>
              <w:pStyle w:val="23"/>
              <w:jc w:val="center"/>
              <w:rPr>
                <w:rFonts w:hint="default" w:ascii="Times New Roman" w:hAnsi="Times New Roman" w:eastAsia="微软雅黑" w:cs="Times New Roman"/>
                <w:b/>
                <w:bCs/>
                <w:color w:val="auto"/>
                <w:sz w:val="21"/>
                <w:szCs w:val="21"/>
                <w:lang w:val="en-US" w:eastAsia="zh-CN"/>
              </w:rPr>
            </w:pPr>
            <w:r>
              <w:rPr>
                <w:rFonts w:hint="eastAsia" w:ascii="Times New Roman" w:hAnsi="Times New Roman" w:eastAsia="微软雅黑" w:cs="Times New Roman"/>
                <w:b/>
                <w:bCs/>
                <w:color w:val="auto"/>
                <w:sz w:val="21"/>
                <w:szCs w:val="21"/>
                <w:lang w:val="en-US" w:eastAsia="zh-CN"/>
              </w:rPr>
              <w:t>{%tc endfor %}</w:t>
            </w:r>
          </w:p>
        </w:tc>
      </w:tr>
      <w:tr w14:paraId="0BA061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0233" w:type="dxa"/>
            <w:gridSpan w:val="3"/>
            <w:tcBorders>
              <w:top w:val="nil"/>
            </w:tcBorders>
            <w:shd w:val="clear" w:color="auto" w:fill="auto"/>
            <w:vAlign w:val="center"/>
          </w:tcPr>
          <w:p w14:paraId="53454308">
            <w:pPr>
              <w:spacing w:before="20"/>
              <w:jc w:val="center"/>
              <w:rPr>
                <w:rFonts w:hint="default" w:ascii="Times New Roman" w:hAnsi="Times New Roman" w:eastAsia="微软雅黑" w:cs="Times New Roman"/>
                <w:b w:val="0"/>
                <w:bCs w:val="0"/>
                <w:sz w:val="21"/>
                <w:szCs w:val="21"/>
                <w:lang w:val="en-US" w:eastAsia="zh-CN"/>
              </w:rPr>
            </w:pPr>
            <w:r>
              <w:rPr>
                <w:rFonts w:hint="eastAsia" w:ascii="Times New Roman" w:hAnsi="Times New Roman" w:eastAsia="微软雅黑" w:cs="Times New Roman"/>
                <w:b w:val="0"/>
                <w:bCs w:val="0"/>
                <w:sz w:val="21"/>
                <w:szCs w:val="21"/>
                <w:lang w:val="en-US" w:eastAsia="zh-CN"/>
              </w:rPr>
              <w:t>{%tr for tds in mrd.mrdJson.mrd_tds %}</w:t>
            </w:r>
          </w:p>
        </w:tc>
      </w:tr>
      <w:tr w14:paraId="04F217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2522" w:type="dxa"/>
            <w:tcBorders>
              <w:top w:val="nil"/>
            </w:tcBorders>
            <w:shd w:val="clear" w:color="auto" w:fill="auto"/>
            <w:vAlign w:val="center"/>
          </w:tcPr>
          <w:p w14:paraId="74E0FC28">
            <w:pPr>
              <w:spacing w:before="20"/>
              <w:jc w:val="center"/>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b/>
                <w:bCs/>
                <w:sz w:val="21"/>
                <w:szCs w:val="21"/>
                <w:lang w:val="en-US" w:eastAsia="zh-CN"/>
              </w:rPr>
              <w:t>{%tc for td in tds%}</w:t>
            </w:r>
          </w:p>
        </w:tc>
        <w:tc>
          <w:tcPr>
            <w:tcW w:w="4850" w:type="dxa"/>
            <w:tcBorders>
              <w:top w:val="nil"/>
            </w:tcBorders>
            <w:shd w:val="clear" w:color="auto" w:fill="auto"/>
            <w:vAlign w:val="center"/>
          </w:tcPr>
          <w:p w14:paraId="370B5551">
            <w:pPr>
              <w:spacing w:before="20"/>
              <w:jc w:val="center"/>
              <w:rPr>
                <w:rFonts w:hint="default" w:ascii="Times New Roman" w:hAnsi="Times New Roman" w:eastAsia="微软雅黑" w:cs="Times New Roman"/>
                <w:b w:val="0"/>
                <w:bCs w:val="0"/>
                <w:sz w:val="21"/>
                <w:szCs w:val="21"/>
                <w:lang w:val="en-US" w:eastAsia="zh-CN"/>
              </w:rPr>
            </w:pPr>
            <w:r>
              <w:rPr>
                <w:rFonts w:hint="eastAsia" w:ascii="Times New Roman" w:hAnsi="Times New Roman" w:eastAsia="微软雅黑" w:cs="Times New Roman"/>
                <w:b w:val="0"/>
                <w:bCs w:val="0"/>
                <w:sz w:val="21"/>
                <w:szCs w:val="21"/>
                <w:lang w:val="en-US" w:eastAsia="zh-CN"/>
              </w:rPr>
              <w:t>{{td}}</w:t>
            </w:r>
          </w:p>
        </w:tc>
        <w:tc>
          <w:tcPr>
            <w:tcW w:w="2861" w:type="dxa"/>
            <w:tcBorders>
              <w:top w:val="nil"/>
            </w:tcBorders>
            <w:shd w:val="clear" w:color="auto" w:fill="auto"/>
            <w:vAlign w:val="center"/>
          </w:tcPr>
          <w:p w14:paraId="1550FF4D">
            <w:pPr>
              <w:spacing w:before="20"/>
              <w:jc w:val="center"/>
              <w:rPr>
                <w:rFonts w:hint="default" w:ascii="Times New Roman" w:hAnsi="Times New Roman" w:eastAsia="微软雅黑" w:cs="Times New Roman"/>
                <w:b w:val="0"/>
                <w:bCs w:val="0"/>
                <w:sz w:val="21"/>
                <w:szCs w:val="21"/>
                <w:lang w:val="en-US" w:eastAsia="zh-CN"/>
              </w:rPr>
            </w:pPr>
            <w:r>
              <w:rPr>
                <w:rFonts w:hint="eastAsia" w:ascii="Times New Roman" w:hAnsi="Times New Roman" w:eastAsia="微软雅黑" w:cs="Times New Roman"/>
                <w:b w:val="0"/>
                <w:bCs w:val="0"/>
                <w:sz w:val="21"/>
                <w:szCs w:val="21"/>
                <w:lang w:val="en-US" w:eastAsia="zh-CN"/>
              </w:rPr>
              <w:t>{%tc endfor %}</w:t>
            </w:r>
          </w:p>
        </w:tc>
      </w:tr>
      <w:tr w14:paraId="6D7842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0233" w:type="dxa"/>
            <w:gridSpan w:val="3"/>
            <w:tcBorders>
              <w:top w:val="nil"/>
            </w:tcBorders>
            <w:shd w:val="clear" w:color="auto" w:fill="auto"/>
            <w:vAlign w:val="center"/>
          </w:tcPr>
          <w:p w14:paraId="6298ED48">
            <w:pPr>
              <w:spacing w:before="20"/>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030C093B">
      <w:pPr>
        <w:rPr>
          <w:rFonts w:hint="eastAsia" w:ascii="微软雅黑" w:hAnsi="微软雅黑" w:eastAsia="微软雅黑" w:cs="微软雅黑"/>
          <w:b/>
          <w:bCs/>
          <w:sz w:val="18"/>
          <w:szCs w:val="18"/>
          <w:lang w:eastAsia="zh-CN" w:bidi="ar"/>
        </w:rPr>
      </w:pPr>
    </w:p>
    <w:p w14:paraId="31392F45">
      <w:pPr>
        <w:jc w:val="center"/>
        <w:rPr>
          <w:rFonts w:hint="default"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{{mrd.imgStr | pdi(510.5,276.5)}}</w:t>
      </w:r>
    </w:p>
    <w:p w14:paraId="30F0AAB5">
      <w:pPr>
        <w:rPr>
          <w:rFonts w:hint="eastAsia" w:ascii="微软雅黑" w:hAnsi="微软雅黑" w:eastAsia="微软雅黑" w:cs="微软雅黑"/>
          <w:b/>
          <w:bCs/>
          <w:sz w:val="18"/>
          <w:szCs w:val="18"/>
          <w:lang w:eastAsia="zh-CN" w:bidi="ar"/>
        </w:rPr>
      </w:pPr>
    </w:p>
    <w:p w14:paraId="27C952BE">
      <w:pPr>
        <w:rPr>
          <w:rFonts w:hint="eastAsia"/>
          <w:color w:val="auto"/>
          <w:lang w:val="en-US" w:eastAsia="zh-CN"/>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0F0FB1C7">
      <w:pPr>
        <w:numPr>
          <w:ilvl w:val="0"/>
          <w:numId w:val="6"/>
        </w:numPr>
        <w:ind w:left="425" w:leftChars="0" w:hanging="425" w:firstLineChars="0"/>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ctDNA浓度：指每毫升血浆中的平均肿瘤分子含量（mean tumor molecule per milliliter，MTM/mL）。</w:t>
      </w:r>
    </w:p>
    <w:p w14:paraId="18B04F9A">
      <w:pPr>
        <w:numPr>
          <w:ilvl w:val="0"/>
          <w:numId w:val="6"/>
        </w:numPr>
        <w:ind w:left="425" w:leftChars="0" w:hanging="425" w:firstLineChars="0"/>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历史检测结果汇总展示突变为分子残留病灶（MRD）监测产品追踪的特异性突变（仅体细胞变异）。</w:t>
      </w:r>
    </w:p>
    <w:p w14:paraId="42698966">
      <w:pPr>
        <w:numPr>
          <w:ilvl w:val="0"/>
          <w:numId w:val="6"/>
        </w:numPr>
        <w:ind w:left="425" w:leftChars="0" w:hanging="425" w:firstLineChars="0"/>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w:t>
      </w:r>
      <w:r>
        <w:rPr>
          <w:rFonts w:hint="eastAsia" w:ascii="Times New Roman" w:hAnsi="Times New Roman" w:eastAsia="微软雅黑" w:cs="Times New Roman"/>
          <w:sz w:val="18"/>
          <w:lang w:val="en-US" w:eastAsia="zh-CN"/>
        </w:rPr>
        <w:t>该</w:t>
      </w:r>
      <w:r>
        <w:rPr>
          <w:rFonts w:hint="eastAsia" w:ascii="Times New Roman" w:hAnsi="Times New Roman" w:eastAsia="微软雅黑" w:cs="Times New Roman"/>
          <w:sz w:val="18"/>
          <w:lang w:eastAsia="zh-CN"/>
        </w:rPr>
        <w:t>变异。</w:t>
      </w:r>
    </w:p>
    <w:p w14:paraId="512F2817">
      <w:pPr>
        <w:numPr>
          <w:ilvl w:val="0"/>
          <w:numId w:val="6"/>
        </w:numPr>
        <w:ind w:left="425" w:leftChars="0" w:hanging="425" w:firstLineChars="0"/>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变异丰度：在某位点产生突变的等位基因在该位点全部等位基因中所占比率。</w:t>
      </w:r>
    </w:p>
    <w:p w14:paraId="40B900F6">
      <w:pPr>
        <w:numPr>
          <w:ilvl w:val="0"/>
          <w:numId w:val="6"/>
        </w:numPr>
        <w:ind w:left="425" w:leftChars="0" w:hanging="425" w:firstLineChars="0"/>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基因变异检测结果：“c”为DNA序列，“p”为蛋白质。在DNA水平对某一突变位点的描述方式包括：碱基位点，正常碱基，“&gt;”符号，突变碱基。</w:t>
      </w:r>
    </w:p>
    <w:tbl>
      <w:tblPr>
        <w:tblStyle w:val="18"/>
        <w:tblpPr w:leftFromText="181" w:rightFromText="181" w:vertAnchor="page" w:horzAnchor="page" w:tblpX="870" w:tblpY="14685"/>
        <w:tblOverlap w:val="never"/>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0421"/>
      </w:tblGrid>
      <w:tr w14:paraId="76757D3F">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0422" w:type="dxa"/>
            <w:tcBorders>
              <w:tl2br w:val="nil"/>
              <w:tr2bl w:val="nil"/>
            </w:tcBorders>
            <w:vAlign w:val="top"/>
          </w:tcPr>
          <w:p w14:paraId="2F8E7F80">
            <w:pPr>
              <w:keepNext w:val="0"/>
              <w:keepLines w:val="0"/>
              <w:pageBreakBefore w:val="0"/>
              <w:widowControl w:val="0"/>
              <w:kinsoku/>
              <w:wordWrap/>
              <w:overflowPunct/>
              <w:topLinePunct w:val="0"/>
              <w:autoSpaceDE/>
              <w:autoSpaceDN/>
              <w:bidi w:val="0"/>
              <w:adjustRightInd/>
              <w:snapToGrid/>
              <w:spacing w:line="240" w:lineRule="auto"/>
              <w:ind w:right="-915" w:rightChars="-416" w:firstLine="560" w:firstLineChars="200"/>
              <w:jc w:val="both"/>
              <w:textAlignment w:val="auto"/>
              <w:rPr>
                <w:rFonts w:cs="微软雅黑"/>
                <w:sz w:val="28"/>
                <w:szCs w:val="28"/>
                <w:lang w:eastAsia="zh-CN"/>
              </w:rPr>
            </w:pPr>
            <w:r>
              <w:rPr>
                <w:rFonts w:hint="eastAsia" w:cs="微软雅黑"/>
                <w:sz w:val="28"/>
                <w:szCs w:val="28"/>
              </w:rPr>
              <mc:AlternateContent>
                <mc:Choice Requires="wps">
                  <w:drawing>
                    <wp:anchor distT="0" distB="0" distL="114300" distR="114300" simplePos="0" relativeHeight="251663360" behindDoc="0" locked="0" layoutInCell="1" allowOverlap="1">
                      <wp:simplePos x="0" y="0"/>
                      <wp:positionH relativeFrom="column">
                        <wp:posOffset>53975</wp:posOffset>
                      </wp:positionH>
                      <wp:positionV relativeFrom="paragraph">
                        <wp:posOffset>354965</wp:posOffset>
                      </wp:positionV>
                      <wp:extent cx="6286500" cy="6985"/>
                      <wp:effectExtent l="0" t="4445" r="7620" b="11430"/>
                      <wp:wrapNone/>
                      <wp:docPr id="3" name="直接连接符 3"/>
                      <wp:cNvGraphicFramePr/>
                      <a:graphic xmlns:a="http://schemas.openxmlformats.org/drawingml/2006/main">
                        <a:graphicData uri="http://schemas.microsoft.com/office/word/2010/wordprocessingShape">
                          <wps:wsp>
                            <wps:cNvCnPr/>
                            <wps:spPr>
                              <a:xfrm flipV="1">
                                <a:off x="0" y="0"/>
                                <a:ext cx="6286500" cy="6985"/>
                              </a:xfrm>
                              <a:prstGeom prst="line">
                                <a:avLst/>
                              </a:prstGeom>
                              <a:ln w="317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flip:y;margin-left:4.25pt;margin-top:27.95pt;height:0.55pt;width:495pt;z-index:251663360;mso-width-relative:page;mso-height-relative:page;" filled="f" stroked="t" coordsize="21600,21600" o:gfxdata="UEsDBAoAAAAAAIdO4kAAAAAAAAAAAAAAAAAEAAAAZHJzL1BLAwQUAAAACACHTuJAE7+uPtIAAAAH&#10;AQAADwAAAGRycy9kb3ducmV2LnhtbE2OO0/DMBSFdyT+g3WR2KidVoYmxOlQxMREqVRGN77EUePr&#10;KHZf/57bCcbz0DlfvbqEQZxwSn0kA8VMgUBqo+upM7D9en9agkjZkrNDJDRwxQSr5v6utpWLZ/rE&#10;0yZ3gkcoVdaAz3mspEytx2DTLI5InP3EKdjMcuqkm+yZx8Mg50o9y2B74gdvR1x7bA+bYzDw1l61&#10;/h4X3UIV650Pajf/OJAxjw+FegWR8ZL/ynDDZ3RomGkfj+SSGAwsNRcNaF2C4Lgsb8aejRcFsqnl&#10;f/7mF1BLAwQUAAAACACHTuJAmoZGGPUBAADlAwAADgAAAGRycy9lMm9Eb2MueG1srVO9jhMxEO6R&#10;eAfLPdkkp4Rjlc0VF44GQSR++onXzlrynzy+bPISvAASHVSU9Pc2HI/B2BsCHE0KtrDGM58/z/ft&#10;eHG1t4btZETtXcMnozFn0gnfardt+Lu3N08uOcMErgXjnWz4QSK/Wj5+tOhDLae+86aVkRGJw7oP&#10;De9SCnVVoeikBRz5IB0VlY8WEm3jtmoj9MRuTTUdj+dV72MbohcSkbKrociPjPEcQq+UFnLlxa2V&#10;Lg2sURpIJAk7HZAvS7dKSZFeK4UyMdNwUprKSpdQvMlrtVxAvY0QOi2OLcA5LTzQZEE7uvREtYIE&#10;7Dbqf6isFtGjV2kkvK0GIcURUjEZP/DmTQdBFi1kNYaT6fj/aMWr3Toy3Tb8gjMHln74/cdv3z98&#10;/nH3idb7r1/YRTapD1gT9tqt43GHYR2z4r2Klimjw3uapuIBqWL7YvHhZLHcJyYoOZ9ezmdjcl9Q&#10;bf7scpbJq4Els4WI6YX0luWg4Ua7bADUsHuJaYD+guS0cayn1idPZ8QINI2KpoBCG0gRum05i97o&#10;9kYbk09g3G6uTWQ7yBNRvmMLf8HyJSvAbsCVUoZB3Ulon7uWpUMgrxw9EZ5bsLLlzEh6UTkqyATa&#10;nIMk9caRCdniwdQcbXx7KF6XPP39YtNxUvN4/bkvp3+/zuV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E7+uPtIAAAAHAQAADwAAAAAAAAABACAAAAAiAAAAZHJzL2Rvd25yZXYueG1sUEsBAhQAFAAA&#10;AAgAh07iQJqGRhj1AQAA5QMAAA4AAAAAAAAAAQAgAAAAIQEAAGRycy9lMm9Eb2MueG1sUEsFBgAA&#10;AAAGAAYAWQEAAIgFAAAAAA==&#10;">
                      <v:fill on="f" focussize="0,0"/>
                      <v:stroke weight="0.25pt" color="#000000" joinstyle="round"/>
                      <v:imagedata o:title=""/>
                      <o:lock v:ext="edit" aspectratio="f"/>
                    </v:line>
                  </w:pict>
                </mc:Fallback>
              </mc:AlternateContent>
            </w:r>
            <w:r>
              <w:rPr>
                <w:rFonts w:hint="eastAsia" w:cs="微软雅黑"/>
                <w:sz w:val="28"/>
                <w:szCs w:val="28"/>
                <w:lang w:eastAsia="zh-CN"/>
              </w:rPr>
              <w:t>报告日期：</w:t>
            </w:r>
            <w:r>
              <w:rPr>
                <w:rFonts w:hint="eastAsia" w:ascii="宋体" w:hAnsi="宋体" w:eastAsia="宋体" w:cs="微软雅黑"/>
                <w:sz w:val="28"/>
                <w:szCs w:val="28"/>
                <w:lang w:eastAsia="zh-CN"/>
              </w:rPr>
              <w:t>{{ reportdate }}</w:t>
            </w:r>
            <w:r>
              <w:rPr>
                <w:rFonts w:hint="eastAsia" w:cs="微软雅黑"/>
                <w:sz w:val="28"/>
                <w:szCs w:val="28"/>
                <w:lang w:eastAsia="zh-CN"/>
              </w:rPr>
              <w:t xml:space="preserve">  报告医生：冯江龙    审核医师：冯江龙</w:t>
            </w:r>
          </w:p>
          <w:p w14:paraId="3BD88E11">
            <w:pPr>
              <w:keepNext w:val="0"/>
              <w:keepLines w:val="0"/>
              <w:pageBreakBefore w:val="0"/>
              <w:widowControl w:val="0"/>
              <w:kinsoku/>
              <w:wordWrap/>
              <w:overflowPunct/>
              <w:topLinePunct w:val="0"/>
              <w:autoSpaceDE/>
              <w:autoSpaceDN/>
              <w:bidi w:val="0"/>
              <w:adjustRightInd/>
              <w:snapToGrid/>
              <w:spacing w:line="240" w:lineRule="auto"/>
              <w:jc w:val="both"/>
              <w:textAlignment w:val="auto"/>
              <w:rPr>
                <w:vertAlign w:val="baseline"/>
                <w:lang w:eastAsia="zh-CN"/>
              </w:rPr>
            </w:pPr>
          </w:p>
        </w:tc>
      </w:tr>
    </w:tbl>
    <w:p w14:paraId="7AFA2FD2">
      <w:pPr>
        <w:pStyle w:val="2"/>
        <w:numPr>
          <w:ilvl w:val="255"/>
          <w:numId w:val="0"/>
        </w:numPr>
        <w:jc w:val="left"/>
        <w:rPr>
          <w:rFonts w:hint="default" w:ascii="Times New Roman" w:hAnsi="Times New Roman" w:eastAsia="微软雅黑" w:cs="Times New Roman"/>
          <w:b/>
          <w:color w:val="000000" w:themeColor="text1"/>
          <w:sz w:val="44"/>
          <w:szCs w:val="44"/>
          <w:lang w:val="en-US" w:eastAsia="zh-CN"/>
          <w14:textFill>
            <w14:solidFill>
              <w14:schemeClr w14:val="tx1"/>
            </w14:solidFill>
          </w14:textFill>
        </w:rPr>
      </w:pPr>
      <w:r>
        <w:rPr>
          <w:rFonts w:ascii="黑体" w:hAnsi="黑体" w:eastAsia="黑体" w:cs="黑体"/>
          <w:sz w:val="17"/>
          <w:szCs w:val="17"/>
          <w:lang w:eastAsia="zh-CN"/>
        </w:rPr>
        <w:br w:type="page"/>
      </w:r>
      <w:bookmarkStart w:id="38" w:name="_Toc17784"/>
      <w:r>
        <w:rPr>
          <w:rFonts w:hint="eastAsia" w:cs="Times New Roman"/>
          <w:b/>
          <w:color w:val="000000" w:themeColor="text1"/>
          <w:sz w:val="44"/>
          <w:szCs w:val="44"/>
          <w:lang w:val="en-US" w:eastAsia="zh-CN"/>
          <w14:textFill>
            <w14:solidFill>
              <w14:schemeClr w14:val="tx1"/>
            </w14:solidFill>
          </w14:textFill>
        </w:rPr>
        <w:t>附录</w:t>
      </w:r>
      <w:bookmarkEnd w:id="38"/>
    </w:p>
    <w:bookmarkEnd w:id="27"/>
    <w:bookmarkEnd w:id="28"/>
    <w:bookmarkEnd w:id="29"/>
    <w:bookmarkEnd w:id="30"/>
    <w:bookmarkEnd w:id="31"/>
    <w:bookmarkEnd w:id="32"/>
    <w:bookmarkEnd w:id="33"/>
    <w:bookmarkEnd w:id="34"/>
    <w:bookmarkEnd w:id="35"/>
    <w:p w14:paraId="3127F0CF">
      <w:pPr>
        <w:rPr>
          <w:rFonts w:ascii="Times New Roman" w:hAnsi="Times New Roman" w:eastAsia="微软雅黑" w:cs="Times New Roman"/>
          <w:sz w:val="24"/>
          <w:szCs w:val="24"/>
          <w:lang w:eastAsia="zh-CN"/>
        </w:rPr>
      </w:pPr>
    </w:p>
    <w:bookmarkEnd w:id="12"/>
    <w:p w14:paraId="4665A8E5">
      <w:pPr>
        <w:pStyle w:val="3"/>
        <w:numPr>
          <w:ilvl w:val="255"/>
          <w:numId w:val="0"/>
        </w:numPr>
        <w:jc w:val="left"/>
        <w:rPr>
          <w:color w:val="auto"/>
          <w:lang w:eastAsia="zh-CN"/>
        </w:rPr>
      </w:pPr>
      <w:bookmarkStart w:id="39" w:name="_Toc15114"/>
      <w:bookmarkStart w:id="40" w:name="_Toc5924"/>
      <w:bookmarkStart w:id="41" w:name="_Toc8431"/>
      <w:bookmarkStart w:id="42" w:name="_Toc3409"/>
      <w:bookmarkStart w:id="43" w:name="_Toc27034"/>
      <w:bookmarkStart w:id="44" w:name="_Toc107825570"/>
      <w:bookmarkStart w:id="45" w:name="_Toc8911"/>
      <w:bookmarkStart w:id="46" w:name="_Toc4503"/>
      <w:bookmarkStart w:id="47" w:name="_Toc27809"/>
      <w:bookmarkStart w:id="48" w:name="_Toc15630"/>
      <w:bookmarkStart w:id="49" w:name="_Toc11901"/>
      <w:bookmarkStart w:id="50" w:name="_Toc14611_WPSOffice_Level1"/>
      <w:bookmarkStart w:id="51" w:name="_Toc17792_WPSOffice_Level2"/>
      <w:bookmarkStart w:id="52" w:name="_Toc22162_WPSOffice_Level1"/>
      <w:bookmarkStart w:id="53" w:name="_Toc19584_WPSOffice_Level1"/>
      <w:bookmarkStart w:id="54" w:name="_Toc13275"/>
      <w:bookmarkStart w:id="55" w:name="_Toc22623"/>
      <w:r>
        <w:rPr>
          <w:rFonts w:hint="eastAsia"/>
          <w:color w:val="auto"/>
          <w:lang w:eastAsia="zh-CN"/>
        </w:rPr>
        <w:t>检测方法与局限性</w:t>
      </w:r>
      <w:bookmarkEnd w:id="39"/>
      <w:bookmarkEnd w:id="40"/>
      <w:bookmarkEnd w:id="41"/>
      <w:bookmarkEnd w:id="42"/>
    </w:p>
    <w:p w14:paraId="0951CF40">
      <w:pPr>
        <w:rPr>
          <w:highlight w:val="yellow"/>
          <w:lang w:eastAsia="zh-CN"/>
        </w:rPr>
      </w:pPr>
    </w:p>
    <w:p w14:paraId="76E8C74E">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18C2BD2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本次检测采用目标区域探针捕获技术，基于华大测序平台的二代高通量测序技术(NGS)对样本进行检测。该技术由本机构独立开发、分析和验证。本机构已依据相关技术指导准则完成技术平台验证。</w:t>
      </w:r>
    </w:p>
    <w:p w14:paraId="61217B01">
      <w:pPr>
        <w:rPr>
          <w:rFonts w:ascii="Times New Roman" w:hAnsi="Times New Roman" w:eastAsia="微软雅黑" w:cs="Times New Roman"/>
          <w:bCs/>
          <w:sz w:val="21"/>
          <w:szCs w:val="21"/>
          <w:lang w:eastAsia="zh-CN"/>
        </w:rPr>
      </w:pPr>
    </w:p>
    <w:p w14:paraId="20F21D88">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2F38333">
      <w:pPr>
        <w:keepNext w:val="0"/>
        <w:keepLines w:val="0"/>
        <w:pageBreakBefore w:val="0"/>
        <w:widowControl w:val="0"/>
        <w:numPr>
          <w:ilvl w:val="0"/>
          <w:numId w:val="7"/>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30730AC7">
      <w:pPr>
        <w:keepNext w:val="0"/>
        <w:keepLines w:val="0"/>
        <w:pageBreakBefore w:val="0"/>
        <w:widowControl w:val="0"/>
        <w:numPr>
          <w:ilvl w:val="0"/>
          <w:numId w:val="7"/>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本产品是基于</w:t>
      </w:r>
      <w:r>
        <w:rPr>
          <w:rFonts w:hint="eastAsia" w:ascii="Times New Roman" w:hAnsi="Times New Roman" w:eastAsia="微软雅黑" w:cs="Times New Roman"/>
          <w:bCs/>
          <w:sz w:val="21"/>
          <w:szCs w:val="21"/>
          <w:highlight w:val="none"/>
          <w:lang w:val="en-US" w:eastAsia="zh-CN"/>
        </w:rPr>
        <w:t>实体瘤</w:t>
      </w:r>
      <w:r>
        <w:rPr>
          <w:rFonts w:hint="eastAsia" w:ascii="Times New Roman" w:hAnsi="Times New Roman" w:eastAsia="微软雅黑" w:cs="Times New Roman"/>
          <w:bCs/>
          <w:sz w:val="21"/>
          <w:szCs w:val="21"/>
          <w:highlight w:val="none"/>
          <w:lang w:eastAsia="zh-CN"/>
        </w:rPr>
        <w:t>基因突变图谱特异性研发设计，只适用于</w:t>
      </w:r>
      <w:r>
        <w:rPr>
          <w:rFonts w:hint="eastAsia" w:ascii="Times New Roman" w:hAnsi="Times New Roman" w:eastAsia="微软雅黑" w:cs="Times New Roman"/>
          <w:bCs/>
          <w:sz w:val="21"/>
          <w:szCs w:val="21"/>
          <w:highlight w:val="none"/>
          <w:lang w:val="en-US" w:eastAsia="zh-CN"/>
        </w:rPr>
        <w:t>实体瘤</w:t>
      </w:r>
      <w:r>
        <w:rPr>
          <w:rFonts w:hint="eastAsia" w:ascii="Times New Roman" w:hAnsi="Times New Roman" w:eastAsia="微软雅黑" w:cs="Times New Roman"/>
          <w:bCs/>
          <w:sz w:val="21"/>
          <w:szCs w:val="21"/>
          <w:highlight w:val="none"/>
          <w:lang w:eastAsia="zh-CN"/>
        </w:rPr>
        <w:t>患者的MRD检测。</w:t>
      </w:r>
    </w:p>
    <w:p w14:paraId="6C05CDE9">
      <w:pPr>
        <w:keepNext w:val="0"/>
        <w:keepLines w:val="0"/>
        <w:pageBreakBefore w:val="0"/>
        <w:widowControl w:val="0"/>
        <w:numPr>
          <w:ilvl w:val="0"/>
          <w:numId w:val="7"/>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本检测只适用于检测指定肿瘤基因的DNA水平的变异，不涉及蛋白质、RNA水平。</w:t>
      </w:r>
    </w:p>
    <w:p w14:paraId="059F1EC9">
      <w:pPr>
        <w:keepNext w:val="0"/>
        <w:keepLines w:val="0"/>
        <w:pageBreakBefore w:val="0"/>
        <w:widowControl w:val="0"/>
        <w:numPr>
          <w:ilvl w:val="0"/>
          <w:numId w:val="7"/>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由于血浆ctDNA检测存在众多客观影响因素，如抽血时间点、治疗方式、当时肿瘤进展情况等，血浆ctDNA中的变异因不同批次样本检测而存在差异。</w:t>
      </w:r>
    </w:p>
    <w:p w14:paraId="093C3B26">
      <w:pPr>
        <w:keepNext w:val="0"/>
        <w:keepLines w:val="0"/>
        <w:pageBreakBefore w:val="0"/>
        <w:widowControl w:val="0"/>
        <w:numPr>
          <w:ilvl w:val="0"/>
          <w:numId w:val="7"/>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ctDNA在血液中的释放量受多种因素影响，如肿瘤分期、是否接受根治性手术治疗、进展程度及目前进展中主要病灶部位等。当释放到血液中的ctDNA量极少低于本产品检测下限，将可能导致MRD检测结果为阴性。如未检出指定基因的变异（即阴性结果），不能排除存在低于检测下限的变异的可能性。</w:t>
      </w:r>
    </w:p>
    <w:p w14:paraId="56F6BB78">
      <w:pPr>
        <w:keepNext w:val="0"/>
        <w:keepLines w:val="0"/>
        <w:pageBreakBefore w:val="0"/>
        <w:widowControl w:val="0"/>
        <w:numPr>
          <w:ilvl w:val="0"/>
          <w:numId w:val="7"/>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肿瘤是一种复杂的系统性疾病，评定是否为肿瘤复发需要由临床医生综合多种检查结果进行判定。</w:t>
      </w:r>
    </w:p>
    <w:p w14:paraId="7096C529">
      <w:pPr>
        <w:keepNext w:val="0"/>
        <w:keepLines w:val="0"/>
        <w:pageBreakBefore w:val="0"/>
        <w:widowControl w:val="0"/>
        <w:numPr>
          <w:ilvl w:val="0"/>
          <w:numId w:val="7"/>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本检测报告结果仅对送检样品负责，如有疑义，请在收到结果后的7个工作日内与我们联系。</w:t>
      </w:r>
    </w:p>
    <w:p w14:paraId="162EB53D">
      <w:pPr>
        <w:spacing w:line="360" w:lineRule="auto"/>
        <w:rPr>
          <w:bCs/>
          <w:sz w:val="21"/>
          <w:szCs w:val="21"/>
          <w:lang w:eastAsia="zh-CN"/>
        </w:rPr>
      </w:pPr>
      <w:r>
        <w:rPr>
          <w:rFonts w:hint="eastAsia"/>
          <w:bCs/>
          <w:sz w:val="21"/>
          <w:szCs w:val="21"/>
          <w:lang w:eastAsia="zh-CN"/>
        </w:rPr>
        <w:br w:type="page"/>
      </w:r>
    </w:p>
    <w:bookmarkEnd w:id="43"/>
    <w:bookmarkEnd w:id="44"/>
    <w:bookmarkEnd w:id="45"/>
    <w:p w14:paraId="18EBA587">
      <w:pPr>
        <w:pStyle w:val="3"/>
        <w:numPr>
          <w:ilvl w:val="255"/>
          <w:numId w:val="0"/>
        </w:numPr>
        <w:jc w:val="left"/>
        <w:rPr>
          <w:color w:val="auto"/>
          <w:lang w:eastAsia="zh-CN"/>
        </w:rPr>
      </w:pPr>
      <w:bookmarkStart w:id="56" w:name="_Toc2969"/>
      <w:bookmarkStart w:id="57" w:name="_Toc8204"/>
      <w:r>
        <w:rPr>
          <w:rFonts w:hint="eastAsia"/>
          <w:color w:val="auto"/>
          <w:lang w:eastAsia="zh-CN"/>
        </w:rPr>
        <w:t>参考文献</w:t>
      </w:r>
      <w:bookmarkEnd w:id="46"/>
      <w:bookmarkEnd w:id="47"/>
      <w:bookmarkEnd w:id="48"/>
      <w:bookmarkEnd w:id="49"/>
      <w:bookmarkEnd w:id="56"/>
      <w:bookmarkEnd w:id="57"/>
    </w:p>
    <w:bookmarkEnd w:id="50"/>
    <w:bookmarkEnd w:id="51"/>
    <w:bookmarkEnd w:id="52"/>
    <w:bookmarkEnd w:id="53"/>
    <w:bookmarkEnd w:id="54"/>
    <w:bookmarkEnd w:id="55"/>
    <w:p w14:paraId="78C44AD1">
      <w:pPr>
        <w:pStyle w:val="15"/>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highlight w:val="none"/>
          <w:shd w:val="clear" w:color="auto" w:fill="FFFFFF"/>
          <w:lang w:eastAsia="zh-CN" w:bidi="ar"/>
        </w:rPr>
      </w:pPr>
      <w:r>
        <w:rPr>
          <w:rFonts w:hint="eastAsia" w:ascii="Times New Roman" w:hAnsi="Times New Roman" w:eastAsia="Segoe UI" w:cs="Times New Roman"/>
          <w:sz w:val="15"/>
          <w:szCs w:val="15"/>
          <w:highlight w:val="none"/>
          <w:shd w:val="clear" w:color="auto" w:fill="FFFFFF"/>
          <w:lang w:eastAsia="zh-CN" w:bidi="ar"/>
        </w:rPr>
        <w:t>《实体瘤分子残留病灶检测共识</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4</w:t>
      </w:r>
      <w:r>
        <w:rPr>
          <w:rFonts w:ascii="Times New Roman" w:hAnsi="Times New Roman" w:eastAsia="微软雅黑" w:cs="Times New Roman"/>
          <w:sz w:val="15"/>
          <w:szCs w:val="15"/>
          <w:highlight w:val="none"/>
          <w:lang w:eastAsia="zh-CN"/>
        </w:rPr>
        <w:t xml:space="preserve"> 年版）</w:t>
      </w:r>
      <w:r>
        <w:rPr>
          <w:rFonts w:hint="eastAsia" w:ascii="Times New Roman" w:hAnsi="Times New Roman" w:eastAsia="Segoe UI" w:cs="Times New Roman"/>
          <w:sz w:val="15"/>
          <w:szCs w:val="15"/>
          <w:highlight w:val="none"/>
          <w:shd w:val="clear" w:color="auto" w:fill="FFFFFF"/>
          <w:lang w:eastAsia="zh-CN" w:bidi="ar"/>
        </w:rPr>
        <w:t>》</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eastAsia="zh-CN"/>
        </w:rPr>
        <w:t>中华医学会病理学分会,国家病理质控中心</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eastAsia="zh-CN"/>
        </w:rPr>
        <w:t>中华病理学</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4</w:t>
      </w:r>
      <w:r>
        <w:rPr>
          <w:rFonts w:ascii="Times New Roman" w:hAnsi="Times New Roman" w:eastAsia="微软雅黑" w:cs="Times New Roman"/>
          <w:sz w:val="15"/>
          <w:szCs w:val="15"/>
          <w:highlight w:val="none"/>
          <w:lang w:eastAsia="zh-CN"/>
        </w:rPr>
        <w:t>年第</w:t>
      </w:r>
      <w:r>
        <w:rPr>
          <w:rFonts w:hint="eastAsia" w:ascii="Times New Roman" w:hAnsi="Times New Roman" w:eastAsia="微软雅黑" w:cs="Times New Roman"/>
          <w:sz w:val="15"/>
          <w:szCs w:val="15"/>
          <w:highlight w:val="none"/>
          <w:lang w:val="en-US" w:eastAsia="zh-CN"/>
        </w:rPr>
        <w:t>53</w:t>
      </w:r>
      <w:r>
        <w:rPr>
          <w:rFonts w:ascii="Times New Roman" w:hAnsi="Times New Roman" w:eastAsia="微软雅黑" w:cs="Times New Roman"/>
          <w:sz w:val="15"/>
          <w:szCs w:val="15"/>
          <w:highlight w:val="none"/>
          <w:lang w:eastAsia="zh-CN"/>
        </w:rPr>
        <w:t>卷第</w:t>
      </w:r>
      <w:r>
        <w:rPr>
          <w:rFonts w:hint="eastAsia" w:ascii="Times New Roman" w:hAnsi="Times New Roman" w:eastAsia="微软雅黑" w:cs="Times New Roman"/>
          <w:sz w:val="15"/>
          <w:szCs w:val="15"/>
          <w:highlight w:val="none"/>
          <w:lang w:val="en-US" w:eastAsia="zh-CN"/>
        </w:rPr>
        <w:t>11</w:t>
      </w:r>
      <w:r>
        <w:rPr>
          <w:rFonts w:ascii="Times New Roman" w:hAnsi="Times New Roman" w:eastAsia="微软雅黑" w:cs="Times New Roman"/>
          <w:sz w:val="15"/>
          <w:szCs w:val="15"/>
          <w:highlight w:val="none"/>
          <w:lang w:eastAsia="zh-CN"/>
        </w:rPr>
        <w:t>期.</w:t>
      </w:r>
    </w:p>
    <w:p w14:paraId="4AB24BD0">
      <w:pPr>
        <w:pStyle w:val="15"/>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highlight w:val="none"/>
          <w:shd w:val="clear" w:color="auto" w:fill="FFFFFF"/>
          <w:lang w:eastAsia="zh-CN" w:bidi="ar"/>
        </w:rPr>
      </w:pPr>
      <w:r>
        <w:rPr>
          <w:rFonts w:hint="eastAsia" w:ascii="Times New Roman" w:hAnsi="Times New Roman" w:eastAsia="Segoe UI" w:cs="Times New Roman"/>
          <w:sz w:val="15"/>
          <w:szCs w:val="15"/>
          <w:highlight w:val="none"/>
          <w:shd w:val="clear" w:color="auto" w:fill="FFFFFF"/>
          <w:lang w:eastAsia="zh-CN" w:bidi="ar"/>
        </w:rPr>
        <w:t>《非小细胞肺癌分子残留病灶专家共识</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 xml:space="preserve"> 年版）</w:t>
      </w:r>
      <w:r>
        <w:rPr>
          <w:rFonts w:hint="eastAsia" w:ascii="Times New Roman" w:hAnsi="Times New Roman" w:eastAsia="Segoe UI" w:cs="Times New Roman"/>
          <w:sz w:val="15"/>
          <w:szCs w:val="15"/>
          <w:highlight w:val="none"/>
          <w:shd w:val="clear" w:color="auto" w:fill="FFFFFF"/>
          <w:lang w:eastAsia="zh-CN" w:bidi="ar"/>
        </w:rPr>
        <w:t>》</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eastAsia="zh-CN"/>
        </w:rPr>
        <w:t>中国抗癌协会肺癌</w:t>
      </w:r>
      <w:r>
        <w:rPr>
          <w:rFonts w:hint="eastAsia" w:ascii="Times New Roman" w:hAnsi="Times New Roman" w:eastAsia="微软雅黑" w:cs="Times New Roman"/>
          <w:sz w:val="15"/>
          <w:szCs w:val="15"/>
          <w:highlight w:val="none"/>
          <w:lang w:val="en-US" w:eastAsia="zh-CN"/>
        </w:rPr>
        <w:t>专业委员会</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val="en-US" w:eastAsia="zh-CN"/>
        </w:rPr>
        <w:t>循证医学</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年第</w:t>
      </w:r>
      <w:r>
        <w:rPr>
          <w:rFonts w:hint="eastAsia" w:ascii="Times New Roman" w:hAnsi="Times New Roman" w:eastAsia="微软雅黑" w:cs="Times New Roman"/>
          <w:sz w:val="15"/>
          <w:szCs w:val="15"/>
          <w:highlight w:val="none"/>
          <w:lang w:val="en-US" w:eastAsia="zh-CN"/>
        </w:rPr>
        <w:t>21</w:t>
      </w:r>
      <w:r>
        <w:rPr>
          <w:rFonts w:ascii="Times New Roman" w:hAnsi="Times New Roman" w:eastAsia="微软雅黑" w:cs="Times New Roman"/>
          <w:sz w:val="15"/>
          <w:szCs w:val="15"/>
          <w:highlight w:val="none"/>
          <w:lang w:eastAsia="zh-CN"/>
        </w:rPr>
        <w:t>卷第</w:t>
      </w:r>
      <w:r>
        <w:rPr>
          <w:rFonts w:hint="eastAsia" w:ascii="Times New Roman" w:hAnsi="Times New Roman" w:eastAsia="微软雅黑" w:cs="Times New Roman"/>
          <w:sz w:val="15"/>
          <w:szCs w:val="15"/>
          <w:highlight w:val="none"/>
          <w:lang w:val="en-US" w:eastAsia="zh-CN"/>
        </w:rPr>
        <w:t>3</w:t>
      </w:r>
      <w:r>
        <w:rPr>
          <w:rFonts w:ascii="Times New Roman" w:hAnsi="Times New Roman" w:eastAsia="微软雅黑" w:cs="Times New Roman"/>
          <w:sz w:val="15"/>
          <w:szCs w:val="15"/>
          <w:highlight w:val="none"/>
          <w:lang w:eastAsia="zh-CN"/>
        </w:rPr>
        <w:t>期.</w:t>
      </w:r>
    </w:p>
    <w:p w14:paraId="3E4C2008">
      <w:pPr>
        <w:pStyle w:val="15"/>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highlight w:val="none"/>
          <w:shd w:val="clear" w:color="auto" w:fill="FFFFFF"/>
          <w:lang w:eastAsia="zh-CN" w:bidi="ar"/>
        </w:rPr>
      </w:pPr>
      <w:r>
        <w:rPr>
          <w:rFonts w:hint="eastAsia" w:ascii="Times New Roman" w:hAnsi="Times New Roman" w:eastAsia="Segoe UI" w:cs="Times New Roman"/>
          <w:sz w:val="15"/>
          <w:szCs w:val="15"/>
          <w:highlight w:val="none"/>
          <w:shd w:val="clear" w:color="auto" w:fill="FFFFFF"/>
          <w:lang w:eastAsia="zh-CN" w:bidi="ar"/>
        </w:rPr>
        <w:t>《引领肺癌治疗新时代的标志物——微小残留病灶</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 xml:space="preserve"> 年版）</w:t>
      </w:r>
      <w:r>
        <w:rPr>
          <w:rFonts w:hint="eastAsia" w:ascii="Times New Roman" w:hAnsi="Times New Roman" w:eastAsia="Segoe UI" w:cs="Times New Roman"/>
          <w:sz w:val="15"/>
          <w:szCs w:val="15"/>
          <w:highlight w:val="none"/>
          <w:shd w:val="clear" w:color="auto" w:fill="FFFFFF"/>
          <w:lang w:eastAsia="zh-CN" w:bidi="ar"/>
        </w:rPr>
        <w:t>》</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eastAsia="zh-CN"/>
        </w:rPr>
        <w:t>张嘉涛</w:t>
      </w:r>
      <w:r>
        <w:rPr>
          <w:rFonts w:hint="eastAsia" w:ascii="Times New Roman" w:hAnsi="Times New Roman" w:eastAsia="微软雅黑" w:cs="Times New Roman"/>
          <w:sz w:val="15"/>
          <w:szCs w:val="15"/>
          <w:highlight w:val="none"/>
          <w:lang w:val="en-US" w:eastAsia="zh-CN"/>
        </w:rPr>
        <w:t xml:space="preserve">, </w:t>
      </w:r>
      <w:r>
        <w:rPr>
          <w:rFonts w:hint="eastAsia" w:ascii="Times New Roman" w:hAnsi="Times New Roman" w:eastAsia="微软雅黑" w:cs="Times New Roman"/>
          <w:sz w:val="15"/>
          <w:szCs w:val="15"/>
          <w:highlight w:val="none"/>
          <w:lang w:eastAsia="zh-CN"/>
        </w:rPr>
        <w:t>杨学宁</w:t>
      </w:r>
      <w:r>
        <w:rPr>
          <w:rFonts w:hint="eastAsia" w:ascii="Times New Roman" w:hAnsi="Times New Roman" w:eastAsia="微软雅黑" w:cs="Times New Roman"/>
          <w:sz w:val="15"/>
          <w:szCs w:val="15"/>
          <w:highlight w:val="none"/>
          <w:lang w:val="en-US" w:eastAsia="zh-CN"/>
        </w:rPr>
        <w:t xml:space="preserve">, </w:t>
      </w:r>
      <w:r>
        <w:rPr>
          <w:rFonts w:hint="eastAsia" w:ascii="Times New Roman" w:hAnsi="Times New Roman" w:eastAsia="微软雅黑" w:cs="Times New Roman"/>
          <w:sz w:val="15"/>
          <w:szCs w:val="15"/>
          <w:highlight w:val="none"/>
          <w:lang w:eastAsia="zh-CN"/>
        </w:rPr>
        <w:t>吴一龙</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val="en-US" w:eastAsia="zh-CN"/>
        </w:rPr>
        <w:t>循证医学</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年第</w:t>
      </w:r>
      <w:r>
        <w:rPr>
          <w:rFonts w:hint="eastAsia" w:ascii="Times New Roman" w:hAnsi="Times New Roman" w:eastAsia="微软雅黑" w:cs="Times New Roman"/>
          <w:sz w:val="15"/>
          <w:szCs w:val="15"/>
          <w:highlight w:val="none"/>
          <w:lang w:val="en-US" w:eastAsia="zh-CN"/>
        </w:rPr>
        <w:t>21</w:t>
      </w:r>
      <w:r>
        <w:rPr>
          <w:rFonts w:ascii="Times New Roman" w:hAnsi="Times New Roman" w:eastAsia="微软雅黑" w:cs="Times New Roman"/>
          <w:sz w:val="15"/>
          <w:szCs w:val="15"/>
          <w:highlight w:val="none"/>
          <w:lang w:eastAsia="zh-CN"/>
        </w:rPr>
        <w:t>卷第</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期.</w:t>
      </w:r>
    </w:p>
    <w:p w14:paraId="44EA815C">
      <w:pPr>
        <w:pStyle w:val="15"/>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highlight w:val="none"/>
          <w:shd w:val="clear" w:color="auto" w:fill="FFFFFF"/>
          <w:lang w:eastAsia="zh-CN" w:bidi="ar"/>
        </w:rPr>
        <w:t>Chaudhuri AA, Chabon JJ, Lovejoy AF, et al. Early Detection of Molecular Residual Disease in Localized Lung C</w:t>
      </w:r>
      <w:r>
        <w:rPr>
          <w:rFonts w:hint="eastAsia" w:ascii="Times New Roman" w:hAnsi="Times New Roman" w:eastAsia="Segoe UI" w:cs="Times New Roman"/>
          <w:sz w:val="15"/>
          <w:szCs w:val="15"/>
          <w:shd w:val="clear" w:color="auto" w:fill="FFFFFF"/>
          <w:lang w:eastAsia="zh-CN" w:bidi="ar"/>
        </w:rPr>
        <w:t>ancer by Circulating Tumor DNA Profiling. Cancer Discov 2017;7:1394-403.</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PMID: 28899864</w:t>
      </w:r>
      <w:r>
        <w:rPr>
          <w:rFonts w:hint="eastAsia" w:ascii="Times New Roman" w:hAnsi="Times New Roman" w:eastAsia="Segoe UI" w:cs="Times New Roman"/>
          <w:sz w:val="15"/>
          <w:szCs w:val="15"/>
          <w:shd w:val="clear" w:color="auto" w:fill="FFFFFF"/>
          <w:lang w:val="en-US" w:eastAsia="zh-CN" w:bidi="ar"/>
        </w:rPr>
        <w:t>]</w:t>
      </w:r>
    </w:p>
    <w:p w14:paraId="0CCFDFA9">
      <w:pPr>
        <w:pStyle w:val="15"/>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Abbosh C, Birkbak NJ, Wilson GA, et al. Phylogenetic ctDNA analysis depicts early-stage lung cancer evolution. Nature 2017;545:446-51.</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PMID: 28445469</w:t>
      </w:r>
      <w:r>
        <w:rPr>
          <w:rFonts w:hint="eastAsia" w:ascii="Times New Roman" w:hAnsi="Times New Roman" w:eastAsia="Segoe UI" w:cs="Times New Roman"/>
          <w:sz w:val="15"/>
          <w:szCs w:val="15"/>
          <w:shd w:val="clear" w:color="auto" w:fill="FFFFFF"/>
          <w:lang w:val="en-US" w:eastAsia="zh-CN" w:bidi="ar"/>
        </w:rPr>
        <w:t>]</w:t>
      </w:r>
    </w:p>
    <w:p w14:paraId="41701594">
      <w:pPr>
        <w:pStyle w:val="15"/>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 xml:space="preserve">Moding EJ, Liu Y, Nabet BY, et al. Circulating tumor DNA dynamics predict benefit from consolidation immunotherapy in locally advanced non-small cell lung cancer. Nat Cancer. 2020;1:176–183. </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PMID: 34505064</w:t>
      </w:r>
      <w:r>
        <w:rPr>
          <w:rFonts w:hint="eastAsia" w:ascii="Times New Roman" w:hAnsi="Times New Roman" w:eastAsia="Segoe UI" w:cs="Times New Roman"/>
          <w:sz w:val="15"/>
          <w:szCs w:val="15"/>
          <w:shd w:val="clear" w:color="auto" w:fill="FFFFFF"/>
          <w:lang w:val="en-US" w:eastAsia="zh-CN" w:bidi="ar"/>
        </w:rPr>
        <w:t>]</w:t>
      </w:r>
    </w:p>
    <w:p w14:paraId="3229E9C9">
      <w:pPr>
        <w:pStyle w:val="15"/>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Zhang JT, Liu SY, Gao W, et al. Longitudinal Undetectable Molecular Residual Disease Defines Potentially Cured Population in Localized Non-Small Cell Lung Cancer. Cancer Discov 2022;12:1690-701.</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35543554</w:t>
      </w:r>
      <w:r>
        <w:rPr>
          <w:rFonts w:hint="eastAsia" w:ascii="Times New Roman" w:hAnsi="Times New Roman" w:eastAsia="Segoe UI" w:cs="Times New Roman"/>
          <w:sz w:val="15"/>
          <w:szCs w:val="15"/>
          <w:shd w:val="clear" w:color="auto" w:fill="FFFFFF"/>
          <w:lang w:val="en-US" w:eastAsia="zh-CN" w:bidi="ar"/>
        </w:rPr>
        <w:t>]</w:t>
      </w:r>
    </w:p>
    <w:p w14:paraId="7C653C7B">
      <w:pPr>
        <w:pStyle w:val="15"/>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Charest A, Lane K, McMahon K, et al. Fusion of FIG to the receptor tyrosine kinase ROS in a glioblastoma with an interstitial del(6)(q21q21) Genes Chromosomes Cancer. 2003;37:58–71.</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12661006</w:t>
      </w:r>
      <w:r>
        <w:rPr>
          <w:rFonts w:hint="eastAsia" w:ascii="Times New Roman" w:hAnsi="Times New Roman" w:eastAsia="Segoe UI" w:cs="Times New Roman"/>
          <w:sz w:val="15"/>
          <w:szCs w:val="15"/>
          <w:shd w:val="clear" w:color="auto" w:fill="FFFFFF"/>
          <w:lang w:val="en-US" w:eastAsia="zh-CN" w:bidi="ar"/>
        </w:rPr>
        <w:t>]</w:t>
      </w:r>
    </w:p>
    <w:p w14:paraId="5EAA8B31">
      <w:pPr>
        <w:pStyle w:val="15"/>
        <w:keepNext w:val="0"/>
        <w:keepLines w:val="0"/>
        <w:pageBreakBefore w:val="0"/>
        <w:widowControl/>
        <w:kinsoku/>
        <w:wordWrap/>
        <w:overflowPunct/>
        <w:topLinePunct w:val="0"/>
        <w:autoSpaceDE/>
        <w:autoSpaceDN/>
        <w:bidi w:val="0"/>
        <w:adjustRightInd/>
        <w:snapToGrid/>
        <w:spacing w:after="60"/>
        <w:textAlignment w:val="auto"/>
        <w:rPr>
          <w:rFonts w:hint="default" w:ascii="Times New Roman" w:hAnsi="Times New Roman" w:eastAsia="Segoe UI" w:cs="Times New Roman"/>
          <w:sz w:val="15"/>
          <w:szCs w:val="15"/>
          <w:shd w:val="clear" w:color="auto" w:fill="FFFFFF"/>
          <w:lang w:val="en-US" w:eastAsia="zh-CN" w:bidi="ar"/>
        </w:rPr>
      </w:pPr>
      <w:r>
        <w:rPr>
          <w:rFonts w:hint="eastAsia" w:ascii="Times New Roman" w:hAnsi="Times New Roman" w:eastAsia="Segoe UI" w:cs="Times New Roman"/>
          <w:sz w:val="15"/>
          <w:szCs w:val="15"/>
          <w:shd w:val="clear" w:color="auto" w:fill="FFFFFF"/>
          <w:lang w:eastAsia="zh-CN" w:bidi="ar"/>
        </w:rPr>
        <w:t>Rikova K, Guo A, Zeng Q, et al. Global survey of phosphotyrosine signaling identifies oncogenic kinases in lung cancer. Cell. 2007;131:1190–1203.</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PMID: 18083107</w:t>
      </w:r>
      <w:r>
        <w:rPr>
          <w:rFonts w:hint="eastAsia" w:ascii="Times New Roman" w:hAnsi="Times New Roman" w:eastAsia="Segoe UI" w:cs="Times New Roman"/>
          <w:sz w:val="15"/>
          <w:szCs w:val="15"/>
          <w:shd w:val="clear" w:color="auto" w:fill="FFFFFF"/>
          <w:lang w:val="en-US" w:eastAsia="zh-CN" w:bidi="ar"/>
        </w:rPr>
        <w:t>]</w:t>
      </w:r>
    </w:p>
    <w:p w14:paraId="731DE918">
      <w:pPr>
        <w:pStyle w:val="15"/>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Gu TL</w:t>
      </w:r>
      <w:r>
        <w:rPr>
          <w:rFonts w:hint="eastAsia" w:ascii="Times New Roman" w:hAnsi="Times New Roman" w:eastAsia="Segoe UI" w:cs="Times New Roman"/>
          <w:sz w:val="15"/>
          <w:szCs w:val="15"/>
          <w:shd w:val="clear" w:color="auto" w:fill="FFFFFF"/>
          <w:lang w:val="en-US" w:eastAsia="zh-CN" w:bidi="ar"/>
        </w:rPr>
        <w:t>, Deng X, Huang F,</w:t>
      </w:r>
      <w:r>
        <w:rPr>
          <w:rFonts w:hint="eastAsia" w:ascii="Times New Roman" w:hAnsi="Times New Roman" w:eastAsia="Segoe UI" w:cs="Times New Roman"/>
          <w:sz w:val="15"/>
          <w:szCs w:val="15"/>
          <w:shd w:val="clear" w:color="auto" w:fill="FFFFFF"/>
          <w:lang w:eastAsia="zh-CN" w:bidi="ar"/>
        </w:rPr>
        <w:t xml:space="preserve"> et al. Survey of tyrosine kinase signaling reveals ROS kinase fusions in human cholangiocarcinoma. PLoS ONE. 2011;6(1):e15640.</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21253578</w:t>
      </w:r>
      <w:r>
        <w:rPr>
          <w:rFonts w:hint="eastAsia" w:ascii="Times New Roman" w:hAnsi="Times New Roman" w:eastAsia="Segoe UI" w:cs="Times New Roman"/>
          <w:sz w:val="15"/>
          <w:szCs w:val="15"/>
          <w:shd w:val="clear" w:color="auto" w:fill="FFFFFF"/>
          <w:lang w:val="en-US" w:eastAsia="zh-CN" w:bidi="ar"/>
        </w:rPr>
        <w:t>]</w:t>
      </w:r>
    </w:p>
    <w:p w14:paraId="186EB02D">
      <w:pPr>
        <w:pStyle w:val="15"/>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Davies KD, Doebele RC. Molecular pathways: ROS1 fusion proteins in cancer. Clin Cancer Res 2013; 19: 4040–4045.</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23719267</w:t>
      </w:r>
      <w:r>
        <w:rPr>
          <w:rFonts w:hint="eastAsia" w:ascii="Times New Roman" w:hAnsi="Times New Roman" w:eastAsia="Segoe UI" w:cs="Times New Roman"/>
          <w:sz w:val="15"/>
          <w:szCs w:val="15"/>
          <w:shd w:val="clear" w:color="auto" w:fill="FFFFFF"/>
          <w:lang w:val="en-US" w:eastAsia="zh-CN" w:bidi="ar"/>
        </w:rPr>
        <w:t>]</w:t>
      </w:r>
    </w:p>
    <w:p w14:paraId="0A5D1788">
      <w:pPr>
        <w:pStyle w:val="15"/>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Chaudhuri AA, Chabon JJ, Lovejoy AF, et al. Early Detection of Molecular Residual Disease in Localized Lung Cancer by Circulating Tumor DNA Profiling. Cancer Discovery</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 xml:space="preserve"> 2017</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 xml:space="preserve"> 7:1394–403. [PMID: 28899864]</w:t>
      </w:r>
    </w:p>
    <w:p w14:paraId="7848CEEE">
      <w:pPr>
        <w:pStyle w:val="15"/>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Garcia-Murillas I, Schiavon G, Weigelt B, et al. Mutation tracking in circulating tumor DNA predicts relapse in early breast cancer. Sci Transl Med</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2015</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7(302):302ra133. [PMID: 26311728]</w:t>
      </w:r>
    </w:p>
    <w:p w14:paraId="78F0275D">
      <w:pPr>
        <w:pStyle w:val="15"/>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Tie J, Wang Y, Tomasetti C, et al. Circulating tumor DNA analysis detects minimal residual disease and predicts recurrence in patients with stage II colon cancer. Sci Transl Med. 2016;8(346):346ra92 [P</w:t>
      </w:r>
      <w:r>
        <w:rPr>
          <w:rFonts w:hint="eastAsia" w:ascii="Times New Roman" w:hAnsi="Times New Roman" w:eastAsia="Segoe UI" w:cs="Times New Roman"/>
          <w:sz w:val="15"/>
          <w:szCs w:val="15"/>
          <w:highlight w:val="none"/>
          <w:shd w:val="clear" w:color="auto" w:fill="FFFFFF"/>
          <w:lang w:eastAsia="zh-CN" w:bidi="ar"/>
        </w:rPr>
        <w:t>MID: 27384348]</w:t>
      </w:r>
    </w:p>
    <w:p w14:paraId="5A392BE8">
      <w:pPr>
        <w:pStyle w:val="15"/>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Azad T.D., Chaudhuri A.A., Fang P., et al. Circulating tumour DNA analysis for detection of minimal residual disease after chemoradiotherapy for localized esophageal cancer. Gastroenterology. 2020;158(3):494–505.e6. [PMID: 31711920]</w:t>
      </w:r>
    </w:p>
    <w:p w14:paraId="73EFB957">
      <w:pPr>
        <w:pStyle w:val="15"/>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Sausen M., Phallen J., Adleff V., et al. Clinical implications of genomic alterations in the tumour and circulation of pancreatic cancer patients. Nat. Commun. 2015;6:7686. [PMID: 26154128]</w:t>
      </w:r>
    </w:p>
    <w:p w14:paraId="5914FC82">
      <w:pPr>
        <w:pStyle w:val="15"/>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Christensen E., Birkenkamp-Demtröder K., Sethi H., et al. Early Detection of Metastatic Relapse and Monitoring of Therapeutic Efficacy by Ultra-Deep Sequencing of Plasma Cell-Free DNA in Patients with Urothelial Bladder Carcinoma. J. Clin. Oncol. 2019;37:1547–1557. [PMID: 31059311]</w:t>
      </w:r>
    </w:p>
    <w:p w14:paraId="0DEC2801">
      <w:pPr>
        <w:pStyle w:val="15"/>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Henriksen TV, Tarazona N, Frydendahl A, et al. Circulating tumor DNA in stage III colorectal cancer, beyond minimal residual disease detection, toward assessment of adjuvant therapy efficacy and clinical behavior of recurrences. Clin Cancer Res. 2022;28:507–517.</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34625408]</w:t>
      </w:r>
    </w:p>
    <w:p w14:paraId="0C158D81">
      <w:pPr>
        <w:pStyle w:val="15"/>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Coakley M., Garcia-Murillas I. Turner N.C. Molecular Residual Disease and Adjuvant Trial Design in Solid Tumors. Clin. Cancer Res. 2019;25:6026–6034. [PMID:</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31088829]</w:t>
      </w:r>
    </w:p>
    <w:p w14:paraId="2712B19D">
      <w:pPr>
        <w:pStyle w:val="15"/>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Moding EJ, Nabet BY, Alizadeh AA, et al. Detecting liquid remnants of solid tumors: circulating tumor DNA minimal residual disease. Cancer Discov 2021;11:2968–86. [PMID: 34785539]</w:t>
      </w:r>
    </w:p>
    <w:p w14:paraId="709C561A">
      <w:pPr>
        <w:widowControl/>
        <w:adjustRightInd w:val="0"/>
        <w:snapToGrid w:val="0"/>
        <w:spacing w:after="156" w:afterLines="50"/>
        <w:jc w:val="both"/>
        <w:rPr>
          <w:rFonts w:ascii="Times New Roman" w:hAnsi="Times New Roman" w:eastAsia="等线"/>
        </w:rPr>
      </w:pPr>
    </w:p>
    <w:sectPr>
      <w:headerReference r:id="rId4" w:type="default"/>
      <w:footerReference r:id="rId5" w:type="default"/>
      <w:pgSz w:w="11905" w:h="16838"/>
      <w:pgMar w:top="850" w:right="850" w:bottom="850" w:left="850" w:header="680"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59E3E">
    <w:pPr>
      <w:pStyle w:val="11"/>
    </w:pPr>
    <w:r>
      <mc:AlternateContent>
        <mc:Choice Requires="wps">
          <w:drawing>
            <wp:anchor distT="0" distB="0" distL="114300" distR="114300" simplePos="0" relativeHeight="251662336" behindDoc="0" locked="0" layoutInCell="1" allowOverlap="1">
              <wp:simplePos x="0" y="0"/>
              <wp:positionH relativeFrom="margin">
                <wp:posOffset>3180080</wp:posOffset>
              </wp:positionH>
              <wp:positionV relativeFrom="paragraph">
                <wp:posOffset>0</wp:posOffset>
              </wp:positionV>
              <wp:extent cx="228600" cy="1651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228600" cy="165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07FFF7">
                          <w:pPr>
                            <w:pStyle w:val="11"/>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50.4pt;margin-top:0pt;height:13pt;width:18pt;mso-position-horizontal-relative:margin;z-index:251662336;mso-width-relative:page;mso-height-relative:page;" filled="f" stroked="f" coordsize="21600,21600" o:gfxdata="UEsDBAoAAAAAAIdO4kAAAAAAAAAAAAAAAAAEAAAAZHJzL1BLAwQUAAAACACHTuJAEFdZgdQAAAAH&#10;AQAADwAAAGRycy9kb3ducmV2LnhtbE2PO0/EMBCEeyT+g7VIdJydQxehkM0VPDqeB0jQObFJIux1&#10;ZDu549+zVFCOZjTzTb09eCcWG9MYCKFYKRCWumBG6hFeX27PLkCkrMloF8gifNsE2+b4qNaVCXt6&#10;tssu94JLKFUaYch5qqRM3WC9TqswWWLvM0SvM8vYSxP1nsu9k2ulSun1SLww6MleDbb72s0ewb2n&#10;eNeq/LFc9/f56VHObzfFA+LpSaEuQWR7yH9h+MVndGiYqQ0zmSQcwkYpRs8I/IjtzXnJskVYlwpk&#10;U8v//M0PUEsDBBQAAAAIAIdO4kDqqeM3MAIAAFcEAAAOAAAAZHJzL2Uyb0RvYy54bWytVMGO0zAQ&#10;vSPxD5bvNG1hq1XVdFW2KkKq2JUK4uw6ThPJ9hjbbVI+AP6AE5e98139Dl6SposWDnvg4r7MjN94&#10;3sx0dlMbzQ7Kh5JsykeDIWfKSspKu0v5p4+rV9echShsJjRZlfKjCvxm/vLFrHJTNaaCdKY8A4kN&#10;08qlvIjRTZMkyEIZEQbklIUzJ29ExKffJZkXFdiNTsbD4SSpyGfOk1QhwLrsnPzM6J9DSHleSrUk&#10;uTfKxo7VKy0iSgpF6QKft6/NcyXjXZ4HFZlOOSqN7YkkwNvmTOYzMd154YpSnp8gnvOEJzUZUVok&#10;vVAtRRRs78u/qEwpPQXK40CSSbpCWkVQxWj4RJtNIZxqa4HUwV1ED/+PVn443HtWZpiEN5xZYdDx&#10;04/vp5+/Tg/fGGwQqHJhiriNQ2Ss31KN4N4eYGzqrnNvml9UxOCHvMeLvKqOTMI4Hl9PhvBIuEaT&#10;qxEw2JPHy86H+E6RYQ1IuUf3WlHFYR1iF9qHNLksrUqt2w5qy6qUT15fDdsLFw/ItUWOpoTuqQ2K&#10;9bY+17Wl7IiyPHWTEZxclUi+FiHeC49RwHuxLPEOR64JSeiMOCvIf/2XvYlHh+DlrMJopTx82Quv&#10;ONPvLXoHytgD34NtD+ze3BKmdYQ1dLKFuOCj7mHuyXzGDi2aLHAJK5Er5bGHt7EbcOygVItFG4Rp&#10;cyKu7cbJhrqTb7GPlJetso0snRZntTBvbW/Ou9EM9J/fbdTj/8H8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BXWYHUAAAABwEAAA8AAAAAAAAAAQAgAAAAIgAAAGRycy9kb3ducmV2LnhtbFBLAQIU&#10;ABQAAAAIAIdO4kDqqeM3MAIAAFcEAAAOAAAAAAAAAAEAIAAAACMBAABkcnMvZTJvRG9jLnhtbFBL&#10;BQYAAAAABgAGAFkBAADFBQAAAAA=&#10;">
              <v:fill on="f" focussize="0,0"/>
              <v:stroke on="f" weight="0.5pt"/>
              <v:imagedata o:title=""/>
              <o:lock v:ext="edit" aspectratio="f"/>
              <v:textbox inset="0mm,0mm,0mm,0mm">
                <w:txbxContent>
                  <w:p w14:paraId="7E07FFF7">
                    <w:pPr>
                      <w:pStyle w:val="11"/>
                    </w:pPr>
                    <w:r>
                      <w:fldChar w:fldCharType="begin"/>
                    </w:r>
                    <w:r>
                      <w:instrText xml:space="preserve"> PAGE  \* MERGEFORMAT </w:instrText>
                    </w:r>
                    <w:r>
                      <w:fldChar w:fldCharType="separate"/>
                    </w:r>
                    <w:r>
                      <w:t>8</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033FA">
    <w:pPr>
      <w:widowControl/>
    </w:pPr>
    <w:r>
      <w:rPr>
        <w:sz w:val="24"/>
        <w:szCs w:val="24"/>
        <w:lang w:eastAsia="zh-CN" w:bidi="ar"/>
      </w:rPr>
      <w:drawing>
        <wp:anchor distT="0" distB="0" distL="114300" distR="114300" simplePos="0" relativeHeight="251664384" behindDoc="0" locked="0" layoutInCell="1" allowOverlap="1">
          <wp:simplePos x="0" y="0"/>
          <wp:positionH relativeFrom="column">
            <wp:posOffset>3979545</wp:posOffset>
          </wp:positionH>
          <wp:positionV relativeFrom="paragraph">
            <wp:posOffset>-235585</wp:posOffset>
          </wp:positionV>
          <wp:extent cx="2230755" cy="542925"/>
          <wp:effectExtent l="0" t="0" r="0" b="0"/>
          <wp:wrapNone/>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
                  <a:stretch>
                    <a:fillRect/>
                  </a:stretch>
                </pic:blipFill>
                <pic:spPr>
                  <a:xfrm>
                    <a:off x="0" y="0"/>
                    <a:ext cx="2230755" cy="542925"/>
                  </a:xfrm>
                  <a:prstGeom prst="rect">
                    <a:avLst/>
                  </a:prstGeom>
                  <a:noFill/>
                  <a:ln w="9525">
                    <a:noFill/>
                  </a:ln>
                </pic:spPr>
              </pic:pic>
            </a:graphicData>
          </a:graphic>
        </wp:anchor>
      </w:drawing>
    </w:r>
  </w:p>
  <w:p w14:paraId="527DC971">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3DF3A">
    <w:pPr>
      <w:pStyle w:val="12"/>
      <w:jc w:val="right"/>
      <w:rPr>
        <w:lang w:eastAsia="zh-CN"/>
      </w:rPr>
    </w:pPr>
    <w:r>
      <w:rPr>
        <w:sz w:val="24"/>
        <w:szCs w:val="24"/>
        <w:lang w:eastAsia="zh-CN" w:bidi="ar"/>
      </w:rPr>
      <w:drawing>
        <wp:anchor distT="0" distB="0" distL="114300" distR="114300" simplePos="0" relativeHeight="251659264" behindDoc="0" locked="0" layoutInCell="1" allowOverlap="1">
          <wp:simplePos x="0" y="0"/>
          <wp:positionH relativeFrom="column">
            <wp:posOffset>4100195</wp:posOffset>
          </wp:positionH>
          <wp:positionV relativeFrom="paragraph">
            <wp:posOffset>-351790</wp:posOffset>
          </wp:positionV>
          <wp:extent cx="2230755" cy="472440"/>
          <wp:effectExtent l="0" t="0" r="0" b="0"/>
          <wp:wrapNone/>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1"/>
                  <a:srcRect b="12982"/>
                  <a:stretch>
                    <a:fillRect/>
                  </a:stretch>
                </pic:blipFill>
                <pic:spPr>
                  <a:xfrm>
                    <a:off x="0" y="0"/>
                    <a:ext cx="2230755" cy="47244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1395846"/>
    <w:multiLevelType w:val="singleLevel"/>
    <w:tmpl w:val="A1395846"/>
    <w:lvl w:ilvl="0" w:tentative="0">
      <w:start w:val="1"/>
      <w:numFmt w:val="decimal"/>
      <w:suff w:val="nothing"/>
      <w:lvlText w:val="%1．"/>
      <w:lvlJc w:val="left"/>
      <w:pPr>
        <w:ind w:left="0" w:firstLine="400"/>
      </w:pPr>
      <w:rPr>
        <w:rFonts w:hint="default"/>
      </w:rPr>
    </w:lvl>
  </w:abstractNum>
  <w:abstractNum w:abstractNumId="1">
    <w:nsid w:val="A99D90A2"/>
    <w:multiLevelType w:val="singleLevel"/>
    <w:tmpl w:val="A99D90A2"/>
    <w:lvl w:ilvl="0" w:tentative="0">
      <w:start w:val="1"/>
      <w:numFmt w:val="decimal"/>
      <w:lvlText w:val="%1."/>
      <w:lvlJc w:val="left"/>
      <w:pPr>
        <w:ind w:left="425" w:hanging="425"/>
      </w:pPr>
      <w:rPr>
        <w:rFonts w:hint="default"/>
      </w:rPr>
    </w:lvl>
  </w:abstractNum>
  <w:abstractNum w:abstractNumId="2">
    <w:nsid w:val="2CEC1C1C"/>
    <w:multiLevelType w:val="multilevel"/>
    <w:tmpl w:val="2CEC1C1C"/>
    <w:lvl w:ilvl="0" w:tentative="0">
      <w:start w:val="1"/>
      <w:numFmt w:val="bullet"/>
      <w:pStyle w:val="27"/>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9"/>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5B812BEF"/>
    <w:multiLevelType w:val="multilevel"/>
    <w:tmpl w:val="5B812BEF"/>
    <w:lvl w:ilvl="0" w:tentative="0">
      <w:start w:val="1"/>
      <w:numFmt w:val="bullet"/>
      <w:pStyle w:val="26"/>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4"/>
  </w:num>
  <w:num w:numId="2">
    <w:abstractNumId w:val="6"/>
  </w:num>
  <w:num w:numId="3">
    <w:abstractNumId w:val="5"/>
  </w:num>
  <w:num w:numId="4">
    <w:abstractNumId w:val="2"/>
  </w:num>
  <w:num w:numId="5">
    <w:abstractNumId w:val="3"/>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9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QyN2RjY2U1ZDAzZWMyYzFlOTBlZjhiNjIyZTM0MTEifQ=="/>
  </w:docVars>
  <w:rsids>
    <w:rsidRoot w:val="00172A27"/>
    <w:rsid w:val="00014FD4"/>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17524"/>
    <w:rsid w:val="0052321F"/>
    <w:rsid w:val="00557FE9"/>
    <w:rsid w:val="00644BC1"/>
    <w:rsid w:val="006A31A2"/>
    <w:rsid w:val="007010EF"/>
    <w:rsid w:val="00775675"/>
    <w:rsid w:val="007E782E"/>
    <w:rsid w:val="008B2982"/>
    <w:rsid w:val="008F156B"/>
    <w:rsid w:val="00907638"/>
    <w:rsid w:val="00971A5F"/>
    <w:rsid w:val="009B46E2"/>
    <w:rsid w:val="009C044B"/>
    <w:rsid w:val="00A0169B"/>
    <w:rsid w:val="00AA4F7E"/>
    <w:rsid w:val="00AB6E82"/>
    <w:rsid w:val="00AD53BA"/>
    <w:rsid w:val="00AE5DB4"/>
    <w:rsid w:val="00B01B75"/>
    <w:rsid w:val="00C31515"/>
    <w:rsid w:val="00C5655E"/>
    <w:rsid w:val="00D2107B"/>
    <w:rsid w:val="00D22BB0"/>
    <w:rsid w:val="00D40855"/>
    <w:rsid w:val="00D625B4"/>
    <w:rsid w:val="00D730DF"/>
    <w:rsid w:val="00D958FA"/>
    <w:rsid w:val="00DA2F2F"/>
    <w:rsid w:val="00E31BA8"/>
    <w:rsid w:val="00ED12E7"/>
    <w:rsid w:val="00F036C9"/>
    <w:rsid w:val="00F25C1E"/>
    <w:rsid w:val="00F678D5"/>
    <w:rsid w:val="00FF7BB1"/>
    <w:rsid w:val="01040480"/>
    <w:rsid w:val="011A030A"/>
    <w:rsid w:val="011A0D8B"/>
    <w:rsid w:val="011F6134"/>
    <w:rsid w:val="012D5632"/>
    <w:rsid w:val="016F36A8"/>
    <w:rsid w:val="01844256"/>
    <w:rsid w:val="01A0337A"/>
    <w:rsid w:val="01B96DFD"/>
    <w:rsid w:val="01F64392"/>
    <w:rsid w:val="022D1058"/>
    <w:rsid w:val="0281009B"/>
    <w:rsid w:val="02CA5230"/>
    <w:rsid w:val="02D13CC9"/>
    <w:rsid w:val="02D52676"/>
    <w:rsid w:val="031B6FF1"/>
    <w:rsid w:val="03237031"/>
    <w:rsid w:val="038726D8"/>
    <w:rsid w:val="03B664E0"/>
    <w:rsid w:val="03E921F1"/>
    <w:rsid w:val="04791D69"/>
    <w:rsid w:val="047F3648"/>
    <w:rsid w:val="04871837"/>
    <w:rsid w:val="049E3BEA"/>
    <w:rsid w:val="04A167FA"/>
    <w:rsid w:val="04C17114"/>
    <w:rsid w:val="0500466C"/>
    <w:rsid w:val="050271E2"/>
    <w:rsid w:val="050F035E"/>
    <w:rsid w:val="05184DAA"/>
    <w:rsid w:val="05815BFE"/>
    <w:rsid w:val="05887898"/>
    <w:rsid w:val="05984D87"/>
    <w:rsid w:val="05D63B33"/>
    <w:rsid w:val="05DD3D0D"/>
    <w:rsid w:val="06961185"/>
    <w:rsid w:val="06A61E8D"/>
    <w:rsid w:val="06E36A2C"/>
    <w:rsid w:val="06EB7F4D"/>
    <w:rsid w:val="074043CC"/>
    <w:rsid w:val="07986672"/>
    <w:rsid w:val="07AB34E7"/>
    <w:rsid w:val="07CC37A4"/>
    <w:rsid w:val="07D36A00"/>
    <w:rsid w:val="07DB59EB"/>
    <w:rsid w:val="083F50A2"/>
    <w:rsid w:val="084E1932"/>
    <w:rsid w:val="08573A97"/>
    <w:rsid w:val="088D7FF0"/>
    <w:rsid w:val="08A42B49"/>
    <w:rsid w:val="08C47915"/>
    <w:rsid w:val="08FD2E27"/>
    <w:rsid w:val="090834C0"/>
    <w:rsid w:val="09556AF5"/>
    <w:rsid w:val="09705B33"/>
    <w:rsid w:val="098B0432"/>
    <w:rsid w:val="09F0614D"/>
    <w:rsid w:val="0A043ABA"/>
    <w:rsid w:val="0A4D05F1"/>
    <w:rsid w:val="0A4F2135"/>
    <w:rsid w:val="0A757891"/>
    <w:rsid w:val="0ADA7F11"/>
    <w:rsid w:val="0AEC09F3"/>
    <w:rsid w:val="0B38319D"/>
    <w:rsid w:val="0B42475A"/>
    <w:rsid w:val="0B6E4405"/>
    <w:rsid w:val="0B850DD0"/>
    <w:rsid w:val="0BEA7418"/>
    <w:rsid w:val="0C1768CC"/>
    <w:rsid w:val="0C220DA0"/>
    <w:rsid w:val="0C3A0C95"/>
    <w:rsid w:val="0C3E5385"/>
    <w:rsid w:val="0C96240B"/>
    <w:rsid w:val="0CA77597"/>
    <w:rsid w:val="0CBE7A38"/>
    <w:rsid w:val="0CC26BD0"/>
    <w:rsid w:val="0D0522AA"/>
    <w:rsid w:val="0D055CE8"/>
    <w:rsid w:val="0D183D8B"/>
    <w:rsid w:val="0D9819F1"/>
    <w:rsid w:val="0DC034FC"/>
    <w:rsid w:val="0E11445D"/>
    <w:rsid w:val="0E372F34"/>
    <w:rsid w:val="0E3966AF"/>
    <w:rsid w:val="0E3F395A"/>
    <w:rsid w:val="0E542351"/>
    <w:rsid w:val="0E580236"/>
    <w:rsid w:val="0E632099"/>
    <w:rsid w:val="0EBF2A43"/>
    <w:rsid w:val="0EC91129"/>
    <w:rsid w:val="0ED843CC"/>
    <w:rsid w:val="0EF32D57"/>
    <w:rsid w:val="0EFC3D5A"/>
    <w:rsid w:val="0F1B56B3"/>
    <w:rsid w:val="0F67778E"/>
    <w:rsid w:val="0F79527D"/>
    <w:rsid w:val="0F890797"/>
    <w:rsid w:val="0FB9297A"/>
    <w:rsid w:val="0FE54E7B"/>
    <w:rsid w:val="0FEE2BDC"/>
    <w:rsid w:val="0FEF6595"/>
    <w:rsid w:val="0FF32D75"/>
    <w:rsid w:val="10033834"/>
    <w:rsid w:val="10393EFC"/>
    <w:rsid w:val="10A519AE"/>
    <w:rsid w:val="10A9516A"/>
    <w:rsid w:val="10BE0EDD"/>
    <w:rsid w:val="10C474D3"/>
    <w:rsid w:val="110D3F98"/>
    <w:rsid w:val="11BE4B89"/>
    <w:rsid w:val="11E35EA1"/>
    <w:rsid w:val="11F61740"/>
    <w:rsid w:val="12372F05"/>
    <w:rsid w:val="126971EB"/>
    <w:rsid w:val="126C3817"/>
    <w:rsid w:val="12850E64"/>
    <w:rsid w:val="12963DA1"/>
    <w:rsid w:val="12F372F0"/>
    <w:rsid w:val="132612E4"/>
    <w:rsid w:val="13897526"/>
    <w:rsid w:val="13916AC0"/>
    <w:rsid w:val="13AB527B"/>
    <w:rsid w:val="13BA2629"/>
    <w:rsid w:val="143F22B3"/>
    <w:rsid w:val="147F528E"/>
    <w:rsid w:val="14872247"/>
    <w:rsid w:val="148972D9"/>
    <w:rsid w:val="149B7751"/>
    <w:rsid w:val="14B076BA"/>
    <w:rsid w:val="14B34D21"/>
    <w:rsid w:val="14C82A00"/>
    <w:rsid w:val="14E343DA"/>
    <w:rsid w:val="14E50274"/>
    <w:rsid w:val="14F05FFA"/>
    <w:rsid w:val="150E31A1"/>
    <w:rsid w:val="151179F4"/>
    <w:rsid w:val="1515616B"/>
    <w:rsid w:val="15196B67"/>
    <w:rsid w:val="1524470F"/>
    <w:rsid w:val="152E3223"/>
    <w:rsid w:val="153F7D0D"/>
    <w:rsid w:val="159D0F7C"/>
    <w:rsid w:val="15CA1F15"/>
    <w:rsid w:val="15D73C77"/>
    <w:rsid w:val="164C0282"/>
    <w:rsid w:val="165063E4"/>
    <w:rsid w:val="167138E8"/>
    <w:rsid w:val="16A90098"/>
    <w:rsid w:val="16BD5BE8"/>
    <w:rsid w:val="16D72F09"/>
    <w:rsid w:val="16E67B0D"/>
    <w:rsid w:val="16F32DF9"/>
    <w:rsid w:val="179E5A16"/>
    <w:rsid w:val="17DA52FE"/>
    <w:rsid w:val="17EF172D"/>
    <w:rsid w:val="182E68FA"/>
    <w:rsid w:val="18361E85"/>
    <w:rsid w:val="18383533"/>
    <w:rsid w:val="184F5A03"/>
    <w:rsid w:val="18780FC6"/>
    <w:rsid w:val="188B1EE6"/>
    <w:rsid w:val="188E10A8"/>
    <w:rsid w:val="1892589E"/>
    <w:rsid w:val="18BC5F12"/>
    <w:rsid w:val="18E02206"/>
    <w:rsid w:val="18E62796"/>
    <w:rsid w:val="191C614A"/>
    <w:rsid w:val="193B777F"/>
    <w:rsid w:val="193F455D"/>
    <w:rsid w:val="19437087"/>
    <w:rsid w:val="199369D8"/>
    <w:rsid w:val="199B3480"/>
    <w:rsid w:val="19CB4FEC"/>
    <w:rsid w:val="19E51499"/>
    <w:rsid w:val="1A0652E5"/>
    <w:rsid w:val="1A98650B"/>
    <w:rsid w:val="1ABF3777"/>
    <w:rsid w:val="1AD119B6"/>
    <w:rsid w:val="1B28649B"/>
    <w:rsid w:val="1B2E23D0"/>
    <w:rsid w:val="1B570F0A"/>
    <w:rsid w:val="1B873036"/>
    <w:rsid w:val="1BA36B7F"/>
    <w:rsid w:val="1BAD3E87"/>
    <w:rsid w:val="1BE22134"/>
    <w:rsid w:val="1C243188"/>
    <w:rsid w:val="1C6079CF"/>
    <w:rsid w:val="1C636AA0"/>
    <w:rsid w:val="1C7A05D0"/>
    <w:rsid w:val="1C7BC959"/>
    <w:rsid w:val="1C98707F"/>
    <w:rsid w:val="1CAC68FF"/>
    <w:rsid w:val="1CC932F4"/>
    <w:rsid w:val="1CCD19AC"/>
    <w:rsid w:val="1CEA1E1D"/>
    <w:rsid w:val="1CFB3D7D"/>
    <w:rsid w:val="1D0B7646"/>
    <w:rsid w:val="1D103BE7"/>
    <w:rsid w:val="1D6364E6"/>
    <w:rsid w:val="1E4A0C65"/>
    <w:rsid w:val="1E750919"/>
    <w:rsid w:val="1EA00084"/>
    <w:rsid w:val="1EA062D6"/>
    <w:rsid w:val="1EA841E9"/>
    <w:rsid w:val="1EA92622"/>
    <w:rsid w:val="1EAB0C6A"/>
    <w:rsid w:val="1EAF2912"/>
    <w:rsid w:val="1EB6464D"/>
    <w:rsid w:val="1EBB7039"/>
    <w:rsid w:val="1EEB2832"/>
    <w:rsid w:val="1F2A7D14"/>
    <w:rsid w:val="1F2B7CAE"/>
    <w:rsid w:val="1F68534E"/>
    <w:rsid w:val="1F817EB6"/>
    <w:rsid w:val="1FA21F33"/>
    <w:rsid w:val="1FFB7497"/>
    <w:rsid w:val="20126D60"/>
    <w:rsid w:val="20205A20"/>
    <w:rsid w:val="202E7DF5"/>
    <w:rsid w:val="20370A70"/>
    <w:rsid w:val="20855B55"/>
    <w:rsid w:val="208A6844"/>
    <w:rsid w:val="20924EB9"/>
    <w:rsid w:val="209432E5"/>
    <w:rsid w:val="20C205EB"/>
    <w:rsid w:val="215359E5"/>
    <w:rsid w:val="21641D42"/>
    <w:rsid w:val="216A3F09"/>
    <w:rsid w:val="216F18A9"/>
    <w:rsid w:val="219A0DBB"/>
    <w:rsid w:val="21D55A39"/>
    <w:rsid w:val="21DF6433"/>
    <w:rsid w:val="21FB0F35"/>
    <w:rsid w:val="220426D8"/>
    <w:rsid w:val="220A4AC0"/>
    <w:rsid w:val="22180203"/>
    <w:rsid w:val="228A7081"/>
    <w:rsid w:val="228E11F6"/>
    <w:rsid w:val="22AA7C62"/>
    <w:rsid w:val="22DD5BDB"/>
    <w:rsid w:val="22E63119"/>
    <w:rsid w:val="231C58A1"/>
    <w:rsid w:val="2322058C"/>
    <w:rsid w:val="235C2C2A"/>
    <w:rsid w:val="23865D6B"/>
    <w:rsid w:val="23C960C8"/>
    <w:rsid w:val="23DC4798"/>
    <w:rsid w:val="23FF1819"/>
    <w:rsid w:val="245E0E58"/>
    <w:rsid w:val="249E5066"/>
    <w:rsid w:val="24F86B97"/>
    <w:rsid w:val="252872B6"/>
    <w:rsid w:val="253036C5"/>
    <w:rsid w:val="256C4478"/>
    <w:rsid w:val="259579AF"/>
    <w:rsid w:val="25CC791A"/>
    <w:rsid w:val="25F63B64"/>
    <w:rsid w:val="25F72C80"/>
    <w:rsid w:val="25FE0597"/>
    <w:rsid w:val="262A4A65"/>
    <w:rsid w:val="264E443C"/>
    <w:rsid w:val="266C3E70"/>
    <w:rsid w:val="268C673B"/>
    <w:rsid w:val="26976104"/>
    <w:rsid w:val="26CB2F61"/>
    <w:rsid w:val="26F40BFF"/>
    <w:rsid w:val="271A3FF4"/>
    <w:rsid w:val="271C165B"/>
    <w:rsid w:val="276D638F"/>
    <w:rsid w:val="27870460"/>
    <w:rsid w:val="27F72D7E"/>
    <w:rsid w:val="284E28FF"/>
    <w:rsid w:val="28B74238"/>
    <w:rsid w:val="28B83CA7"/>
    <w:rsid w:val="28E502F9"/>
    <w:rsid w:val="28E9374F"/>
    <w:rsid w:val="29363F06"/>
    <w:rsid w:val="296F5B95"/>
    <w:rsid w:val="29AC777C"/>
    <w:rsid w:val="29DE0525"/>
    <w:rsid w:val="29EF70C8"/>
    <w:rsid w:val="2A0E1EBD"/>
    <w:rsid w:val="2A221D03"/>
    <w:rsid w:val="2A3716AB"/>
    <w:rsid w:val="2ADE2A02"/>
    <w:rsid w:val="2AFC75AE"/>
    <w:rsid w:val="2B0F6376"/>
    <w:rsid w:val="2B3B4C50"/>
    <w:rsid w:val="2B485DBB"/>
    <w:rsid w:val="2B4D50F0"/>
    <w:rsid w:val="2B692B05"/>
    <w:rsid w:val="2B69347C"/>
    <w:rsid w:val="2B8C0A94"/>
    <w:rsid w:val="2BCD4D24"/>
    <w:rsid w:val="2BDE1876"/>
    <w:rsid w:val="2C165FD1"/>
    <w:rsid w:val="2C324A12"/>
    <w:rsid w:val="2C427C83"/>
    <w:rsid w:val="2C484235"/>
    <w:rsid w:val="2C580EC7"/>
    <w:rsid w:val="2C875848"/>
    <w:rsid w:val="2DAD2E9F"/>
    <w:rsid w:val="2E0C0EE9"/>
    <w:rsid w:val="2E3301F9"/>
    <w:rsid w:val="2E3D6CA4"/>
    <w:rsid w:val="2E7C3545"/>
    <w:rsid w:val="2E7DFA65"/>
    <w:rsid w:val="2E8A7581"/>
    <w:rsid w:val="2E952CA9"/>
    <w:rsid w:val="2EB35A8A"/>
    <w:rsid w:val="2EEC3FC4"/>
    <w:rsid w:val="2F28730D"/>
    <w:rsid w:val="2F3A096F"/>
    <w:rsid w:val="2F6046E7"/>
    <w:rsid w:val="2F75C179"/>
    <w:rsid w:val="2F803098"/>
    <w:rsid w:val="2F8D7DD7"/>
    <w:rsid w:val="2FA65D29"/>
    <w:rsid w:val="2FAC5A0D"/>
    <w:rsid w:val="2FF43D8C"/>
    <w:rsid w:val="2FFE984E"/>
    <w:rsid w:val="30104E20"/>
    <w:rsid w:val="304862D7"/>
    <w:rsid w:val="304E3815"/>
    <w:rsid w:val="306A6644"/>
    <w:rsid w:val="309F019C"/>
    <w:rsid w:val="30C51137"/>
    <w:rsid w:val="30D01CFA"/>
    <w:rsid w:val="30D94F87"/>
    <w:rsid w:val="30DA24F1"/>
    <w:rsid w:val="310959FE"/>
    <w:rsid w:val="3109732A"/>
    <w:rsid w:val="315E5833"/>
    <w:rsid w:val="317B62B4"/>
    <w:rsid w:val="31890B30"/>
    <w:rsid w:val="319E2D8B"/>
    <w:rsid w:val="31BA061B"/>
    <w:rsid w:val="32080EDC"/>
    <w:rsid w:val="32262809"/>
    <w:rsid w:val="326E027C"/>
    <w:rsid w:val="328D69DF"/>
    <w:rsid w:val="32AB7EAB"/>
    <w:rsid w:val="32B71D27"/>
    <w:rsid w:val="32DE07F1"/>
    <w:rsid w:val="32FE5E1F"/>
    <w:rsid w:val="33152997"/>
    <w:rsid w:val="333113A7"/>
    <w:rsid w:val="33323300"/>
    <w:rsid w:val="33505C7F"/>
    <w:rsid w:val="3354591C"/>
    <w:rsid w:val="33792030"/>
    <w:rsid w:val="33806DB1"/>
    <w:rsid w:val="338527AA"/>
    <w:rsid w:val="33A83053"/>
    <w:rsid w:val="33AE0711"/>
    <w:rsid w:val="34777EA9"/>
    <w:rsid w:val="347E1FD2"/>
    <w:rsid w:val="348573AD"/>
    <w:rsid w:val="34994326"/>
    <w:rsid w:val="350F48CD"/>
    <w:rsid w:val="352C7928"/>
    <w:rsid w:val="357E5409"/>
    <w:rsid w:val="35945D5F"/>
    <w:rsid w:val="35B30F60"/>
    <w:rsid w:val="35B3556B"/>
    <w:rsid w:val="35C10B61"/>
    <w:rsid w:val="35F5325E"/>
    <w:rsid w:val="360630CA"/>
    <w:rsid w:val="360A76FC"/>
    <w:rsid w:val="36364586"/>
    <w:rsid w:val="366A08A1"/>
    <w:rsid w:val="36BB64A0"/>
    <w:rsid w:val="36DA10D1"/>
    <w:rsid w:val="371E73E3"/>
    <w:rsid w:val="37243BD7"/>
    <w:rsid w:val="375C659B"/>
    <w:rsid w:val="376B45FB"/>
    <w:rsid w:val="376D57DD"/>
    <w:rsid w:val="379320DC"/>
    <w:rsid w:val="37E81DE8"/>
    <w:rsid w:val="37F204E2"/>
    <w:rsid w:val="38275D59"/>
    <w:rsid w:val="3848012E"/>
    <w:rsid w:val="38892BF8"/>
    <w:rsid w:val="389471E3"/>
    <w:rsid w:val="38984F4D"/>
    <w:rsid w:val="38BE5424"/>
    <w:rsid w:val="38F86950"/>
    <w:rsid w:val="39525C52"/>
    <w:rsid w:val="3956425B"/>
    <w:rsid w:val="39A25744"/>
    <w:rsid w:val="39A27F1F"/>
    <w:rsid w:val="39A46823"/>
    <w:rsid w:val="39A64D30"/>
    <w:rsid w:val="39BF2659"/>
    <w:rsid w:val="39CC499F"/>
    <w:rsid w:val="3A120448"/>
    <w:rsid w:val="3A165F0A"/>
    <w:rsid w:val="3A1A0369"/>
    <w:rsid w:val="3A202424"/>
    <w:rsid w:val="3A4E17C3"/>
    <w:rsid w:val="3A816B64"/>
    <w:rsid w:val="3AE466CD"/>
    <w:rsid w:val="3AF45BE0"/>
    <w:rsid w:val="3AF460F5"/>
    <w:rsid w:val="3B2F2062"/>
    <w:rsid w:val="3B3065DF"/>
    <w:rsid w:val="3B6141E8"/>
    <w:rsid w:val="3B721C7C"/>
    <w:rsid w:val="3BBFC04A"/>
    <w:rsid w:val="3BEA5380"/>
    <w:rsid w:val="3C1C076F"/>
    <w:rsid w:val="3C1D10AF"/>
    <w:rsid w:val="3C3F24CA"/>
    <w:rsid w:val="3C5D7D9D"/>
    <w:rsid w:val="3D1C54C3"/>
    <w:rsid w:val="3D4F2F4A"/>
    <w:rsid w:val="3D6C60E9"/>
    <w:rsid w:val="3D8154FB"/>
    <w:rsid w:val="3D855C98"/>
    <w:rsid w:val="3DB83A24"/>
    <w:rsid w:val="3E0063C6"/>
    <w:rsid w:val="3E2570E8"/>
    <w:rsid w:val="3E3143FD"/>
    <w:rsid w:val="3E7F45FD"/>
    <w:rsid w:val="3EC949BD"/>
    <w:rsid w:val="3EE75007"/>
    <w:rsid w:val="3EE7795E"/>
    <w:rsid w:val="3F1D1FAD"/>
    <w:rsid w:val="3F1E0E25"/>
    <w:rsid w:val="3F2D790E"/>
    <w:rsid w:val="3F3917BB"/>
    <w:rsid w:val="3F453F96"/>
    <w:rsid w:val="3F570A10"/>
    <w:rsid w:val="3F943D54"/>
    <w:rsid w:val="3F9758B1"/>
    <w:rsid w:val="3FCB42E0"/>
    <w:rsid w:val="3FD77559"/>
    <w:rsid w:val="3FF2193A"/>
    <w:rsid w:val="40342F71"/>
    <w:rsid w:val="404F2B17"/>
    <w:rsid w:val="405979F4"/>
    <w:rsid w:val="40895D14"/>
    <w:rsid w:val="40AE34F0"/>
    <w:rsid w:val="40BA2B58"/>
    <w:rsid w:val="41662C2D"/>
    <w:rsid w:val="41941571"/>
    <w:rsid w:val="41C73588"/>
    <w:rsid w:val="41DE4F09"/>
    <w:rsid w:val="41EC43CC"/>
    <w:rsid w:val="41FF695D"/>
    <w:rsid w:val="42642ED6"/>
    <w:rsid w:val="42967F6B"/>
    <w:rsid w:val="42D665BD"/>
    <w:rsid w:val="43184C21"/>
    <w:rsid w:val="431B75AC"/>
    <w:rsid w:val="4327476D"/>
    <w:rsid w:val="4363766A"/>
    <w:rsid w:val="43821027"/>
    <w:rsid w:val="438F1360"/>
    <w:rsid w:val="43AA2C88"/>
    <w:rsid w:val="43B3197C"/>
    <w:rsid w:val="44114AB5"/>
    <w:rsid w:val="4460424B"/>
    <w:rsid w:val="44636E08"/>
    <w:rsid w:val="44AC0A6D"/>
    <w:rsid w:val="44CF25B3"/>
    <w:rsid w:val="44D42C8A"/>
    <w:rsid w:val="452112A4"/>
    <w:rsid w:val="454A2BAB"/>
    <w:rsid w:val="459308E1"/>
    <w:rsid w:val="45A93012"/>
    <w:rsid w:val="45D4644E"/>
    <w:rsid w:val="46015244"/>
    <w:rsid w:val="46146ADE"/>
    <w:rsid w:val="467E0A90"/>
    <w:rsid w:val="46A303B3"/>
    <w:rsid w:val="46B72EB2"/>
    <w:rsid w:val="46B8463D"/>
    <w:rsid w:val="46CE379B"/>
    <w:rsid w:val="46E84813"/>
    <w:rsid w:val="46F917F3"/>
    <w:rsid w:val="47085ABB"/>
    <w:rsid w:val="47172C63"/>
    <w:rsid w:val="471D62BA"/>
    <w:rsid w:val="47356D0C"/>
    <w:rsid w:val="47711FF7"/>
    <w:rsid w:val="47AE8E64"/>
    <w:rsid w:val="47AF1438"/>
    <w:rsid w:val="47B56EA9"/>
    <w:rsid w:val="481E0D00"/>
    <w:rsid w:val="482A469C"/>
    <w:rsid w:val="483045AC"/>
    <w:rsid w:val="48732DFA"/>
    <w:rsid w:val="48922332"/>
    <w:rsid w:val="48F33103"/>
    <w:rsid w:val="491414FC"/>
    <w:rsid w:val="491B0BF5"/>
    <w:rsid w:val="492018AE"/>
    <w:rsid w:val="494527BF"/>
    <w:rsid w:val="499A4C83"/>
    <w:rsid w:val="499E6F1D"/>
    <w:rsid w:val="499F4637"/>
    <w:rsid w:val="49C56F37"/>
    <w:rsid w:val="4A174DEF"/>
    <w:rsid w:val="4A1A1AFC"/>
    <w:rsid w:val="4A1C7F69"/>
    <w:rsid w:val="4A4A2194"/>
    <w:rsid w:val="4A4A7BE5"/>
    <w:rsid w:val="4A693618"/>
    <w:rsid w:val="4A83553B"/>
    <w:rsid w:val="4AAA7672"/>
    <w:rsid w:val="4AC62A9D"/>
    <w:rsid w:val="4B313C34"/>
    <w:rsid w:val="4B315A79"/>
    <w:rsid w:val="4B670988"/>
    <w:rsid w:val="4B6F1602"/>
    <w:rsid w:val="4B8A014A"/>
    <w:rsid w:val="4B977072"/>
    <w:rsid w:val="4BC14EAA"/>
    <w:rsid w:val="4C050246"/>
    <w:rsid w:val="4C0F23A4"/>
    <w:rsid w:val="4C120763"/>
    <w:rsid w:val="4C194E4E"/>
    <w:rsid w:val="4C43011D"/>
    <w:rsid w:val="4C6263AC"/>
    <w:rsid w:val="4CC874A2"/>
    <w:rsid w:val="4CD001E9"/>
    <w:rsid w:val="4D2A124B"/>
    <w:rsid w:val="4D423A0C"/>
    <w:rsid w:val="4D6A309D"/>
    <w:rsid w:val="4D9E31C3"/>
    <w:rsid w:val="4DB52D78"/>
    <w:rsid w:val="4DB60839"/>
    <w:rsid w:val="4DB6655A"/>
    <w:rsid w:val="4DC108F4"/>
    <w:rsid w:val="4DF0484B"/>
    <w:rsid w:val="4E0176F5"/>
    <w:rsid w:val="4E1B37B3"/>
    <w:rsid w:val="4E414BB2"/>
    <w:rsid w:val="4E5FC564"/>
    <w:rsid w:val="4E7E4296"/>
    <w:rsid w:val="4E803067"/>
    <w:rsid w:val="4ED24E8A"/>
    <w:rsid w:val="4ED75229"/>
    <w:rsid w:val="4EE02640"/>
    <w:rsid w:val="4F2C4F1E"/>
    <w:rsid w:val="4F5624CB"/>
    <w:rsid w:val="4FB467F9"/>
    <w:rsid w:val="4FCF187E"/>
    <w:rsid w:val="4FD02F65"/>
    <w:rsid w:val="4FEE03A0"/>
    <w:rsid w:val="4FF9BE5F"/>
    <w:rsid w:val="50425D9B"/>
    <w:rsid w:val="506A5C79"/>
    <w:rsid w:val="50E97B0D"/>
    <w:rsid w:val="510D07DF"/>
    <w:rsid w:val="512D6C02"/>
    <w:rsid w:val="5176762C"/>
    <w:rsid w:val="51944BC6"/>
    <w:rsid w:val="519B28E7"/>
    <w:rsid w:val="51A74CAA"/>
    <w:rsid w:val="523145DE"/>
    <w:rsid w:val="52832C8D"/>
    <w:rsid w:val="52AC1B52"/>
    <w:rsid w:val="52DB3A4A"/>
    <w:rsid w:val="52E57CC3"/>
    <w:rsid w:val="53061C45"/>
    <w:rsid w:val="53110B80"/>
    <w:rsid w:val="5312550A"/>
    <w:rsid w:val="538B4DE8"/>
    <w:rsid w:val="53A94D0A"/>
    <w:rsid w:val="53DE69BF"/>
    <w:rsid w:val="541E45C6"/>
    <w:rsid w:val="54486516"/>
    <w:rsid w:val="5473383A"/>
    <w:rsid w:val="549414A4"/>
    <w:rsid w:val="54A149D9"/>
    <w:rsid w:val="54A34230"/>
    <w:rsid w:val="54C60350"/>
    <w:rsid w:val="54D723E8"/>
    <w:rsid w:val="54EB7031"/>
    <w:rsid w:val="550721D5"/>
    <w:rsid w:val="551D0BF2"/>
    <w:rsid w:val="555E7D76"/>
    <w:rsid w:val="55A47060"/>
    <w:rsid w:val="55A82D9F"/>
    <w:rsid w:val="55AC636A"/>
    <w:rsid w:val="55BD4114"/>
    <w:rsid w:val="55C15CC7"/>
    <w:rsid w:val="55C93441"/>
    <w:rsid w:val="55D553DE"/>
    <w:rsid w:val="55EB6C18"/>
    <w:rsid w:val="563648E8"/>
    <w:rsid w:val="56A650A5"/>
    <w:rsid w:val="56B62362"/>
    <w:rsid w:val="56B967C0"/>
    <w:rsid w:val="56BE67A9"/>
    <w:rsid w:val="56EE7782"/>
    <w:rsid w:val="56FB5DFE"/>
    <w:rsid w:val="56FD8F12"/>
    <w:rsid w:val="5701674D"/>
    <w:rsid w:val="572B18A4"/>
    <w:rsid w:val="574E6A43"/>
    <w:rsid w:val="57550496"/>
    <w:rsid w:val="576B0D91"/>
    <w:rsid w:val="57830686"/>
    <w:rsid w:val="57C96345"/>
    <w:rsid w:val="57D17697"/>
    <w:rsid w:val="57D92384"/>
    <w:rsid w:val="57DB740C"/>
    <w:rsid w:val="57E06FC5"/>
    <w:rsid w:val="57EB60A6"/>
    <w:rsid w:val="58020827"/>
    <w:rsid w:val="581808D2"/>
    <w:rsid w:val="584A0949"/>
    <w:rsid w:val="588A7858"/>
    <w:rsid w:val="588E3A11"/>
    <w:rsid w:val="58941028"/>
    <w:rsid w:val="58A43CF2"/>
    <w:rsid w:val="58A44110"/>
    <w:rsid w:val="58BE3005"/>
    <w:rsid w:val="58DE21CC"/>
    <w:rsid w:val="5927169E"/>
    <w:rsid w:val="594902D2"/>
    <w:rsid w:val="595042AA"/>
    <w:rsid w:val="59531B7C"/>
    <w:rsid w:val="595B4DC9"/>
    <w:rsid w:val="5973475B"/>
    <w:rsid w:val="59F065AD"/>
    <w:rsid w:val="5A344B23"/>
    <w:rsid w:val="5A57353A"/>
    <w:rsid w:val="5AB801DA"/>
    <w:rsid w:val="5AEF28FC"/>
    <w:rsid w:val="5B093AF8"/>
    <w:rsid w:val="5B2616E5"/>
    <w:rsid w:val="5B313FD1"/>
    <w:rsid w:val="5B3A4C3E"/>
    <w:rsid w:val="5B3F2EF0"/>
    <w:rsid w:val="5B884B96"/>
    <w:rsid w:val="5BBB0F00"/>
    <w:rsid w:val="5BC17430"/>
    <w:rsid w:val="5BF93517"/>
    <w:rsid w:val="5C325366"/>
    <w:rsid w:val="5C441A74"/>
    <w:rsid w:val="5CE95E81"/>
    <w:rsid w:val="5CEB3254"/>
    <w:rsid w:val="5D03572C"/>
    <w:rsid w:val="5D090FC9"/>
    <w:rsid w:val="5D0F6A83"/>
    <w:rsid w:val="5D480F4A"/>
    <w:rsid w:val="5D505AC6"/>
    <w:rsid w:val="5D7217AC"/>
    <w:rsid w:val="5D8F6D1E"/>
    <w:rsid w:val="5DE057CC"/>
    <w:rsid w:val="5E0B348D"/>
    <w:rsid w:val="5ED47E8C"/>
    <w:rsid w:val="5F2053F5"/>
    <w:rsid w:val="5F3A0382"/>
    <w:rsid w:val="5F734C9F"/>
    <w:rsid w:val="5FA2526B"/>
    <w:rsid w:val="5FAA3C47"/>
    <w:rsid w:val="5FC11647"/>
    <w:rsid w:val="5FCE397E"/>
    <w:rsid w:val="5FD0361E"/>
    <w:rsid w:val="5FEE09C7"/>
    <w:rsid w:val="5FF61953"/>
    <w:rsid w:val="600E54F4"/>
    <w:rsid w:val="604157B4"/>
    <w:rsid w:val="60432042"/>
    <w:rsid w:val="60645950"/>
    <w:rsid w:val="607B75C7"/>
    <w:rsid w:val="60A827A3"/>
    <w:rsid w:val="60B9658A"/>
    <w:rsid w:val="60D51A59"/>
    <w:rsid w:val="60E82224"/>
    <w:rsid w:val="60F575C1"/>
    <w:rsid w:val="61147D5F"/>
    <w:rsid w:val="61220EC7"/>
    <w:rsid w:val="61672D60"/>
    <w:rsid w:val="61B17DFE"/>
    <w:rsid w:val="61CE4C77"/>
    <w:rsid w:val="622A43DD"/>
    <w:rsid w:val="626A0523"/>
    <w:rsid w:val="62847EA7"/>
    <w:rsid w:val="62DB637F"/>
    <w:rsid w:val="62FA10BA"/>
    <w:rsid w:val="62FD5017"/>
    <w:rsid w:val="63141A74"/>
    <w:rsid w:val="63182B8A"/>
    <w:rsid w:val="63296CF6"/>
    <w:rsid w:val="63532130"/>
    <w:rsid w:val="63AB651E"/>
    <w:rsid w:val="63B868A3"/>
    <w:rsid w:val="63CB5BE6"/>
    <w:rsid w:val="63D615FE"/>
    <w:rsid w:val="63FE2E3D"/>
    <w:rsid w:val="640B7333"/>
    <w:rsid w:val="64137DD0"/>
    <w:rsid w:val="64195594"/>
    <w:rsid w:val="6467184C"/>
    <w:rsid w:val="6469117D"/>
    <w:rsid w:val="64871562"/>
    <w:rsid w:val="649A0130"/>
    <w:rsid w:val="64E42211"/>
    <w:rsid w:val="64EA7FB1"/>
    <w:rsid w:val="64EC6C5A"/>
    <w:rsid w:val="650104F4"/>
    <w:rsid w:val="651B358E"/>
    <w:rsid w:val="653D7AF3"/>
    <w:rsid w:val="65635745"/>
    <w:rsid w:val="657B0A8B"/>
    <w:rsid w:val="659B1C8E"/>
    <w:rsid w:val="65B119A5"/>
    <w:rsid w:val="65DB70A8"/>
    <w:rsid w:val="65F916BF"/>
    <w:rsid w:val="660A0257"/>
    <w:rsid w:val="66157FDD"/>
    <w:rsid w:val="6622535F"/>
    <w:rsid w:val="66565CBE"/>
    <w:rsid w:val="66772A46"/>
    <w:rsid w:val="66A12CC1"/>
    <w:rsid w:val="670E76D1"/>
    <w:rsid w:val="672935DA"/>
    <w:rsid w:val="67574E33"/>
    <w:rsid w:val="67630CEF"/>
    <w:rsid w:val="67643342"/>
    <w:rsid w:val="67744584"/>
    <w:rsid w:val="67745B77"/>
    <w:rsid w:val="67D77C44"/>
    <w:rsid w:val="67E81E4D"/>
    <w:rsid w:val="68120C78"/>
    <w:rsid w:val="68352BB8"/>
    <w:rsid w:val="684F28B3"/>
    <w:rsid w:val="685748DD"/>
    <w:rsid w:val="68645048"/>
    <w:rsid w:val="68816D21"/>
    <w:rsid w:val="6882763F"/>
    <w:rsid w:val="6884648C"/>
    <w:rsid w:val="68A857F0"/>
    <w:rsid w:val="690459DC"/>
    <w:rsid w:val="690B7AFD"/>
    <w:rsid w:val="695140AB"/>
    <w:rsid w:val="69543567"/>
    <w:rsid w:val="69B036CF"/>
    <w:rsid w:val="69BE7BAE"/>
    <w:rsid w:val="69C2047C"/>
    <w:rsid w:val="69C37C4F"/>
    <w:rsid w:val="6A180980"/>
    <w:rsid w:val="6A47420B"/>
    <w:rsid w:val="6A575068"/>
    <w:rsid w:val="6A6D318E"/>
    <w:rsid w:val="6A90444F"/>
    <w:rsid w:val="6A930078"/>
    <w:rsid w:val="6AB63A2C"/>
    <w:rsid w:val="6AFC4C50"/>
    <w:rsid w:val="6AFF6DD9"/>
    <w:rsid w:val="6B120F8F"/>
    <w:rsid w:val="6B1C3B42"/>
    <w:rsid w:val="6B2031BA"/>
    <w:rsid w:val="6B29648C"/>
    <w:rsid w:val="6B3034CF"/>
    <w:rsid w:val="6B3F138E"/>
    <w:rsid w:val="6B6721F6"/>
    <w:rsid w:val="6B713444"/>
    <w:rsid w:val="6B78D789"/>
    <w:rsid w:val="6B7A60D6"/>
    <w:rsid w:val="6B8620A1"/>
    <w:rsid w:val="6B9F6D44"/>
    <w:rsid w:val="6C203A9A"/>
    <w:rsid w:val="6C385BB0"/>
    <w:rsid w:val="6C3E1EE4"/>
    <w:rsid w:val="6CA6506C"/>
    <w:rsid w:val="6CA77F53"/>
    <w:rsid w:val="6CB30550"/>
    <w:rsid w:val="6CB75CCD"/>
    <w:rsid w:val="6CBF5091"/>
    <w:rsid w:val="6D2D26D4"/>
    <w:rsid w:val="6D3769F7"/>
    <w:rsid w:val="6D6F7597"/>
    <w:rsid w:val="6DBB4EDE"/>
    <w:rsid w:val="6DDD7560"/>
    <w:rsid w:val="6DF2730A"/>
    <w:rsid w:val="6E5F5ACC"/>
    <w:rsid w:val="6E9303C1"/>
    <w:rsid w:val="6EC55FDD"/>
    <w:rsid w:val="6ECF03D4"/>
    <w:rsid w:val="6EDA6267"/>
    <w:rsid w:val="6EDF5304"/>
    <w:rsid w:val="6EEA4B30"/>
    <w:rsid w:val="6EEB1850"/>
    <w:rsid w:val="6EEB4762"/>
    <w:rsid w:val="6EF26EE8"/>
    <w:rsid w:val="6F011A46"/>
    <w:rsid w:val="6F1D62F1"/>
    <w:rsid w:val="6F7A3C37"/>
    <w:rsid w:val="6F7D3BC9"/>
    <w:rsid w:val="6FC02C16"/>
    <w:rsid w:val="6FEC219A"/>
    <w:rsid w:val="6FF6475E"/>
    <w:rsid w:val="70184EA3"/>
    <w:rsid w:val="70196CBA"/>
    <w:rsid w:val="706C77C5"/>
    <w:rsid w:val="70834935"/>
    <w:rsid w:val="70CB53E1"/>
    <w:rsid w:val="70E45041"/>
    <w:rsid w:val="7106655B"/>
    <w:rsid w:val="711E34BA"/>
    <w:rsid w:val="711E7CAD"/>
    <w:rsid w:val="714E12CF"/>
    <w:rsid w:val="7164564C"/>
    <w:rsid w:val="716F59BA"/>
    <w:rsid w:val="71EB057A"/>
    <w:rsid w:val="7209016D"/>
    <w:rsid w:val="7231659C"/>
    <w:rsid w:val="723E1659"/>
    <w:rsid w:val="7259341C"/>
    <w:rsid w:val="728B00C1"/>
    <w:rsid w:val="72B666A4"/>
    <w:rsid w:val="73214E54"/>
    <w:rsid w:val="733A1083"/>
    <w:rsid w:val="733E3EC7"/>
    <w:rsid w:val="734521A8"/>
    <w:rsid w:val="73707E67"/>
    <w:rsid w:val="73BA58EC"/>
    <w:rsid w:val="73C236BB"/>
    <w:rsid w:val="73CA7D44"/>
    <w:rsid w:val="73CB043E"/>
    <w:rsid w:val="741F0C23"/>
    <w:rsid w:val="74216CE6"/>
    <w:rsid w:val="743439CA"/>
    <w:rsid w:val="74687938"/>
    <w:rsid w:val="748F3308"/>
    <w:rsid w:val="74BC7F66"/>
    <w:rsid w:val="74C27582"/>
    <w:rsid w:val="74DD127A"/>
    <w:rsid w:val="74DD501D"/>
    <w:rsid w:val="75162ACF"/>
    <w:rsid w:val="753979C7"/>
    <w:rsid w:val="753DCFAD"/>
    <w:rsid w:val="754B1A74"/>
    <w:rsid w:val="75686B98"/>
    <w:rsid w:val="75C64E50"/>
    <w:rsid w:val="75ED3955"/>
    <w:rsid w:val="76422E1A"/>
    <w:rsid w:val="766F6EAD"/>
    <w:rsid w:val="7677072C"/>
    <w:rsid w:val="76A00464"/>
    <w:rsid w:val="76A021B3"/>
    <w:rsid w:val="76B664D7"/>
    <w:rsid w:val="76D7FD8D"/>
    <w:rsid w:val="76DC2E26"/>
    <w:rsid w:val="76E33575"/>
    <w:rsid w:val="76EB2B73"/>
    <w:rsid w:val="76F275C9"/>
    <w:rsid w:val="770B0914"/>
    <w:rsid w:val="771116A8"/>
    <w:rsid w:val="777D0A21"/>
    <w:rsid w:val="777E3185"/>
    <w:rsid w:val="77A33591"/>
    <w:rsid w:val="77A411C1"/>
    <w:rsid w:val="77D16924"/>
    <w:rsid w:val="782C2784"/>
    <w:rsid w:val="78326601"/>
    <w:rsid w:val="78430D47"/>
    <w:rsid w:val="78B46FED"/>
    <w:rsid w:val="78BD7805"/>
    <w:rsid w:val="78D17591"/>
    <w:rsid w:val="7902496B"/>
    <w:rsid w:val="79276A37"/>
    <w:rsid w:val="79293D78"/>
    <w:rsid w:val="793635C6"/>
    <w:rsid w:val="79722641"/>
    <w:rsid w:val="797F7147"/>
    <w:rsid w:val="79855DB0"/>
    <w:rsid w:val="79BE2A91"/>
    <w:rsid w:val="79D03DC8"/>
    <w:rsid w:val="79DFF2E8"/>
    <w:rsid w:val="79E7F505"/>
    <w:rsid w:val="79F3E4E0"/>
    <w:rsid w:val="79FE23AA"/>
    <w:rsid w:val="7A2114BD"/>
    <w:rsid w:val="7A3C3932"/>
    <w:rsid w:val="7A98062F"/>
    <w:rsid w:val="7A992CC0"/>
    <w:rsid w:val="7ABE58A9"/>
    <w:rsid w:val="7ABF07F0"/>
    <w:rsid w:val="7ADF4092"/>
    <w:rsid w:val="7AFA6CE8"/>
    <w:rsid w:val="7B3A50B0"/>
    <w:rsid w:val="7B3F4201"/>
    <w:rsid w:val="7B7A2758"/>
    <w:rsid w:val="7B8B2C1D"/>
    <w:rsid w:val="7B9223EB"/>
    <w:rsid w:val="7BAB6887"/>
    <w:rsid w:val="7BCA3B47"/>
    <w:rsid w:val="7BD020E4"/>
    <w:rsid w:val="7BFF63DE"/>
    <w:rsid w:val="7BFFF645"/>
    <w:rsid w:val="7C01614C"/>
    <w:rsid w:val="7C046E24"/>
    <w:rsid w:val="7C3403C9"/>
    <w:rsid w:val="7C43369E"/>
    <w:rsid w:val="7C6A1EB0"/>
    <w:rsid w:val="7CD67231"/>
    <w:rsid w:val="7CE64909"/>
    <w:rsid w:val="7CFF3521"/>
    <w:rsid w:val="7D2FBDBB"/>
    <w:rsid w:val="7D33E684"/>
    <w:rsid w:val="7D4E0C16"/>
    <w:rsid w:val="7D793C28"/>
    <w:rsid w:val="7D8C0F6F"/>
    <w:rsid w:val="7DB80D12"/>
    <w:rsid w:val="7DD60F10"/>
    <w:rsid w:val="7DFCB02C"/>
    <w:rsid w:val="7E096CA7"/>
    <w:rsid w:val="7E283F85"/>
    <w:rsid w:val="7E320950"/>
    <w:rsid w:val="7E6009A4"/>
    <w:rsid w:val="7EC806A9"/>
    <w:rsid w:val="7EE7345A"/>
    <w:rsid w:val="7EF557D1"/>
    <w:rsid w:val="7EFFFD1B"/>
    <w:rsid w:val="7F6A5445"/>
    <w:rsid w:val="7F6F18ED"/>
    <w:rsid w:val="7F704289"/>
    <w:rsid w:val="7F945FBF"/>
    <w:rsid w:val="7F9F0756"/>
    <w:rsid w:val="7FAC31CA"/>
    <w:rsid w:val="7FCF6FF7"/>
    <w:rsid w:val="7FD4C078"/>
    <w:rsid w:val="7FE30275"/>
    <w:rsid w:val="7FFF6267"/>
    <w:rsid w:val="8DEF6069"/>
    <w:rsid w:val="A9FF5CD5"/>
    <w:rsid w:val="AF7764F7"/>
    <w:rsid w:val="B9DF851B"/>
    <w:rsid w:val="BBF327A4"/>
    <w:rsid w:val="BF9D9EFC"/>
    <w:rsid w:val="BFBC6C6A"/>
    <w:rsid w:val="C76F248D"/>
    <w:rsid w:val="D7E747A0"/>
    <w:rsid w:val="D7EF186D"/>
    <w:rsid w:val="DEBF4A02"/>
    <w:rsid w:val="DFB7C49E"/>
    <w:rsid w:val="DFCF366A"/>
    <w:rsid w:val="DFF7A93C"/>
    <w:rsid w:val="DFFBA099"/>
    <w:rsid w:val="E25B10FB"/>
    <w:rsid w:val="E5BB6D21"/>
    <w:rsid w:val="E77F0572"/>
    <w:rsid w:val="E7FD0757"/>
    <w:rsid w:val="EF7ECDCE"/>
    <w:rsid w:val="F43F5E09"/>
    <w:rsid w:val="F4FD653A"/>
    <w:rsid w:val="F5EEEB82"/>
    <w:rsid w:val="F84BDA5F"/>
    <w:rsid w:val="FAEFB31B"/>
    <w:rsid w:val="FDFB381C"/>
    <w:rsid w:val="FDFF8C09"/>
    <w:rsid w:val="FEC9E393"/>
    <w:rsid w:val="FFDE0003"/>
    <w:rsid w:val="FFE64697"/>
    <w:rsid w:val="FFF1F5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8"/>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9"/>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52"/>
    <w:autoRedefine/>
    <w:qFormat/>
    <w:uiPriority w:val="0"/>
  </w:style>
  <w:style w:type="paragraph" w:styleId="8">
    <w:name w:val="Body Text"/>
    <w:basedOn w:val="1"/>
    <w:link w:val="54"/>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6"/>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paragraph" w:styleId="16">
    <w:name w:val="annotation subject"/>
    <w:basedOn w:val="7"/>
    <w:next w:val="7"/>
    <w:link w:val="53"/>
    <w:qFormat/>
    <w:uiPriority w:val="0"/>
    <w:rPr>
      <w:b/>
      <w:bCs/>
    </w:rPr>
  </w:style>
  <w:style w:type="table" w:styleId="18">
    <w:name w:val="Table Grid"/>
    <w:basedOn w:val="17"/>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autoRedefine/>
    <w:qFormat/>
    <w:uiPriority w:val="0"/>
    <w:rPr>
      <w:b/>
    </w:rPr>
  </w:style>
  <w:style w:type="character" w:styleId="21">
    <w:name w:val="Hyperlink"/>
    <w:basedOn w:val="19"/>
    <w:autoRedefine/>
    <w:unhideWhenUsed/>
    <w:qFormat/>
    <w:uiPriority w:val="99"/>
    <w:rPr>
      <w:color w:val="0563C1" w:themeColor="hyperlink"/>
      <w:u w:val="single"/>
      <w14:textFill>
        <w14:solidFill>
          <w14:schemeClr w14:val="hlink"/>
        </w14:solidFill>
      </w14:textFill>
    </w:rPr>
  </w:style>
  <w:style w:type="character" w:styleId="22">
    <w:name w:val="annotation reference"/>
    <w:basedOn w:val="19"/>
    <w:autoRedefine/>
    <w:qFormat/>
    <w:uiPriority w:val="0"/>
    <w:rPr>
      <w:sz w:val="21"/>
      <w:szCs w:val="21"/>
    </w:rPr>
  </w:style>
  <w:style w:type="paragraph" w:customStyle="1" w:styleId="23">
    <w:name w:val="Table Paragraph"/>
    <w:basedOn w:val="1"/>
    <w:autoRedefine/>
    <w:qFormat/>
    <w:uiPriority w:val="1"/>
  </w:style>
  <w:style w:type="table" w:customStyle="1" w:styleId="24">
    <w:name w:val="Table Normal1"/>
    <w:autoRedefine/>
    <w:unhideWhenUsed/>
    <w:qFormat/>
    <w:uiPriority w:val="2"/>
    <w:tblPr>
      <w:tblCellMar>
        <w:top w:w="0" w:type="dxa"/>
        <w:left w:w="0" w:type="dxa"/>
        <w:bottom w:w="0" w:type="dxa"/>
        <w:right w:w="0" w:type="dxa"/>
      </w:tblCellMar>
    </w:tblPr>
  </w:style>
  <w:style w:type="paragraph" w:customStyle="1" w:styleId="25">
    <w:name w:val="List Paragraph1"/>
    <w:basedOn w:val="1"/>
    <w:autoRedefine/>
    <w:qFormat/>
    <w:uiPriority w:val="34"/>
    <w:rPr>
      <w:rFonts w:asciiTheme="minorHAnsi" w:hAnsiTheme="minorHAnsi" w:eastAsiaTheme="minorEastAsia" w:cstheme="minorBidi"/>
    </w:rPr>
  </w:style>
  <w:style w:type="paragraph" w:customStyle="1" w:styleId="26">
    <w:name w:val="标题1-1"/>
    <w:basedOn w:val="2"/>
    <w:next w:val="1"/>
    <w:autoRedefine/>
    <w:qFormat/>
    <w:uiPriority w:val="1"/>
    <w:pPr>
      <w:numPr>
        <w:numId w:val="3"/>
      </w:numPr>
    </w:pPr>
    <w:rPr>
      <w:rFonts w:cs="Times New Roman"/>
      <w:bCs w:val="0"/>
      <w:color w:val="45A3A7"/>
    </w:rPr>
  </w:style>
  <w:style w:type="paragraph" w:customStyle="1" w:styleId="27">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8">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9">
    <w:name w:val="标题1-3"/>
    <w:basedOn w:val="2"/>
    <w:next w:val="1"/>
    <w:autoRedefine/>
    <w:qFormat/>
    <w:uiPriority w:val="1"/>
    <w:pPr>
      <w:numPr>
        <w:numId w:val="5"/>
      </w:numPr>
    </w:pPr>
    <w:rPr>
      <w:rFonts w:cs="Times New Roman"/>
      <w:color w:val="416AAB"/>
      <w:szCs w:val="32"/>
    </w:rPr>
  </w:style>
  <w:style w:type="paragraph" w:customStyle="1" w:styleId="30">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1">
    <w:name w:val="WPSOffice手动目录 1"/>
    <w:autoRedefine/>
    <w:qFormat/>
    <w:uiPriority w:val="0"/>
    <w:rPr>
      <w:rFonts w:asciiTheme="minorHAnsi" w:hAnsiTheme="minorHAnsi" w:eastAsiaTheme="minorHAnsi" w:cstheme="minorBidi"/>
      <w:lang w:val="en-US" w:eastAsia="zh-CN" w:bidi="ar-SA"/>
    </w:rPr>
  </w:style>
  <w:style w:type="paragraph" w:customStyle="1" w:styleId="32">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3">
    <w:name w:val="列出段落1"/>
    <w:basedOn w:val="1"/>
    <w:autoRedefine/>
    <w:unhideWhenUsed/>
    <w:qFormat/>
    <w:uiPriority w:val="34"/>
    <w:pPr>
      <w:spacing w:before="42"/>
      <w:ind w:left="1699" w:hanging="380"/>
    </w:pPr>
    <w:rPr>
      <w:sz w:val="24"/>
    </w:r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字符"/>
    <w:basedOn w:val="19"/>
    <w:link w:val="10"/>
    <w:autoRedefine/>
    <w:qFormat/>
    <w:uiPriority w:val="0"/>
    <w:rPr>
      <w:rFonts w:ascii="宋体" w:hAnsi="宋体" w:cs="宋体"/>
      <w:sz w:val="18"/>
      <w:szCs w:val="18"/>
      <w:lang w:eastAsia="en-US"/>
    </w:rPr>
  </w:style>
  <w:style w:type="character" w:customStyle="1" w:styleId="37">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8">
    <w:name w:val="标题 2 字符"/>
    <w:link w:val="3"/>
    <w:autoRedefine/>
    <w:qFormat/>
    <w:uiPriority w:val="1"/>
    <w:rPr>
      <w:rFonts w:ascii="Times New Roman" w:hAnsi="Times New Roman" w:eastAsia="微软雅黑" w:cs="黑体"/>
      <w:b/>
      <w:bCs/>
      <w:color w:val="62B541"/>
      <w:sz w:val="30"/>
      <w:szCs w:val="30"/>
    </w:rPr>
  </w:style>
  <w:style w:type="character" w:customStyle="1" w:styleId="39">
    <w:name w:val="标题 3 字符"/>
    <w:link w:val="4"/>
    <w:autoRedefine/>
    <w:qFormat/>
    <w:uiPriority w:val="1"/>
    <w:rPr>
      <w:rFonts w:ascii="宋体" w:hAnsi="宋体" w:eastAsia="微软雅黑"/>
      <w:b/>
      <w:sz w:val="28"/>
      <w:szCs w:val="30"/>
    </w:rPr>
  </w:style>
  <w:style w:type="table" w:customStyle="1" w:styleId="40">
    <w:name w:val="ffzstable0"/>
    <w:basedOn w:val="18"/>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1">
    <w:name w:val="ffzstable1"/>
    <w:basedOn w:val="18"/>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2">
    <w:name w:val="List Paragraph"/>
    <w:basedOn w:val="1"/>
    <w:autoRedefine/>
    <w:qFormat/>
    <w:uiPriority w:val="99"/>
    <w:pPr>
      <w:ind w:firstLine="420" w:firstLineChars="200"/>
    </w:p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font21"/>
    <w:basedOn w:val="19"/>
    <w:autoRedefine/>
    <w:qFormat/>
    <w:uiPriority w:val="0"/>
    <w:rPr>
      <w:rFonts w:hint="eastAsia" w:ascii="微软雅黑" w:hAnsi="微软雅黑" w:eastAsia="微软雅黑" w:cs="微软雅黑"/>
      <w:b/>
      <w:bCs/>
      <w:color w:val="FFFFFF"/>
      <w:sz w:val="21"/>
      <w:szCs w:val="21"/>
      <w:u w:val="none"/>
    </w:rPr>
  </w:style>
  <w:style w:type="character" w:customStyle="1" w:styleId="47">
    <w:name w:val="font101"/>
    <w:basedOn w:val="19"/>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9"/>
    <w:autoRedefine/>
    <w:qFormat/>
    <w:uiPriority w:val="0"/>
    <w:rPr>
      <w:rFonts w:hint="eastAsia" w:ascii="微软雅黑" w:hAnsi="微软雅黑" w:eastAsia="微软雅黑" w:cs="微软雅黑"/>
      <w:color w:val="000000"/>
      <w:sz w:val="21"/>
      <w:szCs w:val="21"/>
      <w:u w:val="none"/>
    </w:rPr>
  </w:style>
  <w:style w:type="character" w:customStyle="1" w:styleId="49">
    <w:name w:val="font31"/>
    <w:basedOn w:val="19"/>
    <w:autoRedefine/>
    <w:qFormat/>
    <w:uiPriority w:val="0"/>
    <w:rPr>
      <w:rFonts w:hint="eastAsia" w:ascii="微软雅黑" w:hAnsi="微软雅黑" w:eastAsia="微软雅黑" w:cs="微软雅黑"/>
      <w:b/>
      <w:bCs/>
      <w:color w:val="000000"/>
      <w:sz w:val="21"/>
      <w:szCs w:val="21"/>
      <w:u w:val="none"/>
    </w:rPr>
  </w:style>
  <w:style w:type="character" w:customStyle="1" w:styleId="50">
    <w:name w:val="font61"/>
    <w:basedOn w:val="19"/>
    <w:autoRedefine/>
    <w:qFormat/>
    <w:uiPriority w:val="0"/>
    <w:rPr>
      <w:rFonts w:hint="default" w:ascii="Times New Roman" w:hAnsi="Times New Roman" w:cs="Times New Roman"/>
      <w:color w:val="000000"/>
      <w:sz w:val="21"/>
      <w:szCs w:val="21"/>
      <w:u w:val="none"/>
    </w:rPr>
  </w:style>
  <w:style w:type="paragraph" w:customStyle="1" w:styleId="51">
    <w:name w:val="Table Text"/>
    <w:basedOn w:val="1"/>
    <w:semiHidden/>
    <w:qFormat/>
    <w:uiPriority w:val="0"/>
  </w:style>
  <w:style w:type="character" w:customStyle="1" w:styleId="52">
    <w:name w:val="批注文字 字符"/>
    <w:basedOn w:val="19"/>
    <w:link w:val="7"/>
    <w:qFormat/>
    <w:uiPriority w:val="0"/>
    <w:rPr>
      <w:rFonts w:ascii="宋体" w:hAnsi="宋体" w:cs="宋体"/>
      <w:sz w:val="22"/>
      <w:szCs w:val="22"/>
      <w:lang w:eastAsia="en-US"/>
    </w:rPr>
  </w:style>
  <w:style w:type="character" w:customStyle="1" w:styleId="53">
    <w:name w:val="批注主题 字符"/>
    <w:basedOn w:val="52"/>
    <w:link w:val="16"/>
    <w:qFormat/>
    <w:uiPriority w:val="0"/>
    <w:rPr>
      <w:rFonts w:ascii="宋体" w:hAnsi="宋体" w:cs="宋体"/>
      <w:b/>
      <w:bCs/>
      <w:sz w:val="22"/>
      <w:szCs w:val="22"/>
      <w:lang w:eastAsia="en-US"/>
    </w:rPr>
  </w:style>
  <w:style w:type="character" w:customStyle="1" w:styleId="54">
    <w:name w:val="正文文本 字符"/>
    <w:basedOn w:val="19"/>
    <w:link w:val="8"/>
    <w:qFormat/>
    <w:uiPriority w:val="1"/>
    <w:rPr>
      <w:rFonts w:ascii="宋体" w:hAnsi="宋体" w:cs="宋体"/>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3072</Words>
  <Characters>6708</Characters>
  <Lines>345</Lines>
  <Paragraphs>97</Paragraphs>
  <TotalTime>0</TotalTime>
  <ScaleCrop>false</ScaleCrop>
  <LinksUpToDate>false</LinksUpToDate>
  <CharactersWithSpaces>7386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2024-07-03T10:42:00Z</dcterms:created>
  <dc:creator>86131</dc:creator>
  <cp:lastModifiedBy>tassles-L</cp:lastModifiedBy>
  <dcterms:modified xsi:type="dcterms:W3CDTF">2026-05-09T06:40:00Z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ED88646F81454B0D8BAC26C01F264D67_13</vt:lpwstr>
  </property>
  <property fmtid="{D5CDD505-2E9C-101B-9397-08002B2CF9AE}" pid="4" name="KSOTemplateDocerSaveRecord">
    <vt:lpwstr>eyJoZGlkIjoiY2Y2NjU5MGIzZGFmM2M5NTIxMmI2NjdmNGQ0NDdjMDUiLCJ1c2VySWQiOiI2MjE3NDUxNTQifQ==</vt:lpwstr>
  </property>
</Properties>
</file>