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B278C9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2DE792D9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00EFF910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241916F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F901190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0CFCD6AC">
      <w:pPr>
        <w:rPr>
          <w:rFonts w:hint="default" w:ascii="Times New Roman" w:hAnsi="Times New Roman" w:eastAsia="微软雅黑" w:cs="Times New Roman"/>
        </w:rPr>
      </w:pPr>
    </w:p>
    <w:p w14:paraId="5C6FEADE">
      <w:pPr>
        <w:rPr>
          <w:rFonts w:hint="default" w:ascii="Times New Roman" w:hAnsi="Times New Roman" w:eastAsia="微软雅黑" w:cs="Times New Roman"/>
        </w:rPr>
      </w:pPr>
    </w:p>
    <w:p w14:paraId="6FE2D24A">
      <w:pPr>
        <w:rPr>
          <w:rFonts w:hint="default" w:ascii="Times New Roman" w:hAnsi="Times New Roman" w:eastAsia="微软雅黑" w:cs="Times New Roman"/>
        </w:rPr>
      </w:pPr>
    </w:p>
    <w:p w14:paraId="1A97189A">
      <w:pPr>
        <w:rPr>
          <w:rFonts w:hint="default" w:ascii="Times New Roman" w:hAnsi="Times New Roman" w:eastAsia="微软雅黑" w:cs="Times New Roman"/>
        </w:rPr>
      </w:pPr>
    </w:p>
    <w:p w14:paraId="54E2057F">
      <w:pPr>
        <w:rPr>
          <w:rFonts w:hint="default" w:ascii="Times New Roman" w:hAnsi="Times New Roman" w:eastAsia="微软雅黑" w:cs="Times New Roman"/>
        </w:rPr>
      </w:pPr>
    </w:p>
    <w:p w14:paraId="358742F4">
      <w:pPr>
        <w:rPr>
          <w:rFonts w:hint="default" w:ascii="Times New Roman" w:hAnsi="Times New Roman" w:eastAsia="微软雅黑" w:cs="Times New Roman"/>
        </w:rPr>
      </w:pPr>
    </w:p>
    <w:p w14:paraId="0336EBAD">
      <w:pPr>
        <w:rPr>
          <w:rFonts w:hint="default" w:ascii="Times New Roman" w:hAnsi="Times New Roman" w:eastAsia="微软雅黑" w:cs="Times New Roman"/>
        </w:rPr>
      </w:pPr>
    </w:p>
    <w:p w14:paraId="2EB2A82F">
      <w:pPr>
        <w:rPr>
          <w:rFonts w:hint="default" w:ascii="Times New Roman" w:hAnsi="Times New Roman" w:eastAsia="微软雅黑" w:cs="Times New Roman"/>
        </w:rPr>
      </w:pPr>
    </w:p>
    <w:p w14:paraId="55479995">
      <w:pPr>
        <w:rPr>
          <w:rFonts w:hint="default" w:ascii="Times New Roman" w:hAnsi="Times New Roman" w:eastAsia="微软雅黑" w:cs="Times New Roman"/>
          <w:lang w:eastAsia="zh-CN"/>
        </w:rPr>
      </w:pPr>
    </w:p>
    <w:p w14:paraId="77CC05F2">
      <w:pPr>
        <w:rPr>
          <w:rFonts w:hint="default" w:ascii="Times New Roman" w:hAnsi="Times New Roman" w:eastAsia="微软雅黑" w:cs="Times New Roman"/>
        </w:rPr>
      </w:pPr>
    </w:p>
    <w:p w14:paraId="7077AADF">
      <w:pPr>
        <w:rPr>
          <w:rFonts w:hint="default" w:ascii="Times New Roman" w:hAnsi="Times New Roman" w:eastAsia="微软雅黑" w:cs="Times New Roman"/>
        </w:rPr>
      </w:pPr>
    </w:p>
    <w:p w14:paraId="06E09CB8">
      <w:pPr>
        <w:rPr>
          <w:rFonts w:hint="default" w:ascii="Times New Roman" w:hAnsi="Times New Roman" w:eastAsia="微软雅黑" w:cs="Times New Roman"/>
        </w:rPr>
      </w:pPr>
    </w:p>
    <w:p w14:paraId="59852521">
      <w:pPr>
        <w:rPr>
          <w:rFonts w:hint="default" w:ascii="Times New Roman" w:hAnsi="Times New Roman" w:eastAsia="微软雅黑" w:cs="Times New Roman"/>
        </w:rPr>
      </w:pPr>
    </w:p>
    <w:p w14:paraId="696E8C17">
      <w:pPr>
        <w:rPr>
          <w:rFonts w:hint="default" w:ascii="Times New Roman" w:hAnsi="Times New Roman" w:eastAsia="微软雅黑" w:cs="Times New Roman"/>
        </w:rPr>
      </w:pPr>
    </w:p>
    <w:p w14:paraId="120F0095">
      <w:pPr>
        <w:jc w:val="center"/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HER</w:t>
      </w:r>
      <w:r>
        <w:rPr>
          <w:rFonts w:hint="eastAsia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2</w:t>
      </w:r>
      <w:r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基因扩增检测报告</w:t>
      </w:r>
    </w:p>
    <w:p w14:paraId="0929AAF8">
      <w:pPr>
        <w:rPr>
          <w:rFonts w:hint="default" w:ascii="Times New Roman" w:hAnsi="Times New Roman" w:eastAsia="微软雅黑" w:cs="Times New Roman"/>
        </w:rPr>
      </w:pPr>
    </w:p>
    <w:tbl>
      <w:tblPr>
        <w:tblStyle w:val="15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42F1C7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1BEEDD3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 托 人：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19C8B3DB">
            <w:pPr>
              <w:pStyle w:val="6"/>
              <w:jc w:val="center"/>
              <w:rPr>
                <w:rFonts w:ascii="黑体"/>
                <w:sz w:val="30"/>
                <w:szCs w:val="30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szCs w:val="30"/>
                <w:lang w:eastAsia="zh-CN"/>
              </w:rPr>
              <w:t>{{ client }}</w:t>
            </w:r>
          </w:p>
        </w:tc>
      </w:tr>
      <w:tr w14:paraId="6FDCF5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A335CC3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委托日期：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4FAF152C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commission_date }}</w:t>
            </w:r>
          </w:p>
        </w:tc>
      </w:tr>
      <w:tr w14:paraId="7744E7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226268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656335A9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subbarcode }}</w:t>
            </w:r>
          </w:p>
        </w:tc>
      </w:tr>
      <w:tr w14:paraId="6A745F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BA044A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782C4814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reportdate }}</w:t>
            </w:r>
          </w:p>
        </w:tc>
      </w:tr>
    </w:tbl>
    <w:p w14:paraId="3AA2D324">
      <w:pPr>
        <w:jc w:val="center"/>
        <w:rPr>
          <w:rFonts w:hint="default" w:ascii="Times New Roman" w:hAnsi="Times New Roman" w:eastAsia="微软雅黑" w:cs="Times New Roman"/>
        </w:rPr>
      </w:pPr>
    </w:p>
    <w:p w14:paraId="2A75A866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headerReference r:id="rId3" w:type="default"/>
          <w:footerReference r:id="rId4" w:type="default"/>
          <w:pgSz w:w="11910" w:h="16840"/>
          <w:pgMar w:top="1020" w:right="1020" w:bottom="1020" w:left="1020" w:header="397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34F84C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5372CC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>Content</w:t>
      </w:r>
    </w:p>
    <w:p w14:paraId="64519C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Style w:val="18"/>
          <w:rFonts w:hint="default" w:ascii="Times New Roman" w:hAnsi="Times New Roman" w:eastAsia="微软雅黑" w:cs="微软雅黑"/>
          <w:b/>
          <w:bCs/>
          <w:color w:val="62B541"/>
          <w:sz w:val="32"/>
          <w:szCs w:val="32"/>
          <w:lang w:val="en-US" w:eastAsia="zh-CN" w:bidi="ar-SA"/>
        </w:rPr>
      </w:sdtEndPr>
      <w:sdtContent>
        <w:p w14:paraId="2C9D0289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u w:val="single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TOC \o "1-2" \h \u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</w:p>
        <w:p w14:paraId="77CAEC3D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_Toc27202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_Toc27202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29853499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_Toc27475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_Toc27475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0753531D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_Toc3942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_Toc3942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5DF32E92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_Toc21769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_Toc21769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3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3BE426D7">
          <w:pPr>
            <w:pStyle w:val="11"/>
            <w:tabs>
              <w:tab w:val="right" w:leader="dot" w:pos="9870"/>
            </w:tabs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_Toc14200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参考资料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_Toc14200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5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53267737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</w:sdtContent>
    </w:sdt>
    <w:p w14:paraId="5A5A60A0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7500"/>
      <w:bookmarkStart w:id="1" w:name="_Toc24397"/>
      <w:bookmarkStart w:id="2" w:name="_Toc32054"/>
      <w:bookmarkStart w:id="3" w:name="_Toc13806"/>
      <w:bookmarkStart w:id="4" w:name="_Toc30143_WPSOffice_Level1"/>
      <w:bookmarkStart w:id="5" w:name="_Toc21009_WPSOffice_Level1"/>
      <w:bookmarkStart w:id="6" w:name="_Toc24178_WPSOffice_Level1"/>
      <w:bookmarkStart w:id="7" w:name="_Toc21669"/>
    </w:p>
    <w:p w14:paraId="67318613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footerReference r:id="rId5" w:type="default"/>
          <w:pgSz w:w="11910" w:h="16840"/>
          <w:pgMar w:top="1037" w:right="1020" w:bottom="981" w:left="1020" w:header="397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</w:p>
    <w:tbl>
      <w:tblPr>
        <w:tblStyle w:val="14"/>
        <w:tblpPr w:leftFromText="180" w:rightFromText="180" w:vertAnchor="text" w:horzAnchor="page" w:tblpX="973" w:tblpY="625"/>
        <w:tblW w:w="9870" w:type="dxa"/>
        <w:tblInd w:w="0" w:type="dxa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64F9C69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66DBA8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CE1AE8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9EA5E7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78ABC0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20AA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1C88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03737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08B98A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A54FE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0FDA1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6345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23ED7E6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F426A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C211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1EDDA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149FD5C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5E91F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49B57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1B222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32A2B936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27202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p w14:paraId="362D8E4C">
      <w:pPr>
        <w:rPr>
          <w:rFonts w:hint="default"/>
        </w:rPr>
      </w:pPr>
      <w:bookmarkStart w:id="31" w:name="_GoBack"/>
      <w:bookmarkEnd w:id="31"/>
    </w:p>
    <w:p w14:paraId="78BF1C4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27475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4"/>
        <w:tblpPr w:leftFromText="180" w:rightFromText="180" w:vertAnchor="text" w:horzAnchor="margin" w:tblpXSpec="center" w:tblpY="11"/>
        <w:tblW w:w="10251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12"/>
        <w:gridCol w:w="6639"/>
      </w:tblGrid>
      <w:tr w14:paraId="7D55B11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3612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32C1C486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12F033CC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HER-2基因扩增检测</w:t>
            </w:r>
          </w:p>
        </w:tc>
      </w:tr>
      <w:tr w14:paraId="7086B85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03A1577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6447B97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2EE020B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F82477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27FF7905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.Tumor_cel_content }}</w:t>
            </w:r>
          </w:p>
        </w:tc>
      </w:tr>
      <w:tr w14:paraId="0B92738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3CF7C817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0ADE8D59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  <w:tr w14:paraId="63C7637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327D564A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3B8DBAF3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</w:tbl>
    <w:p w14:paraId="7B50284D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5CE0A1BB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2B7D6FAB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3942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29"/>
        <w:gridCol w:w="4940"/>
      </w:tblGrid>
      <w:tr w14:paraId="56C199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8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865A832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9212D1D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IHC</w:t>
            </w:r>
          </w:p>
        </w:tc>
      </w:tr>
      <w:tr w14:paraId="48EB21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4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36EA15B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FB94D31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 w14:paraId="3C37C2F9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21D716C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1769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4"/>
        <w:tblpPr w:leftFromText="180" w:rightFromText="180" w:vertAnchor="text" w:horzAnchor="margin" w:tblpXSpec="center" w:tblpY="11"/>
        <w:tblW w:w="10516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9"/>
        <w:gridCol w:w="1940"/>
        <w:gridCol w:w="2303"/>
        <w:gridCol w:w="2151"/>
        <w:gridCol w:w="2593"/>
      </w:tblGrid>
      <w:tr w14:paraId="300E885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</w:tblPrEx>
        <w:trPr>
          <w:trHeight w:val="712" w:hRule="atLeast"/>
          <w:jc w:val="center"/>
        </w:trPr>
        <w:tc>
          <w:tcPr>
            <w:tcW w:w="152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8BF336B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1940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B32D448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230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BC37B93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215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A627D1D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检测结果</w:t>
            </w:r>
          </w:p>
        </w:tc>
        <w:tc>
          <w:tcPr>
            <w:tcW w:w="259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C9E31E1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组化结果</w:t>
            </w:r>
          </w:p>
        </w:tc>
      </w:tr>
      <w:tr w14:paraId="394876C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FE479C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 %}</w:t>
            </w:r>
          </w:p>
        </w:tc>
      </w:tr>
      <w:tr w14:paraId="7FB84F9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A93A42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590737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荧光原位杂交（FISH）</w:t>
            </w:r>
          </w:p>
        </w:tc>
        <w:tc>
          <w:tcPr>
            <w:tcW w:w="230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42BCD0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her2.her2_cep17 }}</w:t>
            </w:r>
          </w:p>
        </w:tc>
        <w:tc>
          <w:tcPr>
            <w:tcW w:w="2151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943E1B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her2.cep17_cell }}</w:t>
            </w: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49EE1B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</w:tr>
      <w:tr w14:paraId="63DD702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AE565D">
            <w:pPr>
              <w:pStyle w:val="47"/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282DC9">
            <w:pPr>
              <w:pStyle w:val="47"/>
            </w:pPr>
          </w:p>
        </w:tc>
        <w:tc>
          <w:tcPr>
            <w:tcW w:w="230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F60924">
            <w:pPr>
              <w:pStyle w:val="47"/>
            </w:pPr>
          </w:p>
        </w:tc>
        <w:tc>
          <w:tcPr>
            <w:tcW w:w="2151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370463">
            <w:pPr>
              <w:pStyle w:val="47"/>
            </w:pP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E98CDD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her2.her2_cell }}</w:t>
            </w:r>
          </w:p>
        </w:tc>
      </w:tr>
      <w:tr w14:paraId="37BA8E7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7734E0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{%tr else %}</w:t>
            </w:r>
          </w:p>
        </w:tc>
      </w:tr>
      <w:tr w14:paraId="4C7A4F1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81A975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D21271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230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13E0DA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.her2_cep17 }}</w:t>
            </w:r>
          </w:p>
        </w:tc>
        <w:tc>
          <w:tcPr>
            <w:tcW w:w="2151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032F4E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  <w:tc>
          <w:tcPr>
            <w:tcW w:w="259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5EF6AD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her2.histochemical }}</w:t>
            </w:r>
          </w:p>
        </w:tc>
      </w:tr>
      <w:tr w14:paraId="2E5C93E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70B7AE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B73719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0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9B86D6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.her2_cell }}</w:t>
            </w:r>
          </w:p>
        </w:tc>
        <w:tc>
          <w:tcPr>
            <w:tcW w:w="2151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446AD8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6DF1B5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16068AA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93752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DED559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0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6249DC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.cep17_cell }}</w:t>
            </w:r>
          </w:p>
        </w:tc>
        <w:tc>
          <w:tcPr>
            <w:tcW w:w="2151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CEC77B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9E092D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16B8E78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00C758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kern w:val="0"/>
                <w:sz w:val="22"/>
                <w:szCs w:val="22"/>
                <w:lang w:val="en-US" w:eastAsia="zh-CN" w:bidi="ar-SA"/>
              </w:rPr>
              <w:t>{%tr endif %}</w:t>
            </w:r>
          </w:p>
        </w:tc>
      </w:tr>
      <w:tr w14:paraId="4186C77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116EFF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‘乳腺癌’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003C7B3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309911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50ECCDA6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2C6DA5">
            <w:pPr>
              <w:adjustRightInd w:val="0"/>
              <w:snapToGrid w:val="0"/>
              <w:spacing w:line="204" w:lineRule="auto"/>
              <w:jc w:val="center"/>
            </w:pPr>
          </w:p>
          <w:p w14:paraId="27D3972A">
            <w:pPr>
              <w:adjustRightInd w:val="0"/>
              <w:snapToGrid w:val="0"/>
              <w:spacing w:line="204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lang w:val="en-US" w:eastAsia="zh-CN"/>
              </w:rPr>
            </w:pPr>
            <w:r>
              <w:drawing>
                <wp:inline distT="0" distB="0" distL="114300" distR="114300">
                  <wp:extent cx="4756785" cy="2853055"/>
                  <wp:effectExtent l="0" t="0" r="13335" b="12065"/>
                  <wp:docPr id="12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1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rcRect l="14443" r="409" b="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6785" cy="2853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644E5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04" w:lineRule="auto"/>
              <w:ind w:firstLine="480" w:firstLineChars="3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  <w:t>注：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US" w:eastAsia="zh-CN" w:bidi="ar"/>
              </w:rPr>
              <w:t>来源于乳腺癌HER2检测指南(2019版)&amp;非小细胞肺癌HER2变异临床诊疗实践专家共识2022版</w:t>
            </w:r>
          </w:p>
        </w:tc>
      </w:tr>
      <w:tr w14:paraId="6A9C8D1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7F45B8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胃癌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37E0909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00C10C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6BEAC05C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984BE4">
            <w:pPr>
              <w:adjustRightInd w:val="0"/>
              <w:snapToGrid w:val="0"/>
              <w:spacing w:line="204" w:lineRule="auto"/>
            </w:pPr>
          </w:p>
          <w:p w14:paraId="41EDA41F">
            <w:pPr>
              <w:adjustRightInd w:val="0"/>
              <w:snapToGrid w:val="0"/>
              <w:spacing w:line="204" w:lineRule="auto"/>
            </w:pPr>
            <w:r>
              <w:drawing>
                <wp:inline distT="0" distB="0" distL="114300" distR="114300">
                  <wp:extent cx="5010150" cy="2465070"/>
                  <wp:effectExtent l="0" t="0" r="3810" b="381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 r="3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0150" cy="2465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4C657EC">
            <w:pPr>
              <w:adjustRightInd w:val="0"/>
              <w:snapToGrid w:val="0"/>
              <w:spacing w:line="204" w:lineRule="auto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注：来源于胃癌胃镜活检标本HER-2检测中国专家共识（2023版）</w:t>
            </w:r>
          </w:p>
        </w:tc>
      </w:tr>
      <w:tr w14:paraId="3444C74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8B898D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尿路上皮癌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0B9B584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2FF63F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303272F7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9B11BD">
            <w:pPr>
              <w:adjustRightInd w:val="0"/>
              <w:snapToGrid w:val="0"/>
              <w:spacing w:line="204" w:lineRule="auto"/>
              <w:jc w:val="center"/>
            </w:pPr>
            <w:r>
              <w:drawing>
                <wp:inline distT="0" distB="0" distL="114300" distR="114300">
                  <wp:extent cx="5027295" cy="2075815"/>
                  <wp:effectExtent l="0" t="0" r="1905" b="12065"/>
                  <wp:docPr id="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7295" cy="2075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2C2C98">
            <w:pPr>
              <w:adjustRightInd w:val="0"/>
              <w:snapToGrid w:val="0"/>
              <w:spacing w:line="204" w:lineRule="auto"/>
              <w:jc w:val="left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</w:rPr>
              <w:t>中国尿路上皮癌人表皮生长因子受体2检测临床病理专家共识2021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版；低拷贝扩增：弱阳性</w:t>
            </w:r>
          </w:p>
        </w:tc>
      </w:tr>
      <w:tr w14:paraId="42D4B09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293F83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1AFB381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34EEEA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64C73ABC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B1981D">
            <w:pPr>
              <w:adjustRightInd w:val="0"/>
              <w:snapToGrid w:val="0"/>
              <w:spacing w:line="204" w:lineRule="auto"/>
            </w:pPr>
          </w:p>
          <w:p w14:paraId="186AC244">
            <w:pPr>
              <w:adjustRightInd w:val="0"/>
              <w:snapToGrid w:val="0"/>
              <w:spacing w:line="204" w:lineRule="auto"/>
            </w:pPr>
            <w:r>
              <w:rPr>
                <w:rFonts w:ascii="宋体" w:hAnsi="宋体" w:eastAsia="宋体" w:cs="宋体"/>
                <w:sz w:val="24"/>
                <w:szCs w:val="24"/>
              </w:rPr>
              <w:drawing>
                <wp:inline distT="0" distB="0" distL="114300" distR="114300">
                  <wp:extent cx="5030470" cy="2801620"/>
                  <wp:effectExtent l="0" t="0" r="13970" b="2540"/>
                  <wp:docPr id="2" name="图片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0470" cy="28016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9DE7E5F">
            <w:pP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注：来源于结直肠癌靶向治疗中国专家共识2023版。</w:t>
            </w:r>
          </w:p>
        </w:tc>
      </w:tr>
      <w:tr w14:paraId="7F8F7FA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0FF862">
            <w:pPr>
              <w:jc w:val="center"/>
              <w:rPr>
                <w:rFonts w:hint="default" w:ascii="微软雅黑" w:hAnsi="微软雅黑" w:eastAsia="微软雅黑" w:cs="微软雅黑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{%tr endif %}</w:t>
            </w:r>
          </w:p>
        </w:tc>
      </w:tr>
    </w:tbl>
    <w:p w14:paraId="761A1528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lang w:val="en-US" w:eastAsia="zh-CN"/>
        </w:rPr>
        <w:t>{%if her2.result !=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/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%}</w:t>
      </w: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  <w:r>
        <w:rPr>
          <w:rFonts w:hint="eastAsia" w:ascii="Times New Roman" w:hAnsi="Times New Roman" w:eastAsia="微软雅黑" w:cs="Times New Roman"/>
          <w:lang w:val="en-US" w:eastAsia="zh-CN"/>
        </w:rPr>
        <w:t>{{ her2.result }}{%endif%}</w:t>
      </w:r>
    </w:p>
    <w:tbl>
      <w:tblPr>
        <w:tblStyle w:val="56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09AA8E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0DE16EE6">
            <w:pPr>
              <w:adjustRightInd w:val="0"/>
              <w:jc w:val="both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>her2.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>examiner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1C7C73F2">
            <w:pPr>
              <w:adjustRightInd w:val="0"/>
              <w:jc w:val="both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审核医生：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73271617">
            <w:pPr>
              <w:jc w:val="both"/>
              <w:rPr>
                <w:b/>
                <w:sz w:val="16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>{{ her2.auditor }}</w:t>
            </w:r>
          </w:p>
        </w:tc>
        <w:tc>
          <w:tcPr>
            <w:tcW w:w="3118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55E0B6CD">
            <w:pPr>
              <w:widowControl w:val="0"/>
              <w:adjustRightInd w:val="0"/>
              <w:jc w:val="right"/>
              <w:rPr>
                <w:rFonts w:ascii="Calibri" w:hAnsi="Calibri" w:eastAsia="宋体" w:cs="Arial"/>
                <w:b/>
                <w:color w:val="000000"/>
                <w:sz w:val="16"/>
                <w:szCs w:val="16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en-US" w:bidi="ar"/>
              </w:rPr>
              <w:t>报告日期：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>reportdate2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 }}</w:t>
            </w:r>
          </w:p>
        </w:tc>
      </w:tr>
      <w:tr w14:paraId="712A70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62B541" w:sz="12" w:space="0"/>
              <w:left w:val="nil"/>
              <w:bottom w:val="nil"/>
              <w:right w:val="nil"/>
            </w:tcBorders>
          </w:tcPr>
          <w:p w14:paraId="31693E85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51B4C871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  <w:r>
        <w:drawing>
          <wp:anchor distT="0" distB="0" distL="0" distR="0" simplePos="0" relativeHeight="251661312" behindDoc="0" locked="0" layoutInCell="1" allowOverlap="1">
            <wp:simplePos x="0" y="0"/>
            <wp:positionH relativeFrom="column">
              <wp:posOffset>5020945</wp:posOffset>
            </wp:positionH>
            <wp:positionV relativeFrom="page">
              <wp:posOffset>8846820</wp:posOffset>
            </wp:positionV>
            <wp:extent cx="1443355" cy="1443355"/>
            <wp:effectExtent l="0" t="0" r="4445" b="4445"/>
            <wp:wrapNone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312DBC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14200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参考资料</w:t>
      </w:r>
      <w:bookmarkEnd w:id="12"/>
    </w:p>
    <w:bookmarkEnd w:id="0"/>
    <w:bookmarkEnd w:id="1"/>
    <w:bookmarkEnd w:id="2"/>
    <w:bookmarkEnd w:id="3"/>
    <w:bookmarkEnd w:id="4"/>
    <w:bookmarkEnd w:id="5"/>
    <w:bookmarkEnd w:id="6"/>
    <w:bookmarkEnd w:id="7"/>
    <w:p w14:paraId="38FC344C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HER2靶点解析</w:t>
      </w:r>
    </w:p>
    <w:p w14:paraId="29EB4AD2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人表皮生长因子受体２（HER2）是由原癌基因erbb-2编码的、具有酪氨酸激酶活性的跨膜糖蛋白，属于表皮生长因子受体家族成员。ERBB2蛋白介导的信号转导途径主要有Ras/Raf/丝裂原活化蛋白激酶(MAPK)途径，磷脂酰肌醇3羟基激酶(P13K)/Akt途径，信号转导及转录激活(</w:t>
      </w:r>
      <w:bookmarkStart w:id="13" w:name="OLE_LINK2"/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STAT</w:t>
      </w:r>
      <w:bookmarkEnd w:id="13"/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)途径和PLC通路等。HER2癌基因的致瘤机制是抑制凋亡，促进增殖；增加肿瘤细胞的侵袭力；促进肿瘤血管新生和淋巴管新生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 xml:space="preserve"> [1,2]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。HER2与乳腺癌、胃癌、结直肠癌、膀胱癌、卵巢癌、宫颈癌（胰腺癌）、肺癌等多种恶性肿瘤密切相关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>[3]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，因此对于HER2的检测在这些肿瘤的诊断、治疗及预后判断中具有重要意义。</w:t>
      </w:r>
    </w:p>
    <w:p w14:paraId="05652E90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</w:t>
      </w:r>
      <w:r>
        <w:rPr>
          <w:rFonts w:hint="eastAsia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靶点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已获批药物</w:t>
      </w:r>
      <w:bookmarkStart w:id="14" w:name="OLE_LINK3"/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[4,5]</w:t>
      </w:r>
    </w:p>
    <w:bookmarkEnd w:id="14"/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1"/>
        <w:gridCol w:w="3849"/>
        <w:gridCol w:w="3139"/>
      </w:tblGrid>
      <w:tr w14:paraId="64984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shd w:val="clear" w:color="auto" w:fill="BEBEBE"/>
            <w:vAlign w:val="center"/>
          </w:tcPr>
          <w:p w14:paraId="2764193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3849" w:type="dxa"/>
            <w:shd w:val="clear" w:color="auto" w:fill="BEBEBE"/>
            <w:vAlign w:val="center"/>
          </w:tcPr>
          <w:p w14:paraId="4364E7C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3139" w:type="dxa"/>
            <w:shd w:val="clear" w:color="auto" w:fill="BEBEBE"/>
            <w:vAlign w:val="center"/>
          </w:tcPr>
          <w:p w14:paraId="714D2E2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获批机构</w:t>
            </w:r>
          </w:p>
        </w:tc>
      </w:tr>
      <w:tr w14:paraId="6B128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51F4DD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曲妥珠单抗</w:t>
            </w:r>
          </w:p>
        </w:tc>
        <w:tc>
          <w:tcPr>
            <w:tcW w:w="3849" w:type="dxa"/>
            <w:vAlign w:val="center"/>
          </w:tcPr>
          <w:p w14:paraId="5D82AF9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乳腺癌、胃癌、结直肠癌</w:t>
            </w:r>
          </w:p>
        </w:tc>
        <w:tc>
          <w:tcPr>
            <w:tcW w:w="3139" w:type="dxa"/>
            <w:vAlign w:val="center"/>
          </w:tcPr>
          <w:p w14:paraId="61FE21D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1983A2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5FE4EDD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5" w:name="OLE_LINK8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帕妥珠单抗</w:t>
            </w:r>
            <w:bookmarkEnd w:id="15"/>
          </w:p>
        </w:tc>
        <w:tc>
          <w:tcPr>
            <w:tcW w:w="3849" w:type="dxa"/>
            <w:vAlign w:val="center"/>
          </w:tcPr>
          <w:p w14:paraId="41E54BC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3E6917C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6D536A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5794D8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拉帕替尼</w:t>
            </w:r>
          </w:p>
        </w:tc>
        <w:tc>
          <w:tcPr>
            <w:tcW w:w="3849" w:type="dxa"/>
            <w:vAlign w:val="center"/>
          </w:tcPr>
          <w:p w14:paraId="1984C19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01FE987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NMPA/FDA</w:t>
            </w:r>
          </w:p>
        </w:tc>
      </w:tr>
      <w:tr w14:paraId="575D1E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5B3505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6" w:name="OLE_LINK9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吡咯替尼</w:t>
            </w:r>
            <w:bookmarkEnd w:id="16"/>
          </w:p>
        </w:tc>
        <w:tc>
          <w:tcPr>
            <w:tcW w:w="3849" w:type="dxa"/>
            <w:vAlign w:val="center"/>
          </w:tcPr>
          <w:p w14:paraId="24E0DD6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42D4CA6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50BAE3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7C326F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7" w:name="OLE_LINK10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奈拉替尼</w:t>
            </w:r>
            <w:bookmarkEnd w:id="17"/>
          </w:p>
        </w:tc>
        <w:tc>
          <w:tcPr>
            <w:tcW w:w="3849" w:type="dxa"/>
            <w:vAlign w:val="center"/>
          </w:tcPr>
          <w:p w14:paraId="085FA41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294B178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03AAF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3804E0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 w:val="0"/>
                <w:sz w:val="21"/>
                <w:szCs w:val="21"/>
                <w:lang w:eastAsia="zh-CN"/>
              </w:rPr>
              <w:t>图卡替尼</w:t>
            </w:r>
          </w:p>
        </w:tc>
        <w:tc>
          <w:tcPr>
            <w:tcW w:w="3849" w:type="dxa"/>
            <w:vAlign w:val="center"/>
          </w:tcPr>
          <w:p w14:paraId="49BDE37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乳腺癌、结直肠癌</w:t>
            </w:r>
          </w:p>
        </w:tc>
        <w:tc>
          <w:tcPr>
            <w:tcW w:w="3139" w:type="dxa"/>
            <w:vAlign w:val="center"/>
          </w:tcPr>
          <w:p w14:paraId="6C53DA4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342273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3E9CCD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8" w:name="OLE_LINK11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伊尼妥单抗</w:t>
            </w:r>
            <w:bookmarkEnd w:id="18"/>
          </w:p>
        </w:tc>
        <w:tc>
          <w:tcPr>
            <w:tcW w:w="3849" w:type="dxa"/>
            <w:vAlign w:val="center"/>
          </w:tcPr>
          <w:p w14:paraId="2547437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0347A38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15107A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5C12158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9" w:name="OLE_LINK12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恩美曲妥珠单抗</w:t>
            </w:r>
            <w:bookmarkEnd w:id="19"/>
          </w:p>
        </w:tc>
        <w:tc>
          <w:tcPr>
            <w:tcW w:w="3849" w:type="dxa"/>
            <w:vAlign w:val="center"/>
          </w:tcPr>
          <w:p w14:paraId="28F1148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3D99FD4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7316D8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Merge w:val="restart"/>
            <w:vAlign w:val="center"/>
          </w:tcPr>
          <w:p w14:paraId="15017B4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0" w:name="OLE_LINK1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德曲妥珠单抗</w:t>
            </w:r>
            <w:bookmarkEnd w:id="20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*</w:t>
            </w:r>
          </w:p>
        </w:tc>
        <w:tc>
          <w:tcPr>
            <w:tcW w:w="3849" w:type="dxa"/>
            <w:vAlign w:val="center"/>
          </w:tcPr>
          <w:p w14:paraId="79A21A38">
            <w:pPr>
              <w:adjustRightInd w:val="0"/>
              <w:snapToGrid w:val="0"/>
              <w:jc w:val="center"/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</w:t>
            </w: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癌、非小细胞肺癌</w:t>
            </w:r>
            <w:r>
              <w:rPr>
                <w:rFonts w:hint="default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、胃癌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胃食管</w:t>
            </w:r>
          </w:p>
          <w:p w14:paraId="16385FB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结合腺癌</w:t>
            </w:r>
          </w:p>
        </w:tc>
        <w:tc>
          <w:tcPr>
            <w:tcW w:w="3139" w:type="dxa"/>
            <w:vAlign w:val="center"/>
          </w:tcPr>
          <w:p w14:paraId="79103F9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6BE6F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Merge w:val="continue"/>
            <w:vAlign w:val="center"/>
          </w:tcPr>
          <w:p w14:paraId="55F52B8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1" w:name="OLE_LINK14"/>
          </w:p>
        </w:tc>
        <w:tc>
          <w:tcPr>
            <w:tcW w:w="3849" w:type="dxa"/>
            <w:shd w:val="clear" w:color="auto" w:fill="auto"/>
            <w:vAlign w:val="center"/>
          </w:tcPr>
          <w:p w14:paraId="7825F9F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  <w:t>实体瘤</w:t>
            </w:r>
          </w:p>
        </w:tc>
        <w:tc>
          <w:tcPr>
            <w:tcW w:w="3139" w:type="dxa"/>
            <w:shd w:val="clear" w:color="auto" w:fill="auto"/>
            <w:vAlign w:val="center"/>
          </w:tcPr>
          <w:p w14:paraId="3172ABC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4E3CAC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7245A4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马吉妥昔单抗</w:t>
            </w:r>
            <w:bookmarkEnd w:id="21"/>
          </w:p>
        </w:tc>
        <w:tc>
          <w:tcPr>
            <w:tcW w:w="3849" w:type="dxa"/>
            <w:vAlign w:val="center"/>
          </w:tcPr>
          <w:p w14:paraId="59E813E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5CB014D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9CC1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3CAADC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维迪西妥单抗</w:t>
            </w:r>
          </w:p>
        </w:tc>
        <w:tc>
          <w:tcPr>
            <w:tcW w:w="3849" w:type="dxa"/>
            <w:vAlign w:val="center"/>
          </w:tcPr>
          <w:p w14:paraId="71EC52C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2" w:name="OLE_LINK15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</w:t>
            </w:r>
            <w:bookmarkEnd w:id="22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、膀胱尿路上皮癌</w:t>
            </w:r>
          </w:p>
        </w:tc>
        <w:tc>
          <w:tcPr>
            <w:tcW w:w="3139" w:type="dxa"/>
            <w:vAlign w:val="center"/>
          </w:tcPr>
          <w:p w14:paraId="23E7792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30881C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  <w:jc w:val="center"/>
        </w:trPr>
        <w:tc>
          <w:tcPr>
            <w:tcW w:w="3171" w:type="dxa"/>
            <w:vAlign w:val="center"/>
          </w:tcPr>
          <w:p w14:paraId="7BDB860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帕博利珠单抗</w:t>
            </w:r>
          </w:p>
        </w:tc>
        <w:tc>
          <w:tcPr>
            <w:tcW w:w="3849" w:type="dxa"/>
            <w:vAlign w:val="center"/>
          </w:tcPr>
          <w:p w14:paraId="7706C89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</w:t>
            </w:r>
          </w:p>
        </w:tc>
        <w:tc>
          <w:tcPr>
            <w:tcW w:w="3139" w:type="dxa"/>
            <w:vAlign w:val="center"/>
          </w:tcPr>
          <w:p w14:paraId="2363772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</w:tbl>
    <w:p w14:paraId="7620D2EA">
      <w:pPr>
        <w:adjustRightInd w:val="0"/>
        <w:snapToGrid w:val="0"/>
        <w:jc w:val="both"/>
        <w:rPr>
          <w:rFonts w:hint="default" w:ascii="Times New Roman" w:hAnsi="Times New Roman" w:eastAsia="微软雅黑" w:cs="Times New Roman"/>
          <w:b/>
          <w:bCs/>
          <w:color w:val="548DD4"/>
          <w:sz w:val="16"/>
          <w:szCs w:val="16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16"/>
          <w:szCs w:val="16"/>
          <w:lang w:eastAsia="zh-CN"/>
        </w:rPr>
        <w:t>注：德曲妥珠单抗* 经FDA批准可用于HER2低表达 (IHC 1+ or IHC 2+/ISH-）不可切除或转移性乳腺癌成人患者。</w:t>
      </w:r>
    </w:p>
    <w:p w14:paraId="48402BBD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其它处于临床研究阶段的</w:t>
      </w:r>
      <w:r>
        <w:rPr>
          <w:rFonts w:hint="default" w:ascii="Times New Roman" w:hAnsi="Times New Roman" w:eastAsia="微软雅黑" w:cs="Times New Roman"/>
          <w:b/>
          <w:bCs w:val="0"/>
          <w:lang w:val="en-US" w:eastAsia="zh-CN" w:bidi="ar-SA"/>
        </w:rPr>
        <w:t>（部分）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药物</w:t>
      </w:r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[6,7]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5"/>
        <w:gridCol w:w="2350"/>
        <w:gridCol w:w="1487"/>
        <w:gridCol w:w="2482"/>
        <w:gridCol w:w="1444"/>
      </w:tblGrid>
      <w:tr w14:paraId="5AA87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shd w:val="clear" w:color="auto" w:fill="BEBEBE"/>
            <w:vAlign w:val="center"/>
          </w:tcPr>
          <w:p w14:paraId="1FFF457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公司</w:t>
            </w:r>
          </w:p>
        </w:tc>
        <w:tc>
          <w:tcPr>
            <w:tcW w:w="2350" w:type="dxa"/>
            <w:shd w:val="clear" w:color="auto" w:fill="BEBEBE"/>
            <w:vAlign w:val="center"/>
          </w:tcPr>
          <w:p w14:paraId="57DF4E1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1487" w:type="dxa"/>
            <w:shd w:val="clear" w:color="auto" w:fill="BEBEBE"/>
            <w:vAlign w:val="center"/>
          </w:tcPr>
          <w:p w14:paraId="1007718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靶点</w:t>
            </w:r>
          </w:p>
        </w:tc>
        <w:tc>
          <w:tcPr>
            <w:tcW w:w="2482" w:type="dxa"/>
            <w:shd w:val="clear" w:color="auto" w:fill="BEBEBE"/>
            <w:vAlign w:val="center"/>
          </w:tcPr>
          <w:p w14:paraId="1E95284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1444" w:type="dxa"/>
            <w:shd w:val="clear" w:color="auto" w:fill="BEBEBE"/>
            <w:vAlign w:val="center"/>
          </w:tcPr>
          <w:p w14:paraId="6E664A4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临床分期</w:t>
            </w:r>
          </w:p>
        </w:tc>
      </w:tr>
      <w:tr w14:paraId="4D24C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52FC498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6C8C287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3" w:name="OLE_LINK18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</w:t>
            </w:r>
            <w:bookmarkEnd w:id="2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a</w:t>
            </w:r>
          </w:p>
        </w:tc>
        <w:tc>
          <w:tcPr>
            <w:tcW w:w="1487" w:type="dxa"/>
            <w:vAlign w:val="center"/>
          </w:tcPr>
          <w:p w14:paraId="3C59817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6000262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胃癌或GEJ腺癌</w:t>
            </w:r>
          </w:p>
        </w:tc>
        <w:tc>
          <w:tcPr>
            <w:tcW w:w="1444" w:type="dxa"/>
            <w:vAlign w:val="center"/>
          </w:tcPr>
          <w:p w14:paraId="55000A4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40ADB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7F51DC8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1A5A11C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0D345D6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18275A8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4A3C008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371E14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14BFDF2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7C9606E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3FBC6AB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3A1A5C6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实体瘤</w:t>
            </w:r>
          </w:p>
        </w:tc>
        <w:tc>
          <w:tcPr>
            <w:tcW w:w="1444" w:type="dxa"/>
            <w:vAlign w:val="center"/>
          </w:tcPr>
          <w:p w14:paraId="3408B1D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22626A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DE3E5F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阿斯利康</w:t>
            </w:r>
          </w:p>
        </w:tc>
        <w:tc>
          <w:tcPr>
            <w:tcW w:w="2350" w:type="dxa"/>
            <w:vAlign w:val="center"/>
          </w:tcPr>
          <w:p w14:paraId="6BEDB3D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30661B2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1652162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非小细胞肺癌</w:t>
            </w:r>
          </w:p>
        </w:tc>
        <w:tc>
          <w:tcPr>
            <w:tcW w:w="1444" w:type="dxa"/>
            <w:vAlign w:val="center"/>
          </w:tcPr>
          <w:p w14:paraId="06609FF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49EEE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5DBF512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4" w:name="OLE_LINK25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恒瑞医药</w:t>
            </w:r>
            <w:bookmarkEnd w:id="24"/>
          </w:p>
        </w:tc>
        <w:tc>
          <w:tcPr>
            <w:tcW w:w="2350" w:type="dxa"/>
            <w:vAlign w:val="center"/>
          </w:tcPr>
          <w:p w14:paraId="515CD4B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5" w:name="OLE_LINK22"/>
            <w:bookmarkStart w:id="26" w:name="OLE_LINK24"/>
            <w:bookmarkStart w:id="27" w:name="OLE_LINK2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SHR</w:t>
            </w:r>
            <w:bookmarkEnd w:id="25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-A181</w:t>
            </w:r>
            <w:bookmarkEnd w:id="26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1</w:t>
            </w:r>
            <w:bookmarkEnd w:id="27"/>
          </w:p>
        </w:tc>
        <w:tc>
          <w:tcPr>
            <w:tcW w:w="1487" w:type="dxa"/>
            <w:vAlign w:val="center"/>
          </w:tcPr>
          <w:p w14:paraId="2CCB0F7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8" w:name="OLE_LINK20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  <w:bookmarkEnd w:id="28"/>
          </w:p>
        </w:tc>
        <w:tc>
          <w:tcPr>
            <w:tcW w:w="2482" w:type="dxa"/>
            <w:vAlign w:val="center"/>
          </w:tcPr>
          <w:p w14:paraId="11DAD79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620BC51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2F0B41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0BA9E97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30DD853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5FF85E5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77B7850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5CBB11F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616EF5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1D55C59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盛禾生物</w:t>
            </w:r>
          </w:p>
        </w:tc>
        <w:tc>
          <w:tcPr>
            <w:tcW w:w="2350" w:type="dxa"/>
            <w:vAlign w:val="center"/>
          </w:tcPr>
          <w:p w14:paraId="3D76D45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IAH0968</w:t>
            </w:r>
          </w:p>
        </w:tc>
        <w:tc>
          <w:tcPr>
            <w:tcW w:w="1487" w:type="dxa"/>
            <w:vAlign w:val="center"/>
          </w:tcPr>
          <w:p w14:paraId="1845B2B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1FB5C2A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2ADD4A9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75FE4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64C921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康宁杰瑞</w:t>
            </w:r>
          </w:p>
        </w:tc>
        <w:tc>
          <w:tcPr>
            <w:tcW w:w="2350" w:type="dxa"/>
            <w:vAlign w:val="center"/>
          </w:tcPr>
          <w:p w14:paraId="0DC7F27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KN026</w:t>
            </w:r>
          </w:p>
        </w:tc>
        <w:tc>
          <w:tcPr>
            <w:tcW w:w="1487" w:type="dxa"/>
            <w:vAlign w:val="center"/>
          </w:tcPr>
          <w:p w14:paraId="78528F0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2C10852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胃癌/胃食管结合腺癌</w:t>
            </w:r>
          </w:p>
        </w:tc>
        <w:tc>
          <w:tcPr>
            <w:tcW w:w="1444" w:type="dxa"/>
            <w:vAlign w:val="center"/>
          </w:tcPr>
          <w:p w14:paraId="7CDE89F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9" w:name="OLE_LINK3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  <w:bookmarkEnd w:id="29"/>
          </w:p>
        </w:tc>
      </w:tr>
      <w:tr w14:paraId="2C83E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3C8229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恒瑞医药</w:t>
            </w:r>
          </w:p>
        </w:tc>
        <w:tc>
          <w:tcPr>
            <w:tcW w:w="2350" w:type="dxa"/>
            <w:vAlign w:val="center"/>
          </w:tcPr>
          <w:p w14:paraId="4E0F11C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SHR-A1811</w:t>
            </w:r>
          </w:p>
        </w:tc>
        <w:tc>
          <w:tcPr>
            <w:tcW w:w="1487" w:type="dxa"/>
            <w:vAlign w:val="center"/>
          </w:tcPr>
          <w:p w14:paraId="2B3BF31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2EE5A4A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619698B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  <w:tr w14:paraId="4670D6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759EADF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339704E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674E284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56791D0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尿路上皮癌</w:t>
            </w:r>
          </w:p>
        </w:tc>
        <w:tc>
          <w:tcPr>
            <w:tcW w:w="1444" w:type="dxa"/>
            <w:vAlign w:val="center"/>
          </w:tcPr>
          <w:p w14:paraId="435579E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</w:tbl>
    <w:p w14:paraId="25222CF2">
      <w:pPr>
        <w:autoSpaceDE w:val="0"/>
        <w:autoSpaceDN w:val="0"/>
        <w:adjustRightInd w:val="0"/>
        <w:snapToGrid w:val="0"/>
        <w:spacing w:line="360" w:lineRule="auto"/>
        <w:ind w:firstLine="440" w:firstLineChars="200"/>
        <w:jc w:val="both"/>
        <w:rPr>
          <w:rFonts w:hint="default" w:ascii="Times New Roman" w:hAnsi="Times New Roman" w:eastAsia="微软雅黑" w:cs="Times New Roman"/>
          <w:bCs/>
          <w:kern w:val="0"/>
        </w:rPr>
      </w:pPr>
      <w:r>
        <w:rPr>
          <w:rFonts w:hint="default" w:ascii="Times New Roman" w:hAnsi="Times New Roman" w:eastAsia="微软雅黑" w:cs="Times New Roman"/>
          <w:bCs/>
          <w:kern w:val="0"/>
        </w:rPr>
        <w:br w:type="page"/>
      </w:r>
    </w:p>
    <w:p w14:paraId="68C1074C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参考文献</w:t>
      </w:r>
    </w:p>
    <w:p w14:paraId="119919E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Yarden, Y，et al. Untangling the ErbB signalling network. Nature reviews. Molecular cell biology. 2001 Feb;2(2):127-37.</w:t>
      </w:r>
    </w:p>
    <w:p w14:paraId="4686F991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Hynes, N. E，et al. ERBB receptors and cancer: the complexity of targeted inhibitors. Nature reviews. Cancer. 2005 May;5(5):341-54.</w:t>
      </w:r>
    </w:p>
    <w:p w14:paraId="4B05DE0D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 xml:space="preserve">Menard S，et al. Biologic and therapeutic role of HER2 in cancer［J］. Oncogene. 2003 Sep 29;22(42):6570-8. </w:t>
      </w:r>
    </w:p>
    <w:p w14:paraId="45DC7137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国家药品监督管理局药品审评中心 (cde.org.cn)</w:t>
      </w:r>
    </w:p>
    <w:p w14:paraId="4870026A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Drugs@FDA: FDA-Approved Drugs</w:t>
      </w:r>
    </w:p>
    <w:p w14:paraId="55BEC81F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bookmarkStart w:id="30" w:name="OLE_LINK7"/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https://www.chictr.org.cn/</w:t>
      </w:r>
      <w:bookmarkEnd w:id="30"/>
    </w:p>
    <w:p w14:paraId="712ED571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https://clinicaltrials.gov/</w:t>
      </w:r>
    </w:p>
    <w:p w14:paraId="7910D429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</w:p>
    <w:sectPr>
      <w:footerReference r:id="rId6" w:type="default"/>
      <w:pgSz w:w="11906" w:h="16838"/>
      <w:pgMar w:top="850" w:right="850" w:bottom="850" w:left="850" w:header="397" w:footer="567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CD38ED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6A41A8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CBD8CA3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1D313CCC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59264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6CBD8CA3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1D313CCC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6E78D0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3208655</wp:posOffset>
              </wp:positionH>
              <wp:positionV relativeFrom="paragraph">
                <wp:posOffset>-43815</wp:posOffset>
              </wp:positionV>
              <wp:extent cx="1828800" cy="1828800"/>
              <wp:effectExtent l="0" t="0" r="0" b="0"/>
              <wp:wrapNone/>
              <wp:docPr id="11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AACEB2D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52.65pt;margin-top:-3.45pt;height:144pt;width:144pt;mso-position-horizontal-relative:margin;mso-wrap-style:none;z-index:251660288;mso-width-relative:page;mso-height-relative:page;" filled="f" stroked="f" coordsize="21600,21600" o:gfxdata="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deePr9gAAAAKAQAADwAAAAAAAAABACAAAAAiAAAAZHJzL2Rvd25yZXYueG1s&#10;UEsBAhQAFAAAAAgAh07iQOsAOHoxAgAAYwQAAA4AAAAAAAAAAQAgAAAAJwEAAGRycy9lMm9Eb2Mu&#10;eG1sUEsFBgAAAAAGAAYAWQEAAMo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AACEB2D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475F63">
    <w:pPr>
      <w:pStyle w:val="10"/>
    </w:pP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1" name="图片 21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图片 21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0" name="图片 20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20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19" name="图片 19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9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3896995" cy="366395"/>
          <wp:effectExtent l="0" t="0" r="4445" b="14605"/>
          <wp:docPr id="7" name="图片 7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7" descr="logo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896995" cy="366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lang w:val="en-US" w:eastAsia="zh-CN"/>
      </w:rPr>
      <w:t xml:space="preserve">               </w:t>
    </w:r>
    <w:r>
      <w:rPr>
        <w:rFonts w:hint="eastAsia" w:eastAsia="宋体"/>
        <w:lang w:eastAsia="zh-CN"/>
      </w:rPr>
      <w:drawing>
        <wp:inline distT="0" distB="0" distL="114300" distR="114300">
          <wp:extent cx="1461770" cy="420370"/>
          <wp:effectExtent l="0" t="0" r="0" b="5715"/>
          <wp:docPr id="23" name="图片 23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" name="图片 23" descr="中文logo透明底"/>
                  <pic:cNvPicPr>
                    <a:picLocks noChangeAspect="1"/>
                  </pic:cNvPicPr>
                </pic:nvPicPr>
                <pic:blipFill>
                  <a:blip r:embed="rId1"/>
                  <a:srcRect l="13700" t="21682" r="11743" b="25756"/>
                  <a:stretch>
                    <a:fillRect/>
                  </a:stretch>
                </pic:blipFill>
                <pic:spPr>
                  <a:xfrm>
                    <a:off x="0" y="0"/>
                    <a:ext cx="1461770" cy="42037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750F2A0"/>
    <w:multiLevelType w:val="singleLevel"/>
    <w:tmpl w:val="C750F2A0"/>
    <w:lvl w:ilvl="0" w:tentative="0">
      <w:start w:val="1"/>
      <w:numFmt w:val="decimal"/>
      <w:lvlText w:val="%1."/>
      <w:lvlJc w:val="left"/>
      <w:pPr>
        <w:tabs>
          <w:tab w:val="left" w:pos="0"/>
        </w:tabs>
        <w:ind w:left="425" w:hanging="425"/>
      </w:pPr>
      <w:rPr>
        <w:rFonts w:hint="default"/>
        <w:sz w:val="18"/>
        <w:szCs w:val="18"/>
      </w:rPr>
    </w:lvl>
  </w:abstractNum>
  <w:abstractNum w:abstractNumId="1">
    <w:nsid w:val="EF752B0B"/>
    <w:multiLevelType w:val="singleLevel"/>
    <w:tmpl w:val="EF752B0B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hideSpellingErrors/>
  <w:hideGrammaticalError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QyN2RjY2U1ZDAzZWMyYzFlOTBlZjhiNjIyZTM0MTE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1AB77A8"/>
    <w:rsid w:val="022E17E8"/>
    <w:rsid w:val="02337A11"/>
    <w:rsid w:val="029E39F1"/>
    <w:rsid w:val="02AC1427"/>
    <w:rsid w:val="02B32C00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141C07"/>
    <w:rsid w:val="06A61E8D"/>
    <w:rsid w:val="06E36A2C"/>
    <w:rsid w:val="06EB7F4D"/>
    <w:rsid w:val="06F67704"/>
    <w:rsid w:val="074043CC"/>
    <w:rsid w:val="07AB34E7"/>
    <w:rsid w:val="07D36A00"/>
    <w:rsid w:val="07DB59EB"/>
    <w:rsid w:val="08337B1F"/>
    <w:rsid w:val="083F50A2"/>
    <w:rsid w:val="088D7FF0"/>
    <w:rsid w:val="08D31BFA"/>
    <w:rsid w:val="095D32C1"/>
    <w:rsid w:val="09705B33"/>
    <w:rsid w:val="099512B1"/>
    <w:rsid w:val="09FF5FCE"/>
    <w:rsid w:val="0A043ABA"/>
    <w:rsid w:val="0A2C05F8"/>
    <w:rsid w:val="0A337BEA"/>
    <w:rsid w:val="0A383729"/>
    <w:rsid w:val="0A757891"/>
    <w:rsid w:val="0ADA7F11"/>
    <w:rsid w:val="0AEC09F3"/>
    <w:rsid w:val="0B106684"/>
    <w:rsid w:val="0C1768CC"/>
    <w:rsid w:val="0C3A0C95"/>
    <w:rsid w:val="0C3E5385"/>
    <w:rsid w:val="0C96240B"/>
    <w:rsid w:val="0D055CE8"/>
    <w:rsid w:val="0D0E2E15"/>
    <w:rsid w:val="0D5374B9"/>
    <w:rsid w:val="0D877621"/>
    <w:rsid w:val="0D8D61C7"/>
    <w:rsid w:val="0D9819F1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4D1A8A"/>
    <w:rsid w:val="0FB9297A"/>
    <w:rsid w:val="0FCB1589"/>
    <w:rsid w:val="0FEF6595"/>
    <w:rsid w:val="0FF26B15"/>
    <w:rsid w:val="0FFE1C1F"/>
    <w:rsid w:val="100920B1"/>
    <w:rsid w:val="10237E00"/>
    <w:rsid w:val="10A519AE"/>
    <w:rsid w:val="11067689"/>
    <w:rsid w:val="110D3F98"/>
    <w:rsid w:val="11216BAF"/>
    <w:rsid w:val="11E05943"/>
    <w:rsid w:val="12744159"/>
    <w:rsid w:val="12850E64"/>
    <w:rsid w:val="12963DA1"/>
    <w:rsid w:val="12F372F0"/>
    <w:rsid w:val="131E6B23"/>
    <w:rsid w:val="132612E4"/>
    <w:rsid w:val="13897526"/>
    <w:rsid w:val="13AB527B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915022"/>
    <w:rsid w:val="15D73C77"/>
    <w:rsid w:val="165063E4"/>
    <w:rsid w:val="16560F01"/>
    <w:rsid w:val="16BD5BE8"/>
    <w:rsid w:val="16E67B0D"/>
    <w:rsid w:val="16EF32B7"/>
    <w:rsid w:val="16F8465A"/>
    <w:rsid w:val="179E5A16"/>
    <w:rsid w:val="17EF172D"/>
    <w:rsid w:val="17EF6030"/>
    <w:rsid w:val="18036692"/>
    <w:rsid w:val="184F5A03"/>
    <w:rsid w:val="188B1EE6"/>
    <w:rsid w:val="188E10A8"/>
    <w:rsid w:val="18A5002C"/>
    <w:rsid w:val="19437087"/>
    <w:rsid w:val="1969147D"/>
    <w:rsid w:val="199369D8"/>
    <w:rsid w:val="19C00606"/>
    <w:rsid w:val="1A810FAD"/>
    <w:rsid w:val="1AE73725"/>
    <w:rsid w:val="1B10343F"/>
    <w:rsid w:val="1B28649B"/>
    <w:rsid w:val="1BA36B7F"/>
    <w:rsid w:val="1BAD3E87"/>
    <w:rsid w:val="1BFB4FA4"/>
    <w:rsid w:val="1C7A05D0"/>
    <w:rsid w:val="1C98707F"/>
    <w:rsid w:val="1CCD19AC"/>
    <w:rsid w:val="1CFB3D7D"/>
    <w:rsid w:val="1D0B7646"/>
    <w:rsid w:val="1D103BE7"/>
    <w:rsid w:val="1E5B4AE9"/>
    <w:rsid w:val="1E5F5CBE"/>
    <w:rsid w:val="1E8474D2"/>
    <w:rsid w:val="1EAB0C6A"/>
    <w:rsid w:val="1EAF2912"/>
    <w:rsid w:val="1EEB2832"/>
    <w:rsid w:val="1F2B7CAE"/>
    <w:rsid w:val="1F7A352E"/>
    <w:rsid w:val="1FB23A5A"/>
    <w:rsid w:val="1FC77337"/>
    <w:rsid w:val="20205A20"/>
    <w:rsid w:val="202D7F0F"/>
    <w:rsid w:val="20855B55"/>
    <w:rsid w:val="209432E5"/>
    <w:rsid w:val="20C205EB"/>
    <w:rsid w:val="20CA3A62"/>
    <w:rsid w:val="21491A1D"/>
    <w:rsid w:val="216F18A9"/>
    <w:rsid w:val="21791AD8"/>
    <w:rsid w:val="218960DE"/>
    <w:rsid w:val="21D55A39"/>
    <w:rsid w:val="22003639"/>
    <w:rsid w:val="22180203"/>
    <w:rsid w:val="225C4CF6"/>
    <w:rsid w:val="22765AC8"/>
    <w:rsid w:val="228766DF"/>
    <w:rsid w:val="22A41FB0"/>
    <w:rsid w:val="22BB36DF"/>
    <w:rsid w:val="22D11985"/>
    <w:rsid w:val="22D327D6"/>
    <w:rsid w:val="22D4409F"/>
    <w:rsid w:val="2322058C"/>
    <w:rsid w:val="23532212"/>
    <w:rsid w:val="235C2C2A"/>
    <w:rsid w:val="239301B8"/>
    <w:rsid w:val="23AE4FF1"/>
    <w:rsid w:val="23DC4798"/>
    <w:rsid w:val="23FF1819"/>
    <w:rsid w:val="240007AE"/>
    <w:rsid w:val="243036BC"/>
    <w:rsid w:val="243D05CE"/>
    <w:rsid w:val="244D2216"/>
    <w:rsid w:val="250E3D96"/>
    <w:rsid w:val="25233303"/>
    <w:rsid w:val="253036C5"/>
    <w:rsid w:val="256C4478"/>
    <w:rsid w:val="26393298"/>
    <w:rsid w:val="26976104"/>
    <w:rsid w:val="26FE539F"/>
    <w:rsid w:val="271A3FF4"/>
    <w:rsid w:val="271C165B"/>
    <w:rsid w:val="2786240A"/>
    <w:rsid w:val="27870460"/>
    <w:rsid w:val="280D4603"/>
    <w:rsid w:val="28855B91"/>
    <w:rsid w:val="28B63ACE"/>
    <w:rsid w:val="28B640D1"/>
    <w:rsid w:val="28B74238"/>
    <w:rsid w:val="28B83CA7"/>
    <w:rsid w:val="28E502F9"/>
    <w:rsid w:val="290D27BA"/>
    <w:rsid w:val="292D0C40"/>
    <w:rsid w:val="29363F06"/>
    <w:rsid w:val="296F5B95"/>
    <w:rsid w:val="29DE0525"/>
    <w:rsid w:val="29EF70C8"/>
    <w:rsid w:val="2A1A518F"/>
    <w:rsid w:val="2A221D03"/>
    <w:rsid w:val="2A3716AB"/>
    <w:rsid w:val="2A51621C"/>
    <w:rsid w:val="2A9646DF"/>
    <w:rsid w:val="2ABA75FF"/>
    <w:rsid w:val="2ADE2A02"/>
    <w:rsid w:val="2B0025D7"/>
    <w:rsid w:val="2B485DBB"/>
    <w:rsid w:val="2B671B1E"/>
    <w:rsid w:val="2B692B05"/>
    <w:rsid w:val="2B794292"/>
    <w:rsid w:val="2B8C0A94"/>
    <w:rsid w:val="2BDE1876"/>
    <w:rsid w:val="2BF7758D"/>
    <w:rsid w:val="2C165FD1"/>
    <w:rsid w:val="2C180353"/>
    <w:rsid w:val="2C427C83"/>
    <w:rsid w:val="2D99461C"/>
    <w:rsid w:val="2E0C0EE9"/>
    <w:rsid w:val="2E2868F4"/>
    <w:rsid w:val="2E3D6CA4"/>
    <w:rsid w:val="2E7C3545"/>
    <w:rsid w:val="2EB35A8A"/>
    <w:rsid w:val="2F1809B2"/>
    <w:rsid w:val="2F28730D"/>
    <w:rsid w:val="2F311567"/>
    <w:rsid w:val="2F37139C"/>
    <w:rsid w:val="2F9768C8"/>
    <w:rsid w:val="2FF67B04"/>
    <w:rsid w:val="303F18CE"/>
    <w:rsid w:val="304862D7"/>
    <w:rsid w:val="307F054F"/>
    <w:rsid w:val="30DA24F1"/>
    <w:rsid w:val="30E41C41"/>
    <w:rsid w:val="31033685"/>
    <w:rsid w:val="310959FE"/>
    <w:rsid w:val="3109732A"/>
    <w:rsid w:val="314B21CA"/>
    <w:rsid w:val="315E5833"/>
    <w:rsid w:val="31F97D80"/>
    <w:rsid w:val="32080EDC"/>
    <w:rsid w:val="323C7625"/>
    <w:rsid w:val="32AB7EAB"/>
    <w:rsid w:val="32B71D27"/>
    <w:rsid w:val="32DE07F1"/>
    <w:rsid w:val="32F01EBB"/>
    <w:rsid w:val="33323300"/>
    <w:rsid w:val="33725A73"/>
    <w:rsid w:val="338527AA"/>
    <w:rsid w:val="3395520D"/>
    <w:rsid w:val="33AE0711"/>
    <w:rsid w:val="33B80238"/>
    <w:rsid w:val="346D24B1"/>
    <w:rsid w:val="34777EA9"/>
    <w:rsid w:val="348573AD"/>
    <w:rsid w:val="354B10C4"/>
    <w:rsid w:val="357E5409"/>
    <w:rsid w:val="35945D5F"/>
    <w:rsid w:val="35973784"/>
    <w:rsid w:val="35B3556B"/>
    <w:rsid w:val="35F5325E"/>
    <w:rsid w:val="360630CA"/>
    <w:rsid w:val="360A76FC"/>
    <w:rsid w:val="369C274E"/>
    <w:rsid w:val="36F37161"/>
    <w:rsid w:val="37092813"/>
    <w:rsid w:val="371E73E3"/>
    <w:rsid w:val="37E81DE8"/>
    <w:rsid w:val="3848012E"/>
    <w:rsid w:val="38E26DA6"/>
    <w:rsid w:val="39334160"/>
    <w:rsid w:val="39525C52"/>
    <w:rsid w:val="399A5E65"/>
    <w:rsid w:val="39A64D30"/>
    <w:rsid w:val="3A202424"/>
    <w:rsid w:val="3AEF4843"/>
    <w:rsid w:val="3AF460F5"/>
    <w:rsid w:val="3B0C44A5"/>
    <w:rsid w:val="3B42564A"/>
    <w:rsid w:val="3B6E4C22"/>
    <w:rsid w:val="3B721C7C"/>
    <w:rsid w:val="3B9B0105"/>
    <w:rsid w:val="3BC82C9D"/>
    <w:rsid w:val="3BE02CB1"/>
    <w:rsid w:val="3BEA5380"/>
    <w:rsid w:val="3C3F24CA"/>
    <w:rsid w:val="3C5D7D9D"/>
    <w:rsid w:val="3CC95781"/>
    <w:rsid w:val="3CD218BB"/>
    <w:rsid w:val="3D1C54C3"/>
    <w:rsid w:val="3D6C60E9"/>
    <w:rsid w:val="3D855C98"/>
    <w:rsid w:val="3DC8028C"/>
    <w:rsid w:val="3E3A3804"/>
    <w:rsid w:val="3E557A55"/>
    <w:rsid w:val="3EC66A11"/>
    <w:rsid w:val="3EC949BD"/>
    <w:rsid w:val="3F141D55"/>
    <w:rsid w:val="3F1D1FAD"/>
    <w:rsid w:val="3F484A69"/>
    <w:rsid w:val="3F4A5238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9377D3"/>
    <w:rsid w:val="41C73588"/>
    <w:rsid w:val="41EC43CC"/>
    <w:rsid w:val="41FF695D"/>
    <w:rsid w:val="422B0E54"/>
    <w:rsid w:val="42530140"/>
    <w:rsid w:val="42D665BD"/>
    <w:rsid w:val="42F70CC1"/>
    <w:rsid w:val="43037B90"/>
    <w:rsid w:val="43370708"/>
    <w:rsid w:val="43821027"/>
    <w:rsid w:val="438A6A89"/>
    <w:rsid w:val="44C23006"/>
    <w:rsid w:val="452112A4"/>
    <w:rsid w:val="454A2BAB"/>
    <w:rsid w:val="459308E1"/>
    <w:rsid w:val="45A93012"/>
    <w:rsid w:val="45D4644E"/>
    <w:rsid w:val="46550A34"/>
    <w:rsid w:val="46B72EB2"/>
    <w:rsid w:val="477517FF"/>
    <w:rsid w:val="47A33F8A"/>
    <w:rsid w:val="480368AF"/>
    <w:rsid w:val="4811052D"/>
    <w:rsid w:val="48480CC1"/>
    <w:rsid w:val="48531B40"/>
    <w:rsid w:val="48C5225E"/>
    <w:rsid w:val="48C65C4C"/>
    <w:rsid w:val="48F33103"/>
    <w:rsid w:val="49463453"/>
    <w:rsid w:val="499C3A50"/>
    <w:rsid w:val="499E6F1D"/>
    <w:rsid w:val="49C56F37"/>
    <w:rsid w:val="4A1A1AFC"/>
    <w:rsid w:val="4A1C7F69"/>
    <w:rsid w:val="4A2048F5"/>
    <w:rsid w:val="4A4A7BE5"/>
    <w:rsid w:val="4A647401"/>
    <w:rsid w:val="4A693618"/>
    <w:rsid w:val="4A7345CA"/>
    <w:rsid w:val="4A83553B"/>
    <w:rsid w:val="4AA36DBB"/>
    <w:rsid w:val="4B09298A"/>
    <w:rsid w:val="4B315A79"/>
    <w:rsid w:val="4BC14EAA"/>
    <w:rsid w:val="4BE42260"/>
    <w:rsid w:val="4C050246"/>
    <w:rsid w:val="4C0B1AE7"/>
    <w:rsid w:val="4C0F23A4"/>
    <w:rsid w:val="4C120763"/>
    <w:rsid w:val="4C190002"/>
    <w:rsid w:val="4C231624"/>
    <w:rsid w:val="4C6263AC"/>
    <w:rsid w:val="4CBC4A3F"/>
    <w:rsid w:val="4D123B20"/>
    <w:rsid w:val="4D4E0B28"/>
    <w:rsid w:val="4D6A309D"/>
    <w:rsid w:val="4D8A3097"/>
    <w:rsid w:val="4D9E31C3"/>
    <w:rsid w:val="4DB6655A"/>
    <w:rsid w:val="4DC108F4"/>
    <w:rsid w:val="4E010F87"/>
    <w:rsid w:val="4E0176F5"/>
    <w:rsid w:val="4E3D2F1A"/>
    <w:rsid w:val="4E414BB2"/>
    <w:rsid w:val="4EBE65E6"/>
    <w:rsid w:val="4ED24E8A"/>
    <w:rsid w:val="4ED75229"/>
    <w:rsid w:val="4ED81994"/>
    <w:rsid w:val="4F2C4F1E"/>
    <w:rsid w:val="4F2F1F7E"/>
    <w:rsid w:val="4F5624CB"/>
    <w:rsid w:val="4F8A3F4D"/>
    <w:rsid w:val="4FB467F9"/>
    <w:rsid w:val="4FCB398E"/>
    <w:rsid w:val="4FD02F65"/>
    <w:rsid w:val="510D07DF"/>
    <w:rsid w:val="516C72A2"/>
    <w:rsid w:val="51967B24"/>
    <w:rsid w:val="519B28E7"/>
    <w:rsid w:val="52594F0F"/>
    <w:rsid w:val="52742DE8"/>
    <w:rsid w:val="52832C8D"/>
    <w:rsid w:val="52972F71"/>
    <w:rsid w:val="52DB3A4A"/>
    <w:rsid w:val="52E57CC3"/>
    <w:rsid w:val="52FF44FB"/>
    <w:rsid w:val="5312550A"/>
    <w:rsid w:val="53287C34"/>
    <w:rsid w:val="53444AF5"/>
    <w:rsid w:val="53667193"/>
    <w:rsid w:val="53BA6F17"/>
    <w:rsid w:val="53D1543B"/>
    <w:rsid w:val="53DE69BF"/>
    <w:rsid w:val="541A0F48"/>
    <w:rsid w:val="541C0D17"/>
    <w:rsid w:val="541E45C6"/>
    <w:rsid w:val="542A6641"/>
    <w:rsid w:val="543E18F6"/>
    <w:rsid w:val="544B130D"/>
    <w:rsid w:val="547738E5"/>
    <w:rsid w:val="54CF254E"/>
    <w:rsid w:val="54D44608"/>
    <w:rsid w:val="54D723E8"/>
    <w:rsid w:val="550721D5"/>
    <w:rsid w:val="55195EBF"/>
    <w:rsid w:val="5566343D"/>
    <w:rsid w:val="55A47060"/>
    <w:rsid w:val="55AC636A"/>
    <w:rsid w:val="55C15CC7"/>
    <w:rsid w:val="55C40B66"/>
    <w:rsid w:val="55F3376F"/>
    <w:rsid w:val="56021356"/>
    <w:rsid w:val="56111690"/>
    <w:rsid w:val="563648E8"/>
    <w:rsid w:val="56765A9B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96345"/>
    <w:rsid w:val="57D92384"/>
    <w:rsid w:val="58020827"/>
    <w:rsid w:val="581808D2"/>
    <w:rsid w:val="58941028"/>
    <w:rsid w:val="58A10A12"/>
    <w:rsid w:val="58A44110"/>
    <w:rsid w:val="58C45C8C"/>
    <w:rsid w:val="58DE21CC"/>
    <w:rsid w:val="58E6455C"/>
    <w:rsid w:val="5927169E"/>
    <w:rsid w:val="59404CA7"/>
    <w:rsid w:val="597A346D"/>
    <w:rsid w:val="5A2C3413"/>
    <w:rsid w:val="5B201627"/>
    <w:rsid w:val="5B2616E5"/>
    <w:rsid w:val="5B3A4C3E"/>
    <w:rsid w:val="5B884B96"/>
    <w:rsid w:val="5C702399"/>
    <w:rsid w:val="5D090FC9"/>
    <w:rsid w:val="5D2D2247"/>
    <w:rsid w:val="5E8C7702"/>
    <w:rsid w:val="5EB2544D"/>
    <w:rsid w:val="5F425685"/>
    <w:rsid w:val="5FA2526B"/>
    <w:rsid w:val="5FAA3C47"/>
    <w:rsid w:val="5FB850F5"/>
    <w:rsid w:val="5FB92779"/>
    <w:rsid w:val="5FEA2932"/>
    <w:rsid w:val="5FEF4361"/>
    <w:rsid w:val="5FF61953"/>
    <w:rsid w:val="600E54F4"/>
    <w:rsid w:val="605254D2"/>
    <w:rsid w:val="607B75C7"/>
    <w:rsid w:val="60805044"/>
    <w:rsid w:val="60A827A3"/>
    <w:rsid w:val="60D51A59"/>
    <w:rsid w:val="60E82224"/>
    <w:rsid w:val="60F575C1"/>
    <w:rsid w:val="610010C4"/>
    <w:rsid w:val="61147D5F"/>
    <w:rsid w:val="613926B5"/>
    <w:rsid w:val="61B17DFE"/>
    <w:rsid w:val="62070A08"/>
    <w:rsid w:val="621A2D61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A948B2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B119A5"/>
    <w:rsid w:val="65F916BF"/>
    <w:rsid w:val="6622535F"/>
    <w:rsid w:val="66565CBE"/>
    <w:rsid w:val="670E76D1"/>
    <w:rsid w:val="67326007"/>
    <w:rsid w:val="67574E33"/>
    <w:rsid w:val="67D77C44"/>
    <w:rsid w:val="68645048"/>
    <w:rsid w:val="690459DC"/>
    <w:rsid w:val="69076303"/>
    <w:rsid w:val="690B7AFD"/>
    <w:rsid w:val="69334FB5"/>
    <w:rsid w:val="69543567"/>
    <w:rsid w:val="697C746B"/>
    <w:rsid w:val="6A6D318E"/>
    <w:rsid w:val="6A822336"/>
    <w:rsid w:val="6A90444F"/>
    <w:rsid w:val="6A930078"/>
    <w:rsid w:val="6AA60D41"/>
    <w:rsid w:val="6AAB72C5"/>
    <w:rsid w:val="6AC5614D"/>
    <w:rsid w:val="6AFC4C50"/>
    <w:rsid w:val="6AFF6DD9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D2D26D4"/>
    <w:rsid w:val="6D425E8D"/>
    <w:rsid w:val="6D550E72"/>
    <w:rsid w:val="6D57537F"/>
    <w:rsid w:val="6D6F7597"/>
    <w:rsid w:val="6D8E38BF"/>
    <w:rsid w:val="6DE74955"/>
    <w:rsid w:val="6E296D1B"/>
    <w:rsid w:val="6E411486"/>
    <w:rsid w:val="6E9303C1"/>
    <w:rsid w:val="6ECF03D4"/>
    <w:rsid w:val="6EEA4B30"/>
    <w:rsid w:val="6EEB1850"/>
    <w:rsid w:val="6EF5262D"/>
    <w:rsid w:val="6F313CA3"/>
    <w:rsid w:val="6FC02C16"/>
    <w:rsid w:val="6FE859EE"/>
    <w:rsid w:val="6FF6475E"/>
    <w:rsid w:val="70184EA3"/>
    <w:rsid w:val="70687850"/>
    <w:rsid w:val="70CB53E1"/>
    <w:rsid w:val="70E45041"/>
    <w:rsid w:val="714E12CF"/>
    <w:rsid w:val="71B86740"/>
    <w:rsid w:val="7209016D"/>
    <w:rsid w:val="7259341C"/>
    <w:rsid w:val="728B00C1"/>
    <w:rsid w:val="729B20AA"/>
    <w:rsid w:val="732C3BCC"/>
    <w:rsid w:val="73420A0F"/>
    <w:rsid w:val="734521A8"/>
    <w:rsid w:val="73707E67"/>
    <w:rsid w:val="73776F50"/>
    <w:rsid w:val="737D6BB3"/>
    <w:rsid w:val="739C34AF"/>
    <w:rsid w:val="73CD0149"/>
    <w:rsid w:val="741F0C23"/>
    <w:rsid w:val="743439CA"/>
    <w:rsid w:val="743851C6"/>
    <w:rsid w:val="748F3308"/>
    <w:rsid w:val="749F2A35"/>
    <w:rsid w:val="74AB5178"/>
    <w:rsid w:val="74BC7F66"/>
    <w:rsid w:val="74DD127A"/>
    <w:rsid w:val="7509001F"/>
    <w:rsid w:val="75354D44"/>
    <w:rsid w:val="753D1C2F"/>
    <w:rsid w:val="75686B98"/>
    <w:rsid w:val="7677072C"/>
    <w:rsid w:val="768076F4"/>
    <w:rsid w:val="76937428"/>
    <w:rsid w:val="76A00464"/>
    <w:rsid w:val="76A021B3"/>
    <w:rsid w:val="76B664D7"/>
    <w:rsid w:val="76BD0FA5"/>
    <w:rsid w:val="76E33575"/>
    <w:rsid w:val="76EB2B73"/>
    <w:rsid w:val="770B0914"/>
    <w:rsid w:val="775D41D3"/>
    <w:rsid w:val="77A33591"/>
    <w:rsid w:val="77D16924"/>
    <w:rsid w:val="782219A0"/>
    <w:rsid w:val="782C2784"/>
    <w:rsid w:val="78326601"/>
    <w:rsid w:val="783C5EB8"/>
    <w:rsid w:val="797F7147"/>
    <w:rsid w:val="79BE2A91"/>
    <w:rsid w:val="7A590988"/>
    <w:rsid w:val="7A992CC0"/>
    <w:rsid w:val="7B2965AD"/>
    <w:rsid w:val="7B3A50B0"/>
    <w:rsid w:val="7B7B235C"/>
    <w:rsid w:val="7B8B2C1D"/>
    <w:rsid w:val="7BCA3B47"/>
    <w:rsid w:val="7BD020E4"/>
    <w:rsid w:val="7C01614C"/>
    <w:rsid w:val="7C593FA7"/>
    <w:rsid w:val="7C8D1210"/>
    <w:rsid w:val="7D090215"/>
    <w:rsid w:val="7D2F0819"/>
    <w:rsid w:val="7D2F33BE"/>
    <w:rsid w:val="7D793C28"/>
    <w:rsid w:val="7D8C0F6F"/>
    <w:rsid w:val="7DD26D7D"/>
    <w:rsid w:val="7E0D3F64"/>
    <w:rsid w:val="7E517338"/>
    <w:rsid w:val="7E9771C1"/>
    <w:rsid w:val="7EB604BE"/>
    <w:rsid w:val="7EEF3669"/>
    <w:rsid w:val="7F6A5445"/>
    <w:rsid w:val="7FE30275"/>
    <w:rsid w:val="BEAF54AB"/>
    <w:rsid w:val="EF7D219C"/>
    <w:rsid w:val="F9FAB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2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lkgvc"/>
    <w:basedOn w:val="27"/>
    <w:autoRedefine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7">
    <w:name w:val="P1"/>
    <w:basedOn w:val="1"/>
    <w:autoRedefine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5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6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7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8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9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0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1">
    <w:name w:val="basic"/>
    <w:basedOn w:val="1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2">
    <w:name w:val="qc5 Char"/>
    <w:basedOn w:val="16"/>
    <w:link w:val="43"/>
    <w:autoRedefine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3">
    <w:name w:val="qc5"/>
    <w:basedOn w:val="1"/>
    <w:link w:val="42"/>
    <w:autoRedefine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4">
    <w:name w:val="网格型15"/>
    <w:basedOn w:val="14"/>
    <w:autoRedefine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5">
    <w:name w:val="73a8eb6c-f7a4-4b27-8f86-ffa7c051b96f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6">
    <w:name w:val="hello1098"/>
    <w:basedOn w:val="1"/>
    <w:autoRedefine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7">
    <w:name w:val="5_red"/>
    <w:basedOn w:val="46"/>
    <w:autoRedefine/>
    <w:qFormat/>
    <w:uiPriority w:val="0"/>
    <w:rPr>
      <w:color w:val="FF0000"/>
      <w:sz w:val="20"/>
    </w:rPr>
  </w:style>
  <w:style w:type="paragraph" w:customStyle="1" w:styleId="48">
    <w:name w:val="5_black"/>
    <w:basedOn w:val="47"/>
    <w:autoRedefine/>
    <w:qFormat/>
    <w:uiPriority w:val="0"/>
    <w:rPr>
      <w:color w:val="auto"/>
    </w:rPr>
  </w:style>
  <w:style w:type="paragraph" w:customStyle="1" w:styleId="49">
    <w:name w:val="样式10"/>
    <w:basedOn w:val="50"/>
    <w:autoRedefine/>
    <w:qFormat/>
    <w:uiPriority w:val="0"/>
    <w:pPr>
      <w:ind w:firstLine="333"/>
    </w:pPr>
    <w:rPr>
      <w:szCs w:val="18"/>
    </w:rPr>
  </w:style>
  <w:style w:type="paragraph" w:customStyle="1" w:styleId="50">
    <w:name w:val="样式3"/>
    <w:basedOn w:val="51"/>
    <w:autoRedefine/>
    <w:qFormat/>
    <w:uiPriority w:val="0"/>
    <w:rPr>
      <w:rFonts w:ascii="微软雅黑" w:hAnsi="微软雅黑" w:eastAsia="微软雅黑"/>
      <w:sz w:val="18"/>
    </w:rPr>
  </w:style>
  <w:style w:type="paragraph" w:customStyle="1" w:styleId="51">
    <w:name w:val="样式2"/>
    <w:basedOn w:val="1"/>
    <w:autoRedefine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2">
    <w:name w:val="3300a14f-dd40-4409-84a9-5d9488cb46c4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3">
    <w:name w:val="lll1"/>
    <w:basedOn w:val="1"/>
    <w:autoRedefine/>
    <w:qFormat/>
    <w:uiPriority w:val="0"/>
    <w:pPr>
      <w:jc w:val="center"/>
    </w:pPr>
    <w:rPr>
      <w:rFonts w:asciiTheme="minorHAnsi"/>
      <w:kern w:val="2"/>
    </w:rPr>
  </w:style>
  <w:style w:type="paragraph" w:customStyle="1" w:styleId="54">
    <w:name w:val="haha"/>
    <w:basedOn w:val="48"/>
    <w:autoRedefine/>
    <w:qFormat/>
    <w:uiPriority w:val="0"/>
    <w:rPr>
      <w:color w:val="FF0000"/>
    </w:rPr>
  </w:style>
  <w:style w:type="paragraph" w:customStyle="1" w:styleId="55">
    <w:name w:val="fgh345233"/>
    <w:basedOn w:val="1"/>
    <w:autoRedefine/>
    <w:qFormat/>
    <w:uiPriority w:val="0"/>
    <w:pPr>
      <w:jc w:val="center"/>
    </w:pPr>
    <w:rPr>
      <w:rFonts w:ascii="微软雅黑" w:hAnsi="微软雅黑" w:eastAsia="微软雅黑" w:cs="微软雅黑"/>
      <w:kern w:val="2"/>
      <w:sz w:val="18"/>
      <w:szCs w:val="18"/>
      <w:lang w:val="zh-CN"/>
    </w:rPr>
  </w:style>
  <w:style w:type="table" w:customStyle="1" w:styleId="56">
    <w:name w:val="网格型9"/>
    <w:basedOn w:val="14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7">
    <w:name w:val="rpt"/>
    <w:basedOn w:val="1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1159</Words>
  <Characters>2121</Characters>
  <Lines>399</Lines>
  <Paragraphs>112</Paragraphs>
  <TotalTime>0</TotalTime>
  <ScaleCrop>false</ScaleCrop>
  <LinksUpToDate>false</LinksUpToDate>
  <CharactersWithSpaces>2262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2021-04-22T17:08:00Z</dcterms:created>
  <dc:creator>86131</dc:creator>
  <cp:lastModifiedBy>yolo</cp:lastModifiedBy>
  <dcterms:modified xsi:type="dcterms:W3CDTF">2024-12-27T05:23:25Z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3DF5FEB73D0C4B6A9F07F7176AF1CF99_13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