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4C25C393">
      <w:pPr>
        <w:jc w:val="center"/>
        <w:rPr>
          <w:sz w:val="20"/>
          <w:lang w:eastAsia="zh-CN"/>
        </w:rPr>
      </w:pPr>
      <w:bookmarkStart w:id="0" w:name="_Toc26189"/>
      <w:bookmarkStart w:id="1" w:name="_Toc12869"/>
    </w:p>
    <w:p w14:paraId="63C0693B">
      <w:pPr>
        <w:ind w:firstLine="1320" w:firstLineChars="600"/>
      </w:pPr>
      <w:r>
        <w:rPr>
          <w:lang w:eastAsia="zh-CN"/>
        </w:rPr>
        <w:drawing>
          <wp:anchor distT="0" distB="0" distL="114300" distR="114300" simplePos="0" relativeHeight="251660288" behindDoc="0" locked="0" layoutInCell="1" allowOverlap="1">
            <wp:simplePos x="0" y="0"/>
            <wp:positionH relativeFrom="column">
              <wp:posOffset>160655</wp:posOffset>
            </wp:positionH>
            <wp:positionV relativeFrom="paragraph">
              <wp:posOffset>40640</wp:posOffset>
            </wp:positionV>
            <wp:extent cx="655955" cy="817880"/>
            <wp:effectExtent l="0" t="0" r="14605" b="5080"/>
            <wp:wrapNone/>
            <wp:docPr id="2" name="图片 2" descr="CYJ的LOGO-1 拷贝"/>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CYJ的LOGO-1 拷贝"/>
                    <pic:cNvPicPr>
                      <a:picLocks noChangeAspect="1"/>
                    </pic:cNvPicPr>
                  </pic:nvPicPr>
                  <pic:blipFill>
                    <a:blip r:embed="rId7"/>
                    <a:stretch>
                      <a:fillRect/>
                    </a:stretch>
                  </pic:blipFill>
                  <pic:spPr>
                    <a:xfrm>
                      <a:off x="0" y="0"/>
                      <a:ext cx="655955" cy="817880"/>
                    </a:xfrm>
                    <a:prstGeom prst="rect">
                      <a:avLst/>
                    </a:prstGeom>
                    <a:noFill/>
                    <a:ln>
                      <a:noFill/>
                    </a:ln>
                  </pic:spPr>
                </pic:pic>
              </a:graphicData>
            </a:graphic>
          </wp:anchor>
        </w:drawing>
      </w:r>
      <w:r>
        <w:rPr>
          <w:lang w:eastAsia="zh-CN"/>
        </w:rPr>
        <w:drawing>
          <wp:inline distT="0" distB="0" distL="114300" distR="114300">
            <wp:extent cx="2320925" cy="365760"/>
            <wp:effectExtent l="0" t="0" r="10795" b="0"/>
            <wp:docPr id="3" name="图片 2" descr="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2" descr="5"/>
                    <pic:cNvPicPr>
                      <a:picLocks noChangeAspect="1"/>
                    </pic:cNvPicPr>
                  </pic:nvPicPr>
                  <pic:blipFill>
                    <a:blip r:embed="rId8"/>
                    <a:stretch>
                      <a:fillRect/>
                    </a:stretch>
                  </pic:blipFill>
                  <pic:spPr>
                    <a:xfrm>
                      <a:off x="0" y="0"/>
                      <a:ext cx="2320925" cy="365760"/>
                    </a:xfrm>
                    <a:prstGeom prst="rect">
                      <a:avLst/>
                    </a:prstGeom>
                    <a:noFill/>
                    <a:ln>
                      <a:noFill/>
                    </a:ln>
                  </pic:spPr>
                </pic:pic>
              </a:graphicData>
            </a:graphic>
          </wp:inline>
        </w:drawing>
      </w:r>
      <w:r>
        <w:rPr>
          <w:rFonts w:hint="eastAsia"/>
        </w:rPr>
        <w:t xml:space="preserve">           </w:t>
      </w:r>
      <w:r>
        <w:t xml:space="preserve">     </w:t>
      </w:r>
    </w:p>
    <w:p w14:paraId="58813B56">
      <w:pPr>
        <w:ind w:firstLine="1621" w:firstLineChars="450"/>
        <w:rPr>
          <w:rFonts w:ascii="微软雅黑" w:eastAsia="微软雅黑"/>
        </w:rPr>
      </w:pPr>
      <w:r>
        <w:rPr>
          <w:rFonts w:hint="eastAsia" w:ascii="微软雅黑" w:eastAsia="微软雅黑"/>
          <w:b/>
          <w:color w:val="008080"/>
          <w:sz w:val="36"/>
          <w:szCs w:val="36"/>
        </w:rPr>
        <w:t>分 子 医 学 检 测 中 心</w:t>
      </w:r>
    </w:p>
    <w:p w14:paraId="035017F3">
      <w:pPr>
        <w:snapToGrid w:val="0"/>
        <w:ind w:firstLine="1575" w:firstLineChars="750"/>
        <w:rPr>
          <w:i/>
          <w:color w:val="008080"/>
          <w:sz w:val="21"/>
          <w:szCs w:val="21"/>
        </w:rPr>
      </w:pPr>
      <w:r>
        <w:rPr>
          <w:i/>
          <w:color w:val="008080"/>
          <w:sz w:val="21"/>
          <w:szCs w:val="21"/>
        </w:rPr>
        <w:t>Molecular Medical Laboratory, Chongqing Medical University</w:t>
      </w:r>
    </w:p>
    <w:p w14:paraId="3AE36E9F">
      <w:pPr>
        <w:jc w:val="both"/>
        <w:rPr>
          <w:sz w:val="20"/>
          <w:lang w:eastAsia="zh-CN"/>
        </w:rPr>
      </w:pPr>
    </w:p>
    <w:p w14:paraId="64C2A67D">
      <w:pPr>
        <w:jc w:val="center"/>
        <w:rPr>
          <w:sz w:val="20"/>
          <w:lang w:eastAsia="zh-CN"/>
        </w:rPr>
      </w:pPr>
    </w:p>
    <w:p w14:paraId="02DE376D">
      <w:pPr>
        <w:jc w:val="center"/>
        <w:rPr>
          <w:sz w:val="20"/>
          <w:lang w:eastAsia="zh-CN"/>
        </w:rPr>
      </w:pPr>
    </w:p>
    <w:p w14:paraId="1906BDF9">
      <w:pPr>
        <w:jc w:val="center"/>
        <w:rPr>
          <w:sz w:val="20"/>
          <w:lang w:eastAsia="zh-CN"/>
        </w:rPr>
      </w:pPr>
    </w:p>
    <w:p w14:paraId="48D06B76">
      <w:pPr>
        <w:jc w:val="center"/>
        <w:rPr>
          <w:sz w:val="20"/>
          <w:lang w:eastAsia="zh-CN"/>
        </w:rPr>
      </w:pPr>
    </w:p>
    <w:p w14:paraId="74E8AC30">
      <w:pPr>
        <w:jc w:val="center"/>
        <w:rPr>
          <w:sz w:val="20"/>
          <w:lang w:eastAsia="zh-CN"/>
        </w:rPr>
      </w:pPr>
    </w:p>
    <w:p w14:paraId="4E4FA2EB">
      <w:pPr>
        <w:jc w:val="center"/>
        <w:rPr>
          <w:sz w:val="20"/>
          <w:lang w:eastAsia="zh-CN"/>
        </w:rPr>
      </w:pPr>
    </w:p>
    <w:p w14:paraId="7ED33F2F">
      <w:pPr>
        <w:jc w:val="center"/>
        <w:rPr>
          <w:sz w:val="20"/>
          <w:lang w:eastAsia="zh-CN"/>
        </w:rPr>
      </w:pPr>
    </w:p>
    <w:p w14:paraId="2D0F9F97">
      <w:pPr>
        <w:jc w:val="center"/>
        <w:rPr>
          <w:sz w:val="20"/>
          <w:lang w:eastAsia="zh-CN"/>
        </w:rPr>
      </w:pPr>
    </w:p>
    <w:p w14:paraId="32817BC7">
      <w:pPr>
        <w:jc w:val="center"/>
        <w:rPr>
          <w:rFonts w:hint="default" w:ascii="黑体" w:hAnsi="黑体" w:eastAsia="黑体" w:cs="黑体"/>
          <w:color w:val="548235" w:themeColor="accent6" w:themeShade="BF"/>
          <w:sz w:val="72"/>
          <w:szCs w:val="72"/>
          <w:lang w:eastAsia="zh-CN"/>
        </w:rPr>
      </w:pPr>
      <w:r>
        <w:rPr>
          <w:rFonts w:hint="eastAsia" w:ascii="微软雅黑" w:eastAsia="微软雅黑" w:cs="宋体"/>
          <w:b/>
          <w:sz w:val="48"/>
          <w:szCs w:val="48"/>
          <w:lang w:val="en-US" w:eastAsia="zh-CN" w:bidi="ar-SA"/>
        </w:rPr>
        <w:t>泛实体瘤</w:t>
      </w:r>
      <w:r>
        <w:rPr>
          <w:rFonts w:hint="eastAsia" w:ascii="微软雅黑" w:hAnsi="宋体" w:eastAsia="微软雅黑" w:cs="宋体"/>
          <w:b/>
          <w:sz w:val="48"/>
          <w:szCs w:val="48"/>
          <w:lang w:val="en-US" w:eastAsia="zh-CN" w:bidi="ar-SA"/>
        </w:rPr>
        <w:t>融合基因</w:t>
      </w:r>
      <w:r>
        <w:rPr>
          <w:rFonts w:hint="eastAsia" w:ascii="微软雅黑" w:eastAsia="微软雅黑" w:cs="宋体"/>
          <w:b/>
          <w:sz w:val="48"/>
          <w:szCs w:val="48"/>
          <w:lang w:val="en-US" w:eastAsia="zh-CN" w:bidi="ar-SA"/>
        </w:rPr>
        <w:t>谱</w:t>
      </w:r>
      <w:r>
        <w:rPr>
          <w:rFonts w:hint="eastAsia" w:ascii="微软雅黑" w:hAnsi="宋体" w:eastAsia="微软雅黑" w:cs="宋体"/>
          <w:b/>
          <w:sz w:val="48"/>
          <w:szCs w:val="48"/>
          <w:lang w:val="en-US" w:eastAsia="zh-CN" w:bidi="ar-SA"/>
        </w:rPr>
        <w:t>{% if PDInfo %}+PD-L1{% endif %}检测报告</w:t>
      </w:r>
    </w:p>
    <w:p w14:paraId="4BCA8A72">
      <w:pPr>
        <w:jc w:val="center"/>
        <w:rPr>
          <w:sz w:val="20"/>
          <w:lang w:eastAsia="zh-CN"/>
        </w:rPr>
      </w:pPr>
    </w:p>
    <w:p w14:paraId="5CB11CC1">
      <w:pPr>
        <w:jc w:val="center"/>
        <w:rPr>
          <w:sz w:val="20"/>
          <w:lang w:eastAsia="zh-CN"/>
        </w:rPr>
      </w:pPr>
    </w:p>
    <w:tbl>
      <w:tblPr>
        <w:tblStyle w:val="16"/>
        <w:tblpPr w:leftFromText="181" w:rightFromText="181" w:vertAnchor="page" w:horzAnchor="page" w:tblpXSpec="center" w:tblpY="9072"/>
        <w:tblOverlap w:val="never"/>
        <w:tblW w:w="65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124"/>
        <w:gridCol w:w="4471"/>
      </w:tblGrid>
      <w:tr w14:paraId="1F366C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6601C7FE">
            <w:pPr>
              <w:pStyle w:val="6"/>
              <w:jc w:val="right"/>
              <w:rPr>
                <w:rFonts w:ascii="黑体"/>
                <w:sz w:val="48"/>
                <w:lang w:eastAsia="zh-CN"/>
              </w:rPr>
            </w:pPr>
            <w:r>
              <w:rPr>
                <w:rFonts w:hint="eastAsia" w:ascii="微软雅黑" w:eastAsia="微软雅黑"/>
                <w:sz w:val="30"/>
                <w:lang w:val="en-US" w:eastAsia="zh-CN"/>
              </w:rPr>
              <w:t>姓    名</w:t>
            </w:r>
            <w:r>
              <w:rPr>
                <w:rFonts w:hint="eastAsia" w:ascii="微软雅黑" w:eastAsia="微软雅黑"/>
                <w:sz w:val="30"/>
                <w:lang w:eastAsia="zh-CN"/>
              </w:rPr>
              <w:t>：</w:t>
            </w:r>
          </w:p>
        </w:tc>
        <w:tc>
          <w:tcPr>
            <w:tcW w:w="4471" w:type="dxa"/>
            <w:tcBorders>
              <w:top w:val="nil"/>
              <w:left w:val="nil"/>
              <w:bottom w:val="single" w:color="auto" w:sz="4" w:space="0"/>
              <w:right w:val="nil"/>
            </w:tcBorders>
            <w:vAlign w:val="bottom"/>
          </w:tcPr>
          <w:p w14:paraId="20693FCC">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xml:space="preserve">{{ </w:t>
            </w:r>
            <w:r>
              <w:rPr>
                <w:rFonts w:hint="eastAsia" w:ascii="微软雅黑" w:hAnsi="微软雅黑" w:eastAsia="微软雅黑" w:cs="微软雅黑"/>
                <w:sz w:val="30"/>
                <w:szCs w:val="30"/>
                <w:lang w:eastAsia="zh-CN"/>
              </w:rPr>
              <w:t>client</w:t>
            </w:r>
            <w:r>
              <w:rPr>
                <w:rFonts w:ascii="Times New Roman" w:hAnsi="Times New Roman" w:eastAsia="微软雅黑" w:cs="Times New Roman"/>
                <w:sz w:val="30"/>
                <w:szCs w:val="30"/>
                <w:lang w:eastAsia="zh-CN"/>
              </w:rPr>
              <w:t xml:space="preserve"> }}</w:t>
            </w:r>
          </w:p>
        </w:tc>
      </w:tr>
      <w:tr w14:paraId="1B2F7E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67" w:hRule="atLeast"/>
          <w:jc w:val="center"/>
        </w:trPr>
        <w:tc>
          <w:tcPr>
            <w:tcW w:w="2124" w:type="dxa"/>
            <w:tcBorders>
              <w:top w:val="nil"/>
              <w:left w:val="nil"/>
              <w:bottom w:val="nil"/>
              <w:right w:val="nil"/>
            </w:tcBorders>
            <w:vAlign w:val="bottom"/>
          </w:tcPr>
          <w:p w14:paraId="0EABA97C">
            <w:pPr>
              <w:pStyle w:val="6"/>
              <w:jc w:val="right"/>
              <w:rPr>
                <w:rFonts w:ascii="黑体"/>
                <w:sz w:val="48"/>
                <w:lang w:eastAsia="zh-CN"/>
              </w:rPr>
            </w:pPr>
            <w:r>
              <w:rPr>
                <w:rFonts w:hint="eastAsia" w:ascii="微软雅黑" w:eastAsia="微软雅黑"/>
                <w:sz w:val="30"/>
                <w:lang w:eastAsia="zh-CN"/>
              </w:rPr>
              <w:t>样本编号：</w:t>
            </w:r>
          </w:p>
        </w:tc>
        <w:tc>
          <w:tcPr>
            <w:tcW w:w="4471" w:type="dxa"/>
            <w:tcBorders>
              <w:top w:val="single" w:color="auto" w:sz="4" w:space="0"/>
              <w:left w:val="nil"/>
              <w:bottom w:val="single" w:color="auto" w:sz="4" w:space="0"/>
              <w:right w:val="nil"/>
            </w:tcBorders>
            <w:vAlign w:val="bottom"/>
          </w:tcPr>
          <w:p w14:paraId="78DADE45">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subbarcode }}</w:t>
            </w:r>
          </w:p>
        </w:tc>
      </w:tr>
      <w:tr w14:paraId="237FF1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678" w:hRule="atLeast"/>
          <w:jc w:val="center"/>
        </w:trPr>
        <w:tc>
          <w:tcPr>
            <w:tcW w:w="2124" w:type="dxa"/>
            <w:tcBorders>
              <w:top w:val="nil"/>
              <w:left w:val="nil"/>
              <w:bottom w:val="nil"/>
              <w:right w:val="nil"/>
            </w:tcBorders>
            <w:vAlign w:val="bottom"/>
          </w:tcPr>
          <w:p w14:paraId="4C777FAC">
            <w:pPr>
              <w:pStyle w:val="6"/>
              <w:jc w:val="right"/>
              <w:rPr>
                <w:rFonts w:ascii="黑体"/>
                <w:sz w:val="48"/>
                <w:lang w:eastAsia="zh-CN"/>
              </w:rPr>
            </w:pPr>
            <w:r>
              <w:rPr>
                <w:rFonts w:hint="eastAsia" w:ascii="微软雅黑" w:eastAsia="微软雅黑"/>
                <w:sz w:val="30"/>
                <w:lang w:eastAsia="zh-CN"/>
              </w:rPr>
              <w:t>报告日期：</w:t>
            </w:r>
          </w:p>
        </w:tc>
        <w:tc>
          <w:tcPr>
            <w:tcW w:w="4471" w:type="dxa"/>
            <w:tcBorders>
              <w:top w:val="single" w:color="auto" w:sz="4" w:space="0"/>
              <w:left w:val="nil"/>
              <w:bottom w:val="single" w:color="auto" w:sz="4" w:space="0"/>
              <w:right w:val="nil"/>
            </w:tcBorders>
            <w:vAlign w:val="bottom"/>
          </w:tcPr>
          <w:p w14:paraId="6A35E8DD">
            <w:pPr>
              <w:pStyle w:val="6"/>
              <w:jc w:val="center"/>
              <w:rPr>
                <w:rFonts w:ascii="Times New Roman" w:hAnsi="Times New Roman" w:cs="Times New Roman"/>
                <w:sz w:val="30"/>
                <w:szCs w:val="30"/>
                <w:lang w:eastAsia="zh-CN"/>
              </w:rPr>
            </w:pPr>
            <w:r>
              <w:rPr>
                <w:rFonts w:ascii="Times New Roman" w:hAnsi="Times New Roman" w:eastAsia="微软雅黑" w:cs="Times New Roman"/>
                <w:sz w:val="30"/>
                <w:szCs w:val="30"/>
                <w:lang w:eastAsia="zh-CN"/>
              </w:rPr>
              <w:t>{{ reportdate }}</w:t>
            </w:r>
          </w:p>
        </w:tc>
      </w:tr>
    </w:tbl>
    <w:p w14:paraId="6C43D1E7">
      <w:pPr>
        <w:jc w:val="center"/>
        <w:rPr>
          <w:sz w:val="20"/>
          <w:lang w:eastAsia="zh-CN"/>
        </w:rPr>
      </w:pPr>
    </w:p>
    <w:p w14:paraId="1C4F6F85">
      <w:pPr>
        <w:jc w:val="center"/>
        <w:rPr>
          <w:sz w:val="20"/>
          <w:lang w:eastAsia="zh-CN"/>
        </w:rPr>
      </w:pPr>
    </w:p>
    <w:p w14:paraId="2D3147DF">
      <w:pPr>
        <w:jc w:val="center"/>
        <w:rPr>
          <w:sz w:val="20"/>
          <w:lang w:eastAsia="zh-CN"/>
        </w:rPr>
      </w:pPr>
    </w:p>
    <w:p w14:paraId="02EBA9EE">
      <w:pPr>
        <w:jc w:val="center"/>
        <w:rPr>
          <w:sz w:val="20"/>
          <w:lang w:eastAsia="zh-CN"/>
        </w:rPr>
      </w:pPr>
    </w:p>
    <w:p w14:paraId="2A9AB10A">
      <w:pPr>
        <w:jc w:val="center"/>
        <w:rPr>
          <w:sz w:val="20"/>
          <w:lang w:eastAsia="zh-CN"/>
        </w:rPr>
      </w:pPr>
    </w:p>
    <w:p w14:paraId="45EF75ED">
      <w:pPr>
        <w:jc w:val="center"/>
        <w:rPr>
          <w:sz w:val="20"/>
          <w:lang w:eastAsia="zh-CN"/>
        </w:rPr>
      </w:pPr>
    </w:p>
    <w:p w14:paraId="5463C4B6">
      <w:pPr>
        <w:jc w:val="center"/>
        <w:rPr>
          <w:sz w:val="20"/>
          <w:lang w:eastAsia="zh-CN"/>
        </w:rPr>
      </w:pPr>
    </w:p>
    <w:p w14:paraId="0171AF5F">
      <w:pPr>
        <w:jc w:val="center"/>
        <w:rPr>
          <w:sz w:val="20"/>
          <w:lang w:eastAsia="zh-CN"/>
        </w:rPr>
        <w:sectPr>
          <w:pgSz w:w="11911" w:h="16838"/>
          <w:pgMar w:top="1037" w:right="1020" w:bottom="981" w:left="1020" w:header="567" w:footer="680" w:gutter="0"/>
          <w:pgBorders>
            <w:top w:val="none" w:sz="0" w:space="0"/>
            <w:left w:val="none" w:sz="0" w:space="0"/>
            <w:bottom w:val="none" w:sz="0" w:space="0"/>
            <w:right w:val="none" w:sz="0" w:space="0"/>
          </w:pgBorders>
          <w:pgNumType w:start="1"/>
          <w:cols w:space="425" w:num="1"/>
        </w:sectPr>
      </w:pPr>
    </w:p>
    <w:bookmarkEnd w:id="0"/>
    <w:bookmarkEnd w:id="1"/>
    <w:p w14:paraId="35E6957C">
      <w:pPr>
        <w:jc w:val="center"/>
        <w:rPr>
          <w:rFonts w:ascii="Times New Roman" w:hAnsi="Times New Roman" w:eastAsia="微软雅黑" w:cs="Times New Roman"/>
          <w:b/>
          <w:color w:val="5B9BD5" w:themeColor="accent1"/>
          <w:sz w:val="52"/>
          <w:szCs w:val="52"/>
          <w:lang w:eastAsia="zh-CN"/>
          <w14:shadow w14:blurRad="38100" w14:dist="19050" w14:dir="2700000" w14:sx="100000" w14:sy="100000" w14:kx="0" w14:ky="0" w14:algn="tl">
            <w14:schemeClr w14:val="dk1">
              <w14:alpha w14:val="60000"/>
            </w14:schemeClr>
          </w14:shadow>
          <w14:textFill>
            <w14:solidFill>
              <w14:schemeClr w14:val="accent1"/>
            </w14:solidFill>
          </w14:textFill>
          <w14:props3d w14:extrusionH="0" w14:contourW="0" w14:prstMaterial="clear"/>
        </w:rPr>
      </w:pPr>
      <w:r>
        <w:rPr>
          <w:rFonts w:hint="eastAsia" w:ascii="Times New Roman" w:hAnsi="Times New Roman" w:eastAsia="微软雅黑" w:cs="Times New Roman"/>
          <w:b/>
          <w:color w:val="62B541"/>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2EE55AF8">
      <w:pPr>
        <w:jc w:val="center"/>
        <w:rPr>
          <w:sz w:val="24"/>
          <w:szCs w:val="24"/>
          <w:lang w:eastAsia="zh-CN"/>
        </w:rPr>
      </w:pPr>
      <w:r>
        <w:rPr>
          <w:rFonts w:hint="eastAsia" w:ascii="Times New Roman" w:hAnsi="Times New Roman" w:eastAsia="微软雅黑"/>
          <w:sz w:val="36"/>
          <w:szCs w:val="36"/>
          <w:lang w:eastAsia="zh-CN"/>
        </w:rPr>
        <w:t>Content</w:t>
      </w:r>
    </w:p>
    <w:p w14:paraId="7E55F1CE">
      <w:pPr>
        <w:jc w:val="center"/>
      </w:pPr>
    </w:p>
    <w:p w14:paraId="740404BE">
      <w:pPr>
        <w:jc w:val="center"/>
      </w:pPr>
    </w:p>
    <w:p w14:paraId="5AC9DED6">
      <w:pPr>
        <w:jc w:val="center"/>
      </w:pPr>
    </w:p>
    <w:p w14:paraId="1AF4FF77">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begin"/>
      </w:r>
      <w:r>
        <w:rPr>
          <w:rStyle w:val="19"/>
          <w:rFonts w:hint="eastAsia" w:ascii="Times New Roman" w:hAnsi="Times New Roman" w:eastAsia="微软雅黑" w:cs="Times New Roman"/>
          <w:color w:val="FFFFFF" w:themeColor="background1"/>
          <w:sz w:val="28"/>
          <w:szCs w:val="28"/>
          <w:shd w:val="clear" w:color="auto" w:fill="00B050"/>
          <w14:textFill>
            <w14:solidFill>
              <w14:schemeClr w14:val="bg1"/>
            </w14:solidFill>
          </w14:textFill>
        </w:rPr>
        <w:instrText xml:space="preserve">TOC \o "1-3" \h \u </w:instrText>
      </w:r>
      <w:r>
        <w:rPr>
          <w:rStyle w:val="19"/>
          <w:rFonts w:ascii="Times New Roman" w:hAnsi="Times New Roman" w:eastAsia="微软雅黑" w:cs="Times New Roman"/>
          <w:color w:val="FFFFFF" w:themeColor="background1"/>
          <w:sz w:val="28"/>
          <w:szCs w:val="28"/>
          <w:shd w:val="clear" w:color="auto" w:fill="00B050"/>
          <w14:textFill>
            <w14:solidFill>
              <w14:schemeClr w14:val="bg1"/>
            </w14:solidFill>
          </w14:textFill>
        </w:rPr>
        <w:fldChar w:fldCharType="separate"/>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_Toc409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样本信息</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_Toc409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5BE9132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_Toc16697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检测项目</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_Toc16697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4EDE693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_Toc17731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检测结果总览</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_Toc17731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182E91E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_Toc10962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检测结果小结</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_Toc10962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B9BF61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_Toc13776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w:t>
      </w:r>
      <w:r>
        <w:rPr>
          <w:rFonts w:hint="eastAsia" w:ascii="Times New Roman" w:hAnsi="Times New Roman" w:eastAsia="微软雅黑" w:cs="Times New Roman"/>
          <w:b/>
          <w:color w:val="62B541"/>
          <w:sz w:val="32"/>
          <w:lang w:val="en-US" w:eastAsia="zh-CN"/>
        </w:rPr>
        <w:t>及用药提示</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_Toc13776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3</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r>
        <w:rPr>
          <w:rFonts w:hint="eastAsia" w:ascii="Times New Roman" w:hAnsi="Times New Roman" w:eastAsia="微软雅黑" w:cs="黑体"/>
          <w:sz w:val="24"/>
          <w:szCs w:val="24"/>
          <w:highlight w:val="none"/>
          <w:lang w:val="en-US" w:eastAsia="zh-CN"/>
        </w:rPr>
        <w:t>{% if b</w:t>
      </w:r>
      <w:r>
        <w:rPr>
          <w:rFonts w:hint="default" w:ascii="Times New Roman" w:hAnsi="Times New Roman" w:eastAsia="微软雅黑" w:cs="黑体"/>
          <w:sz w:val="24"/>
          <w:szCs w:val="24"/>
          <w:highlight w:val="none"/>
          <w:lang w:val="en-US" w:eastAsia="zh-CN"/>
        </w:rPr>
        <w:t>rainGlioma</w:t>
      </w:r>
      <w:r>
        <w:rPr>
          <w:rFonts w:hint="eastAsia" w:ascii="Times New Roman" w:hAnsi="Times New Roman" w:eastAsia="微软雅黑" w:cs="黑体"/>
          <w:sz w:val="24"/>
          <w:szCs w:val="24"/>
          <w:highlight w:val="none"/>
          <w:lang w:val="en-US" w:eastAsia="zh-CN"/>
        </w:rPr>
        <w:t>Flag %}</w:t>
      </w:r>
    </w:p>
    <w:p w14:paraId="1A0A8D7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_Toc28615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脑胶质瘤相关分子标记物检测结果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_Toc28615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64325E88">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_Toc18242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辅助诊断提示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_Toc18242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1A4B8CD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_Toc11808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靶向药物用药</w:t>
      </w:r>
      <w:r>
        <w:rPr>
          <w:rStyle w:val="19"/>
          <w:rFonts w:hint="eastAsia" w:ascii="Times New Roman" w:hAnsi="Times New Roman" w:eastAsia="微软雅黑" w:cs="Times New Roman"/>
          <w:sz w:val="28"/>
          <w:lang w:eastAsia="zh-CN"/>
        </w:rPr>
        <w:t>提示</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_Toc11808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77A084A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_Toc31051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PD-L1检测结果</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_Toc31051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eastAsia="微软雅黑" w:cs="Times New Roman"/>
          <w:sz w:val="24"/>
          <w:szCs w:val="24"/>
          <w:lang w:eastAsia="zh-CN"/>
        </w:rPr>
        <w:t>{%if BodyDrugDrugDetectionStr or unknownVarAnalysisStr %}</w:t>
      </w:r>
    </w:p>
    <w:p w14:paraId="74B4204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_Toc359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检测结果解析</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_Toc359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11</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D3F7C8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_Toc12645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变异位点结果解析</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_Toc12645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11</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05870F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eastAsia="zh-CN"/>
        </w:rPr>
      </w:pP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HYPERLINK \l _Toc30951 </w:instrText>
      </w:r>
      <w:r>
        <w:rPr>
          <w:rFonts w:hint="default" w:ascii="Times New Roman" w:hAnsi="Times New Roman" w:eastAsia="微软雅黑" w:cs="Times New Roman"/>
          <w:b/>
          <w:color w:val="62B541"/>
          <w:sz w:val="32"/>
          <w:lang w:eastAsia="zh-CN"/>
        </w:rPr>
        <w:fldChar w:fldCharType="separate"/>
      </w:r>
      <w:r>
        <w:rPr>
          <w:rFonts w:hint="eastAsia" w:ascii="Times New Roman" w:hAnsi="Times New Roman" w:eastAsia="微软雅黑" w:cs="Times New Roman"/>
          <w:b/>
          <w:color w:val="62B541"/>
          <w:sz w:val="32"/>
          <w:lang w:eastAsia="zh-CN"/>
        </w:rPr>
        <w:t>附录</w:t>
      </w:r>
      <w:r>
        <w:rPr>
          <w:rFonts w:hint="default" w:ascii="Times New Roman" w:hAnsi="Times New Roman" w:eastAsia="微软雅黑" w:cs="Times New Roman"/>
          <w:b/>
          <w:color w:val="62B541"/>
          <w:sz w:val="32"/>
          <w:lang w:eastAsia="zh-CN"/>
        </w:rPr>
        <w:tab/>
      </w:r>
      <w:r>
        <w:rPr>
          <w:rFonts w:hint="default" w:ascii="Times New Roman" w:hAnsi="Times New Roman" w:eastAsia="微软雅黑" w:cs="Times New Roman"/>
          <w:b/>
          <w:color w:val="62B541"/>
          <w:sz w:val="32"/>
          <w:lang w:eastAsia="zh-CN"/>
        </w:rPr>
        <w:fldChar w:fldCharType="begin"/>
      </w:r>
      <w:r>
        <w:rPr>
          <w:rFonts w:hint="default" w:ascii="Times New Roman" w:hAnsi="Times New Roman" w:eastAsia="微软雅黑" w:cs="Times New Roman"/>
          <w:b/>
          <w:color w:val="62B541"/>
          <w:sz w:val="32"/>
          <w:lang w:eastAsia="zh-CN"/>
        </w:rPr>
        <w:instrText xml:space="preserve"> PAGEREF _Toc30951 \h </w:instrText>
      </w:r>
      <w:r>
        <w:rPr>
          <w:rFonts w:hint="default" w:ascii="Times New Roman" w:hAnsi="Times New Roman" w:eastAsia="微软雅黑" w:cs="Times New Roman"/>
          <w:b/>
          <w:color w:val="62B541"/>
          <w:sz w:val="32"/>
          <w:lang w:eastAsia="zh-CN"/>
        </w:rPr>
        <w:fldChar w:fldCharType="separate"/>
      </w:r>
      <w:r>
        <w:rPr>
          <w:rFonts w:hint="default" w:ascii="Times New Roman" w:hAnsi="Times New Roman" w:eastAsia="微软雅黑" w:cs="Times New Roman"/>
          <w:b/>
          <w:color w:val="62B541"/>
          <w:sz w:val="32"/>
          <w:lang w:eastAsia="zh-CN"/>
        </w:rPr>
        <w:t>14</w:t>
      </w:r>
      <w:r>
        <w:rPr>
          <w:rFonts w:hint="default" w:ascii="Times New Roman" w:hAnsi="Times New Roman" w:eastAsia="微软雅黑" w:cs="Times New Roman"/>
          <w:b/>
          <w:color w:val="62B541"/>
          <w:sz w:val="32"/>
          <w:lang w:eastAsia="zh-CN"/>
        </w:rPr>
        <w:fldChar w:fldCharType="end"/>
      </w:r>
      <w:r>
        <w:rPr>
          <w:rFonts w:hint="default" w:ascii="Times New Roman" w:hAnsi="Times New Roman" w:eastAsia="微软雅黑" w:cs="Times New Roman"/>
          <w:b/>
          <w:color w:val="62B541"/>
          <w:sz w:val="32"/>
          <w:lang w:eastAsia="zh-CN"/>
        </w:rPr>
        <w:fldChar w:fldCharType="end"/>
      </w:r>
    </w:p>
    <w:p w14:paraId="2FE64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_Toc19101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样本质控情况</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_Toc19101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14</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if </w:t>
      </w:r>
      <w:r>
        <w:rPr>
          <w:rFonts w:hint="eastAsia" w:ascii="Times New Roman" w:hAnsi="Times New Roman" w:eastAsia="微软雅黑" w:cs="Times New Roman"/>
          <w:kern w:val="0"/>
          <w:sz w:val="24"/>
          <w:szCs w:val="24"/>
          <w:lang w:val="en-US" w:eastAsia="zh-CN" w:bidi="ar"/>
        </w:rPr>
        <w:t>b</w:t>
      </w:r>
      <w:r>
        <w:rPr>
          <w:rFonts w:hint="default" w:ascii="Times New Roman" w:hAnsi="Times New Roman" w:eastAsia="微软雅黑" w:cs="黑体"/>
          <w:kern w:val="0"/>
          <w:sz w:val="24"/>
          <w:szCs w:val="24"/>
          <w:lang w:val="en-US" w:eastAsia="zh-CN" w:bidi="ar"/>
        </w:rPr>
        <w:t>rainGlioma</w:t>
      </w:r>
      <w:r>
        <w:rPr>
          <w:rFonts w:hint="eastAsia" w:ascii="Times New Roman" w:hAnsi="Times New Roman" w:eastAsia="微软雅黑" w:cs="黑体"/>
          <w:kern w:val="0"/>
          <w:sz w:val="24"/>
          <w:szCs w:val="24"/>
          <w:lang w:val="en-US" w:eastAsia="zh-CN" w:bidi="ar"/>
        </w:rPr>
        <w:t xml:space="preserve">Flag </w:t>
      </w:r>
      <w:r>
        <w:rPr>
          <w:rFonts w:hint="default" w:ascii="Times New Roman" w:hAnsi="Times New Roman" w:eastAsia="微软雅黑" w:cs="Times New Roman"/>
          <w:kern w:val="0"/>
          <w:sz w:val="24"/>
          <w:szCs w:val="24"/>
          <w:lang w:val="en-US" w:eastAsia="zh-CN" w:bidi="ar"/>
        </w:rPr>
        <w:t>%}</w:t>
      </w:r>
    </w:p>
    <w:p w14:paraId="5BFD7EA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_Toc4278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常见胶质瘤分型相关基因变异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_Toc4278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15</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eastAsia="微软雅黑" w:cs="Times New Roman"/>
          <w:kern w:val="0"/>
          <w:sz w:val="24"/>
          <w:szCs w:val="24"/>
          <w:lang w:val="en-US" w:eastAsia="zh-CN" w:bidi="ar"/>
        </w:rPr>
        <w:t xml:space="preserve">{% </w:t>
      </w:r>
      <w:r>
        <w:rPr>
          <w:rFonts w:hint="eastAsia" w:ascii="Times New Roman" w:hAnsi="Times New Roman" w:eastAsia="微软雅黑" w:cs="Times New Roman"/>
          <w:kern w:val="0"/>
          <w:sz w:val="24"/>
          <w:szCs w:val="24"/>
          <w:lang w:val="en-US" w:eastAsia="zh-CN" w:bidi="ar"/>
        </w:rPr>
        <w:t xml:space="preserve">endif </w:t>
      </w:r>
      <w:r>
        <w:rPr>
          <w:rFonts w:hint="default" w:ascii="Times New Roman" w:hAnsi="Times New Roman" w:eastAsia="微软雅黑" w:cs="Times New Roman"/>
          <w:kern w:val="0"/>
          <w:sz w:val="24"/>
          <w:szCs w:val="24"/>
          <w:lang w:val="en-US" w:eastAsia="zh-CN" w:bidi="ar"/>
        </w:rPr>
        <w:t>%}{% if disease.</w:t>
      </w:r>
      <w:r>
        <w:rPr>
          <w:rFonts w:hint="eastAsia" w:ascii="Times New Roman" w:hAnsi="Times New Roman" w:eastAsia="微软雅黑" w:cs="黑体"/>
          <w:kern w:val="0"/>
          <w:sz w:val="24"/>
          <w:szCs w:val="24"/>
          <w:lang w:val="en-US" w:eastAsia="zh-CN" w:bidi="ar"/>
        </w:rPr>
        <w:t xml:space="preserve">Midline </w:t>
      </w:r>
      <w:r>
        <w:rPr>
          <w:rFonts w:hint="default" w:ascii="Times New Roman" w:hAnsi="Times New Roman" w:eastAsia="微软雅黑" w:cs="Times New Roman"/>
          <w:kern w:val="0"/>
          <w:sz w:val="24"/>
          <w:szCs w:val="24"/>
          <w:lang w:val="en-US" w:eastAsia="zh-CN" w:bidi="ar"/>
        </w:rPr>
        <w:t>%}</w:t>
      </w:r>
    </w:p>
    <w:p w14:paraId="120046C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_Toc12522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中线癌相关分子标记物检测意义</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_Toc12522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16</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4333ADC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_Toc19525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分子定义的肾细胞癌的形态学和分子特征</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_Toc19525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17</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4"/>
          <w:szCs w:val="24"/>
          <w:lang w:eastAsia="zh-CN"/>
        </w:rPr>
        <w:t>{% endif %}{% if disease.Sarcoma %}</w:t>
      </w:r>
    </w:p>
    <w:p w14:paraId="23D8ACFB">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_Toc19457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常见肉瘤分型相关基因变异</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_Toc19457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18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r>
        <w:rPr>
          <w:rFonts w:hint="default" w:ascii="Times New Roman" w:hAnsi="Times New Roman" w:cs="Times New Roman"/>
          <w:sz w:val="24"/>
          <w:szCs w:val="24"/>
          <w:lang w:val="en-US" w:eastAsia="zh-CN"/>
        </w:rPr>
        <w:t>{% endif %}</w:t>
      </w:r>
    </w:p>
    <w:p w14:paraId="56E9FD5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_Toc18001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检测基因列表（1166个基因）</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_Toc18001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28</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62E1A4E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_Toc24071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检测方法与局限性</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_Toc24071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29</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1856ED3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eastAsia" w:ascii="Times New Roman" w:hAnsi="Times New Roman" w:eastAsia="微软雅黑" w:cs="Times New Roman"/>
          <w:sz w:val="28"/>
          <w:lang w:eastAsia="zh-CN"/>
        </w:rPr>
      </w:pP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HYPERLINK \l _Toc26977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参考文献</w:t>
      </w:r>
      <w:r>
        <w:rPr>
          <w:rStyle w:val="19"/>
          <w:rFonts w:hint="eastAsia" w:ascii="Times New Roman" w:hAnsi="Times New Roman" w:eastAsia="微软雅黑" w:cs="Times New Roman"/>
          <w:sz w:val="28"/>
          <w:lang w:eastAsia="zh-CN"/>
        </w:rPr>
        <w:tab/>
      </w:r>
      <w:r>
        <w:rPr>
          <w:rStyle w:val="19"/>
          <w:rFonts w:hint="eastAsia" w:ascii="Times New Roman" w:hAnsi="Times New Roman" w:eastAsia="微软雅黑" w:cs="Times New Roman"/>
          <w:sz w:val="28"/>
          <w:lang w:eastAsia="zh-CN"/>
        </w:rPr>
        <w:fldChar w:fldCharType="begin"/>
      </w:r>
      <w:r>
        <w:rPr>
          <w:rStyle w:val="19"/>
          <w:rFonts w:hint="eastAsia" w:ascii="Times New Roman" w:hAnsi="Times New Roman" w:eastAsia="微软雅黑" w:cs="Times New Roman"/>
          <w:sz w:val="28"/>
          <w:lang w:eastAsia="zh-CN"/>
        </w:rPr>
        <w:instrText xml:space="preserve"> PAGEREF _Toc26977 \h </w:instrText>
      </w:r>
      <w:r>
        <w:rPr>
          <w:rStyle w:val="19"/>
          <w:rFonts w:hint="eastAsia"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30</w:t>
      </w:r>
      <w:r>
        <w:rPr>
          <w:rStyle w:val="19"/>
          <w:rFonts w:hint="eastAsia" w:ascii="Times New Roman" w:hAnsi="Times New Roman" w:eastAsia="微软雅黑" w:cs="Times New Roman"/>
          <w:sz w:val="28"/>
          <w:lang w:eastAsia="zh-CN"/>
        </w:rPr>
        <w:fldChar w:fldCharType="end"/>
      </w:r>
      <w:r>
        <w:rPr>
          <w:rStyle w:val="19"/>
          <w:rFonts w:hint="eastAsia" w:ascii="Times New Roman" w:hAnsi="Times New Roman" w:eastAsia="微软雅黑" w:cs="Times New Roman"/>
          <w:sz w:val="28"/>
          <w:lang w:eastAsia="zh-CN"/>
        </w:rPr>
        <w:fldChar w:fldCharType="end"/>
      </w:r>
    </w:p>
    <w:p w14:paraId="0FA5C5FE">
      <w:pPr>
        <w:spacing w:line="520" w:lineRule="atLeast"/>
        <w:rPr>
          <w:lang w:eastAsia="zh-CN"/>
        </w:rPr>
        <w:sectPr>
          <w:headerReference r:id="rId3" w:type="default"/>
          <w:footerReference r:id="rId4" w:type="default"/>
          <w:pgSz w:w="11911" w:h="16838"/>
          <w:pgMar w:top="1037" w:right="1020" w:bottom="981" w:left="1020" w:header="567" w:footer="680" w:gutter="0"/>
          <w:pgBorders>
            <w:top w:val="none" w:sz="0" w:space="0"/>
            <w:left w:val="none" w:sz="0" w:space="0"/>
            <w:bottom w:val="none" w:sz="0" w:space="0"/>
            <w:right w:val="none" w:sz="0" w:space="0"/>
          </w:pgBorders>
          <w:pgNumType w:start="1"/>
          <w:cols w:space="0" w:num="1"/>
          <w:docGrid w:linePitch="299" w:charSpace="0"/>
        </w:sectPr>
      </w:pPr>
      <w:r>
        <w:rPr>
          <w:lang w:eastAsia="zh-CN"/>
        </w:rPr>
        <w:fldChar w:fldCharType="end"/>
      </w:r>
      <w:r>
        <w:rPr>
          <w:lang w:eastAsia="zh-CN"/>
        </w:rPr>
        <w:br w:type="page"/>
      </w:r>
    </w:p>
    <w:p w14:paraId="4BB5DCFA">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 w:name="_Toc3619"/>
      <w:bookmarkStart w:id="3" w:name="_Toc21009_WPSOffice_Level1"/>
      <w:bookmarkStart w:id="4" w:name="_Toc30143_WPSOffice_Level1"/>
      <w:bookmarkStart w:id="5" w:name="_Toc24178_WPSOffice_Level1"/>
      <w:bookmarkStart w:id="6" w:name="_Toc14123"/>
      <w:bookmarkStart w:id="7" w:name="_Toc107825547"/>
      <w:bookmarkStart w:id="8" w:name="_Toc21669"/>
      <w:bookmarkStart w:id="9" w:name="_Toc13806"/>
      <w:bookmarkStart w:id="10" w:name="_Toc409"/>
      <w:r>
        <w:rPr>
          <w:color w:val="62B541"/>
          <w:sz w:val="32"/>
          <w14:shadow w14:blurRad="50800" w14:dist="38100" w14:dir="10800000" w14:sx="100000" w14:sy="100000" w14:kx="0" w14:ky="0" w14:algn="r">
            <w14:srgbClr w14:val="62B541">
              <w14:alpha w14:val="60000"/>
            </w14:srgbClr>
          </w14:shadow>
        </w:rPr>
        <w:t>样本信息</w:t>
      </w:r>
      <w:bookmarkEnd w:id="2"/>
      <w:bookmarkEnd w:id="3"/>
      <w:bookmarkEnd w:id="4"/>
      <w:bookmarkEnd w:id="5"/>
      <w:bookmarkEnd w:id="6"/>
      <w:bookmarkEnd w:id="7"/>
      <w:bookmarkEnd w:id="8"/>
      <w:bookmarkEnd w:id="9"/>
      <w:bookmarkEnd w:id="10"/>
    </w:p>
    <w:tbl>
      <w:tblPr>
        <w:tblStyle w:val="15"/>
        <w:tblpPr w:leftFromText="180" w:rightFromText="180" w:vertAnchor="text" w:horzAnchor="margin" w:tblpXSpec="center" w:tblpY="11"/>
        <w:tblW w:w="9870" w:type="dxa"/>
        <w:jc w:val="center"/>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Layout w:type="fixed"/>
        <w:tblCellMar>
          <w:top w:w="0" w:type="dxa"/>
          <w:left w:w="108" w:type="dxa"/>
          <w:bottom w:w="0" w:type="dxa"/>
          <w:right w:w="108" w:type="dxa"/>
        </w:tblCellMar>
      </w:tblPr>
      <w:tblGrid>
        <w:gridCol w:w="3231"/>
        <w:gridCol w:w="3323"/>
        <w:gridCol w:w="3316"/>
      </w:tblGrid>
      <w:tr w14:paraId="54A711FC">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op w:val="single" w:color="62B541" w:sz="24" w:space="0"/>
            </w:tcBorders>
            <w:shd w:val="clear" w:color="auto" w:fill="auto"/>
            <w:vAlign w:val="center"/>
          </w:tcPr>
          <w:p w14:paraId="434D08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3323" w:type="dxa"/>
            <w:tcBorders>
              <w:top w:val="single" w:color="62B541" w:sz="24" w:space="0"/>
            </w:tcBorders>
            <w:shd w:val="clear" w:color="auto" w:fill="auto"/>
            <w:vAlign w:val="center"/>
          </w:tcPr>
          <w:p w14:paraId="190A749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送检医院：</w:t>
            </w:r>
            <w:r>
              <w:rPr>
                <w:rFonts w:hint="eastAsia" w:ascii="Times New Roman" w:hAnsi="Times New Roman" w:eastAsia="微软雅黑" w:cs="Times New Roman"/>
                <w:bCs/>
                <w:color w:val="000000"/>
                <w:sz w:val="21"/>
                <w:szCs w:val="21"/>
                <w:lang w:eastAsia="zh-CN"/>
              </w:rPr>
              <w:t>{{ hospital }}</w:t>
            </w:r>
          </w:p>
        </w:tc>
        <w:tc>
          <w:tcPr>
            <w:tcW w:w="3316" w:type="dxa"/>
            <w:tcBorders>
              <w:top w:val="single" w:color="62B541" w:sz="24" w:space="0"/>
            </w:tcBorders>
            <w:shd w:val="clear" w:color="auto" w:fill="auto"/>
            <w:vAlign w:val="center"/>
          </w:tcPr>
          <w:p w14:paraId="20000C8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样本编号：</w:t>
            </w:r>
            <w:r>
              <w:rPr>
                <w:rFonts w:hint="eastAsia" w:ascii="Times New Roman" w:hAnsi="Times New Roman" w:eastAsia="微软雅黑" w:cs="Times New Roman"/>
                <w:bCs/>
                <w:color w:val="000000"/>
                <w:sz w:val="21"/>
                <w:szCs w:val="21"/>
                <w:lang w:eastAsia="zh-CN"/>
              </w:rPr>
              <w:t>{{ subbarcode }}</w:t>
            </w:r>
          </w:p>
        </w:tc>
      </w:tr>
      <w:tr w14:paraId="3A01F4B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91DB49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3323" w:type="dxa"/>
            <w:tcBorders>
              <w:tl2br w:val="nil"/>
              <w:tr2bl w:val="nil"/>
            </w:tcBorders>
            <w:shd w:val="clear" w:color="auto" w:fill="auto"/>
            <w:vAlign w:val="center"/>
          </w:tcPr>
          <w:p w14:paraId="2D4B2128">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送检科室：</w:t>
            </w:r>
            <w:r>
              <w:rPr>
                <w:rFonts w:hint="eastAsia" w:ascii="Times New Roman" w:hAnsi="Times New Roman" w:eastAsia="微软雅黑" w:cs="Times New Roman"/>
                <w:color w:val="000000"/>
                <w:sz w:val="21"/>
                <w:szCs w:val="21"/>
                <w:lang w:eastAsia="zh-CN"/>
              </w:rPr>
              <w:t>{{ locationname }}</w:t>
            </w:r>
          </w:p>
        </w:tc>
        <w:tc>
          <w:tcPr>
            <w:tcW w:w="3316" w:type="dxa"/>
            <w:tcBorders>
              <w:tl2br w:val="nil"/>
              <w:tr2bl w:val="nil"/>
            </w:tcBorders>
            <w:shd w:val="clear" w:color="auto" w:fill="auto"/>
            <w:vAlign w:val="center"/>
          </w:tcPr>
          <w:p w14:paraId="13F10C0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%}石蜡样本{% else %}</w:t>
            </w:r>
            <w:r>
              <w:rPr>
                <w:rFonts w:hint="eastAsia" w:ascii="微软雅黑" w:hAnsi="微软雅黑" w:eastAsia="微软雅黑" w:cs="微软雅黑"/>
                <w:sz w:val="21"/>
                <w:szCs w:val="21"/>
                <w:lang w:val="en-US" w:eastAsia="zh-CN" w:bidi="ar"/>
              </w:rPr>
              <w:t>血液</w:t>
            </w:r>
            <w:r>
              <w:rPr>
                <w:rFonts w:hint="eastAsia" w:ascii="Times New Roman" w:hAnsi="Times New Roman" w:eastAsia="微软雅黑" w:cs="黑体"/>
                <w:sz w:val="21"/>
                <w:lang w:eastAsia="zh-CN"/>
              </w:rPr>
              <w:t>{% endif %}</w:t>
            </w:r>
          </w:p>
        </w:tc>
      </w:tr>
      <w:tr w14:paraId="4FE86AAD">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002ECC53">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3323" w:type="dxa"/>
            <w:tcBorders>
              <w:tl2br w:val="nil"/>
              <w:tr2bl w:val="nil"/>
            </w:tcBorders>
            <w:shd w:val="clear" w:color="auto" w:fill="auto"/>
            <w:vAlign w:val="center"/>
          </w:tcPr>
          <w:p w14:paraId="00087921">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color w:val="000000"/>
                <w:sz w:val="21"/>
                <w:szCs w:val="21"/>
                <w:lang w:eastAsia="zh-CN"/>
              </w:rPr>
              <w:t>送检医生：</w:t>
            </w:r>
            <w:r>
              <w:rPr>
                <w:rFonts w:hint="eastAsia" w:ascii="Times New Roman" w:hAnsi="Times New Roman" w:eastAsia="微软雅黑" w:cs="Times New Roman"/>
                <w:color w:val="000000"/>
                <w:sz w:val="21"/>
                <w:szCs w:val="21"/>
                <w:lang w:eastAsia="zh-CN"/>
              </w:rPr>
              <w:t>{{ doctorname }}</w:t>
            </w:r>
          </w:p>
        </w:tc>
        <w:tc>
          <w:tcPr>
            <w:tcW w:w="3316" w:type="dxa"/>
            <w:tcBorders>
              <w:tl2br w:val="nil"/>
              <w:tr2bl w:val="nil"/>
            </w:tcBorders>
            <w:shd w:val="clear" w:color="auto" w:fill="auto"/>
            <w:vAlign w:val="center"/>
          </w:tcPr>
          <w:p w14:paraId="41F3F02D">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病理编号：{{ patientid }}</w:t>
            </w:r>
          </w:p>
        </w:tc>
      </w:tr>
      <w:tr w14:paraId="34F94861">
        <w:tblPrEx>
          <w:tblBorders>
            <w:top w:val="single" w:color="5A9D46" w:sz="24" w:space="0"/>
            <w:left w:val="none" w:color="auto" w:sz="0" w:space="0"/>
            <w:bottom w:val="none" w:color="auto" w:sz="0" w:space="0"/>
            <w:right w:val="none" w:color="auto" w:sz="0" w:space="0"/>
            <w:insideH w:val="single" w:color="BEBEBE" w:themeColor="background1" w:themeShade="BF" w:sz="4" w:space="0"/>
            <w:insideV w:val="single" w:color="BEBEBE" w:themeColor="background1" w:themeShade="BF" w:sz="4" w:space="0"/>
          </w:tblBorders>
          <w:shd w:val="clear" w:color="auto" w:fill="FFFFFF" w:themeFill="background1"/>
          <w:tblCellMar>
            <w:top w:w="0" w:type="dxa"/>
            <w:left w:w="108" w:type="dxa"/>
            <w:bottom w:w="0" w:type="dxa"/>
            <w:right w:w="108" w:type="dxa"/>
          </w:tblCellMar>
        </w:tblPrEx>
        <w:trPr>
          <w:trHeight w:val="397" w:hRule="atLeast"/>
          <w:jc w:val="center"/>
        </w:trPr>
        <w:tc>
          <w:tcPr>
            <w:tcW w:w="3231" w:type="dxa"/>
            <w:tcBorders>
              <w:bottom w:val="single" w:color="A4A4A4" w:sz="4" w:space="0"/>
              <w:tl2br w:val="nil"/>
              <w:tr2bl w:val="nil"/>
            </w:tcBorders>
            <w:shd w:val="clear" w:color="auto" w:fill="auto"/>
            <w:vAlign w:val="center"/>
          </w:tcPr>
          <w:p w14:paraId="7C4AF01E">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3323" w:type="dxa"/>
            <w:tcBorders>
              <w:bottom w:val="single" w:color="A4A4A4" w:sz="4" w:space="0"/>
              <w:tl2br w:val="nil"/>
              <w:tr2bl w:val="nil"/>
            </w:tcBorders>
            <w:shd w:val="clear" w:color="auto" w:fill="auto"/>
            <w:vAlign w:val="center"/>
          </w:tcPr>
          <w:p w14:paraId="31074BAB">
            <w:pPr>
              <w:jc w:val="both"/>
              <w:rPr>
                <w:rFonts w:ascii="Times New Roman" w:hAnsi="Times New Roman" w:eastAsia="微软雅黑" w:cs="Times New Roman"/>
                <w:color w:val="000000"/>
                <w:sz w:val="21"/>
                <w:szCs w:val="21"/>
                <w:lang w:eastAsia="zh-CN"/>
              </w:rPr>
            </w:pPr>
            <w:r>
              <w:rPr>
                <w:rFonts w:ascii="Times New Roman" w:hAnsi="Times New Roman" w:eastAsia="微软雅黑" w:cs="Times New Roman"/>
                <w:bCs/>
                <w:color w:val="000000"/>
                <w:sz w:val="21"/>
                <w:szCs w:val="21"/>
                <w:lang w:eastAsia="zh-CN"/>
              </w:rPr>
              <w:t>门诊/住院号：</w:t>
            </w:r>
            <w:r>
              <w:rPr>
                <w:rFonts w:hint="eastAsia" w:ascii="Times New Roman" w:hAnsi="Times New Roman" w:eastAsia="微软雅黑" w:cs="Times New Roman"/>
                <w:bCs/>
                <w:color w:val="000000"/>
                <w:sz w:val="21"/>
                <w:szCs w:val="21"/>
                <w:lang w:eastAsia="zh-CN"/>
              </w:rPr>
              <w:t>{{ room }}</w:t>
            </w:r>
          </w:p>
        </w:tc>
        <w:tc>
          <w:tcPr>
            <w:tcW w:w="3316" w:type="dxa"/>
            <w:tcBorders>
              <w:bottom w:val="single" w:color="A4A4A4" w:sz="4" w:space="0"/>
              <w:tl2br w:val="nil"/>
              <w:tr2bl w:val="nil"/>
            </w:tcBorders>
            <w:shd w:val="clear" w:color="auto" w:fill="auto"/>
            <w:vAlign w:val="center"/>
          </w:tcPr>
          <w:p w14:paraId="297D5C75">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送检时间：</w:t>
            </w:r>
            <w:r>
              <w:rPr>
                <w:rFonts w:hint="eastAsia" w:ascii="Times New Roman" w:hAnsi="Times New Roman" w:eastAsia="微软雅黑" w:cs="Times New Roman"/>
                <w:bCs/>
                <w:color w:val="000000"/>
                <w:sz w:val="21"/>
                <w:szCs w:val="21"/>
                <w:lang w:eastAsia="zh-CN"/>
              </w:rPr>
              <w:t>{{ commission_date }}</w:t>
            </w:r>
          </w:p>
        </w:tc>
      </w:tr>
    </w:tbl>
    <w:p w14:paraId="6B33AD7B">
      <w:pPr>
        <w:rPr>
          <w:rFonts w:ascii="Times New Roman" w:hAnsi="Times New Roman" w:eastAsia="微软雅黑" w:cs="Times New Roman"/>
          <w:b/>
          <w:color w:val="00B050"/>
          <w:sz w:val="28"/>
          <w:szCs w:val="28"/>
          <w:lang w:eastAsia="zh-CN"/>
        </w:rPr>
      </w:pPr>
    </w:p>
    <w:p w14:paraId="462D054E">
      <w:pPr>
        <w:rPr>
          <w:rFonts w:ascii="Times New Roman" w:hAnsi="Times New Roman" w:eastAsia="微软雅黑" w:cs="Times New Roman"/>
          <w:b/>
          <w:color w:val="00B050"/>
          <w:sz w:val="28"/>
          <w:szCs w:val="28"/>
          <w:lang w:eastAsia="zh-CN"/>
        </w:rPr>
      </w:pPr>
    </w:p>
    <w:p w14:paraId="12F56EF3">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11" w:name="_Toc17451"/>
      <w:bookmarkStart w:id="12" w:name="_Toc107825548"/>
      <w:bookmarkStart w:id="13" w:name="_Toc7021_WPSOffice_Level1"/>
      <w:bookmarkStart w:id="14" w:name="_Toc11015_WPSOffice_Level1"/>
      <w:bookmarkStart w:id="15" w:name="_Toc29272"/>
      <w:bookmarkStart w:id="16" w:name="_Toc26731"/>
      <w:bookmarkStart w:id="17" w:name="_Toc18062_WPSOffice_Level1"/>
      <w:bookmarkStart w:id="18" w:name="_Toc16697"/>
      <w:bookmarkStart w:id="19" w:name="_Toc3823"/>
      <w:r>
        <w:rPr>
          <w:color w:val="62B541"/>
          <w:sz w:val="32"/>
          <w14:shadow w14:blurRad="50800" w14:dist="38100" w14:dir="10800000" w14:sx="100000" w14:sy="100000" w14:kx="0" w14:ky="0" w14:algn="r">
            <w14:srgbClr w14:val="62B541">
              <w14:alpha w14:val="60000"/>
            </w14:srgbClr>
          </w14:shadow>
        </w:rPr>
        <w:t>检测项目</w:t>
      </w:r>
      <w:bookmarkEnd w:id="11"/>
      <w:bookmarkEnd w:id="12"/>
      <w:bookmarkEnd w:id="13"/>
      <w:bookmarkEnd w:id="14"/>
      <w:bookmarkEnd w:id="15"/>
      <w:bookmarkEnd w:id="16"/>
      <w:bookmarkEnd w:id="17"/>
      <w:bookmarkEnd w:id="18"/>
    </w:p>
    <w:p w14:paraId="2F41C358">
      <w:pPr>
        <w:spacing w:line="276" w:lineRule="auto"/>
        <w:ind w:firstLine="420" w:firstLineChars="200"/>
        <w:jc w:val="both"/>
        <w:rPr>
          <w:rFonts w:ascii="Times New Roman" w:hAnsi="Times New Roman" w:eastAsia="微软雅黑" w:cs="Times New Roman"/>
          <w:bCs/>
          <w:sz w:val="21"/>
          <w:szCs w:val="21"/>
          <w:lang w:eastAsia="zh-CN"/>
        </w:rPr>
      </w:pPr>
      <w:bookmarkStart w:id="20" w:name="_Toc534807930"/>
      <w:r>
        <w:rPr>
          <w:rFonts w:hint="eastAsia" w:ascii="Times New Roman" w:hAnsi="Times New Roman" w:eastAsia="微软雅黑" w:cs="Times New Roman"/>
          <w:bCs/>
          <w:sz w:val="21"/>
          <w:szCs w:val="21"/>
          <w:lang w:eastAsia="zh-CN"/>
        </w:rPr>
        <w:t>本</w:t>
      </w:r>
      <w:r>
        <w:rPr>
          <w:rFonts w:hint="eastAsia" w:ascii="Times New Roman" w:hAnsi="Times New Roman" w:eastAsia="微软雅黑" w:cs="Times New Roman"/>
          <w:bCs/>
          <w:sz w:val="21"/>
          <w:szCs w:val="21"/>
          <w:lang w:val="en-US" w:eastAsia="zh-CN"/>
        </w:rPr>
        <w:t>检测</w:t>
      </w:r>
      <w:r>
        <w:rPr>
          <w:rFonts w:hint="eastAsia" w:ascii="Times New Roman" w:hAnsi="Times New Roman" w:eastAsia="微软雅黑" w:cs="Times New Roman"/>
          <w:bCs/>
          <w:sz w:val="21"/>
          <w:szCs w:val="21"/>
          <w:lang w:eastAsia="zh-CN"/>
        </w:rPr>
        <w:t>利用探针杂交捕获技术和脱氧核糖核酸测序技术全面检测1166个基因，基于转录层面精准检测多种重排，包括已知、未知以及复杂融合变异类型，</w:t>
      </w:r>
      <w:r>
        <w:rPr>
          <w:rFonts w:hint="eastAsia" w:ascii="Times New Roman" w:hAnsi="Times New Roman" w:eastAsia="微软雅黑" w:cs="Times New Roman"/>
          <w:bCs/>
          <w:sz w:val="21"/>
          <w:szCs w:val="21"/>
          <w:highlight w:val="none"/>
          <w:lang w:val="en-US" w:eastAsia="zh-CN"/>
        </w:rPr>
        <w:t>开展{% if brainGliomaFlag or disease.Sarcoma or disease.Midline or disease.KidneyFlag %}分子</w:t>
      </w:r>
      <w:r>
        <w:rPr>
          <w:rFonts w:hint="eastAsia" w:ascii="Times New Roman" w:hAnsi="Times New Roman" w:eastAsia="微软雅黑" w:cs="Times New Roman"/>
          <w:bCs/>
          <w:sz w:val="21"/>
          <w:szCs w:val="21"/>
          <w:highlight w:val="none"/>
          <w:lang w:eastAsia="zh-CN"/>
        </w:rPr>
        <w:t>分型辅助诊断</w:t>
      </w:r>
      <w:r>
        <w:rPr>
          <w:rFonts w:hint="eastAsia" w:ascii="Times New Roman" w:hAnsi="Times New Roman" w:eastAsia="微软雅黑" w:cs="Times New Roman"/>
          <w:bCs/>
          <w:sz w:val="21"/>
          <w:szCs w:val="21"/>
          <w:highlight w:val="none"/>
          <w:lang w:val="en-US" w:eastAsia="zh-CN"/>
        </w:rPr>
        <w:t>和{% endif %}实体瘤靶药融合基因检测</w:t>
      </w:r>
      <w:r>
        <w:rPr>
          <w:rFonts w:hint="eastAsia"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00A1DF71">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本报告全面分析基因融合变异，</w:t>
      </w:r>
      <w:r>
        <w:rPr>
          <w:rFonts w:hint="eastAsia" w:ascii="Times New Roman" w:hAnsi="Times New Roman" w:eastAsia="微软雅黑" w:cs="Times New Roman"/>
          <w:bCs/>
          <w:sz w:val="21"/>
          <w:szCs w:val="21"/>
          <w:lang w:val="en-US" w:eastAsia="zh-CN"/>
        </w:rPr>
        <w:t>给出{% if brainGliomaFlag or disease.Sarcoma or disease.Midline or disease.KidneyFlag %}</w:t>
      </w:r>
      <w:r>
        <w:rPr>
          <w:rFonts w:hint="eastAsia" w:ascii="Times New Roman" w:hAnsi="Times New Roman" w:eastAsia="微软雅黑" w:cs="Times New Roman"/>
          <w:bCs/>
          <w:sz w:val="21"/>
          <w:szCs w:val="21"/>
          <w:lang w:eastAsia="zh-CN"/>
        </w:rPr>
        <w:t>肿瘤分型辅助诊断提示</w:t>
      </w:r>
      <w:r>
        <w:rPr>
          <w:rFonts w:hint="eastAsia" w:ascii="Times New Roman" w:hAnsi="Times New Roman" w:eastAsia="微软雅黑" w:cs="Times New Roman"/>
          <w:bCs/>
          <w:sz w:val="21"/>
          <w:szCs w:val="21"/>
          <w:lang w:val="en-US" w:eastAsia="zh-CN"/>
        </w:rPr>
        <w:t>和{% endif %}用药</w:t>
      </w:r>
      <w:r>
        <w:rPr>
          <w:rFonts w:hint="eastAsia" w:ascii="Times New Roman" w:hAnsi="Times New Roman" w:eastAsia="微软雅黑" w:cs="Times New Roman"/>
          <w:bCs/>
          <w:sz w:val="21"/>
          <w:szCs w:val="21"/>
          <w:highlight w:val="none"/>
          <w:lang w:val="en-US" w:eastAsia="zh-CN"/>
        </w:rPr>
        <w:t>提示</w:t>
      </w:r>
      <w:r>
        <w:rPr>
          <w:rFonts w:hint="eastAsia" w:ascii="Times New Roman" w:hAnsi="Times New Roman" w:eastAsia="微软雅黑" w:cs="Times New Roman"/>
          <w:bCs/>
          <w:sz w:val="21"/>
          <w:szCs w:val="21"/>
          <w:lang w:eastAsia="zh-CN"/>
        </w:rPr>
        <w:t>，从而为临床制定治疗方案提供参考信息。</w:t>
      </w:r>
    </w:p>
    <w:p w14:paraId="148A80EC">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注：检测基因列表见附录。</w:t>
      </w:r>
    </w:p>
    <w:p w14:paraId="3877C5D1">
      <w:pPr>
        <w:bidi w:val="0"/>
        <w:outlineLvl w:val="9"/>
        <w:rPr>
          <w:rFonts w:hint="eastAsia" w:ascii="微软雅黑" w:hAnsi="微软雅黑" w:eastAsia="微软雅黑" w:cs="微软雅黑"/>
          <w:sz w:val="32"/>
          <w:szCs w:val="32"/>
        </w:rPr>
      </w:pPr>
      <w:bookmarkStart w:id="21" w:name="_Toc115357585"/>
      <w:bookmarkStart w:id="22" w:name="_Toc27650"/>
    </w:p>
    <w:p w14:paraId="4D523A79">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23" w:name="_Toc17731"/>
      <w:r>
        <w:rPr>
          <w:rFonts w:hint="eastAsia"/>
          <w:color w:val="62B541"/>
          <w:sz w:val="32"/>
          <w14:shadow w14:blurRad="50800" w14:dist="38100" w14:dir="10800000" w14:sx="100000" w14:sy="100000" w14:kx="0" w14:ky="0" w14:algn="r">
            <w14:srgbClr w14:val="62B541">
              <w14:alpha w14:val="60000"/>
            </w14:srgbClr>
          </w14:shadow>
        </w:rPr>
        <w:t>检测结果</w:t>
      </w:r>
      <w:bookmarkEnd w:id="21"/>
      <w:bookmarkEnd w:id="22"/>
      <w:r>
        <w:rPr>
          <w:rFonts w:hint="eastAsia"/>
          <w:color w:val="62B541"/>
          <w:sz w:val="32"/>
          <w14:shadow w14:blurRad="50800" w14:dist="38100" w14:dir="10800000" w14:sx="100000" w14:sy="100000" w14:kx="0" w14:ky="0" w14:algn="r">
            <w14:srgbClr w14:val="62B541">
              <w14:alpha w14:val="60000"/>
            </w14:srgbClr>
          </w14:shadow>
        </w:rPr>
        <w:t>总览</w:t>
      </w:r>
      <w:bookmarkEnd w:id="23"/>
    </w:p>
    <w:p w14:paraId="3196C41B">
      <w:pPr>
        <w:pStyle w:val="3"/>
        <w:keepNext w:val="0"/>
        <w:keepLines w:val="0"/>
        <w:pageBreakBefore w:val="0"/>
        <w:widowControl w:val="0"/>
        <w:numPr>
          <w:ilvl w:val="255"/>
          <w:numId w:val="0"/>
        </w:numPr>
        <w:kinsoku/>
        <w:wordWrap/>
        <w:overflowPunct/>
        <w:topLinePunct w:val="0"/>
        <w:autoSpaceDE/>
        <w:autoSpaceDN/>
        <w:bidi w:val="0"/>
        <w:adjustRightInd/>
        <w:snapToGrid/>
        <w:spacing w:before="120" w:beforeLines="50" w:afterAutospacing="0"/>
        <w:jc w:val="left"/>
        <w:textAlignment w:val="auto"/>
        <w:rPr>
          <w:lang w:eastAsia="zh-CN"/>
        </w:rPr>
      </w:pPr>
      <w:bookmarkStart w:id="24" w:name="_Toc10962"/>
      <w:bookmarkStart w:id="25" w:name="_Toc149837254"/>
      <w:r>
        <w:rPr>
          <w:rFonts w:hint="eastAsia"/>
          <w:color w:val="auto"/>
          <w:sz w:val="30"/>
          <w:lang w:eastAsia="zh-CN"/>
        </w:rPr>
        <w:t>检测结果小结</w:t>
      </w:r>
      <w:bookmarkEnd w:id="24"/>
      <w:bookmarkEnd w:id="25"/>
    </w:p>
    <w:tbl>
      <w:tblPr>
        <w:tblStyle w:val="15"/>
        <w:tblpPr w:leftFromText="180" w:rightFromText="180" w:vertAnchor="text" w:horzAnchor="page" w:tblpXSpec="center" w:tblpY="10"/>
        <w:tblOverlap w:val="never"/>
        <w:tblW w:w="9870" w:type="dxa"/>
        <w:jc w:val="center"/>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3869"/>
        <w:gridCol w:w="6001"/>
      </w:tblGrid>
      <w:tr w14:paraId="7B13530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90" w:hRule="atLeast"/>
          <w:jc w:val="center"/>
        </w:trPr>
        <w:tc>
          <w:tcPr>
            <w:tcW w:w="3869" w:type="dxa"/>
            <w:tcBorders>
              <w:top w:val="nil"/>
              <w:bottom w:val="nil"/>
              <w:right w:val="single" w:color="FFFFFF" w:sz="18" w:space="0"/>
            </w:tcBorders>
            <w:shd w:val="clear" w:color="auto" w:fill="62BC41"/>
            <w:vAlign w:val="center"/>
          </w:tcPr>
          <w:p w14:paraId="4C6B1CF8">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bCs/>
                <w:color w:val="FFFFFF" w:themeColor="background1"/>
                <w:sz w:val="24"/>
                <w:szCs w:val="24"/>
                <w:lang w:eastAsia="zh-CN"/>
                <w14:textFill>
                  <w14:solidFill>
                    <w14:schemeClr w14:val="bg1"/>
                  </w14:solidFill>
                </w14:textFill>
              </w:rPr>
              <w:br w:type="page"/>
            </w:r>
            <w:r>
              <w:rPr>
                <w:rFonts w:ascii="Times New Roman" w:hAnsi="Times New Roman" w:eastAsia="微软雅黑" w:cs="Times New Roman"/>
                <w:b/>
                <w:color w:val="FFFFFF" w:themeColor="background1"/>
                <w:sz w:val="24"/>
                <w:szCs w:val="24"/>
                <w14:textFill>
                  <w14:solidFill>
                    <w14:schemeClr w14:val="bg1"/>
                  </w14:solidFill>
                </w14:textFill>
              </w:rPr>
              <w:t>检测类型</w:t>
            </w:r>
          </w:p>
        </w:tc>
        <w:tc>
          <w:tcPr>
            <w:tcW w:w="6001" w:type="dxa"/>
            <w:tcBorders>
              <w:top w:val="nil"/>
              <w:left w:val="single" w:color="FFFFFF" w:sz="18" w:space="0"/>
              <w:bottom w:val="nil"/>
            </w:tcBorders>
            <w:shd w:val="clear" w:color="auto" w:fill="62BC41"/>
            <w:vAlign w:val="center"/>
          </w:tcPr>
          <w:p w14:paraId="4E8A2594">
            <w:pPr>
              <w:jc w:val="center"/>
              <w:rPr>
                <w:rFonts w:ascii="Times New Roman" w:hAnsi="Times New Roman" w:eastAsia="微软雅黑" w:cs="Times New Roman"/>
                <w:b/>
                <w:color w:val="FFFFFF" w:themeColor="background1"/>
                <w:sz w:val="24"/>
                <w:szCs w:val="24"/>
                <w14:textFill>
                  <w14:solidFill>
                    <w14:schemeClr w14:val="bg1"/>
                  </w14:solidFill>
                </w14:textFill>
              </w:rPr>
            </w:pPr>
            <w:r>
              <w:rPr>
                <w:rFonts w:ascii="Times New Roman" w:hAnsi="Times New Roman" w:eastAsia="微软雅黑" w:cs="Times New Roman"/>
                <w:b/>
                <w:color w:val="FFFFFF" w:themeColor="background1"/>
                <w:sz w:val="24"/>
                <w:szCs w:val="24"/>
                <w14:textFill>
                  <w14:solidFill>
                    <w14:schemeClr w14:val="bg1"/>
                  </w14:solidFill>
                </w14:textFill>
              </w:rPr>
              <w:t>检测结果</w:t>
            </w:r>
          </w:p>
        </w:tc>
      </w:tr>
      <w:tr w14:paraId="31A49AB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nil"/>
              <w:bottom w:val="nil"/>
              <w:tl2br w:val="nil"/>
              <w:tr2bl w:val="nil"/>
            </w:tcBorders>
            <w:shd w:val="clear" w:color="auto" w:fill="auto"/>
            <w:vAlign w:val="center"/>
          </w:tcPr>
          <w:p w14:paraId="760EB94D">
            <w:pPr>
              <w:pStyle w:val="13"/>
              <w:keepNext w:val="0"/>
              <w:keepLines w:val="0"/>
              <w:widowControl/>
              <w:suppressLineNumbers w:val="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brainGliomaFlag  %}</w:t>
            </w:r>
          </w:p>
        </w:tc>
      </w:tr>
      <w:tr w14:paraId="70FFAFCF">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4BE43BAC">
            <w:pPr>
              <w:pStyle w:val="21"/>
              <w:ind w:left="119" w:leftChars="0"/>
              <w:rPr>
                <w:rFonts w:ascii="Times New Roman" w:hAnsi="Times New Roman" w:eastAsia="微软雅黑" w:cs="Times New Roman"/>
                <w:b/>
                <w:bCs/>
                <w:sz w:val="21"/>
                <w:szCs w:val="21"/>
                <w:lang w:val="en-US" w:eastAsia="en-US" w:bidi="ar-SA"/>
              </w:rPr>
            </w:pPr>
            <w:r>
              <w:rPr>
                <w:rFonts w:hint="eastAsia" w:ascii="Times New Roman" w:hAnsi="Times New Roman" w:eastAsia="微软雅黑" w:cs="Times New Roman"/>
                <w:b/>
                <w:bCs/>
                <w:sz w:val="21"/>
                <w:szCs w:val="21"/>
                <w:highlight w:val="none"/>
                <w:lang w:eastAsia="zh-CN"/>
              </w:rPr>
              <w:t>脑胶质瘤</w:t>
            </w:r>
            <w:r>
              <w:rPr>
                <w:rFonts w:hint="eastAsia" w:ascii="Times New Roman" w:hAnsi="Times New Roman" w:eastAsia="微软雅黑" w:cs="Times New Roman"/>
                <w:b/>
                <w:bCs/>
                <w:sz w:val="21"/>
                <w:szCs w:val="21"/>
                <w:highlight w:val="none"/>
                <w:lang w:val="en-US" w:eastAsia="zh-CN"/>
              </w:rPr>
              <w:t>相关</w:t>
            </w:r>
            <w:r>
              <w:rPr>
                <w:rFonts w:hint="eastAsia" w:ascii="Times New Roman" w:hAnsi="Times New Roman" w:eastAsia="微软雅黑" w:cs="Times New Roman"/>
                <w:b/>
                <w:bCs/>
                <w:sz w:val="21"/>
                <w:szCs w:val="21"/>
                <w:highlight w:val="none"/>
                <w:lang w:eastAsia="zh-CN"/>
              </w:rPr>
              <w:t>分子标记物检测</w:t>
            </w:r>
          </w:p>
        </w:tc>
        <w:tc>
          <w:tcPr>
            <w:tcW w:w="6001" w:type="dxa"/>
            <w:tcBorders>
              <w:top w:val="nil"/>
              <w:bottom w:val="single" w:color="A4A4A4" w:sz="4" w:space="0"/>
              <w:right w:val="nil"/>
            </w:tcBorders>
            <w:shd w:val="clear" w:color="auto" w:fill="auto"/>
            <w:vAlign w:val="center"/>
          </w:tcPr>
          <w:p w14:paraId="2B4C8345">
            <w:pPr>
              <w:pStyle w:val="21"/>
              <w:spacing w:before="100" w:line="187" w:lineRule="auto"/>
              <w:ind w:left="119" w:leftChars="0" w:right="119" w:rightChars="0"/>
              <w:rPr>
                <w:rFonts w:ascii="Times New Roman" w:hAnsi="Times New Roman" w:eastAsia="微软雅黑" w:cs="Times New Roman"/>
                <w:sz w:val="21"/>
                <w:szCs w:val="21"/>
                <w:lang w:val="en-US" w:eastAsia="zh-CN" w:bidi="ar-SA"/>
              </w:rPr>
            </w:pPr>
            <w:r>
              <w:rPr>
                <w:rFonts w:hint="eastAsia" w:ascii="Times New Roman" w:hAnsi="Times New Roman" w:eastAsia="微软雅黑" w:cs="黑体"/>
                <w:sz w:val="21"/>
                <w:highlight w:val="none"/>
                <w:lang w:val="en-US" w:eastAsia="zh-CN"/>
              </w:rPr>
              <w:t>共</w:t>
            </w:r>
            <w:r>
              <w:rPr>
                <w:rFonts w:hint="eastAsia" w:ascii="Times New Roman" w:hAnsi="Times New Roman" w:eastAsia="微软雅黑" w:cs="黑体"/>
                <w:sz w:val="21"/>
                <w:highlight w:val="none"/>
                <w:lang w:eastAsia="zh-CN"/>
              </w:rPr>
              <w:t>检出</w:t>
            </w:r>
            <w:r>
              <w:rPr>
                <w:rFonts w:hint="eastAsia" w:ascii="Times New Roman" w:hAnsi="Times New Roman" w:eastAsia="微软雅黑" w:cs="黑体"/>
                <w:sz w:val="21"/>
                <w:lang w:eastAsia="zh-CN"/>
              </w:rPr>
              <w:t>{{ summaryOfRresults</w:t>
            </w:r>
            <w:r>
              <w:rPr>
                <w:rFonts w:hint="eastAsia" w:ascii="Times New Roman" w:hAnsi="Times New Roman" w:eastAsia="微软雅黑" w:cs="黑体"/>
                <w:sz w:val="21"/>
                <w:lang w:val="en-US" w:eastAsia="zh-CN"/>
              </w:rPr>
              <w:t>.brainGliomaSize</w:t>
            </w:r>
            <w:r>
              <w:rPr>
                <w:rFonts w:hint="eastAsia" w:ascii="Times New Roman" w:hAnsi="Times New Roman" w:eastAsia="微软雅黑" w:cs="黑体"/>
                <w:sz w:val="21"/>
                <w:lang w:eastAsia="zh-CN"/>
              </w:rPr>
              <w:t xml:space="preserve"> }}</w:t>
            </w:r>
            <w:r>
              <w:rPr>
                <w:rFonts w:hint="eastAsia" w:ascii="Times New Roman" w:hAnsi="Times New Roman" w:eastAsia="微软雅黑" w:cs="黑体"/>
                <w:sz w:val="21"/>
                <w:highlight w:val="none"/>
                <w:lang w:eastAsia="zh-CN"/>
              </w:rPr>
              <w:t>个与脑胶质瘤诊断预后相关的分子标志物</w:t>
            </w:r>
          </w:p>
        </w:tc>
      </w:tr>
      <w:tr w14:paraId="64244C3D">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284936D2">
            <w:pPr>
              <w:pStyle w:val="21"/>
              <w:spacing w:before="100" w:line="187" w:lineRule="auto"/>
              <w:ind w:left="119" w:leftChars="0" w:right="119" w:rightChars="0"/>
              <w:rPr>
                <w:rFonts w:hint="default"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endif %}</w:t>
            </w:r>
          </w:p>
        </w:tc>
      </w:tr>
      <w:tr w14:paraId="5C882271">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nil"/>
              <w:right w:val="nil"/>
              <w:tl2br w:val="nil"/>
              <w:tr2bl w:val="nil"/>
            </w:tcBorders>
            <w:shd w:val="clear" w:color="auto" w:fill="auto"/>
            <w:vAlign w:val="center"/>
          </w:tcPr>
          <w:p w14:paraId="01B1471D">
            <w:pPr>
              <w:pStyle w:val="21"/>
              <w:spacing w:before="100" w:line="187" w:lineRule="auto"/>
              <w:ind w:left="119" w:leftChars="0" w:right="119" w:rightChars="0"/>
              <w:rPr>
                <w:rFonts w:hint="eastAsia" w:ascii="Times New Roman" w:hAnsi="Times New Roman" w:eastAsia="微软雅黑" w:cs="黑体"/>
                <w:sz w:val="21"/>
                <w:highlight w:val="none"/>
                <w:lang w:val="en-US" w:eastAsia="zh-CN"/>
              </w:rPr>
            </w:pPr>
            <w:r>
              <w:rPr>
                <w:rFonts w:hint="eastAsia" w:ascii="Times New Roman" w:hAnsi="Times New Roman" w:eastAsia="微软雅黑" w:cs="黑体"/>
                <w:sz w:val="21"/>
                <w:highlight w:val="none"/>
                <w:lang w:val="en-US" w:eastAsia="zh-CN"/>
              </w:rPr>
              <w:t>{%tr if disease.Sarcoma or disease.Midline or disease.KidneyFlag %}</w:t>
            </w:r>
          </w:p>
        </w:tc>
      </w:tr>
      <w:tr w14:paraId="208D1895">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nil"/>
              <w:left w:val="nil"/>
              <w:bottom w:val="single" w:color="A4A4A4" w:sz="4" w:space="0"/>
            </w:tcBorders>
            <w:shd w:val="clear" w:color="auto" w:fill="auto"/>
            <w:vAlign w:val="center"/>
          </w:tcPr>
          <w:p w14:paraId="2ED2DC1C">
            <w:pPr>
              <w:pStyle w:val="21"/>
              <w:ind w:left="119"/>
              <w:rPr>
                <w:rFonts w:ascii="Times New Roman" w:hAnsi="Times New Roman" w:eastAsia="微软雅黑" w:cs="Times New Roman"/>
                <w:b/>
                <w:bCs/>
                <w:sz w:val="21"/>
                <w:highlight w:val="yellow"/>
                <w:lang w:eastAsia="zh-CN"/>
              </w:rPr>
            </w:pPr>
            <w:r>
              <w:rPr>
                <w:rFonts w:ascii="Times New Roman" w:hAnsi="Times New Roman" w:eastAsia="微软雅黑" w:cs="Times New Roman"/>
                <w:b/>
                <w:bCs/>
                <w:sz w:val="21"/>
                <w:szCs w:val="21"/>
              </w:rPr>
              <w:t>辅助</w:t>
            </w:r>
            <w:r>
              <w:rPr>
                <w:rFonts w:ascii="Times New Roman" w:hAnsi="Times New Roman" w:eastAsia="微软雅黑" w:cs="Times New Roman"/>
                <w:b/>
                <w:bCs/>
                <w:sz w:val="21"/>
                <w:szCs w:val="21"/>
                <w:lang w:eastAsia="zh-CN"/>
              </w:rPr>
              <w:t>诊断</w:t>
            </w:r>
          </w:p>
        </w:tc>
        <w:tc>
          <w:tcPr>
            <w:tcW w:w="6001" w:type="dxa"/>
            <w:tcBorders>
              <w:top w:val="nil"/>
              <w:bottom w:val="single" w:color="A4A4A4" w:sz="4" w:space="0"/>
              <w:right w:val="nil"/>
            </w:tcBorders>
            <w:shd w:val="clear" w:color="auto" w:fill="auto"/>
            <w:vAlign w:val="center"/>
          </w:tcPr>
          <w:p w14:paraId="03B5B44D">
            <w:pPr>
              <w:pStyle w:val="21"/>
              <w:spacing w:before="100" w:line="187" w:lineRule="auto"/>
              <w:ind w:left="118" w:right="178"/>
              <w:rPr>
                <w:rFonts w:ascii="Times New Roman" w:hAnsi="Times New Roman" w:eastAsia="微软雅黑" w:cs="Times New Roman"/>
                <w:sz w:val="21"/>
                <w:szCs w:val="21"/>
                <w:highlight w:val="yellow"/>
                <w:lang w:eastAsia="zh-CN"/>
              </w:rPr>
            </w:pPr>
            <w:r>
              <w:rPr>
                <w:rFonts w:ascii="Times New Roman" w:hAnsi="Times New Roman" w:eastAsia="微软雅黑" w:cs="Times New Roman"/>
                <w:sz w:val="21"/>
                <w:lang w:eastAsia="zh-CN"/>
              </w:rPr>
              <w:t>共</w:t>
            </w:r>
            <w:r>
              <w:rPr>
                <w:rFonts w:hint="eastAsia" w:ascii="Times New Roman" w:hAnsi="Times New Roman" w:eastAsia="微软雅黑" w:cs="Times New Roman"/>
                <w:sz w:val="21"/>
                <w:lang w:val="en-US" w:eastAsia="zh-CN"/>
              </w:rPr>
              <w:t>检出{% if disease.Sarcoma %}</w:t>
            </w:r>
            <w:r>
              <w:rPr>
                <w:rFonts w:ascii="Times New Roman" w:hAnsi="Times New Roman" w:eastAsia="微软雅黑" w:cs="Times New Roman"/>
                <w:sz w:val="21"/>
                <w:lang w:eastAsia="zh-CN"/>
              </w:rPr>
              <w:t>{{ summaryOfRresults.geneRearrangementVariationSize</w:t>
            </w:r>
            <w:r>
              <w:rPr>
                <w:rFonts w:hint="eastAsia" w:ascii="Times New Roman" w:hAnsi="Times New Roman" w:eastAsia="微软雅黑" w:cs="Times New Roman"/>
                <w:sz w:val="21"/>
                <w:lang w:eastAsia="zh-CN"/>
              </w:rPr>
              <w:t>2</w:t>
            </w:r>
            <w:r>
              <w:rPr>
                <w:rFonts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 else %}{{</w:t>
            </w:r>
            <w:r>
              <w:rPr>
                <w:rFonts w:ascii="Times New Roman" w:hAnsi="Times New Roman" w:eastAsia="微软雅黑" w:cs="Times New Roman"/>
                <w:sz w:val="21"/>
                <w:lang w:eastAsia="zh-CN"/>
              </w:rPr>
              <w:t>summaryOfRresults</w:t>
            </w:r>
            <w:r>
              <w:rPr>
                <w:rFonts w:hint="eastAsia" w:ascii="Times New Roman" w:hAnsi="Times New Roman" w:eastAsia="微软雅黑" w:cs="Times New Roman"/>
                <w:sz w:val="21"/>
                <w:lang w:val="en-US" w:eastAsia="zh-CN"/>
              </w:rPr>
              <w:t>.cancerCount1166}}{% endif %}</w:t>
            </w:r>
            <w:r>
              <w:rPr>
                <w:rFonts w:ascii="Times New Roman" w:hAnsi="Times New Roman" w:eastAsia="微软雅黑" w:cs="Times New Roman"/>
                <w:sz w:val="21"/>
                <w:lang w:eastAsia="zh-CN"/>
              </w:rPr>
              <w:t>个基因重排</w:t>
            </w:r>
            <w:r>
              <w:rPr>
                <w:rFonts w:hint="eastAsia" w:ascii="Times New Roman" w:hAnsi="Times New Roman" w:eastAsia="微软雅黑" w:cs="Times New Roman"/>
                <w:sz w:val="21"/>
                <w:lang w:eastAsia="zh-CN"/>
              </w:rPr>
              <w:t>与辅助诊断相关</w:t>
            </w:r>
          </w:p>
        </w:tc>
      </w:tr>
      <w:tr w14:paraId="169CC41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73546B79">
            <w:pPr>
              <w:pStyle w:val="21"/>
              <w:ind w:left="119"/>
              <w:rPr>
                <w:rFonts w:ascii="Times New Roman" w:hAnsi="Times New Roman" w:eastAsia="微软雅黑" w:cs="Times New Roman"/>
                <w:b/>
                <w:bCs/>
                <w:sz w:val="21"/>
                <w:szCs w:val="21"/>
              </w:rPr>
            </w:pPr>
            <w:r>
              <w:rPr>
                <w:rFonts w:hint="eastAsia" w:ascii="Times New Roman" w:hAnsi="Times New Roman" w:eastAsia="微软雅黑" w:cs="黑体"/>
                <w:sz w:val="21"/>
                <w:highlight w:val="none"/>
                <w:lang w:val="en-US" w:eastAsia="zh-CN"/>
              </w:rPr>
              <w:t>{%tr endif %}</w:t>
            </w:r>
          </w:p>
        </w:tc>
        <w:tc>
          <w:tcPr>
            <w:tcW w:w="6001" w:type="dxa"/>
            <w:tcBorders>
              <w:top w:val="single" w:color="A4A4A4" w:sz="4" w:space="0"/>
              <w:bottom w:val="single" w:color="A4A4A4" w:sz="4" w:space="0"/>
              <w:right w:val="nil"/>
              <w:tl2br w:val="nil"/>
              <w:tr2bl w:val="nil"/>
            </w:tcBorders>
            <w:shd w:val="clear" w:color="auto" w:fill="auto"/>
            <w:vAlign w:val="center"/>
          </w:tcPr>
          <w:p w14:paraId="155A04A1">
            <w:pPr>
              <w:pStyle w:val="21"/>
              <w:spacing w:before="100" w:line="187" w:lineRule="auto"/>
              <w:ind w:left="118" w:right="178"/>
              <w:rPr>
                <w:rFonts w:ascii="Times New Roman" w:hAnsi="Times New Roman" w:eastAsia="微软雅黑" w:cs="Times New Roman"/>
                <w:sz w:val="21"/>
                <w:lang w:eastAsia="zh-CN"/>
              </w:rPr>
            </w:pPr>
          </w:p>
        </w:tc>
      </w:tr>
      <w:tr w14:paraId="7A5F5A7B">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3D79936E">
            <w:pPr>
              <w:pStyle w:val="21"/>
              <w:ind w:left="119"/>
              <w:rPr>
                <w:rFonts w:hint="eastAsia" w:ascii="Times New Roman" w:hAnsi="Times New Roman" w:eastAsia="微软雅黑" w:cs="黑体"/>
                <w:sz w:val="21"/>
                <w:highlight w:val="none"/>
                <w:lang w:val="en-US" w:eastAsia="zh-CN"/>
              </w:rPr>
            </w:pPr>
            <w:r>
              <w:rPr>
                <w:rFonts w:ascii="Times New Roman" w:hAnsi="Times New Roman" w:eastAsia="微软雅黑" w:cs="Times New Roman"/>
                <w:b/>
                <w:bCs/>
                <w:sz w:val="21"/>
                <w:szCs w:val="21"/>
              </w:rPr>
              <w:t>靶向用药指导</w:t>
            </w:r>
          </w:p>
        </w:tc>
        <w:tc>
          <w:tcPr>
            <w:tcW w:w="6001" w:type="dxa"/>
            <w:tcBorders>
              <w:top w:val="single" w:color="A4A4A4" w:sz="4" w:space="0"/>
              <w:bottom w:val="single" w:color="A4A4A4" w:sz="4" w:space="0"/>
              <w:right w:val="nil"/>
              <w:tl2br w:val="nil"/>
              <w:tr2bl w:val="nil"/>
            </w:tcBorders>
            <w:shd w:val="clear" w:color="auto" w:fill="auto"/>
            <w:vAlign w:val="center"/>
          </w:tcPr>
          <w:p w14:paraId="6147A859">
            <w:pPr>
              <w:pStyle w:val="21"/>
              <w:spacing w:before="100" w:line="187" w:lineRule="auto"/>
              <w:ind w:left="118" w:right="178"/>
              <w:rPr>
                <w:rFonts w:ascii="Times New Roman" w:hAnsi="Times New Roman" w:eastAsia="微软雅黑" w:cs="Times New Roman"/>
                <w:sz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val="en-US" w:eastAsia="zh-CN"/>
              </w:rPr>
              <w:t>变异位点</w:t>
            </w:r>
            <w:r>
              <w:rPr>
                <w:rFonts w:ascii="Times New Roman" w:hAnsi="Times New Roman" w:eastAsia="微软雅黑" w:cs="Times New Roman"/>
                <w:sz w:val="21"/>
                <w:szCs w:val="21"/>
                <w:lang w:eastAsia="zh-CN"/>
              </w:rPr>
              <w:t>，其中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p>
        </w:tc>
      </w:tr>
      <w:tr w14:paraId="2247632C">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086F8DA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if PDInfo != undefined %}</w:t>
            </w:r>
          </w:p>
        </w:tc>
      </w:tr>
      <w:tr w14:paraId="2FC90DC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bottom w:val="single" w:color="A4A4A4" w:sz="4" w:space="0"/>
              <w:tl2br w:val="nil"/>
              <w:tr2bl w:val="nil"/>
            </w:tcBorders>
            <w:shd w:val="clear" w:color="auto" w:fill="auto"/>
            <w:vAlign w:val="center"/>
          </w:tcPr>
          <w:p w14:paraId="5A8375AF">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PD-L1蛋白表达水平</w:t>
            </w:r>
            <w:r>
              <w:rPr>
                <w:rFonts w:ascii="Times New Roman" w:hAnsi="Times New Roman" w:eastAsia="微软雅黑" w:cs="Times New Roman"/>
                <w:b/>
                <w:bCs/>
                <w:sz w:val="21"/>
                <w:szCs w:val="21"/>
              </w:rPr>
              <w:tab/>
            </w:r>
          </w:p>
        </w:tc>
        <w:tc>
          <w:tcPr>
            <w:tcW w:w="6001" w:type="dxa"/>
            <w:tcBorders>
              <w:top w:val="single" w:color="A4A4A4" w:sz="4" w:space="0"/>
              <w:bottom w:val="single" w:color="A4A4A4" w:sz="4" w:space="0"/>
              <w:right w:val="nil"/>
              <w:tl2br w:val="nil"/>
              <w:tr2bl w:val="nil"/>
            </w:tcBorders>
            <w:shd w:val="clear" w:color="auto" w:fill="auto"/>
            <w:vAlign w:val="center"/>
          </w:tcPr>
          <w:p w14:paraId="2FB0F835">
            <w:pPr>
              <w:pStyle w:val="21"/>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Detect_antibody</w:t>
            </w:r>
            <w:r>
              <w:rPr>
                <w:rFonts w:hint="eastAsia" w:ascii="Times New Roman" w:hAnsi="Times New Roman" w:eastAsia="微软雅黑" w:cs="Times New Roman"/>
                <w:sz w:val="21"/>
                <w:szCs w:val="21"/>
                <w:lang w:eastAsia="zh-CN"/>
              </w:rPr>
              <w:t xml:space="preserve"> }}抗体；T</w:t>
            </w:r>
            <w:r>
              <w:rPr>
                <w:rFonts w:ascii="Times New Roman" w:hAnsi="Times New Roman" w:eastAsia="微软雅黑" w:cs="Times New Roman"/>
                <w:sz w:val="21"/>
                <w:szCs w:val="21"/>
                <w:lang w:eastAsia="zh-CN"/>
              </w:rPr>
              <w:t>PS</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.TPS }}，</w:t>
            </w:r>
            <w:r>
              <w:rPr>
                <w:rFonts w:ascii="Times New Roman" w:hAnsi="Times New Roman" w:eastAsia="微软雅黑" w:cs="Times New Roman"/>
                <w:sz w:val="21"/>
                <w:szCs w:val="21"/>
                <w:lang w:eastAsia="zh-CN"/>
              </w:rPr>
              <w:t xml:space="preserve"> CPS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 xml:space="preserve"> PDInfo</w:t>
            </w:r>
            <w:r>
              <w:rPr>
                <w:rFonts w:hint="eastAsia" w:ascii="Times New Roman" w:hAnsi="Times New Roman" w:eastAsia="微软雅黑" w:cs="Times New Roman"/>
                <w:sz w:val="21"/>
                <w:szCs w:val="21"/>
                <w:lang w:eastAsia="zh-CN"/>
              </w:rPr>
              <w:t>.CPS }}</w:t>
            </w:r>
          </w:p>
        </w:tc>
      </w:tr>
      <w:tr w14:paraId="38F4C2B6">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9870" w:type="dxa"/>
            <w:gridSpan w:val="2"/>
            <w:tcBorders>
              <w:top w:val="single" w:color="A4A4A4" w:sz="4" w:space="0"/>
              <w:left w:val="nil"/>
              <w:bottom w:val="single" w:color="A4A4A4" w:sz="4" w:space="0"/>
              <w:right w:val="nil"/>
              <w:tl2br w:val="nil"/>
              <w:tr2bl w:val="nil"/>
            </w:tcBorders>
            <w:shd w:val="clear" w:color="auto" w:fill="auto"/>
            <w:vAlign w:val="center"/>
          </w:tcPr>
          <w:p w14:paraId="751F2511">
            <w:pPr>
              <w:pStyle w:val="21"/>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b/>
                <w:bCs/>
                <w:sz w:val="21"/>
                <w:szCs w:val="21"/>
                <w:lang w:eastAsia="zh-CN"/>
              </w:rPr>
              <w:t>{%tr endif %}</w:t>
            </w:r>
          </w:p>
        </w:tc>
      </w:tr>
      <w:tr w14:paraId="6E54527A">
        <w:tblPrEx>
          <w:tblBorders>
            <w:top w:val="single" w:color="00AF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31" w:hRule="atLeast"/>
          <w:jc w:val="center"/>
        </w:trPr>
        <w:tc>
          <w:tcPr>
            <w:tcW w:w="3869" w:type="dxa"/>
            <w:tcBorders>
              <w:top w:val="single" w:color="A4A4A4" w:sz="4" w:space="0"/>
              <w:left w:val="nil"/>
              <w:tl2br w:val="nil"/>
              <w:tr2bl w:val="nil"/>
            </w:tcBorders>
            <w:shd w:val="clear" w:color="auto" w:fill="auto"/>
            <w:vAlign w:val="center"/>
          </w:tcPr>
          <w:p w14:paraId="73A3951E">
            <w:pPr>
              <w:pStyle w:val="21"/>
              <w:ind w:left="119"/>
              <w:rPr>
                <w:rFonts w:ascii="Times New Roman" w:hAnsi="Times New Roman" w:eastAsia="微软雅黑" w:cs="Times New Roman"/>
                <w:b/>
                <w:bCs/>
                <w:sz w:val="21"/>
                <w:szCs w:val="21"/>
              </w:rPr>
            </w:pPr>
            <w:r>
              <w:rPr>
                <w:rFonts w:ascii="Times New Roman" w:hAnsi="Times New Roman" w:eastAsia="微软雅黑" w:cs="Times New Roman"/>
                <w:b/>
                <w:bCs/>
                <w:sz w:val="21"/>
                <w:szCs w:val="21"/>
              </w:rPr>
              <w:t>样品总体质量评估</w:t>
            </w:r>
          </w:p>
        </w:tc>
        <w:tc>
          <w:tcPr>
            <w:tcW w:w="6001" w:type="dxa"/>
            <w:tcBorders>
              <w:top w:val="single" w:color="A4A4A4" w:sz="4" w:space="0"/>
              <w:right w:val="nil"/>
              <w:tl2br w:val="nil"/>
              <w:tr2bl w:val="nil"/>
            </w:tcBorders>
            <w:shd w:val="clear" w:color="auto" w:fill="auto"/>
            <w:vAlign w:val="center"/>
          </w:tcPr>
          <w:p w14:paraId="57E69FB8">
            <w:pPr>
              <w:pStyle w:val="21"/>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{%if rna != undefined%}</w:t>
            </w:r>
            <w:r>
              <w:rPr>
                <w:rFonts w:ascii="Times New Roman" w:hAnsi="Times New Roman" w:eastAsia="微软雅黑" w:cs="Times New Roman"/>
                <w:color w:val="000000"/>
                <w:sz w:val="21"/>
                <w:szCs w:val="21"/>
                <w:lang w:eastAsia="zh-CN"/>
              </w:rPr>
              <w:t xml:space="preserve">{{ </w:t>
            </w:r>
            <w:r>
              <w:rPr>
                <w:rFonts w:ascii="Times New Roman" w:hAnsi="Times New Roman" w:eastAsia="微软雅黑" w:cs="Times New Roman"/>
                <w:sz w:val="21"/>
                <w:szCs w:val="21"/>
                <w:lang w:eastAsia="zh-CN"/>
              </w:rPr>
              <w:t>rna.total_reads</w:t>
            </w:r>
            <w:r>
              <w:rPr>
                <w:rFonts w:ascii="Times New Roman" w:hAnsi="Times New Roman" w:eastAsia="微软雅黑" w:cs="Times New Roman"/>
                <w:color w:val="000000"/>
                <w:sz w:val="21"/>
                <w:szCs w:val="21"/>
                <w:lang w:eastAsia="zh-CN"/>
              </w:rPr>
              <w:t xml:space="preserve"> | oqa(</w:t>
            </w:r>
            <w:r>
              <w:rPr>
                <w:rFonts w:ascii="Times New Roman" w:hAnsi="Times New Roman" w:eastAsia="微软雅黑" w:cs="Times New Roman"/>
                <w:sz w:val="21"/>
                <w:szCs w:val="21"/>
                <w:lang w:eastAsia="zh-CN" w:bidi="ar"/>
              </w:rPr>
              <w:t>12000000</w:t>
            </w:r>
            <w:r>
              <w:rPr>
                <w:rFonts w:ascii="Times New Roman" w:hAnsi="Times New Roman" w:eastAsia="微软雅黑" w:cs="Times New Roman"/>
                <w:color w:val="000000"/>
                <w:sz w:val="21"/>
                <w:szCs w:val="21"/>
                <w:lang w:eastAsia="zh-CN"/>
              </w:rPr>
              <w:t>,</w:t>
            </w:r>
            <w:r>
              <w:rPr>
                <w:rFonts w:ascii="Times New Roman" w:hAnsi="Times New Roman" w:eastAsia="微软雅黑" w:cs="Times New Roman"/>
                <w:sz w:val="21"/>
                <w:szCs w:val="21"/>
                <w:lang w:eastAsia="zh-CN" w:bidi="ar"/>
              </w:rPr>
              <w:t>10000000</w:t>
            </w:r>
            <w:r>
              <w:rPr>
                <w:rFonts w:ascii="Times New Roman" w:hAnsi="Times New Roman" w:eastAsia="微软雅黑" w:cs="Times New Roman"/>
                <w:color w:val="000000"/>
                <w:sz w:val="21"/>
                <w:szCs w:val="21"/>
                <w:lang w:eastAsia="zh-CN"/>
              </w:rPr>
              <w:t>) }}</w:t>
            </w:r>
            <w:r>
              <w:rPr>
                <w:rFonts w:ascii="Times New Roman" w:hAnsi="Times New Roman" w:eastAsia="微软雅黑" w:cs="Times New Roman"/>
                <w:sz w:val="21"/>
                <w:szCs w:val="21"/>
                <w:lang w:eastAsia="zh-CN"/>
              </w:rPr>
              <w:t>{%endif%}</w:t>
            </w:r>
          </w:p>
        </w:tc>
      </w:tr>
    </w:tbl>
    <w:p w14:paraId="1BF9D209">
      <w:pPr>
        <w:numPr>
          <w:ilvl w:val="255"/>
          <w:numId w:val="0"/>
        </w:numPr>
        <w:jc w:val="left"/>
        <w:outlineLvl w:val="9"/>
        <w:rPr>
          <w:rFonts w:ascii="Times New Roman" w:hAnsi="Times New Roman" w:cs="Times New Roman"/>
          <w:b/>
          <w:bCs/>
          <w:color w:val="00B050"/>
          <w:sz w:val="28"/>
          <w:szCs w:val="36"/>
          <w:lang w:eastAsia="zh-CN"/>
        </w:rPr>
      </w:pPr>
    </w:p>
    <w:tbl>
      <w:tblPr>
        <w:tblStyle w:val="15"/>
        <w:tblpPr w:leftFromText="181" w:rightFromText="181" w:tblpXSpec="left" w:tblpYSpec="bottom"/>
        <w:tblOverlap w:val="never"/>
        <w:tblW w:w="9883" w:type="dxa"/>
        <w:tblInd w:w="108" w:type="dxa"/>
        <w:tblBorders>
          <w:top w:val="none" w:color="auto" w:sz="0" w:space="0"/>
          <w:left w:val="none" w:color="auto" w:sz="0" w:space="0"/>
          <w:bottom w:val="none" w:color="auto" w:sz="0" w:space="0"/>
          <w:right w:val="none" w:color="auto" w:sz="0" w:space="0"/>
          <w:insideH w:val="single" w:color="auto" w:sz="4" w:space="0"/>
          <w:insideV w:val="none" w:color="auto" w:sz="0" w:space="0"/>
        </w:tblBorders>
        <w:tblLayout w:type="fixed"/>
        <w:tblCellMar>
          <w:top w:w="0" w:type="dxa"/>
          <w:left w:w="108" w:type="dxa"/>
          <w:bottom w:w="0" w:type="dxa"/>
          <w:right w:w="108" w:type="dxa"/>
        </w:tblCellMar>
      </w:tblPr>
      <w:tblGrid>
        <w:gridCol w:w="3969"/>
        <w:gridCol w:w="5914"/>
      </w:tblGrid>
      <w:tr w14:paraId="54722A53">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9883" w:type="dxa"/>
            <w:gridSpan w:val="2"/>
            <w:vAlign w:val="top"/>
          </w:tcPr>
          <w:p w14:paraId="61407A96">
            <w:pPr>
              <w:keepNext w:val="0"/>
              <w:keepLines w:val="0"/>
              <w:pageBreakBefore w:val="0"/>
              <w:widowControl w:val="0"/>
              <w:kinsoku/>
              <w:wordWrap/>
              <w:overflowPunct/>
              <w:topLinePunct w:val="0"/>
              <w:autoSpaceDE/>
              <w:autoSpaceDN/>
              <w:bidi w:val="0"/>
              <w:adjustRightInd/>
              <w:snapToGrid/>
              <w:spacing w:after="63" w:afterLines="20" w:line="240" w:lineRule="auto"/>
              <w:ind w:left="621" w:leftChars="155" w:hanging="280" w:hangingChars="100"/>
              <w:textAlignment w:val="auto"/>
              <w:rPr>
                <w:rFonts w:eastAsia="微软雅黑"/>
                <w:b/>
                <w:color w:val="00B050"/>
                <w:sz w:val="28"/>
                <w:szCs w:val="28"/>
              </w:rPr>
            </w:pPr>
            <w:bookmarkStart w:id="115" w:name="_GoBack"/>
            <w:r>
              <w:rPr>
                <w:rFonts w:eastAsia="微软雅黑"/>
                <w:b/>
                <w:color w:val="00B050"/>
                <w:sz w:val="28"/>
                <w:szCs w:val="28"/>
                <w:lang w:eastAsia="zh-CN"/>
              </w:rPr>
              <w:drawing>
                <wp:anchor distT="0" distB="0" distL="114300" distR="114300" simplePos="0" relativeHeight="251661312" behindDoc="0" locked="0" layoutInCell="1" allowOverlap="1">
                  <wp:simplePos x="0" y="0"/>
                  <wp:positionH relativeFrom="column">
                    <wp:posOffset>-15240</wp:posOffset>
                  </wp:positionH>
                  <wp:positionV relativeFrom="paragraph">
                    <wp:posOffset>88900</wp:posOffset>
                  </wp:positionV>
                  <wp:extent cx="196215" cy="197485"/>
                  <wp:effectExtent l="0" t="0" r="1905" b="635"/>
                  <wp:wrapNone/>
                  <wp:docPr id="5" name="图片 5" descr="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1"/>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a:xfrm>
                            <a:off x="0" y="0"/>
                            <a:ext cx="196215" cy="197485"/>
                          </a:xfrm>
                          <a:prstGeom prst="rect">
                            <a:avLst/>
                          </a:prstGeom>
                          <a:noFill/>
                          <a:ln>
                            <a:noFill/>
                          </a:ln>
                          <a:effectLst/>
                        </pic:spPr>
                      </pic:pic>
                    </a:graphicData>
                  </a:graphic>
                </wp:anchor>
              </w:drawing>
            </w:r>
            <w:bookmarkEnd w:id="115"/>
            <w:r>
              <w:rPr>
                <w:rFonts w:eastAsia="微软雅黑"/>
                <w:b/>
                <w:color w:val="00B050"/>
                <w:sz w:val="28"/>
                <w:szCs w:val="28"/>
              </w:rPr>
              <w:t>说明</w:t>
            </w:r>
          </w:p>
          <w:p w14:paraId="25DCD24C">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本报告为基因检测结果，基因、药物等信息列举未按照重要性排序。</w:t>
            </w:r>
          </w:p>
          <w:p w14:paraId="6C7EA439">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eastAsia="微软雅黑"/>
                <w:b/>
                <w:sz w:val="21"/>
                <w:szCs w:val="21"/>
                <w:lang w:eastAsia="zh-CN"/>
              </w:rPr>
            </w:pPr>
            <w:r>
              <w:rPr>
                <w:rFonts w:eastAsia="微软雅黑"/>
                <w:b/>
                <w:sz w:val="21"/>
                <w:szCs w:val="21"/>
                <w:lang w:eastAsia="zh-CN"/>
              </w:rPr>
              <w:t>检测结果仅供科学研究和临床用药参考，具体治疗方案请咨询主治医生。</w:t>
            </w:r>
          </w:p>
          <w:p w14:paraId="075E7493">
            <w:pPr>
              <w:keepNext w:val="0"/>
              <w:keepLines w:val="0"/>
              <w:pageBreakBefore w:val="0"/>
              <w:widowControl/>
              <w:numPr>
                <w:ilvl w:val="0"/>
                <w:numId w:val="6"/>
              </w:numPr>
              <w:kinsoku/>
              <w:wordWrap/>
              <w:overflowPunct/>
              <w:topLinePunct w:val="0"/>
              <w:autoSpaceDE/>
              <w:autoSpaceDN/>
              <w:bidi w:val="0"/>
              <w:adjustRightInd/>
              <w:snapToGrid/>
              <w:spacing w:after="63" w:afterLines="20" w:line="240" w:lineRule="auto"/>
              <w:ind w:left="425" w:hanging="420"/>
              <w:textAlignment w:val="auto"/>
              <w:rPr>
                <w:rFonts w:hint="eastAsia"/>
                <w:b/>
              </w:rPr>
            </w:pPr>
            <w:r>
              <w:rPr>
                <w:rFonts w:eastAsia="微软雅黑"/>
                <w:b/>
                <w:sz w:val="21"/>
                <w:szCs w:val="21"/>
                <w:lang w:eastAsia="zh-CN"/>
              </w:rPr>
              <w:t>本报告只对本次采集样本负责，如有疑问，请在15个工作日内与我们联系</w:t>
            </w:r>
            <w:r>
              <w:rPr>
                <w:rFonts w:hint="eastAsia" w:eastAsia="微软雅黑"/>
                <w:b/>
                <w:sz w:val="21"/>
                <w:szCs w:val="21"/>
                <w:lang w:eastAsia="zh-CN"/>
              </w:rPr>
              <w:t>023-</w:t>
            </w:r>
            <w:r>
              <w:rPr>
                <w:rFonts w:eastAsia="微软雅黑"/>
                <w:b/>
                <w:sz w:val="21"/>
                <w:szCs w:val="21"/>
                <w:lang w:eastAsia="zh-CN"/>
              </w:rPr>
              <w:t>68</w:t>
            </w:r>
            <w:r>
              <w:rPr>
                <w:rFonts w:hint="eastAsia" w:eastAsia="微软雅黑"/>
                <w:b/>
                <w:sz w:val="21"/>
                <w:szCs w:val="21"/>
                <w:lang w:eastAsia="zh-CN"/>
              </w:rPr>
              <w:t>815186</w:t>
            </w:r>
            <w:r>
              <w:rPr>
                <w:rFonts w:eastAsia="微软雅黑"/>
                <w:b/>
                <w:sz w:val="21"/>
                <w:szCs w:val="21"/>
                <w:lang w:eastAsia="zh-CN"/>
              </w:rPr>
              <w:t>。</w:t>
            </w:r>
          </w:p>
        </w:tc>
      </w:tr>
      <w:tr w14:paraId="50BDABFA">
        <w:tblPrEx>
          <w:tblBorders>
            <w:top w:val="none" w:color="auto" w:sz="0" w:space="0"/>
            <w:left w:val="none" w:color="auto" w:sz="0" w:space="0"/>
            <w:bottom w:val="none" w:color="auto" w:sz="0" w:space="0"/>
            <w:right w:val="none" w:color="auto" w:sz="0" w:space="0"/>
            <w:insideH w:val="single" w:color="auto" w:sz="4" w:space="0"/>
            <w:insideV w:val="none" w:color="auto" w:sz="0" w:space="0"/>
          </w:tblBorders>
          <w:tblCellMar>
            <w:top w:w="0" w:type="dxa"/>
            <w:left w:w="108" w:type="dxa"/>
            <w:bottom w:w="0" w:type="dxa"/>
            <w:right w:w="108" w:type="dxa"/>
          </w:tblCellMar>
        </w:tblPrEx>
        <w:tc>
          <w:tcPr>
            <w:tcW w:w="3969" w:type="dxa"/>
            <w:tcBorders>
              <w:top w:val="single" w:color="auto" w:sz="12" w:space="0"/>
            </w:tcBorders>
          </w:tcPr>
          <w:p w14:paraId="46B2D463">
            <w:pPr>
              <w:snapToGrid w:val="0"/>
              <w:spacing w:before="120" w:beforeLines="50"/>
              <w:rPr>
                <w:b/>
                <w:szCs w:val="21"/>
              </w:rPr>
            </w:pPr>
            <w:r>
              <w:rPr>
                <w:rFonts w:hint="eastAsia"/>
                <w:b/>
              </w:rPr>
              <w:t>样本处理与分析：</w:t>
            </w:r>
          </w:p>
        </w:tc>
        <w:tc>
          <w:tcPr>
            <w:tcW w:w="5914" w:type="dxa"/>
            <w:tcBorders>
              <w:top w:val="single" w:color="auto" w:sz="12" w:space="0"/>
            </w:tcBorders>
          </w:tcPr>
          <w:p w14:paraId="43229D75">
            <w:pPr>
              <w:snapToGrid w:val="0"/>
              <w:spacing w:before="120" w:beforeLines="50"/>
              <w:rPr>
                <w:b/>
                <w:lang w:eastAsia="zh-CN"/>
              </w:rPr>
            </w:pPr>
            <w:r>
              <w:rPr>
                <w:rFonts w:hint="eastAsia"/>
                <w:b/>
              </w:rPr>
              <w:t xml:space="preserve">复核： </w:t>
            </w:r>
            <w:r>
              <w:rPr>
                <w:b/>
              </w:rPr>
              <w:t xml:space="preserve">                </w:t>
            </w:r>
            <w:r>
              <w:rPr>
                <w:rFonts w:hint="eastAsia"/>
                <w:b/>
              </w:rPr>
              <w:t>报告时间：</w:t>
            </w:r>
            <w:r>
              <w:rPr>
                <w:rFonts w:hint="eastAsia" w:ascii="宋体" w:hAnsi="宋体" w:eastAsia="宋体" w:cs="宋体"/>
                <w:b/>
              </w:rPr>
              <w:t>{{ reportdate }}</w:t>
            </w:r>
          </w:p>
        </w:tc>
      </w:tr>
    </w:tbl>
    <w:p w14:paraId="54F2D6DD">
      <w:pPr>
        <w:pStyle w:val="2"/>
        <w:numPr>
          <w:ilvl w:val="255"/>
          <w:numId w:val="0"/>
        </w:numPr>
        <w:jc w:val="left"/>
        <w:rPr>
          <w:rFonts w:hint="eastAsia" w:eastAsia="微软雅黑"/>
          <w:color w:val="62B541"/>
          <w:sz w:val="32"/>
          <w:lang w:val="en-US" w:eastAsia="zh-CN"/>
          <w14:shadow w14:blurRad="50800" w14:dist="38100" w14:dir="10800000" w14:sx="100000" w14:sy="100000" w14:kx="0" w14:ky="0" w14:algn="r">
            <w14:srgbClr w14:val="62B541">
              <w14:alpha w14:val="60000"/>
            </w14:srgbClr>
          </w14:shadow>
        </w:rPr>
      </w:pPr>
      <w:r>
        <w:rPr>
          <w:rFonts w:ascii="Times New Roman" w:hAnsi="Times New Roman" w:cs="Times New Roman"/>
          <w:b/>
          <w:bCs/>
          <w:color w:val="00B050"/>
          <w:sz w:val="28"/>
          <w:szCs w:val="36"/>
          <w:lang w:eastAsia="zh-CN"/>
        </w:rPr>
        <w:br w:type="page"/>
      </w:r>
      <w:bookmarkStart w:id="26" w:name="_Toc22132"/>
      <w:bookmarkStart w:id="27" w:name="_Toc24235"/>
      <w:bookmarkStart w:id="28" w:name="_Toc107825550"/>
      <w:bookmarkStart w:id="29" w:name="_Toc2866"/>
      <w:bookmarkStart w:id="30" w:name="_Toc13776"/>
      <w:bookmarkStart w:id="31" w:name="_Toc20136_WPSOffice_Level1"/>
      <w:bookmarkStart w:id="32" w:name="_Toc19898_WPSOffice_Level1"/>
      <w:bookmarkStart w:id="33" w:name="_Toc2781"/>
      <w:r>
        <w:rPr>
          <w:rFonts w:hint="eastAsia"/>
          <w:color w:val="62B541"/>
          <w:sz w:val="32"/>
          <w14:shadow w14:blurRad="50800" w14:dist="38100" w14:dir="10800000" w14:sx="100000" w14:sy="100000" w14:kx="0" w14:ky="0" w14:algn="r">
            <w14:srgbClr w14:val="62B541">
              <w14:alpha w14:val="60000"/>
            </w14:srgbClr>
          </w14:shadow>
        </w:rPr>
        <w:t>检测结果</w:t>
      </w:r>
      <w:bookmarkEnd w:id="20"/>
      <w:bookmarkEnd w:id="26"/>
      <w:bookmarkEnd w:id="27"/>
      <w:bookmarkEnd w:id="28"/>
      <w:bookmarkEnd w:id="29"/>
      <w:bookmarkEnd w:id="30"/>
      <w:bookmarkEnd w:id="31"/>
      <w:bookmarkEnd w:id="32"/>
      <w:bookmarkEnd w:id="33"/>
      <w:bookmarkStart w:id="34" w:name="_Toc15109"/>
      <w:r>
        <w:rPr>
          <w:rFonts w:hint="eastAsia"/>
          <w:color w:val="62B541"/>
          <w:sz w:val="32"/>
          <w:lang w:val="en-US" w:eastAsia="zh-CN"/>
          <w14:shadow w14:blurRad="50800" w14:dist="38100" w14:dir="10800000" w14:sx="100000" w14:sy="100000" w14:kx="0" w14:ky="0" w14:algn="r">
            <w14:srgbClr w14:val="62B541">
              <w14:alpha w14:val="60000"/>
            </w14:srgbClr>
          </w14:shadow>
        </w:rPr>
        <w:t>及用药提示</w:t>
      </w:r>
    </w:p>
    <w:p w14:paraId="338A6195">
      <w:pPr>
        <w:keepNext w:val="0"/>
        <w:keepLines w:val="0"/>
        <w:pageBreakBefore w:val="0"/>
        <w:widowControl w:val="0"/>
        <w:numPr>
          <w:ilvl w:val="255"/>
          <w:numId w:val="0"/>
        </w:numPr>
        <w:kinsoku/>
        <w:wordWrap/>
        <w:overflowPunct/>
        <w:topLinePunct w:val="0"/>
        <w:autoSpaceDE/>
        <w:autoSpaceDN/>
        <w:bidi w:val="0"/>
        <w:adjustRightInd/>
        <w:snapToGrid/>
        <w:spacing w:after="0" w:line="0" w:lineRule="atLeast"/>
        <w:jc w:val="left"/>
        <w:textAlignment w:val="auto"/>
        <w:outlineLvl w:val="9"/>
        <w:rPr>
          <w:rStyle w:val="38"/>
          <w:color w:val="62B541"/>
          <w:sz w:val="21"/>
          <w:szCs w:val="21"/>
          <w14:shadow w14:blurRad="50800" w14:dist="38100" w14:dir="10800000" w14:sx="100000" w14:sy="100000" w14:kx="0" w14:ky="0" w14:algn="r">
            <w14:srgbClr w14:val="62B541">
              <w14:alpha w14:val="60000"/>
            </w14:srgbClr>
          </w14:shadow>
        </w:rPr>
      </w:pPr>
      <w:r>
        <w:rPr>
          <w:rFonts w:hint="eastAsia" w:ascii="Times New Roman" w:hAnsi="Times New Roman" w:eastAsia="微软雅黑" w:cs="黑体"/>
          <w:sz w:val="21"/>
          <w:szCs w:val="21"/>
          <w:highlight w:val="none"/>
          <w:lang w:val="en-US" w:eastAsia="zh-CN"/>
        </w:rPr>
        <w:t>{% if b</w:t>
      </w:r>
      <w:r>
        <w:rPr>
          <w:rFonts w:hint="default" w:ascii="Times New Roman" w:hAnsi="Times New Roman" w:eastAsia="微软雅黑" w:cs="黑体"/>
          <w:sz w:val="21"/>
          <w:szCs w:val="21"/>
          <w:highlight w:val="none"/>
          <w:lang w:val="en-US" w:eastAsia="zh-CN"/>
        </w:rPr>
        <w:t>rainGlioma</w:t>
      </w:r>
      <w:r>
        <w:rPr>
          <w:rFonts w:hint="eastAsia" w:ascii="Times New Roman" w:hAnsi="Times New Roman" w:eastAsia="微软雅黑" w:cs="黑体"/>
          <w:sz w:val="21"/>
          <w:szCs w:val="21"/>
          <w:highlight w:val="none"/>
          <w:lang w:val="en-US" w:eastAsia="zh-CN"/>
        </w:rPr>
        <w:t>Flag %}</w:t>
      </w:r>
    </w:p>
    <w:p w14:paraId="51C29952">
      <w:pPr>
        <w:keepNext w:val="0"/>
        <w:keepLines w:val="0"/>
        <w:pageBreakBefore w:val="0"/>
        <w:widowControl w:val="0"/>
        <w:numPr>
          <w:ilvl w:val="255"/>
          <w:numId w:val="0"/>
        </w:numPr>
        <w:kinsoku/>
        <w:wordWrap/>
        <w:overflowPunct/>
        <w:topLinePunct w:val="0"/>
        <w:autoSpaceDE/>
        <w:autoSpaceDN/>
        <w:bidi w:val="0"/>
        <w:adjustRightInd/>
        <w:snapToGrid/>
        <w:spacing w:after="0" w:afterLines="50"/>
        <w:jc w:val="left"/>
        <w:textAlignment w:val="auto"/>
        <w:outlineLvl w:val="1"/>
        <w:rPr>
          <w:rFonts w:hint="eastAsia" w:ascii="Times New Roman" w:hAnsi="Times New Roman" w:eastAsia="微软雅黑" w:cs="黑体"/>
          <w:b/>
          <w:bCs/>
          <w:color w:val="62B541"/>
          <w:sz w:val="22"/>
          <w:szCs w:val="18"/>
          <w:highlight w:val="none"/>
          <w:lang w:val="en-US" w:eastAsia="en-US" w:bidi="ar-SA"/>
          <w14:shadow w14:blurRad="50800" w14:dist="38100" w14:dir="10800000" w14:sx="100000" w14:sy="100000" w14:kx="0" w14:ky="0" w14:algn="r">
            <w14:srgbClr w14:val="62B541">
              <w14:alpha w14:val="60000"/>
            </w14:srgbClr>
          </w14:shadow>
        </w:rPr>
      </w:pPr>
      <w:bookmarkStart w:id="35" w:name="_Toc28615"/>
      <w:r>
        <w:rPr>
          <w:rFonts w:hint="eastAsia" w:ascii="Times New Roman" w:hAnsi="Times New Roman" w:eastAsia="微软雅黑" w:cs="黑体"/>
          <w:b/>
          <w:bCs/>
          <w:color w:val="auto"/>
          <w:sz w:val="30"/>
          <w:szCs w:val="30"/>
          <w:highlight w:val="none"/>
          <w:lang w:val="en-US" w:eastAsia="zh-CN" w:bidi="ar-SA"/>
        </w:rPr>
        <w:t>脑胶质瘤相关分子标记物检测结果</w:t>
      </w:r>
      <w:bookmarkEnd w:id="34"/>
      <w:bookmarkEnd w:id="35"/>
    </w:p>
    <w:tbl>
      <w:tblPr>
        <w:tblStyle w:val="15"/>
        <w:tblW w:w="9791"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1975"/>
        <w:gridCol w:w="1519"/>
        <w:gridCol w:w="6297"/>
      </w:tblGrid>
      <w:tr w14:paraId="0BA3072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nil"/>
              <w:left w:val="nil"/>
              <w:bottom w:val="single" w:color="A4A4A4" w:themeColor="background1" w:themeShade="A5" w:sz="4" w:space="0"/>
              <w:right w:val="single" w:color="FFFFFF" w:sz="12" w:space="0"/>
            </w:tcBorders>
            <w:shd w:val="clear" w:color="auto" w:fill="62BC41"/>
            <w:vAlign w:val="center"/>
          </w:tcPr>
          <w:p w14:paraId="68E893FD">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分子标记物</w:t>
            </w:r>
          </w:p>
        </w:tc>
        <w:tc>
          <w:tcPr>
            <w:tcW w:w="1519" w:type="dxa"/>
            <w:tcBorders>
              <w:top w:val="nil"/>
              <w:left w:val="nil"/>
              <w:bottom w:val="single" w:color="A4A4A4" w:themeColor="background1" w:themeShade="A5" w:sz="4" w:space="0"/>
              <w:right w:val="dotted" w:color="00B050" w:sz="4" w:space="0"/>
            </w:tcBorders>
            <w:shd w:val="clear" w:color="auto" w:fill="62BC41"/>
            <w:vAlign w:val="center"/>
          </w:tcPr>
          <w:p w14:paraId="6203C1F0">
            <w:pPr>
              <w:keepNext w:val="0"/>
              <w:keepLines w:val="0"/>
              <w:widowControl/>
              <w:suppressLineNumbers w:val="0"/>
              <w:tabs>
                <w:tab w:val="left" w:pos="220"/>
              </w:tabs>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检测结果</w:t>
            </w:r>
          </w:p>
        </w:tc>
        <w:tc>
          <w:tcPr>
            <w:tcW w:w="6297" w:type="dxa"/>
            <w:tcBorders>
              <w:top w:val="nil"/>
              <w:left w:val="single" w:color="FFFFFF" w:sz="12" w:space="0"/>
              <w:bottom w:val="single" w:color="A4A4A4" w:themeColor="background1" w:themeShade="A5" w:sz="4" w:space="0"/>
              <w:right w:val="nil"/>
            </w:tcBorders>
            <w:shd w:val="clear" w:color="auto" w:fill="62BC41"/>
            <w:vAlign w:val="center"/>
          </w:tcPr>
          <w:p w14:paraId="43124B7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6208056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53E9459">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sz w:val="21"/>
                <w:szCs w:val="21"/>
                <w:u w:val="none"/>
                <w:lang w:val="en-US"/>
              </w:rPr>
            </w:pPr>
            <w:r>
              <w:rPr>
                <w:rFonts w:hint="eastAsia" w:ascii="微软雅黑" w:hAnsi="微软雅黑" w:eastAsia="微软雅黑" w:cs="微软雅黑"/>
                <w:b w:val="0"/>
                <w:bCs w:val="0"/>
                <w:i w:val="0"/>
                <w:iCs w:val="0"/>
                <w:color w:val="000000"/>
                <w:kern w:val="0"/>
                <w:sz w:val="21"/>
                <w:szCs w:val="21"/>
                <w:u w:val="none"/>
                <w:lang w:val="en-US" w:eastAsia="zh-CN" w:bidi="ar"/>
              </w:rPr>
              <w:t>BRAF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670DAA7">
            <w:pPr>
              <w:keepNext w:val="0"/>
              <w:keepLines w:val="0"/>
              <w:widowControl/>
              <w:suppressLineNumbers w:val="0"/>
              <w:jc w:val="center"/>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BRAF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2289FD4">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KIAA1549-BRAF 融合是毛细胞型星形细胞瘤的关键诊断指标。</w:t>
            </w:r>
          </w:p>
        </w:tc>
      </w:tr>
      <w:tr w14:paraId="24EE2C6D">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4FF60BF7">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E9EBBF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576401DC">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3EC323B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CE7A0D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9DCACF5">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2B97B701">
            <w:pPr>
              <w:jc w:val="left"/>
              <w:rPr>
                <w:rFonts w:hint="eastAsia" w:ascii="微软雅黑" w:hAnsi="微软雅黑" w:eastAsia="微软雅黑" w:cs="微软雅黑"/>
                <w:i w:val="0"/>
                <w:iCs w:val="0"/>
                <w:color w:val="000000"/>
                <w:sz w:val="21"/>
                <w:szCs w:val="21"/>
                <w:u w:val="none"/>
              </w:rPr>
            </w:pPr>
          </w:p>
        </w:tc>
      </w:tr>
      <w:tr w14:paraId="2D59BAC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993357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FGFR3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74FE9F">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val="en-US"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FGFR3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6967EFA9">
            <w:pPr>
              <w:jc w:val="left"/>
              <w:rPr>
                <w:rFonts w:hint="eastAsia" w:ascii="微软雅黑" w:hAnsi="微软雅黑" w:eastAsia="微软雅黑" w:cs="微软雅黑"/>
                <w:i w:val="0"/>
                <w:iCs w:val="0"/>
                <w:color w:val="000000"/>
                <w:sz w:val="21"/>
                <w:szCs w:val="21"/>
                <w:u w:val="none"/>
              </w:rPr>
            </w:pPr>
          </w:p>
        </w:tc>
      </w:tr>
      <w:tr w14:paraId="4B75B07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71538DC">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AAC19A">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76E1A50">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030E86B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BCF83E0">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NTRK2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7B87953">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NTRK2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520827F">
            <w:pPr>
              <w:jc w:val="left"/>
              <w:rPr>
                <w:rFonts w:hint="eastAsia" w:ascii="微软雅黑" w:hAnsi="微软雅黑" w:eastAsia="微软雅黑" w:cs="微软雅黑"/>
                <w:i w:val="0"/>
                <w:iCs w:val="0"/>
                <w:color w:val="000000"/>
                <w:sz w:val="21"/>
                <w:szCs w:val="21"/>
                <w:u w:val="none"/>
              </w:rPr>
            </w:pPr>
          </w:p>
        </w:tc>
      </w:tr>
      <w:tr w14:paraId="2D1BE08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0DD819E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NTRK3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CD0A897">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NTRK3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4EF3A169">
            <w:pPr>
              <w:jc w:val="left"/>
              <w:rPr>
                <w:rFonts w:hint="eastAsia" w:ascii="微软雅黑" w:hAnsi="微软雅黑" w:eastAsia="微软雅黑" w:cs="微软雅黑"/>
                <w:i w:val="0"/>
                <w:iCs w:val="0"/>
                <w:color w:val="000000"/>
                <w:sz w:val="21"/>
                <w:szCs w:val="21"/>
                <w:u w:val="none"/>
              </w:rPr>
            </w:pPr>
          </w:p>
        </w:tc>
      </w:tr>
      <w:tr w14:paraId="259B27E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D5CBE38">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ALK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9858E8">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lang w:eastAsia="zh-CN"/>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ALK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957E6E7">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2BAEA1A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2AE7C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sz w:val="21"/>
                <w:szCs w:val="21"/>
                <w:u w:val="none"/>
              </w:rPr>
            </w:pPr>
            <w:r>
              <w:rPr>
                <w:rFonts w:hint="eastAsia" w:ascii="微软雅黑" w:hAnsi="微软雅黑" w:eastAsia="微软雅黑" w:cs="微软雅黑"/>
                <w:b w:val="0"/>
                <w:bCs w:val="0"/>
                <w:i w:val="0"/>
                <w:iCs w:val="0"/>
                <w:color w:val="000000"/>
                <w:kern w:val="0"/>
                <w:sz w:val="21"/>
                <w:szCs w:val="21"/>
                <w:u w:val="none"/>
                <w:lang w:val="en-US" w:eastAsia="zh-CN" w:bidi="ar"/>
              </w:rPr>
              <w:t>ROS1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6DFDDEE">
            <w:pPr>
              <w:keepNext w:val="0"/>
              <w:keepLines w:val="0"/>
              <w:widowControl/>
              <w:suppressLineNumbers w:val="0"/>
              <w:jc w:val="center"/>
              <w:textAlignment w:val="center"/>
              <w:rPr>
                <w:rFonts w:hint="eastAsia" w:ascii="微软雅黑" w:hAnsi="微软雅黑" w:eastAsia="微软雅黑" w:cs="微软雅黑"/>
                <w:i w:val="0"/>
                <w:iCs w:val="0"/>
                <w:color w:val="FF0000"/>
                <w:sz w:val="21"/>
                <w:szCs w:val="21"/>
                <w:highlight w:val="none"/>
                <w:u w:val="none"/>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ROS1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E322486">
            <w:pPr>
              <w:keepNext w:val="0"/>
              <w:keepLines w:val="0"/>
              <w:widowControl/>
              <w:suppressLineNumbers w:val="0"/>
              <w:jc w:val="left"/>
              <w:textAlignment w:val="center"/>
              <w:rPr>
                <w:rFonts w:hint="eastAsia" w:ascii="微软雅黑" w:hAnsi="微软雅黑" w:eastAsia="微软雅黑" w:cs="微软雅黑"/>
                <w:i w:val="0"/>
                <w:iCs w:val="0"/>
                <w:color w:val="000000"/>
                <w:sz w:val="21"/>
                <w:szCs w:val="21"/>
                <w:u w:val="none"/>
              </w:rPr>
            </w:pPr>
            <w:r>
              <w:rPr>
                <w:rFonts w:hint="eastAsia" w:ascii="微软雅黑" w:hAnsi="微软雅黑" w:eastAsia="微软雅黑" w:cs="微软雅黑"/>
                <w:i w:val="0"/>
                <w:iCs w:val="0"/>
                <w:color w:val="000000"/>
                <w:kern w:val="0"/>
                <w:sz w:val="21"/>
                <w:szCs w:val="21"/>
                <w:u w:val="none"/>
                <w:lang w:val="en-US" w:eastAsia="zh-CN" w:bidi="ar"/>
              </w:rPr>
              <w:t>常见于婴儿型半球胶质瘤。治疗意义：靶向治疗靶点。</w:t>
            </w:r>
          </w:p>
        </w:tc>
      </w:tr>
      <w:tr w14:paraId="7EF94BA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2FFE6E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YAP1 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ED9B5BE">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YAP1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1443B537">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YAP1融合是幕上室管膜瘤的诊断指标。发生YAP1 融合变异的幕上室管膜瘤更具侵袭性，预后相对较差。</w:t>
            </w:r>
          </w:p>
        </w:tc>
      </w:tr>
      <w:tr w14:paraId="7D8E733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8DA9125">
            <w:pPr>
              <w:keepNext w:val="0"/>
              <w:keepLines w:val="0"/>
              <w:widowControl/>
              <w:suppressLineNumbers w:val="0"/>
              <w:jc w:val="center"/>
              <w:textAlignment w:val="center"/>
              <w:rPr>
                <w:rFonts w:hint="default" w:ascii="微软雅黑" w:hAnsi="微软雅黑" w:eastAsia="微软雅黑" w:cs="微软雅黑"/>
                <w:b w:val="0"/>
                <w:bCs w:val="0"/>
                <w:i w:val="0"/>
                <w:iCs w:val="0"/>
                <w:color w:val="000000"/>
                <w:kern w:val="0"/>
                <w:sz w:val="21"/>
                <w:szCs w:val="21"/>
                <w:u w:val="none"/>
                <w:lang w:val="en-US" w:eastAsia="zh-CN" w:bidi="ar"/>
              </w:rPr>
            </w:pPr>
            <w:r>
              <w:rPr>
                <w:rFonts w:hint="eastAsia" w:ascii="微软雅黑" w:hAnsi="微软雅黑" w:eastAsia="微软雅黑" w:cs="微软雅黑"/>
                <w:b w:val="0"/>
                <w:bCs w:val="0"/>
                <w:i w:val="0"/>
                <w:iCs w:val="0"/>
                <w:color w:val="000000"/>
                <w:kern w:val="0"/>
                <w:sz w:val="21"/>
                <w:szCs w:val="21"/>
                <w:u w:val="none"/>
                <w:lang w:val="en-US" w:eastAsia="zh-CN" w:bidi="ar"/>
              </w:rPr>
              <w:t>ZFTA（C11orf95）-RELA融合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67ED6D">
            <w:pPr>
              <w:keepNext w:val="0"/>
              <w:keepLines w:val="0"/>
              <w:widowControl/>
              <w:suppressLineNumbers w:val="0"/>
              <w:jc w:val="center"/>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u w:val="none"/>
                <w:lang w:val="en-US" w:eastAsia="zh-CN" w:bidi="ar"/>
              </w:rPr>
              <w:t>ZFTA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A8B4ACA">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u w:val="none"/>
                <w:lang w:val="en-US" w:eastAsia="zh-CN" w:bidi="ar"/>
              </w:rPr>
            </w:pPr>
            <w:r>
              <w:rPr>
                <w:rFonts w:hint="eastAsia" w:ascii="微软雅黑" w:hAnsi="微软雅黑" w:eastAsia="微软雅黑" w:cs="微软雅黑"/>
                <w:i w:val="0"/>
                <w:iCs w:val="0"/>
                <w:color w:val="000000"/>
                <w:kern w:val="0"/>
                <w:sz w:val="21"/>
                <w:szCs w:val="21"/>
                <w:u w:val="none"/>
                <w:lang w:val="en-US" w:eastAsia="zh-CN" w:bidi="ar"/>
              </w:rPr>
              <w:t>ZFTA-RELA 基因融合是室管膜瘤亚型的关键诊断指标。发生ZFTA-RELA 融合变异的幕上室管膜瘤更具侵袭性，预后相对较差。</w:t>
            </w:r>
          </w:p>
        </w:tc>
      </w:tr>
      <w:tr w14:paraId="5F6AEAD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B51B33E">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 vIII</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361416A">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EGFR</w:t>
            </w:r>
            <w:r>
              <w:rPr>
                <w:rFonts w:hint="eastAsia" w:ascii="微软雅黑" w:hAnsi="微软雅黑" w:eastAsia="微软雅黑" w:cs="微软雅黑"/>
                <w:b w:val="0"/>
                <w:bCs w:val="0"/>
                <w:i w:val="0"/>
                <w:iCs w:val="0"/>
                <w:color w:val="000000"/>
                <w:kern w:val="0"/>
                <w:sz w:val="21"/>
                <w:szCs w:val="21"/>
                <w:u w:val="none"/>
                <w:lang w:val="en-US" w:eastAsia="zh-CN" w:bidi="ar"/>
              </w:rPr>
              <w:t xml:space="preserve"> |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2185351">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在高级别胶质瘤中高频发生EGFR扩增和EGFRvIII突变，携带EGFRvIII突变的患者预后较差; EGFR扩增和vIII突变与胶质瘤预后和靶向治疗相关。</w:t>
            </w:r>
          </w:p>
        </w:tc>
      </w:tr>
      <w:tr w14:paraId="21F2953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71BDD02">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RELA融合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762939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RELA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AC93A8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根据脑胶质瘤诊疗规范（2018版）和2016年中枢神经系统肿瘤分类，幕上室管膜瘤RELA融合阳性肿瘤需要进行RELA融合的分子检测。RELA融合阳性幕上室管膜瘤具有较差的临床预后特征。</w:t>
            </w:r>
          </w:p>
        </w:tc>
      </w:tr>
      <w:tr w14:paraId="313871A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FA2226B">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AC6C544">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76A48B9F">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有研究表明JAK1参与的信号通路与促进缺氧期间胶质瘤干细胞样细胞的自我更新有关。</w:t>
            </w:r>
          </w:p>
        </w:tc>
      </w:tr>
      <w:tr w14:paraId="577254EB">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5B6FE7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9EC0103">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JAK2</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3F02815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该基因融合和错义突变与慢性粒细胞白血病有关，有临床研究显示携带该基因融合突变的慢性粒细胞白血病患者对伊马替尼有效。</w:t>
            </w:r>
          </w:p>
        </w:tc>
      </w:tr>
      <w:tr w14:paraId="7117885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10D5F04D">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E5EA4E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MYB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restart"/>
            <w:tcBorders>
              <w:top w:val="single" w:color="A4A4A4" w:themeColor="background1" w:themeShade="A5" w:sz="4" w:space="0"/>
              <w:left w:val="single" w:color="A4A4A4" w:themeColor="background1" w:themeShade="A5" w:sz="4" w:space="0"/>
              <w:right w:val="nil"/>
            </w:tcBorders>
            <w:shd w:val="clear" w:color="auto" w:fill="auto"/>
            <w:vAlign w:val="center"/>
          </w:tcPr>
          <w:p w14:paraId="45462B0E">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病理类型为WHO II级的IDH野生/H3野生型弥漫胶质瘤，如果其有如下分子特征：BRAF V600E，FGFR1变异，MYB/BYBL1重排则此类患者预后较好，肿瘤较为惰性，很少向高级别进行。</w:t>
            </w:r>
          </w:p>
        </w:tc>
      </w:tr>
      <w:tr w14:paraId="324967C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35A76886">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AC00699">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MYBL1</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vMerge w:val="continue"/>
            <w:tcBorders>
              <w:left w:val="single" w:color="A4A4A4" w:themeColor="background1" w:themeShade="A5" w:sz="4" w:space="0"/>
              <w:bottom w:val="single" w:color="A4A4A4" w:themeColor="background1" w:themeShade="A5" w:sz="4" w:space="0"/>
              <w:right w:val="nil"/>
            </w:tcBorders>
            <w:shd w:val="clear" w:color="auto" w:fill="auto"/>
            <w:vAlign w:val="center"/>
          </w:tcPr>
          <w:p w14:paraId="408F5E6F">
            <w:pPr>
              <w:keepNext w:val="0"/>
              <w:keepLines w:val="0"/>
              <w:widowControl/>
              <w:suppressLineNumbers w:val="0"/>
              <w:jc w:val="left"/>
              <w:textAlignment w:val="center"/>
              <w:rPr>
                <w:rFonts w:hint="eastAsia" w:ascii="微软雅黑" w:hAnsi="微软雅黑" w:eastAsia="微软雅黑" w:cs="微软雅黑"/>
                <w:i w:val="0"/>
                <w:iCs w:val="0"/>
                <w:color w:val="000000"/>
                <w:kern w:val="0"/>
                <w:sz w:val="21"/>
                <w:szCs w:val="21"/>
                <w:highlight w:val="none"/>
                <w:u w:val="none"/>
                <w:lang w:val="en-US" w:eastAsia="zh-CN" w:bidi="ar"/>
              </w:rPr>
            </w:pPr>
          </w:p>
        </w:tc>
      </w:tr>
      <w:tr w14:paraId="706882C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975"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shd w:val="clear" w:color="auto" w:fill="auto"/>
            <w:vAlign w:val="center"/>
          </w:tcPr>
          <w:p w14:paraId="635ED5BF">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w:t>
            </w:r>
          </w:p>
        </w:tc>
        <w:tc>
          <w:tcPr>
            <w:tcW w:w="1519"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64C5585">
            <w:pPr>
              <w:keepNext w:val="0"/>
              <w:keepLines w:val="0"/>
              <w:widowControl/>
              <w:suppressLineNumbers w:val="0"/>
              <w:jc w:val="center"/>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i w:val="0"/>
                <w:iCs w:val="0"/>
                <w:color w:val="000000"/>
                <w:kern w:val="0"/>
                <w:sz w:val="21"/>
                <w:szCs w:val="21"/>
                <w:highlight w:val="none"/>
                <w:u w:val="none"/>
                <w:lang w:val="en-US" w:eastAsia="zh-CN" w:bidi="ar"/>
              </w:rPr>
              <w:t>{{ bg.</w:t>
            </w:r>
            <w:r>
              <w:rPr>
                <w:rFonts w:hint="eastAsia" w:ascii="微软雅黑" w:hAnsi="微软雅黑" w:eastAsia="微软雅黑" w:cs="微软雅黑"/>
                <w:b w:val="0"/>
                <w:bCs w:val="0"/>
                <w:i w:val="0"/>
                <w:iCs w:val="0"/>
                <w:color w:val="000000"/>
                <w:kern w:val="0"/>
                <w:sz w:val="21"/>
                <w:szCs w:val="21"/>
                <w:highlight w:val="none"/>
                <w:u w:val="none"/>
                <w:lang w:val="en-US" w:eastAsia="zh-CN" w:bidi="ar"/>
              </w:rPr>
              <w:t xml:space="preserve">MET </w:t>
            </w:r>
            <w:r>
              <w:rPr>
                <w:rFonts w:hint="eastAsia" w:ascii="微软雅黑" w:hAnsi="微软雅黑" w:eastAsia="微软雅黑" w:cs="微软雅黑"/>
                <w:b w:val="0"/>
                <w:bCs w:val="0"/>
                <w:i w:val="0"/>
                <w:iCs w:val="0"/>
                <w:color w:val="000000"/>
                <w:kern w:val="0"/>
                <w:sz w:val="21"/>
                <w:szCs w:val="21"/>
                <w:u w:val="none"/>
                <w:lang w:val="en-US" w:eastAsia="zh-CN" w:bidi="ar"/>
              </w:rPr>
              <w:t>| mr()</w:t>
            </w:r>
            <w:r>
              <w:rPr>
                <w:rFonts w:hint="eastAsia" w:ascii="微软雅黑" w:hAnsi="微软雅黑" w:eastAsia="微软雅黑" w:cs="微软雅黑"/>
                <w:i w:val="0"/>
                <w:iCs w:val="0"/>
                <w:color w:val="000000"/>
                <w:kern w:val="0"/>
                <w:sz w:val="21"/>
                <w:szCs w:val="21"/>
                <w:highlight w:val="none"/>
                <w:u w:val="none"/>
                <w:lang w:val="en-US" w:eastAsia="zh-CN" w:bidi="ar"/>
              </w:rPr>
              <w:t xml:space="preserve"> }}</w:t>
            </w:r>
          </w:p>
        </w:tc>
        <w:tc>
          <w:tcPr>
            <w:tcW w:w="6297"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shd w:val="clear" w:color="auto" w:fill="auto"/>
            <w:vAlign w:val="center"/>
          </w:tcPr>
          <w:p w14:paraId="00575885">
            <w:pPr>
              <w:keepNext w:val="0"/>
              <w:keepLines w:val="0"/>
              <w:widowControl/>
              <w:suppressLineNumbers w:val="0"/>
              <w:jc w:val="both"/>
              <w:textAlignment w:val="center"/>
              <w:rPr>
                <w:rFonts w:hint="eastAsia" w:ascii="微软雅黑" w:hAnsi="微软雅黑" w:eastAsia="微软雅黑" w:cs="微软雅黑"/>
                <w:b w:val="0"/>
                <w:bCs w:val="0"/>
                <w:i w:val="0"/>
                <w:iCs w:val="0"/>
                <w:color w:val="000000"/>
                <w:kern w:val="0"/>
                <w:sz w:val="21"/>
                <w:szCs w:val="21"/>
                <w:highlight w:val="none"/>
                <w:u w:val="none"/>
                <w:lang w:val="en-US" w:eastAsia="zh-CN" w:bidi="ar"/>
              </w:rPr>
            </w:pPr>
            <w:r>
              <w:rPr>
                <w:rFonts w:hint="eastAsia" w:ascii="微软雅黑" w:hAnsi="微软雅黑" w:eastAsia="微软雅黑" w:cs="微软雅黑"/>
                <w:b w:val="0"/>
                <w:bCs w:val="0"/>
                <w:i w:val="0"/>
                <w:iCs w:val="0"/>
                <w:color w:val="000000"/>
                <w:kern w:val="0"/>
                <w:sz w:val="21"/>
                <w:szCs w:val="21"/>
                <w:highlight w:val="none"/>
                <w:u w:val="none"/>
                <w:lang w:val="en-US" w:eastAsia="zh-CN" w:bidi="ar"/>
              </w:rPr>
              <w:t>MET融合和METex14在继发性母细胞中被鉴定，通常与胶质瘤差预后有关，在研究药物有PLB-1001。</w:t>
            </w:r>
          </w:p>
        </w:tc>
      </w:tr>
    </w:tbl>
    <w:p w14:paraId="197C14C2">
      <w:pPr>
        <w:spacing w:before="47"/>
        <w:rPr>
          <w:rFonts w:hint="eastAsia" w:ascii="Times New Roman" w:hAnsi="Times New Roman" w:eastAsia="微软雅黑" w:cs="Times New Roman"/>
          <w:b/>
          <w:bCs/>
          <w:sz w:val="18"/>
          <w:szCs w:val="18"/>
          <w:highlight w:val="none"/>
          <w:lang w:eastAsia="zh-CN"/>
        </w:rPr>
      </w:pPr>
      <w:r>
        <w:rPr>
          <w:rFonts w:hint="eastAsia" w:ascii="Times New Roman" w:hAnsi="Times New Roman" w:eastAsia="微软雅黑" w:cs="Times New Roman"/>
          <w:b/>
          <w:bCs/>
          <w:sz w:val="18"/>
          <w:szCs w:val="18"/>
          <w:highlight w:val="none"/>
          <w:lang w:eastAsia="zh-CN"/>
        </w:rPr>
        <w:t>注:</w:t>
      </w:r>
    </w:p>
    <w:p w14:paraId="19004F63">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470EE2B9">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0C6A1A6D">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4C1BC308">
      <w:pPr>
        <w:numPr>
          <w:ilvl w:val="0"/>
          <w:numId w:val="7"/>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分型诊断请以临床医生诊断为准。</w:t>
      </w:r>
    </w:p>
    <w:p w14:paraId="62B306C7">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val="en-US" w:eastAsia="zh-CN"/>
        </w:rPr>
        <w:t>胶质瘤</w:t>
      </w:r>
      <w:r>
        <w:rPr>
          <w:rFonts w:ascii="Times New Roman" w:hAnsi="Times New Roman" w:eastAsia="微软雅黑" w:cs="Times New Roman"/>
          <w:sz w:val="18"/>
          <w:szCs w:val="18"/>
          <w:lang w:eastAsia="zh-CN"/>
        </w:rPr>
        <w:t>分型诊断信息，或者是该突变意义不明确，可能存在潜在的临床意义。</w:t>
      </w:r>
    </w:p>
    <w:p w14:paraId="6E64356A">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分类/指南/专家共识中提及的辅助</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诊断的基因变异见附录：常见</w:t>
      </w:r>
      <w:r>
        <w:rPr>
          <w:rFonts w:hint="eastAsia" w:ascii="Times New Roman" w:hAnsi="Times New Roman" w:eastAsia="微软雅黑" w:cs="Times New Roman"/>
          <w:sz w:val="18"/>
          <w:szCs w:val="18"/>
          <w:lang w:eastAsia="zh-CN"/>
        </w:rPr>
        <w:t>胶质瘤</w:t>
      </w:r>
      <w:r>
        <w:rPr>
          <w:rFonts w:ascii="Times New Roman" w:hAnsi="Times New Roman" w:eastAsia="微软雅黑" w:cs="Times New Roman"/>
          <w:sz w:val="18"/>
          <w:szCs w:val="18"/>
          <w:lang w:eastAsia="zh-CN"/>
        </w:rPr>
        <w:t>分型相关基因变异部分。</w:t>
      </w:r>
    </w:p>
    <w:p w14:paraId="14E341F4">
      <w:pPr>
        <w:numPr>
          <w:ilvl w:val="0"/>
          <w:numId w:val="7"/>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66FAC8DA">
      <w:pPr>
        <w:bidi w:val="0"/>
        <w:rPr>
          <w:rFonts w:hint="default"/>
          <w:sz w:val="24"/>
          <w:szCs w:val="24"/>
          <w:lang w:val="en-US" w:eastAsia="zh-CN"/>
        </w:rPr>
      </w:pPr>
      <w:r>
        <w:rPr>
          <w:rFonts w:hint="eastAsia"/>
          <w:color w:val="auto"/>
          <w:lang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if disease.Sarcoma or disease.Midline or disease.KidneyFlag %}</w:t>
      </w:r>
    </w:p>
    <w:p w14:paraId="74023ED7">
      <w:pPr>
        <w:pStyle w:val="3"/>
        <w:numPr>
          <w:ilvl w:val="255"/>
          <w:numId w:val="0"/>
        </w:numPr>
        <w:jc w:val="left"/>
        <w:rPr>
          <w:rStyle w:val="38"/>
          <w:b/>
          <w:bCs/>
          <w:color w:val="62B541"/>
          <w:sz w:val="32"/>
          <w:szCs w:val="40"/>
          <w14:shadow w14:blurRad="50800" w14:dist="38100" w14:dir="10800000" w14:sx="100000" w14:sy="100000" w14:kx="0" w14:ky="0" w14:algn="r">
            <w14:srgbClr w14:val="62B541">
              <w14:alpha w14:val="60000"/>
            </w14:srgbClr>
          </w14:shadow>
        </w:rPr>
      </w:pPr>
      <w:bookmarkStart w:id="36" w:name="_Toc18242"/>
      <w:bookmarkStart w:id="37" w:name="_Toc9435"/>
      <w:r>
        <w:rPr>
          <w:color w:val="auto"/>
          <w:sz w:val="30"/>
          <w:lang w:val="en-US" w:eastAsia="zh-CN"/>
        </w:rPr>
        <w:t>辅助诊断提示</w:t>
      </w:r>
      <w:bookmarkEnd w:id="36"/>
      <w:bookmarkEnd w:id="37"/>
    </w:p>
    <w:p w14:paraId="0966C4F7">
      <w:pPr>
        <w:spacing w:after="120"/>
        <w:ind w:firstLine="422" w:firstLineChars="200"/>
        <w:rPr>
          <w:rFonts w:ascii="Times New Roman" w:hAnsi="Times New Roman" w:eastAsia="微软雅黑" w:cs="Times New Roman"/>
          <w:b/>
          <w:color w:val="00B050"/>
          <w:sz w:val="24"/>
          <w:szCs w:val="24"/>
          <w:highlight w:val="yellow"/>
          <w:lang w:eastAsia="zh-CN"/>
        </w:rPr>
      </w:pPr>
      <w:r>
        <w:rPr>
          <w:rFonts w:hint="eastAsia" w:ascii="Times New Roman" w:hAnsi="Times New Roman" w:cs="Times New Roman"/>
          <w:b/>
          <w:bCs/>
          <w:sz w:val="21"/>
          <w:szCs w:val="21"/>
          <w:lang w:val="en-US" w:eastAsia="zh-CN"/>
        </w:rPr>
        <w:t>{% if disease.Sarcoma %}</w:t>
      </w:r>
      <w:r>
        <w:rPr>
          <w:rFonts w:ascii="Times New Roman" w:hAnsi="Times New Roman" w:eastAsia="微软雅黑" w:cs="Times New Roman"/>
          <w:b/>
          <w:bCs/>
          <w:color w:val="000000" w:themeColor="text1"/>
          <w:sz w:val="21"/>
          <w:szCs w:val="21"/>
          <w:lang w:eastAsia="zh-CN"/>
          <w14:textFill>
            <w14:solidFill>
              <w14:schemeClr w14:val="tx1"/>
            </w14:solidFill>
          </w14:textFill>
        </w:rPr>
        <w:t>共有</w:t>
      </w:r>
      <w:r>
        <w:rPr>
          <w:rFonts w:hint="eastAsia" w:ascii="Times New Roman" w:hAnsi="Times New Roman" w:eastAsia="微软雅黑" w:cs="Times New Roman"/>
          <w:b/>
          <w:bCs/>
          <w:color w:val="000000" w:themeColor="text1"/>
          <w:sz w:val="21"/>
          <w:szCs w:val="21"/>
          <w:lang w:eastAsia="zh-CN"/>
          <w14:textFill>
            <w14:solidFill>
              <w14:schemeClr w14:val="tx1"/>
            </w14:solidFill>
          </w14:textFill>
        </w:rPr>
        <w:t>{{ summaryOfRresults.geneRearrangementVariationSize2 }}</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肉瘤</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辅助诊断相关</w:t>
      </w:r>
      <w:r>
        <w:rPr>
          <w:rFonts w:ascii="Times New Roman" w:hAnsi="Times New Roman" w:eastAsia="微软雅黑" w:cs="Times New Roman"/>
          <w:b/>
          <w:color w:val="000000" w:themeColor="text1"/>
          <w:sz w:val="21"/>
          <w:szCs w:val="21"/>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434"/>
        <w:gridCol w:w="1300"/>
        <w:gridCol w:w="2469"/>
        <w:gridCol w:w="1825"/>
      </w:tblGrid>
      <w:tr w14:paraId="73A8D49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436" w:type="dxa"/>
            <w:tcBorders>
              <w:top w:val="nil"/>
              <w:left w:val="nil"/>
              <w:bottom w:val="nil"/>
              <w:right w:val="single" w:color="FFFFFF" w:sz="18" w:space="0"/>
            </w:tcBorders>
            <w:shd w:val="clear" w:color="auto" w:fill="62B541"/>
            <w:vAlign w:val="center"/>
          </w:tcPr>
          <w:p w14:paraId="28527B6A">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300" w:type="dxa"/>
            <w:tcBorders>
              <w:top w:val="nil"/>
              <w:left w:val="single" w:color="FFFFFF" w:sz="18" w:space="0"/>
              <w:bottom w:val="nil"/>
              <w:right w:val="single" w:color="FFFFFF" w:sz="18" w:space="0"/>
            </w:tcBorders>
            <w:shd w:val="clear" w:color="auto" w:fill="62B541"/>
            <w:vAlign w:val="center"/>
          </w:tcPr>
          <w:p w14:paraId="0E8670F7">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0CC205A0">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3" w:type="dxa"/>
            <w:tcBorders>
              <w:top w:val="nil"/>
              <w:left w:val="single" w:color="FFFFFF" w:sz="18" w:space="0"/>
              <w:bottom w:val="nil"/>
              <w:right w:val="nil"/>
            </w:tcBorders>
            <w:shd w:val="clear" w:color="auto" w:fill="62B541"/>
            <w:vAlign w:val="center"/>
          </w:tcPr>
          <w:p w14:paraId="05F15E5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2718567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51B4BBE6">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if sarcomaTyping != [] %}</w:t>
            </w:r>
          </w:p>
        </w:tc>
      </w:tr>
      <w:tr w14:paraId="0A351A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1F832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{%tr for st in sarcomaTyping %}</w:t>
            </w:r>
          </w:p>
        </w:tc>
      </w:tr>
      <w:tr w14:paraId="20C6DB9E">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436" w:type="dxa"/>
            <w:tcBorders>
              <w:top w:val="nil"/>
              <w:left w:val="nil"/>
              <w:bottom w:val="single" w:color="A4A4A4" w:sz="4" w:space="0"/>
              <w:right w:val="single" w:color="A4A4A4" w:sz="4" w:space="0"/>
            </w:tcBorders>
            <w:shd w:val="clear" w:color="auto" w:fill="auto"/>
            <w:vAlign w:val="center"/>
          </w:tcPr>
          <w:p w14:paraId="2F5534A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st.mutation }}</w:t>
            </w:r>
          </w:p>
          <w:p w14:paraId="77CC58F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st.transcript }})</w:t>
            </w:r>
          </w:p>
        </w:tc>
        <w:tc>
          <w:tcPr>
            <w:tcW w:w="1299" w:type="dxa"/>
            <w:tcBorders>
              <w:top w:val="nil"/>
              <w:left w:val="single" w:color="A4A4A4" w:sz="4" w:space="0"/>
              <w:bottom w:val="single" w:color="A4A4A4" w:sz="4" w:space="0"/>
              <w:right w:val="single" w:color="A4A4A4" w:sz="4" w:space="0"/>
            </w:tcBorders>
            <w:shd w:val="clear" w:color="auto" w:fill="auto"/>
            <w:vAlign w:val="center"/>
          </w:tcPr>
          <w:p w14:paraId="3FA87B45">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st.mutFreq }}</w:t>
            </w:r>
          </w:p>
        </w:tc>
        <w:tc>
          <w:tcPr>
            <w:tcW w:w="2468" w:type="dxa"/>
            <w:tcBorders>
              <w:top w:val="nil"/>
              <w:left w:val="single" w:color="A4A4A4" w:sz="4" w:space="0"/>
              <w:bottom w:val="single" w:color="A4A4A4" w:sz="4" w:space="0"/>
              <w:right w:val="single" w:color="A4A4A4" w:sz="4" w:space="0"/>
            </w:tcBorders>
            <w:shd w:val="clear" w:color="auto" w:fill="auto"/>
            <w:vAlign w:val="center"/>
          </w:tcPr>
          <w:p w14:paraId="24279E93">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if st.sarcomaAndEvidence == []%}/{% else%}{% for s in st.sarcomaAndEvidence %}{%if loop.last%}{{ s.sarcoma_subtype }}{%else%}{{ s.sarcoma_subtype }}；</w:t>
            </w:r>
          </w:p>
          <w:p w14:paraId="01507239">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 endif%}</w:t>
            </w:r>
          </w:p>
        </w:tc>
        <w:tc>
          <w:tcPr>
            <w:tcW w:w="1825" w:type="dxa"/>
            <w:tcBorders>
              <w:top w:val="nil"/>
              <w:left w:val="single" w:color="A4A4A4" w:sz="4" w:space="0"/>
              <w:bottom w:val="single" w:color="A4A4A4" w:sz="4" w:space="0"/>
              <w:right w:val="nil"/>
            </w:tcBorders>
            <w:shd w:val="clear" w:color="auto" w:fill="auto"/>
            <w:vAlign w:val="center"/>
          </w:tcPr>
          <w:p w14:paraId="7F38D104">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 if st.sarcomaAndEvidence == []%}/{% else%}{% for s in st.sarcomaAndEvidence %}{%if loop.first%}{{ s.evidence }}{%endif%}{% endfor %}{% endif%}</w:t>
            </w:r>
          </w:p>
        </w:tc>
      </w:tr>
      <w:tr w14:paraId="26AE0E3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777F147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323719F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10B36F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else %}</w:t>
            </w:r>
          </w:p>
        </w:tc>
      </w:tr>
      <w:tr w14:paraId="710F1D8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436" w:type="dxa"/>
            <w:tcBorders>
              <w:top w:val="nil"/>
              <w:left w:val="nil"/>
              <w:bottom w:val="single" w:color="A4A4A4" w:sz="4" w:space="0"/>
              <w:right w:val="single" w:color="A4A4A4" w:sz="4" w:space="0"/>
            </w:tcBorders>
            <w:shd w:val="clear" w:color="auto" w:fill="auto"/>
            <w:vAlign w:val="center"/>
          </w:tcPr>
          <w:p w14:paraId="4763A10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300" w:type="dxa"/>
            <w:tcBorders>
              <w:top w:val="nil"/>
              <w:left w:val="single" w:color="A4A4A4" w:sz="4" w:space="0"/>
              <w:bottom w:val="single" w:color="A4A4A4" w:sz="4" w:space="0"/>
              <w:right w:val="single" w:color="A4A4A4" w:sz="4" w:space="0"/>
            </w:tcBorders>
            <w:shd w:val="clear" w:color="auto" w:fill="auto"/>
            <w:vAlign w:val="center"/>
          </w:tcPr>
          <w:p w14:paraId="0C83DB5A">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767DC6A8">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3" w:type="dxa"/>
            <w:tcBorders>
              <w:top w:val="nil"/>
              <w:left w:val="single" w:color="A4A4A4" w:sz="4" w:space="0"/>
              <w:bottom w:val="single" w:color="A4A4A4" w:sz="4" w:space="0"/>
              <w:right w:val="nil"/>
            </w:tcBorders>
            <w:shd w:val="clear" w:color="auto" w:fill="auto"/>
            <w:vAlign w:val="center"/>
          </w:tcPr>
          <w:p w14:paraId="5643DCD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14660D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15308612">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5FD0B2A7">
      <w:pPr>
        <w:rPr>
          <w:rFonts w:hint="eastAsia" w:ascii="Times New Roman" w:hAnsi="Times New Roman" w:cs="Times New Roman"/>
          <w:sz w:val="28"/>
          <w:szCs w:val="28"/>
          <w:lang w:val="en-US" w:eastAsia="zh-CN"/>
        </w:rPr>
      </w:pPr>
      <w:r>
        <w:rPr>
          <w:rFonts w:hint="eastAsia" w:ascii="Times New Roman" w:hAnsi="Times New Roman" w:eastAsia="微软雅黑" w:cs="Times New Roman"/>
          <w:b w:val="0"/>
          <w:bCs/>
          <w:sz w:val="21"/>
          <w:szCs w:val="21"/>
          <w:lang w:val="en-US" w:eastAsia="zh-CN"/>
        </w:rPr>
        <w:t xml:space="preserve">{% elif </w:t>
      </w:r>
      <w:r>
        <w:rPr>
          <w:rFonts w:hint="eastAsia" w:ascii="Times New Roman" w:hAnsi="Times New Roman" w:cs="Times New Roman"/>
          <w:sz w:val="21"/>
          <w:szCs w:val="21"/>
          <w:lang w:val="en-US" w:eastAsia="zh-CN"/>
        </w:rPr>
        <w:t>disease.Midline or disease.KidneyFlag %}</w:t>
      </w:r>
      <w:r>
        <w:rPr>
          <w:rFonts w:ascii="Times New Roman" w:hAnsi="Times New Roman" w:eastAsia="微软雅黑" w:cs="Times New Roman"/>
          <w:b/>
          <w:color w:val="000000" w:themeColor="text1"/>
          <w:sz w:val="21"/>
          <w:szCs w:val="21"/>
          <w:lang w:eastAsia="zh-CN"/>
          <w14:textFill>
            <w14:solidFill>
              <w14:schemeClr w14:val="tx1"/>
            </w14:solidFill>
          </w14:textFill>
        </w:rPr>
        <w:t>共有{{ summaryOfRresults.</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cancerCount1166</w:t>
      </w:r>
      <w:r>
        <w:rPr>
          <w:rFonts w:ascii="Times New Roman" w:hAnsi="Times New Roman" w:eastAsia="微软雅黑" w:cs="Times New Roman"/>
          <w:b/>
          <w:color w:val="000000" w:themeColor="text1"/>
          <w:sz w:val="21"/>
          <w:szCs w:val="21"/>
          <w:lang w:eastAsia="zh-CN"/>
          <w14:textFill>
            <w14:solidFill>
              <w14:schemeClr w14:val="tx1"/>
            </w14:solidFill>
          </w14:textFill>
        </w:rPr>
        <w:t>}}个基因重排</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与辅助诊断相关</w:t>
      </w:r>
      <w:r>
        <w:rPr>
          <w:rFonts w:ascii="Times New Roman" w:hAnsi="Times New Roman" w:eastAsia="微软雅黑" w:cs="Times New Roman"/>
          <w:b/>
          <w:color w:val="000000" w:themeColor="text1"/>
          <w:sz w:val="24"/>
          <w:szCs w:val="24"/>
          <w:lang w:eastAsia="zh-CN"/>
          <w14:textFill>
            <w14:solidFill>
              <w14:schemeClr w14:val="tx1"/>
            </w14:solidFill>
          </w14:textFill>
        </w:rPr>
        <w:t>。</w:t>
      </w:r>
    </w:p>
    <w:tbl>
      <w:tblPr>
        <w:tblStyle w:val="22"/>
        <w:tblW w:w="10028"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4309"/>
        <w:gridCol w:w="1425"/>
        <w:gridCol w:w="2469"/>
        <w:gridCol w:w="1825"/>
      </w:tblGrid>
      <w:tr w14:paraId="0120FDE7">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658" w:hRule="exact"/>
          <w:tblHeader/>
          <w:jc w:val="center"/>
        </w:trPr>
        <w:tc>
          <w:tcPr>
            <w:tcW w:w="4309" w:type="dxa"/>
            <w:tcBorders>
              <w:top w:val="nil"/>
              <w:left w:val="nil"/>
              <w:bottom w:val="nil"/>
              <w:right w:val="single" w:color="FFFFFF" w:sz="18" w:space="0"/>
            </w:tcBorders>
            <w:shd w:val="clear" w:color="auto" w:fill="62B541"/>
            <w:vAlign w:val="center"/>
          </w:tcPr>
          <w:p w14:paraId="6BD0D62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425" w:type="dxa"/>
            <w:tcBorders>
              <w:top w:val="nil"/>
              <w:left w:val="single" w:color="FFFFFF" w:sz="18" w:space="0"/>
              <w:bottom w:val="nil"/>
              <w:right w:val="single" w:color="FFFFFF" w:sz="18" w:space="0"/>
            </w:tcBorders>
            <w:shd w:val="clear" w:color="auto" w:fill="62B541"/>
            <w:vAlign w:val="center"/>
          </w:tcPr>
          <w:p w14:paraId="1C692793">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融合reads数</w:t>
            </w:r>
          </w:p>
        </w:tc>
        <w:tc>
          <w:tcPr>
            <w:tcW w:w="2469" w:type="dxa"/>
            <w:tcBorders>
              <w:top w:val="nil"/>
              <w:left w:val="single" w:color="FFFFFF" w:sz="18" w:space="0"/>
              <w:bottom w:val="nil"/>
              <w:right w:val="single" w:color="FFFFFF" w:sz="18" w:space="0"/>
            </w:tcBorders>
            <w:shd w:val="clear" w:color="auto" w:fill="62B541"/>
            <w:vAlign w:val="center"/>
          </w:tcPr>
          <w:p w14:paraId="2692A966">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CN"/>
                <w14:textFill>
                  <w14:solidFill>
                    <w14:schemeClr w14:val="bg1"/>
                  </w14:solidFill>
                </w14:textFill>
              </w:rPr>
              <w:t>基因变异相关亚型</w:t>
            </w:r>
          </w:p>
        </w:tc>
        <w:tc>
          <w:tcPr>
            <w:tcW w:w="1825" w:type="dxa"/>
            <w:tcBorders>
              <w:top w:val="nil"/>
              <w:left w:val="single" w:color="FFFFFF" w:sz="18" w:space="0"/>
              <w:bottom w:val="nil"/>
              <w:right w:val="nil"/>
            </w:tcBorders>
            <w:shd w:val="clear" w:color="auto" w:fill="62B541"/>
            <w:vAlign w:val="center"/>
          </w:tcPr>
          <w:p w14:paraId="10BC93ED">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lang w:eastAsia="zh-Hans"/>
                <w14:textFill>
                  <w14:solidFill>
                    <w14:schemeClr w14:val="bg1"/>
                  </w14:solidFill>
                </w14:textFill>
              </w:rPr>
              <w:t>证据等级</w:t>
            </w:r>
          </w:p>
        </w:tc>
      </w:tr>
      <w:tr w14:paraId="12D7797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03" w:hRule="atLeast"/>
          <w:jc w:val="center"/>
        </w:trPr>
        <w:tc>
          <w:tcPr>
            <w:tcW w:w="10028" w:type="dxa"/>
            <w:gridSpan w:val="4"/>
            <w:tcBorders>
              <w:top w:val="dotted" w:color="45A3A7" w:sz="4" w:space="0"/>
              <w:left w:val="nil"/>
              <w:bottom w:val="single" w:color="A4A4A4" w:sz="4" w:space="0"/>
              <w:right w:val="nil"/>
            </w:tcBorders>
            <w:shd w:val="clear" w:color="auto" w:fill="auto"/>
            <w:vAlign w:val="center"/>
          </w:tcPr>
          <w:p w14:paraId="01EDEE0E">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if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1B8F193">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88" w:hRule="atLeast"/>
          <w:jc w:val="center"/>
        </w:trPr>
        <w:tc>
          <w:tcPr>
            <w:tcW w:w="10028" w:type="dxa"/>
            <w:gridSpan w:val="4"/>
            <w:tcBorders>
              <w:top w:val="single" w:color="A4A4A4" w:sz="4" w:space="0"/>
              <w:left w:val="nil"/>
              <w:bottom w:val="nil"/>
              <w:right w:val="nil"/>
            </w:tcBorders>
            <w:shd w:val="clear" w:color="auto" w:fill="auto"/>
            <w:vAlign w:val="center"/>
          </w:tcPr>
          <w:p w14:paraId="710CC6B8">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sz w:val="21"/>
                <w:szCs w:val="21"/>
                <w:shd w:val="clear" w:color="auto" w:fill="FFFFFF"/>
                <w:lang w:eastAsia="zh-CN"/>
              </w:rPr>
              <w:t xml:space="preserve">{%tr for st in </w:t>
            </w:r>
            <w:r>
              <w:rPr>
                <w:rFonts w:hint="eastAsia" w:ascii="Times New Roman" w:hAnsi="Times New Roman" w:eastAsia="微软雅黑" w:cs="Times New Roman"/>
                <w:color w:val="000000"/>
                <w:sz w:val="21"/>
                <w:szCs w:val="21"/>
                <w:shd w:val="clear" w:color="auto" w:fill="FFFFFF"/>
                <w:lang w:val="en-US" w:eastAsia="zh-CN"/>
              </w:rPr>
              <w:t>cancer</w:t>
            </w:r>
            <w:r>
              <w:rPr>
                <w:rFonts w:hint="eastAsia" w:ascii="Times New Roman" w:hAnsi="Times New Roman" w:eastAsia="微软雅黑" w:cs="Times New Roman"/>
                <w:color w:val="000000"/>
                <w:sz w:val="21"/>
                <w:szCs w:val="21"/>
                <w:shd w:val="clear" w:color="auto" w:fill="FFFFFF"/>
                <w:lang w:eastAsia="zh-CN"/>
              </w:rPr>
              <w:t>Typing</w:t>
            </w:r>
            <w:r>
              <w:rPr>
                <w:rFonts w:hint="eastAsia" w:ascii="Times New Roman" w:hAnsi="Times New Roman" w:eastAsia="微软雅黑" w:cs="Times New Roman"/>
                <w:color w:val="000000"/>
                <w:sz w:val="21"/>
                <w:szCs w:val="21"/>
                <w:shd w:val="clear" w:color="auto" w:fill="FFFFFF"/>
                <w:lang w:val="en-US" w:eastAsia="zh-CN"/>
              </w:rPr>
              <w:t>1166</w:t>
            </w:r>
            <w:r>
              <w:rPr>
                <w:rFonts w:hint="eastAsia" w:ascii="Times New Roman" w:hAnsi="Times New Roman" w:eastAsia="微软雅黑" w:cs="Times New Roman"/>
                <w:color w:val="000000"/>
                <w:sz w:val="21"/>
                <w:szCs w:val="21"/>
                <w:shd w:val="clear" w:color="auto" w:fill="FFFFFF"/>
                <w:lang w:eastAsia="zh-CN"/>
              </w:rPr>
              <w:t xml:space="preserve"> %}</w:t>
            </w:r>
          </w:p>
        </w:tc>
      </w:tr>
      <w:tr w14:paraId="1070105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22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CB68FB1">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xml:space="preserve">{% if st.variant == </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val="en-US" w:eastAsia="zh-CN"/>
              </w:rPr>
              <w:t>’</w:t>
            </w:r>
            <w:r>
              <w:rPr>
                <w:rFonts w:hint="eastAsia" w:ascii="Times New Roman" w:hAnsi="Times New Roman" w:eastAsia="微软雅黑" w:cs="Times New Roman"/>
                <w:sz w:val="21"/>
                <w:szCs w:val="21"/>
                <w:lang w:val="en-US" w:eastAsia="zh-CN"/>
              </w:rPr>
              <w:t>%}-{% else%}</w:t>
            </w:r>
            <w:r>
              <w:rPr>
                <w:rFonts w:hint="eastAsia" w:ascii="Times New Roman" w:hAnsi="Times New Roman" w:eastAsia="微软雅黑" w:cs="Times New Roman"/>
                <w:sz w:val="21"/>
                <w:szCs w:val="21"/>
                <w:lang w:eastAsia="zh-CN"/>
              </w:rPr>
              <w:t>{{ st.</w:t>
            </w:r>
            <w:r>
              <w:rPr>
                <w:rFonts w:hint="eastAsia" w:ascii="Times New Roman" w:hAnsi="Times New Roman" w:eastAsia="微软雅黑" w:cs="Times New Roman"/>
                <w:sz w:val="21"/>
                <w:szCs w:val="21"/>
                <w:lang w:val="en-US" w:eastAsia="zh-CN"/>
              </w:rPr>
              <w:t>variant</w:t>
            </w:r>
            <w:r>
              <w:rPr>
                <w:rFonts w:hint="eastAsia" w:ascii="Times New Roman" w:hAnsi="Times New Roman" w:eastAsia="微软雅黑" w:cs="Times New Roman"/>
                <w:sz w:val="21"/>
                <w:szCs w:val="21"/>
                <w:lang w:eastAsia="zh-CN"/>
              </w:rPr>
              <w:t>}}</w:t>
            </w:r>
          </w:p>
          <w:p w14:paraId="35841DD4">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CN"/>
              </w:rPr>
              <w:t>({{ st.transcript }})</w:t>
            </w:r>
            <w:r>
              <w:rPr>
                <w:rFonts w:hint="eastAsia" w:ascii="Times New Roman" w:hAnsi="Times New Roman" w:eastAsia="微软雅黑" w:cs="Times New Roman"/>
                <w:sz w:val="21"/>
                <w:szCs w:val="21"/>
                <w:lang w:val="en-US" w:eastAsia="zh-CN"/>
              </w:rPr>
              <w:t>{% endif %}</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482AC922">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st.mut</w:t>
            </w:r>
            <w:r>
              <w:rPr>
                <w:rFonts w:hint="eastAsia" w:ascii="Times New Roman" w:hAnsi="Times New Roman" w:eastAsia="微软雅黑" w:cs="Times New Roman"/>
                <w:sz w:val="21"/>
                <w:szCs w:val="21"/>
                <w:lang w:val="en-US" w:eastAsia="zh-CN"/>
              </w:rPr>
              <w:t>_f</w:t>
            </w:r>
            <w:r>
              <w:rPr>
                <w:rFonts w:hint="eastAsia" w:ascii="Times New Roman" w:hAnsi="Times New Roman" w:eastAsia="微软雅黑" w:cs="Times New Roman"/>
                <w:sz w:val="21"/>
                <w:szCs w:val="21"/>
                <w:lang w:eastAsia="zh-CN"/>
              </w:rPr>
              <w:t>req }}</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5CF7E6D7">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{{st.subtype}}</w:t>
            </w:r>
          </w:p>
        </w:tc>
        <w:tc>
          <w:tcPr>
            <w:tcW w:w="1825" w:type="dxa"/>
            <w:tcBorders>
              <w:top w:val="nil"/>
              <w:left w:val="single" w:color="A4A4A4" w:sz="4" w:space="0"/>
              <w:bottom w:val="single" w:color="A4A4A4" w:sz="4" w:space="0"/>
              <w:right w:val="nil"/>
            </w:tcBorders>
            <w:shd w:val="clear" w:color="auto" w:fill="auto"/>
            <w:vAlign w:val="center"/>
          </w:tcPr>
          <w:p w14:paraId="280F5D75">
            <w:pPr>
              <w:spacing w:before="1" w:line="249" w:lineRule="auto"/>
              <w:ind w:left="262" w:right="131"/>
              <w:jc w:val="center"/>
              <w:rPr>
                <w:rFonts w:ascii="Times New Roman" w:hAnsi="Times New Roman" w:eastAsia="微软雅黑" w:cs="Times New Roman"/>
                <w:color w:val="000000"/>
                <w:sz w:val="21"/>
                <w:szCs w:val="21"/>
                <w:shd w:val="clear" w:color="auto" w:fill="FFFFFF"/>
                <w:lang w:eastAsia="zh-CN"/>
              </w:rPr>
            </w:pPr>
            <w:r>
              <w:rPr>
                <w:rFonts w:hint="eastAsia" w:ascii="Times New Roman" w:hAnsi="Times New Roman" w:eastAsia="微软雅黑" w:cs="Times New Roman"/>
                <w:sz w:val="21"/>
                <w:szCs w:val="21"/>
                <w:lang w:eastAsia="zh-CN"/>
              </w:rPr>
              <w:t>{{s</w:t>
            </w:r>
            <w:r>
              <w:rPr>
                <w:rFonts w:hint="eastAsia" w:ascii="Times New Roman" w:hAnsi="Times New Roman" w:eastAsia="微软雅黑" w:cs="Times New Roman"/>
                <w:sz w:val="21"/>
                <w:szCs w:val="21"/>
                <w:lang w:val="en-US" w:eastAsia="zh-CN"/>
              </w:rPr>
              <w:t>t</w:t>
            </w:r>
            <w:r>
              <w:rPr>
                <w:rFonts w:hint="eastAsia" w:ascii="Times New Roman" w:hAnsi="Times New Roman" w:eastAsia="微软雅黑" w:cs="Times New Roman"/>
                <w:sz w:val="21"/>
                <w:szCs w:val="21"/>
                <w:lang w:eastAsia="zh-CN"/>
              </w:rPr>
              <w:t>.evidence}}</w:t>
            </w:r>
          </w:p>
        </w:tc>
      </w:tr>
      <w:tr w14:paraId="608E6E4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191"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37BA5055">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endfor %}</w:t>
            </w:r>
          </w:p>
        </w:tc>
      </w:tr>
      <w:tr w14:paraId="01B76F71">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93" w:hRule="atLeast"/>
          <w:jc w:val="center"/>
        </w:trPr>
        <w:tc>
          <w:tcPr>
            <w:tcW w:w="10028" w:type="dxa"/>
            <w:gridSpan w:val="4"/>
            <w:tcBorders>
              <w:top w:val="single" w:color="A4A4A4" w:sz="4" w:space="0"/>
              <w:left w:val="nil"/>
              <w:bottom w:val="nil"/>
              <w:right w:val="nil"/>
            </w:tcBorders>
            <w:shd w:val="clear" w:color="auto" w:fill="auto"/>
            <w:vAlign w:val="center"/>
          </w:tcPr>
          <w:p w14:paraId="1C8CDEDD">
            <w:pPr>
              <w:spacing w:before="1" w:line="249" w:lineRule="auto"/>
              <w:ind w:left="262" w:right="131"/>
              <w:jc w:val="center"/>
              <w:rPr>
                <w:rFonts w:hint="default"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val="en-US" w:eastAsia="zh-CN"/>
              </w:rPr>
              <w:t>{%tr else %}</w:t>
            </w:r>
          </w:p>
        </w:tc>
      </w:tr>
      <w:tr w14:paraId="6365D8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1057" w:hRule="atLeast"/>
          <w:jc w:val="center"/>
        </w:trPr>
        <w:tc>
          <w:tcPr>
            <w:tcW w:w="4309" w:type="dxa"/>
            <w:tcBorders>
              <w:top w:val="nil"/>
              <w:left w:val="nil"/>
              <w:bottom w:val="single" w:color="A4A4A4" w:sz="4" w:space="0"/>
              <w:right w:val="single" w:color="A4A4A4" w:sz="4" w:space="0"/>
            </w:tcBorders>
            <w:shd w:val="clear" w:color="auto" w:fill="auto"/>
            <w:vAlign w:val="center"/>
          </w:tcPr>
          <w:p w14:paraId="1F43EED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425" w:type="dxa"/>
            <w:tcBorders>
              <w:top w:val="nil"/>
              <w:left w:val="single" w:color="A4A4A4" w:sz="4" w:space="0"/>
              <w:bottom w:val="single" w:color="A4A4A4" w:sz="4" w:space="0"/>
              <w:right w:val="single" w:color="A4A4A4" w:sz="4" w:space="0"/>
            </w:tcBorders>
            <w:shd w:val="clear" w:color="auto" w:fill="auto"/>
            <w:vAlign w:val="center"/>
          </w:tcPr>
          <w:p w14:paraId="333462E0">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2469" w:type="dxa"/>
            <w:tcBorders>
              <w:top w:val="nil"/>
              <w:left w:val="single" w:color="A4A4A4" w:sz="4" w:space="0"/>
              <w:bottom w:val="single" w:color="A4A4A4" w:sz="4" w:space="0"/>
              <w:right w:val="single" w:color="A4A4A4" w:sz="4" w:space="0"/>
            </w:tcBorders>
            <w:shd w:val="clear" w:color="auto" w:fill="auto"/>
            <w:vAlign w:val="center"/>
          </w:tcPr>
          <w:p w14:paraId="6037AEEF">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w:t>
            </w:r>
          </w:p>
        </w:tc>
        <w:tc>
          <w:tcPr>
            <w:tcW w:w="1825" w:type="dxa"/>
            <w:tcBorders>
              <w:top w:val="nil"/>
              <w:left w:val="single" w:color="A4A4A4" w:sz="4" w:space="0"/>
              <w:bottom w:val="single" w:color="A4A4A4" w:sz="4" w:space="0"/>
              <w:right w:val="nil"/>
            </w:tcBorders>
            <w:shd w:val="clear" w:color="auto" w:fill="auto"/>
            <w:vAlign w:val="center"/>
          </w:tcPr>
          <w:p w14:paraId="4ADAA0D4">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color w:val="000000"/>
                <w:sz w:val="21"/>
                <w:szCs w:val="21"/>
                <w:shd w:val="clear" w:color="auto" w:fill="FFFFFF"/>
                <w:lang w:eastAsia="zh-CN"/>
              </w:rPr>
              <w:t>/</w:t>
            </w:r>
          </w:p>
        </w:tc>
      </w:tr>
      <w:tr w14:paraId="24DD79BC">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trHeight w:val="912" w:hRule="atLeast"/>
          <w:jc w:val="center"/>
        </w:trPr>
        <w:tc>
          <w:tcPr>
            <w:tcW w:w="10028" w:type="dxa"/>
            <w:gridSpan w:val="4"/>
            <w:tcBorders>
              <w:top w:val="single" w:color="A4A4A4" w:sz="4" w:space="0"/>
              <w:left w:val="nil"/>
              <w:bottom w:val="single" w:color="A4A4A4" w:sz="4" w:space="0"/>
              <w:right w:val="nil"/>
            </w:tcBorders>
            <w:shd w:val="clear" w:color="auto" w:fill="auto"/>
            <w:vAlign w:val="center"/>
          </w:tcPr>
          <w:p w14:paraId="0DBD3A61">
            <w:pPr>
              <w:spacing w:before="1" w:line="249" w:lineRule="auto"/>
              <w:ind w:left="262" w:right="131"/>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{%tr endif %}</w:t>
            </w:r>
          </w:p>
        </w:tc>
      </w:tr>
    </w:tbl>
    <w:p w14:paraId="39CF3CD9">
      <w:pPr>
        <w:rPr>
          <w:rFonts w:ascii="Times New Roman" w:hAnsi="Times New Roman" w:eastAsia="微软雅黑" w:cs="Times New Roman"/>
          <w:b/>
          <w:sz w:val="18"/>
          <w:szCs w:val="18"/>
          <w:lang w:eastAsia="zh-CN"/>
        </w:rPr>
      </w:pPr>
    </w:p>
    <w:p w14:paraId="3D40CECD">
      <w:pP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val="en-US" w:eastAsia="zh-CN"/>
        </w:rPr>
        <w:t>{% endif %}</w:t>
      </w:r>
      <w:r>
        <w:rPr>
          <w:rFonts w:ascii="Times New Roman" w:hAnsi="Times New Roman" w:eastAsia="微软雅黑" w:cs="Times New Roman"/>
          <w:b/>
          <w:sz w:val="18"/>
          <w:szCs w:val="18"/>
          <w:lang w:eastAsia="zh-CN"/>
        </w:rPr>
        <w:t>注：</w:t>
      </w:r>
    </w:p>
    <w:p w14:paraId="4B9CA870">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分析注释时采用RefSeq转录本编号</w:t>
      </w:r>
      <w:r>
        <w:rPr>
          <w:rFonts w:hint="eastAsia" w:ascii="Times New Roman" w:hAnsi="Times New Roman" w:eastAsia="微软雅黑" w:cs="Times New Roman"/>
          <w:sz w:val="18"/>
          <w:szCs w:val="18"/>
          <w:lang w:eastAsia="zh-CN"/>
        </w:rPr>
        <w:t>。</w:t>
      </w:r>
    </w:p>
    <w:p w14:paraId="7914782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基因重排结果为送检肿瘤单样本的数据分析检测结果，不排除会存在胚系融合的检出。</w:t>
      </w:r>
    </w:p>
    <w:p w14:paraId="273F47DE">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本报告仅从</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层面检测融合变异形式，</w:t>
      </w:r>
      <w:r>
        <w:rPr>
          <w:rFonts w:hint="eastAsia" w:ascii="Times New Roman" w:hAnsi="Times New Roman" w:eastAsia="微软雅黑" w:cs="Times New Roman"/>
          <w:sz w:val="18"/>
          <w:szCs w:val="18"/>
          <w:lang w:val="en-US" w:eastAsia="zh-CN"/>
        </w:rPr>
        <w:t>转录</w:t>
      </w:r>
      <w:r>
        <w:rPr>
          <w:rFonts w:ascii="Times New Roman" w:hAnsi="Times New Roman" w:eastAsia="微软雅黑" w:cs="Times New Roman"/>
          <w:sz w:val="18"/>
          <w:szCs w:val="18"/>
          <w:lang w:eastAsia="zh-CN"/>
        </w:rPr>
        <w:t>层面检测融合更有可能翻译成蛋白，从而发挥功能，促进肿瘤的发生发展，其与临床的相关性更强。</w:t>
      </w:r>
    </w:p>
    <w:p w14:paraId="3E7A9CEC">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的分子特征较复杂，基因变异与</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分型不具有绝对的一致性，建议临床分型检测综合根据临床和病理特征以及分子检测结果进行综合判定，具体</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分型诊断请以临床医生诊断为准。</w:t>
      </w:r>
    </w:p>
    <w:p w14:paraId="2C5F63FA">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临床意义未明的基因突变是指在出具报告时文献尚未报道，或者是突变意义已经明确但是无相关的</w:t>
      </w:r>
      <w:r>
        <w:rPr>
          <w:rFonts w:hint="eastAsia" w:ascii="Times New Roman" w:hAnsi="Times New Roman" w:eastAsia="微软雅黑" w:cs="Times New Roman"/>
          <w:sz w:val="18"/>
          <w:szCs w:val="18"/>
          <w:lang w:eastAsia="zh-CN"/>
        </w:rPr>
        <w:t>肿瘤</w:t>
      </w:r>
      <w:r>
        <w:rPr>
          <w:rFonts w:ascii="Times New Roman" w:hAnsi="Times New Roman" w:eastAsia="微软雅黑" w:cs="Times New Roman"/>
          <w:sz w:val="18"/>
          <w:szCs w:val="18"/>
          <w:lang w:eastAsia="zh-CN"/>
        </w:rPr>
        <w:t>分型诊断信息，或者是该突变意义不明确，可能存在潜在的临床意义。</w:t>
      </w:r>
    </w:p>
    <w:p w14:paraId="7DE00D96">
      <w:pPr>
        <w:numPr>
          <w:ilvl w:val="0"/>
          <w:numId w:val="8"/>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本报告仅对本次标本检测负责，结果仅供医生参考。</w:t>
      </w:r>
    </w:p>
    <w:p w14:paraId="5190AF63">
      <w:pPr>
        <w:bidi w:val="0"/>
        <w:rPr>
          <w:rFonts w:hint="default" w:ascii="Times New Roman" w:hAnsi="Times New Roman" w:cs="Times New Roman"/>
          <w:sz w:val="24"/>
          <w:szCs w:val="24"/>
          <w:lang w:val="en-US" w:eastAsia="zh-CN"/>
        </w:rPr>
      </w:pPr>
      <w:r>
        <w:rPr>
          <w:rFonts w:ascii="Times New Roman" w:hAnsi="Times New Roman" w:eastAsia="微软雅黑" w:cs="Times New Roman"/>
          <w:lang w:eastAsia="zh-CN"/>
        </w:rPr>
        <w:br w:type="page"/>
      </w:r>
      <w:bookmarkStart w:id="38" w:name="_Toc149837258"/>
      <w:bookmarkStart w:id="39" w:name="_Toc32489"/>
      <w:r>
        <w:rPr>
          <w:rFonts w:hint="default" w:ascii="Times New Roman" w:hAnsi="Times New Roman" w:cs="Times New Roman"/>
          <w:sz w:val="24"/>
          <w:szCs w:val="24"/>
          <w:lang w:val="en-US" w:eastAsia="zh-CN"/>
        </w:rPr>
        <w:t>{% endif %}</w:t>
      </w:r>
    </w:p>
    <w:p w14:paraId="4C29BFAA">
      <w:pPr>
        <w:pStyle w:val="3"/>
        <w:numPr>
          <w:ilvl w:val="255"/>
          <w:numId w:val="0"/>
        </w:numPr>
        <w:jc w:val="left"/>
        <w:rPr>
          <w:color w:val="auto"/>
          <w:sz w:val="30"/>
          <w:lang w:eastAsia="zh-CN"/>
        </w:rPr>
      </w:pPr>
      <w:bookmarkStart w:id="40" w:name="_Toc11808"/>
      <w:r>
        <w:rPr>
          <w:rFonts w:hint="eastAsia"/>
          <w:color w:val="auto"/>
          <w:sz w:val="30"/>
          <w:lang w:val="en-US" w:eastAsia="zh-CN"/>
        </w:rPr>
        <w:t>靶向药物用药</w:t>
      </w:r>
      <w:r>
        <w:rPr>
          <w:rFonts w:hint="eastAsia"/>
          <w:color w:val="auto"/>
          <w:sz w:val="30"/>
          <w:lang w:eastAsia="zh-CN"/>
        </w:rPr>
        <w:t>提示</w:t>
      </w:r>
      <w:bookmarkEnd w:id="38"/>
      <w:bookmarkEnd w:id="39"/>
      <w:bookmarkEnd w:id="40"/>
    </w:p>
    <w:p w14:paraId="06144E6A">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Times New Roman" w:hAnsi="Times New Roman" w:eastAsia="微软雅黑" w:cs="Times New Roman"/>
          <w:b/>
          <w:sz w:val="21"/>
          <w:szCs w:val="21"/>
          <w:lang w:eastAsia="zh-CN"/>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，其中{{summaryOfRresults.somaticDrugCount}}个与靶向药物相关。</w:t>
      </w:r>
      <w:r>
        <w:rPr>
          <w:rFonts w:hint="eastAsia" w:ascii="Times New Roman" w:hAnsi="Times New Roman" w:eastAsia="微软雅黑" w:cs="Times New Roman"/>
          <w:b/>
          <w:sz w:val="24"/>
          <w:szCs w:val="24"/>
          <w:lang w:eastAsia="zh-CN"/>
        </w:rPr>
        <w:t>{%if BodyDrugDrugDetectionStr or unknownVarAnalysisStr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sz w:val="21"/>
          <w:szCs w:val="21"/>
          <w:lang w:eastAsia="zh-CN"/>
        </w:rPr>
        <w:t>{% endif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2402E73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C41"/>
            <w:vAlign w:val="center"/>
          </w:tcPr>
          <w:p w14:paraId="667DB31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C41"/>
            <w:vAlign w:val="center"/>
          </w:tcPr>
          <w:p w14:paraId="49F53E3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8" w:type="pct"/>
            <w:tcBorders>
              <w:top w:val="nil"/>
              <w:left w:val="single" w:color="FFFFFF" w:sz="18" w:space="0"/>
              <w:bottom w:val="nil"/>
              <w:right w:val="single" w:color="FFFFFF" w:sz="18" w:space="0"/>
            </w:tcBorders>
            <w:shd w:val="clear" w:color="auto" w:fill="62BC41"/>
            <w:vAlign w:val="center"/>
          </w:tcPr>
          <w:p w14:paraId="20DD9F4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C41"/>
            <w:vAlign w:val="center"/>
          </w:tcPr>
          <w:p w14:paraId="0F4AA0E4">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4" w:type="pct"/>
            <w:tcBorders>
              <w:top w:val="nil"/>
              <w:left w:val="single" w:color="FFFFFF" w:sz="18" w:space="0"/>
              <w:bottom w:val="nil"/>
              <w:right w:val="single" w:color="FFFFFF" w:sz="18" w:space="0"/>
            </w:tcBorders>
            <w:shd w:val="clear" w:color="auto" w:fill="62BC41"/>
            <w:vAlign w:val="center"/>
          </w:tcPr>
          <w:p w14:paraId="0FFEE1F9">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w:t>
            </w:r>
          </w:p>
        </w:tc>
        <w:tc>
          <w:tcPr>
            <w:tcW w:w="1118" w:type="pct"/>
            <w:tcBorders>
              <w:top w:val="nil"/>
              <w:left w:val="single" w:color="FFFFFF" w:sz="18" w:space="0"/>
              <w:bottom w:val="nil"/>
              <w:right w:val="single" w:color="FFFFFF" w:sz="18" w:space="0"/>
            </w:tcBorders>
            <w:shd w:val="clear" w:color="auto" w:fill="62BC41"/>
            <w:vAlign w:val="center"/>
          </w:tcPr>
          <w:p w14:paraId="37057A1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3" w:type="pct"/>
            <w:tcBorders>
              <w:top w:val="nil"/>
              <w:left w:val="single" w:color="FFFFFF" w:sz="18" w:space="0"/>
              <w:bottom w:val="nil"/>
              <w:right w:val="nil"/>
            </w:tcBorders>
            <w:shd w:val="clear" w:color="auto" w:fill="62BC41"/>
            <w:vAlign w:val="center"/>
          </w:tcPr>
          <w:p w14:paraId="663661CA">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30714E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04138FF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3C92C9E6">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nil"/>
              <w:right w:val="nil"/>
            </w:tcBorders>
            <w:shd w:val="clear" w:color="auto" w:fill="auto"/>
            <w:vAlign w:val="center"/>
          </w:tcPr>
          <w:p w14:paraId="4AC7D301">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3435250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1A1A1" w:sz="4" w:space="0"/>
              <w:right w:val="single" w:color="A4A4A4" w:themeColor="background1" w:themeShade="A5" w:sz="4" w:space="0"/>
            </w:tcBorders>
            <w:shd w:val="clear" w:color="auto" w:fill="auto"/>
            <w:vAlign w:val="center"/>
          </w:tcPr>
          <w:p w14:paraId="143BE36C">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31B3093D">
            <w:pPr>
              <w:ind w:left="162" w:leftChars="0" w:right="163" w:rightChars="0"/>
              <w:jc w:val="center"/>
              <w:rPr>
                <w:rFonts w:hint="default" w:ascii="Times New Roman" w:hAnsi="Times New Roman" w:eastAsia="微软雅黑" w:cs="Times New Roman"/>
                <w:b/>
                <w:sz w:val="21"/>
                <w:szCs w:val="21"/>
                <w:lang w:val="en-US" w:eastAsia="zh-CN" w:bidi="ar-SA"/>
              </w:rPr>
            </w:pPr>
            <w:r>
              <w:rPr>
                <w:rFonts w:hint="default" w:ascii="Times New Roman" w:hAnsi="Times New Roman" w:eastAsia="微软雅黑" w:cs="Times New Roman"/>
                <w:b/>
                <w:sz w:val="21"/>
                <w:szCs w:val="21"/>
                <w:lang w:eastAsia="zh-CN"/>
              </w:rPr>
              <w:t>{{ tip.comutation }}</w:t>
            </w:r>
          </w:p>
        </w:tc>
        <w:tc>
          <w:tcPr>
            <w:tcW w:w="75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452754">
            <w:pPr>
              <w:spacing w:before="2"/>
              <w:ind w:left="116" w:leftChars="0" w:right="116" w:rightChars="0"/>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2AF93180">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tip.ExonicFunc }}</w:t>
            </w:r>
          </w:p>
        </w:tc>
        <w:tc>
          <w:tcPr>
            <w:tcW w:w="534"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10A14D9">
            <w:pPr>
              <w:jc w:val="center"/>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1A1A1" w:sz="4" w:space="0"/>
              <w:right w:val="single" w:color="A4A4A4" w:themeColor="background1" w:themeShade="A5" w:sz="4" w:space="0"/>
            </w:tcBorders>
            <w:shd w:val="clear" w:color="auto" w:fill="auto"/>
            <w:vAlign w:val="center"/>
          </w:tcPr>
          <w:p w14:paraId="4A015AFF">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0554D8C6">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1A1A1" w:sz="4" w:space="0"/>
              <w:right w:val="nil"/>
            </w:tcBorders>
            <w:shd w:val="clear" w:color="auto" w:fill="auto"/>
            <w:vAlign w:val="center"/>
          </w:tcPr>
          <w:p w14:paraId="0C34729C">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3C85685A">
            <w:pPr>
              <w:jc w:val="center"/>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3DC0167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single" w:color="A1A1A1" w:sz="4" w:space="0"/>
              <w:left w:val="nil"/>
              <w:bottom w:val="single" w:color="A4A4A4" w:themeColor="background1" w:themeShade="A5" w:sz="4" w:space="0"/>
              <w:right w:val="nil"/>
            </w:tcBorders>
            <w:shd w:val="clear" w:color="auto" w:fill="auto"/>
            <w:vAlign w:val="center"/>
          </w:tcPr>
          <w:p w14:paraId="01DD950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CFDBD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88" w:hRule="atLeast"/>
          <w:jc w:val="center"/>
        </w:trPr>
        <w:tc>
          <w:tcPr>
            <w:tcW w:w="5000" w:type="pct"/>
            <w:gridSpan w:val="7"/>
            <w:tcBorders>
              <w:top w:val="nil"/>
              <w:left w:val="nil"/>
              <w:bottom w:val="nil"/>
              <w:right w:val="nil"/>
            </w:tcBorders>
            <w:shd w:val="clear" w:color="auto" w:fill="auto"/>
            <w:vAlign w:val="center"/>
          </w:tcPr>
          <w:p w14:paraId="7D9F3DD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6CE3EA7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0"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A4566D9">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8B0259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B50517B">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2BD360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038C00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8B6921">
            <w:pPr>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tip.drugNameList == [] %}无{% else%}{% for d in tip.drugNameList %}</w:t>
            </w:r>
            <w:r>
              <w:rPr>
                <w:rFonts w:hint="eastAsia" w:ascii="Times New Roman" w:hAnsi="Times New Roman" w:eastAsia="微软雅黑" w:cs="Times New Roman"/>
                <w:sz w:val="21"/>
                <w:szCs w:val="21"/>
                <w:lang w:val="en-US" w:eastAsia="zh-CN"/>
              </w:rPr>
              <w:t>{{d.name_level}}{%if not loop.last %}，</w:t>
            </w:r>
          </w:p>
          <w:p w14:paraId="4BDF6270">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0D650DD">
            <w:pPr>
              <w:jc w:val="center"/>
              <w:rPr>
                <w:rFonts w:hint="eastAsia"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tip.ResistantDrug == [] %}无{% else%}{% for d in tip.ResistantDrug %}</w:t>
            </w:r>
            <w:r>
              <w:rPr>
                <w:rFonts w:hint="eastAsia" w:ascii="Times New Roman" w:hAnsi="Times New Roman" w:eastAsia="微软雅黑" w:cs="Times New Roman"/>
                <w:sz w:val="21"/>
                <w:szCs w:val="21"/>
                <w:lang w:val="en-US" w:eastAsia="zh-CN"/>
              </w:rPr>
              <w:t>{{d.name_level}}{%if not loop.last %}，</w:t>
            </w:r>
          </w:p>
          <w:p w14:paraId="1D1BEC47">
            <w:pPr>
              <w:jc w:val="center"/>
              <w:rPr>
                <w:rFonts w:hint="default"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sz w:val="21"/>
                <w:szCs w:val="21"/>
                <w:lang w:eastAsia="zh-CN"/>
              </w:rPr>
              <w:t>{% endfor %}{% endif%}</w:t>
            </w:r>
          </w:p>
        </w:tc>
      </w:tr>
      <w:tr w14:paraId="15601A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CB8B5C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3F656DD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BD0B9E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B4B9F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40CBC87D">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1A71677">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042118A">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w:t>
            </w:r>
            <w:r>
              <w:rPr>
                <w:rFonts w:hint="eastAsia" w:ascii="Times New Roman" w:hAnsi="Times New Roman" w:eastAsia="微软雅黑" w:cs="Times New Roman"/>
                <w:sz w:val="21"/>
                <w:szCs w:val="21"/>
                <w:lang w:val="en-US" w:eastAsia="zh-CN"/>
              </w:rPr>
              <w:t>1</w:t>
            </w:r>
            <w:r>
              <w:rPr>
                <w:rFonts w:hint="default" w:ascii="Times New Roman" w:hAnsi="Times New Roman" w:eastAsia="微软雅黑" w:cs="Times New Roman"/>
                <w:sz w:val="21"/>
                <w:szCs w:val="21"/>
                <w:lang w:eastAsia="zh-CN"/>
              </w:rPr>
              <w:t xml:space="preserve">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D4A22B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w:t>
            </w:r>
            <w:r>
              <w:rPr>
                <w:rFonts w:hint="eastAsia" w:ascii="Times New Roman" w:hAnsi="Times New Roman" w:eastAsia="微软雅黑" w:cs="Times New Roman"/>
                <w:sz w:val="21"/>
                <w:szCs w:val="21"/>
                <w:lang w:val="en-US" w:eastAsia="zh-CN"/>
              </w:rPr>
              <w:t>2</w:t>
            </w:r>
            <w:r>
              <w:rPr>
                <w:rFonts w:hint="default" w:ascii="Times New Roman" w:hAnsi="Times New Roman" w:eastAsia="微软雅黑" w:cs="Times New Roman"/>
                <w:sz w:val="21"/>
                <w:szCs w:val="21"/>
                <w:lang w:eastAsia="zh-CN"/>
              </w:rPr>
              <w:t xml:space="preserve"> }}</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BC5CAC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3499B8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3B935AD8">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79928CE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2634D8D7">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70F0A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287FECC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4EB8D57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295E29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D9884C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D469F93">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564D722">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4"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672940C">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8"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26E2EC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3"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6F31831D">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60896DD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008F58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90390A2">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07F4CFF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43D9441E">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02D23A15">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0A2126B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359BFCD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5F7242D">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340B0C38">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DA9AA1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6C2C82AD">
      <w:pPr>
        <w:pStyle w:val="6"/>
        <w:numPr>
          <w:ilvl w:val="0"/>
          <w:numId w:val="9"/>
        </w:numPr>
        <w:rPr>
          <w:rFonts w:hint="eastAsia" w:ascii="Times New Roman" w:hAnsi="Times New Roman" w:eastAsia="微软雅黑" w:cs="Times New Roman"/>
          <w:bCs/>
          <w:lang w:eastAsia="zh-CN"/>
        </w:rPr>
      </w:pPr>
      <w:r>
        <w:rPr>
          <w:rFonts w:hint="eastAsia" w:ascii="Times New Roman" w:hAnsi="Times New Roman" w:eastAsia="微软雅黑" w:cs="Times New Roman"/>
          <w:bCs/>
          <w:lang w:eastAsia="zh-CN"/>
        </w:rPr>
        <w:t>reads数：</w:t>
      </w:r>
      <w:r>
        <w:rPr>
          <w:rFonts w:hint="eastAsia" w:ascii="Times New Roman" w:hAnsi="Times New Roman" w:eastAsia="微软雅黑" w:cs="Times New Roman"/>
          <w:bCs/>
          <w:lang w:val="en-US" w:eastAsia="zh-CN"/>
        </w:rPr>
        <w:t>RNA</w:t>
      </w:r>
      <w:r>
        <w:rPr>
          <w:rFonts w:hint="eastAsia" w:ascii="Times New Roman" w:hAnsi="Times New Roman" w:eastAsia="微软雅黑" w:cs="Times New Roman"/>
          <w:bCs/>
          <w:lang w:eastAsia="zh-CN"/>
        </w:rPr>
        <w:t>层面检测到的支持融合基因的片段数。</w:t>
      </w:r>
    </w:p>
    <w:p w14:paraId="2A9A45B8">
      <w:pPr>
        <w:numPr>
          <w:ilvl w:val="0"/>
          <w:numId w:val="0"/>
        </w:numPr>
        <w:ind w:leftChars="0"/>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b/>
          <w:color w:val="00B050"/>
          <w:sz w:val="24"/>
          <w:szCs w:val="24"/>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542B86AA">
      <w:pPr>
        <w:pStyle w:val="3"/>
        <w:numPr>
          <w:ilvl w:val="255"/>
          <w:numId w:val="0"/>
        </w:numPr>
        <w:jc w:val="left"/>
        <w:rPr>
          <w:color w:val="auto"/>
          <w:sz w:val="30"/>
          <w:lang w:eastAsia="zh-CN"/>
        </w:rPr>
      </w:pPr>
      <w:bookmarkStart w:id="41" w:name="_Toc106719764"/>
      <w:bookmarkStart w:id="42" w:name="_Toc20034"/>
      <w:bookmarkStart w:id="43" w:name="_Toc10223"/>
      <w:bookmarkStart w:id="44" w:name="_Toc31051"/>
      <w:r>
        <w:rPr>
          <w:rFonts w:hint="eastAsia"/>
          <w:color w:val="auto"/>
          <w:sz w:val="30"/>
          <w:lang w:eastAsia="zh-CN"/>
        </w:rPr>
        <w:t>PD-L1检测结果</w:t>
      </w:r>
      <w:bookmarkEnd w:id="41"/>
      <w:bookmarkEnd w:id="42"/>
      <w:bookmarkEnd w:id="43"/>
      <w:bookmarkEnd w:id="44"/>
    </w:p>
    <w:p w14:paraId="50BB2956">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C21BB75">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73D9B323">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579A8597">
            <w:pPr>
              <w:pStyle w:val="39"/>
            </w:pPr>
            <w:r>
              <w:rPr>
                <w:rFonts w:hint="eastAsia"/>
              </w:rPr>
              <w:t>{{</w:t>
            </w:r>
            <w:r>
              <w:t xml:space="preserve"> PDInfo</w:t>
            </w:r>
            <w:r>
              <w:rPr>
                <w:rFonts w:hint="eastAsia"/>
              </w:rPr>
              <w:t>.</w:t>
            </w:r>
            <w:r>
              <w:t>Tumor_cell_count</w:t>
            </w:r>
            <w:r>
              <w:rPr>
                <w:rFonts w:hint="eastAsia"/>
              </w:rPr>
              <w:t xml:space="preserve"> }}</w:t>
            </w:r>
          </w:p>
        </w:tc>
      </w:tr>
      <w:tr w14:paraId="0463C2A3">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75C8B868">
            <w:pPr>
              <w:pStyle w:val="40"/>
            </w:pPr>
            <w:r>
              <w:t>镜下描述：</w:t>
            </w:r>
            <w:r>
              <w:rPr>
                <w:rFonts w:hint="eastAsia"/>
              </w:rPr>
              <w:t>{{</w:t>
            </w:r>
            <w:r>
              <w:t xml:space="preserve"> PDInfo</w:t>
            </w:r>
            <w:r>
              <w:rPr>
                <w:rFonts w:hint="eastAsia"/>
              </w:rPr>
              <w:t>.</w:t>
            </w:r>
            <w:r>
              <w:t>Seen_microscopically</w:t>
            </w:r>
            <w:r>
              <w:rPr>
                <w:rFonts w:hint="eastAsia"/>
              </w:rPr>
              <w:t xml:space="preserve"> }}</w:t>
            </w:r>
          </w:p>
        </w:tc>
      </w:tr>
    </w:tbl>
    <w:p w14:paraId="136AA9B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406136BB">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5E5B17CA">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2BE94057">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9016FC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6E495671">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3850B52E">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1A4E46C2">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6F0D54B5">
            <w:pPr>
              <w:jc w:val="center"/>
              <w:rPr>
                <w:rFonts w:ascii="Times New Roman" w:hAnsi="Times New Roman" w:eastAsia="微软雅黑" w:cs="Times New Roman"/>
                <w:b/>
                <w:bCs/>
                <w:color w:val="FFFFFF" w:themeColor="background1"/>
                <w:sz w:val="21"/>
                <w:szCs w:val="21"/>
                <w14:textFill>
                  <w14:solidFill>
                    <w14:schemeClr w14:val="bg1"/>
                  </w14:solidFill>
                </w14:textFill>
              </w:rPr>
            </w:pPr>
            <w:r>
              <w:rPr>
                <w:rFonts w:hint="eastAsia"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3BB09F51">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0C582DA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4DDC7A78">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21BC0B5C">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op w:val="nil"/>
              <w:left w:val="single" w:color="A4A4A4" w:sz="4" w:space="0"/>
              <w:bottom w:val="single" w:color="A4A4A4" w:sz="4" w:space="0"/>
              <w:right w:val="nil"/>
              <w:tl2br w:val="nil"/>
              <w:tr2bl w:val="nil"/>
            </w:tcBorders>
            <w:vAlign w:val="center"/>
          </w:tcPr>
          <w:p w14:paraId="091D7A79">
            <w:pPr>
              <w:pStyle w:val="41"/>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2E2E17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240B6CFB">
            <w:pPr>
              <w:spacing w:line="276" w:lineRule="auto"/>
              <w:jc w:val="center"/>
              <w:rPr>
                <w:rFonts w:ascii="微软雅黑" w:hAnsi="微软雅黑" w:eastAsia="微软雅黑" w:cs="微软雅黑"/>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78BF7D90">
            <w:pPr>
              <w:spacing w:line="276" w:lineRule="auto"/>
              <w:jc w:val="center"/>
              <w:rPr>
                <w:rFonts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51B56BCE">
            <w:pPr>
              <w:spacing w:line="276" w:lineRule="auto"/>
              <w:jc w:val="center"/>
              <w:rPr>
                <w:rFonts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3F78C26E">
            <w:pPr>
              <w:pStyle w:val="41"/>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4C837E31">
      <w:pPr>
        <w:spacing w:line="276" w:lineRule="auto"/>
        <w:ind w:right="449" w:rightChars="204"/>
        <w:rPr>
          <w:rFonts w:ascii="微软雅黑" w:hAnsi="微软雅黑" w:eastAsia="微软雅黑" w:cs="微软雅黑"/>
          <w:b/>
          <w:color w:val="000000"/>
          <w:sz w:val="18"/>
          <w:szCs w:val="18"/>
        </w:rPr>
      </w:pPr>
    </w:p>
    <w:p w14:paraId="4D9B85DF">
      <w:pPr>
        <w:ind w:firstLine="240" w:firstLineChars="100"/>
        <w:rPr>
          <w:rFonts w:ascii="Times New Roman" w:hAnsi="Times New Roman" w:eastAsia="微软雅黑" w:cs="黑体"/>
          <w:b/>
          <w:bCs/>
          <w:color w:val="033F86"/>
          <w:sz w:val="24"/>
          <w:szCs w:val="30"/>
          <w:lang w:eastAsia="zh-CN"/>
        </w:rPr>
      </w:pPr>
      <w:r>
        <w:rPr>
          <w:rFonts w:ascii="Times New Roman" w:hAnsi="Times New Roman" w:eastAsia="微软雅黑" w:cs="黑体"/>
          <w:b/>
          <w:bCs/>
          <w:color w:val="62B541"/>
          <w:sz w:val="24"/>
          <w:szCs w:val="30"/>
          <w:lang w:eastAsia="zh-CN"/>
        </w:rPr>
        <w:t>检测图谱</w:t>
      </w:r>
      <w:r>
        <w:rPr>
          <w:rFonts w:hint="eastAsia" w:ascii="Times New Roman" w:hAnsi="Times New Roman" w:eastAsia="微软雅黑" w:cs="黑体"/>
          <w:b/>
          <w:bCs/>
          <w:color w:val="62B541"/>
          <w:sz w:val="24"/>
          <w:szCs w:val="30"/>
          <w:lang w:eastAsia="zh-CN"/>
        </w:rPr>
        <w:t>：</w:t>
      </w:r>
      <w:r>
        <w:rPr>
          <w:rFonts w:ascii="Times New Roman" w:hAnsi="Times New Roman" w:eastAsia="微软雅黑" w:cs="黑体"/>
          <w:b/>
          <w:bCs/>
          <w:color w:val="033F86"/>
          <w:sz w:val="24"/>
          <w:szCs w:val="30"/>
          <w:lang w:eastAsia="zh-CN"/>
        </w:rPr>
        <w:t xml:space="preserve"> </w:t>
      </w:r>
    </w:p>
    <w:p w14:paraId="4F669559">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652858F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55E2EFB8">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3CA78ED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2F9D166">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085CF2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19D5B37">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1DBAA500">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16876B2">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791EF415">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728C66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DBEF453">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497E5A66">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7FF46368">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42252C5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679EE413">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59D695A9">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55A8D60B">
            <w:pPr>
              <w:spacing w:line="276" w:lineRule="auto"/>
              <w:jc w:val="left"/>
              <w:rPr>
                <w:rFonts w:ascii="Times New Roman" w:hAnsi="Times New Roman" w:eastAsia="微软雅黑" w:cs="Times New Roman"/>
                <w:sz w:val="18"/>
                <w:szCs w:val="18"/>
                <w:shd w:val="clear" w:color="auto" w:fill="FFFFFF"/>
                <w:lang w:eastAsia="zh-CN"/>
              </w:rPr>
            </w:pPr>
          </w:p>
        </w:tc>
      </w:tr>
      <w:tr w14:paraId="468BD79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B00057">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6FFC302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7519F157">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1F6FFB3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04882B6A">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24F0B57C">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4221233D">
            <w:pPr>
              <w:spacing w:line="276" w:lineRule="auto"/>
              <w:jc w:val="left"/>
              <w:rPr>
                <w:rFonts w:ascii="Times New Roman" w:hAnsi="Times New Roman" w:eastAsia="微软雅黑" w:cs="Times New Roman"/>
                <w:sz w:val="18"/>
                <w:szCs w:val="18"/>
                <w:shd w:val="clear" w:color="auto" w:fill="FFFFFF"/>
                <w:lang w:eastAsia="zh-CN"/>
              </w:rPr>
            </w:pPr>
          </w:p>
        </w:tc>
      </w:tr>
    </w:tbl>
    <w:p w14:paraId="31CC69A0">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779E2EFF">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84A03E8">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p>
    <w:p w14:paraId="7F45B336">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0D49A24C">
      <w:pPr>
        <w:ind w:firstLine="240" w:firstLineChars="100"/>
        <w:rPr>
          <w:rFonts w:ascii="Times New Roman" w:hAnsi="Times New Roman" w:eastAsia="微软雅黑" w:cs="黑体"/>
          <w:b/>
          <w:bCs/>
          <w:color w:val="62B541"/>
          <w:sz w:val="24"/>
          <w:szCs w:val="30"/>
          <w:lang w:eastAsia="zh-CN"/>
        </w:rPr>
      </w:pPr>
      <w:r>
        <w:rPr>
          <w:rFonts w:hint="eastAsia" w:ascii="Times New Roman" w:hAnsi="Times New Roman" w:eastAsia="微软雅黑" w:cs="黑体"/>
          <w:b/>
          <w:bCs/>
          <w:color w:val="62B541"/>
          <w:sz w:val="24"/>
          <w:szCs w:val="30"/>
          <w:lang w:eastAsia="zh-CN"/>
        </w:rPr>
        <w:t>PD-L1表达阳性阈值：</w:t>
      </w:r>
    </w:p>
    <w:p w14:paraId="1E9C9A1A">
      <w:pPr>
        <w:pStyle w:val="6"/>
        <w:spacing w:before="18"/>
        <w:rPr>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40D9934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740BC15B">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C7D6BC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ascii="微软雅黑" w:hAnsi="微软雅黑" w:eastAsia="微软雅黑" w:cs="微软雅黑"/>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1BFEB6E0">
            <w:pPr>
              <w:pStyle w:val="21"/>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FFFFFF"/>
                <w:lang w:val="zh-CN" w:eastAsia="zh-CN" w:bidi="zh-CN"/>
              </w:rPr>
            </w:pPr>
            <w:r>
              <w:rPr>
                <w:rFonts w:hint="eastAsia" w:ascii="微软雅黑" w:hAnsi="微软雅黑" w:eastAsia="微软雅黑" w:cs="微软雅黑"/>
                <w:b/>
                <w:color w:val="FFFFFF"/>
                <w:lang w:val="zh-CN" w:eastAsia="zh-CN" w:bidi="zh-CN"/>
              </w:rPr>
              <w:t>临床意义</w:t>
            </w:r>
          </w:p>
        </w:tc>
      </w:tr>
      <w:tr w14:paraId="4BB99810">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nil"/>
              <w:left w:val="nil"/>
              <w:bottom w:val="single" w:color="A4A4A4" w:themeColor="background1" w:themeShade="A5" w:sz="4" w:space="0"/>
              <w:right w:val="nil"/>
            </w:tcBorders>
            <w:vAlign w:val="center"/>
          </w:tcPr>
          <w:p w14:paraId="68808626">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47608049">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1C657833">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0505D3A5">
            <w:pPr>
              <w:pStyle w:val="21"/>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0213BCF5">
            <w:pPr>
              <w:pStyle w:val="21"/>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3CF5F50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1279AD09">
            <w:pPr>
              <w:pStyle w:val="21"/>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2639F19D">
      <w:pPr>
        <w:widowControl/>
        <w:ind w:firstLine="180" w:firstLineChars="100"/>
        <w:rPr>
          <w:rFonts w:hint="eastAsia"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[1]实体肿瘤PD-L1免疫组织化学检测专家共识（2021版）</w:t>
      </w:r>
      <w:r>
        <w:rPr>
          <w:rFonts w:hint="eastAsia" w:ascii="Times New Roman" w:hAnsi="Times New Roman" w:eastAsia="微软雅黑" w:cs="Times New Roman"/>
          <w:bCs/>
          <w:sz w:val="18"/>
          <w:szCs w:val="18"/>
          <w:lang w:eastAsia="zh-CN"/>
        </w:rPr>
        <w:t>{% endif %}</w:t>
      </w:r>
    </w:p>
    <w:p w14:paraId="0A696CFB">
      <w:pPr>
        <w:widowControl/>
        <w:ind w:firstLine="180" w:firstLineChars="100"/>
        <w:rPr>
          <w:rFonts w:hint="eastAsia" w:ascii="Times New Roman" w:hAnsi="Times New Roman" w:eastAsia="微软雅黑" w:cs="Times New Roman"/>
          <w:bCs/>
          <w:sz w:val="18"/>
          <w:szCs w:val="18"/>
          <w:lang w:eastAsia="zh-CN"/>
        </w:rPr>
      </w:pPr>
      <w:r>
        <w:rPr>
          <w:rFonts w:hint="default" w:ascii="Times New Roman" w:hAnsi="Times New Roman" w:eastAsia="微软雅黑" w:cs="Times New Roman"/>
          <w:b/>
          <w:bCs/>
          <w:kern w:val="0"/>
          <w:sz w:val="18"/>
          <w:szCs w:val="18"/>
          <w:lang w:val="en-US" w:bidi="zh-CN"/>
        </w:rPr>
        <w:t>注：</w:t>
      </w:r>
      <w:r>
        <w:rPr>
          <w:rFonts w:hint="default" w:ascii="Times New Roman" w:hAnsi="Times New Roman" w:eastAsia="微软雅黑" w:cs="Times New Roman"/>
          <w:b w:val="0"/>
          <w:bCs w:val="0"/>
          <w:kern w:val="0"/>
          <w:sz w:val="18"/>
          <w:szCs w:val="18"/>
          <w:lang w:val="en-US" w:bidi="zh-CN"/>
        </w:rPr>
        <w:t>NMPA</w:t>
      </w:r>
      <w:r>
        <w:rPr>
          <w:rFonts w:hint="default"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bidi="zh-CN"/>
        </w:rPr>
        <w:t>国家药品监督管理局；FDA</w:t>
      </w:r>
      <w:r>
        <w:rPr>
          <w:rFonts w:hint="default" w:ascii="Times New Roman" w:hAnsi="Times New Roman" w:eastAsia="微软雅黑" w:cs="Times New Roman"/>
          <w:b w:val="0"/>
          <w:bCs w:val="0"/>
          <w:kern w:val="0"/>
          <w:sz w:val="18"/>
          <w:szCs w:val="18"/>
          <w:lang w:val="en-US" w:eastAsia="zh-CN" w:bidi="zh-CN"/>
        </w:rPr>
        <w:t>：美国食品药品管理局</w:t>
      </w:r>
      <w:r>
        <w:rPr>
          <w:rFonts w:hint="eastAsia" w:ascii="Times New Roman" w:hAnsi="Times New Roman" w:eastAsia="微软雅黑" w:cs="Times New Roman"/>
          <w:b w:val="0"/>
          <w:bCs w:val="0"/>
          <w:kern w:val="0"/>
          <w:sz w:val="18"/>
          <w:szCs w:val="18"/>
          <w:lang w:val="en-US" w:eastAsia="zh-CN" w:bidi="zh-CN"/>
        </w:rPr>
        <w:t>。</w:t>
      </w:r>
      <w:r>
        <w:rPr>
          <w:rFonts w:hint="default" w:ascii="Times New Roman" w:hAnsi="Times New Roman" w:eastAsia="微软雅黑" w:cs="Times New Roman"/>
          <w:b w:val="0"/>
          <w:bCs w:val="0"/>
          <w:kern w:val="0"/>
          <w:sz w:val="18"/>
          <w:szCs w:val="18"/>
          <w:lang w:val="en-US" w:eastAsia="zh-CN" w:bidi="zh-CN"/>
        </w:rPr>
        <w:t>信息来源：FDA/NMPA官网、药企官网发布信息。</w:t>
      </w:r>
    </w:p>
    <w:p w14:paraId="4E6DC3E2">
      <w:pPr>
        <w:rPr>
          <w:rFonts w:hint="eastAsia" w:ascii="Times New Roman" w:hAnsi="Times New Roman" w:eastAsia="微软雅黑" w:cs="Times New Roman"/>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%}{%if BodyDrugDrugDetectionStr or unknownVarAnalysisStr %}</w:t>
      </w:r>
    </w:p>
    <w:p w14:paraId="67D21425">
      <w:pPr>
        <w:pStyle w:val="2"/>
        <w:numPr>
          <w:ilvl w:val="255"/>
          <w:numId w:val="0"/>
        </w:numPr>
        <w:jc w:val="left"/>
        <w:rPr>
          <w:color w:val="62B541"/>
          <w:sz w:val="32"/>
          <w14:shadow w14:blurRad="50800" w14:dist="38100" w14:dir="10800000" w14:sx="100000" w14:sy="100000" w14:kx="0" w14:ky="0" w14:algn="r">
            <w14:srgbClr w14:val="62B541">
              <w14:alpha w14:val="60000"/>
            </w14:srgbClr>
          </w14:shadow>
        </w:rPr>
      </w:pPr>
      <w:bookmarkStart w:id="45" w:name="_Toc29372"/>
      <w:bookmarkStart w:id="46" w:name="_Toc25727"/>
      <w:bookmarkStart w:id="47" w:name="_Toc180"/>
      <w:bookmarkStart w:id="48" w:name="_Toc107825555"/>
      <w:bookmarkStart w:id="49" w:name="_Toc359"/>
      <w:bookmarkStart w:id="50" w:name="_Toc23846_WPSOffice_Level1"/>
      <w:bookmarkStart w:id="51" w:name="_Toc24960"/>
      <w:bookmarkStart w:id="52" w:name="_Toc32443_WPSOffice_Level1"/>
      <w:bookmarkStart w:id="53" w:name="_Toc23903"/>
      <w:bookmarkStart w:id="54" w:name="_Toc4331_WPSOffice_Level1"/>
      <w:r>
        <w:rPr>
          <w:color w:val="62B541"/>
          <w:sz w:val="32"/>
          <w14:shadow w14:blurRad="50800" w14:dist="38100" w14:dir="10800000" w14:sx="100000" w14:sy="100000" w14:kx="0" w14:ky="0" w14:algn="r">
            <w14:srgbClr w14:val="62B541">
              <w14:alpha w14:val="60000"/>
            </w14:srgbClr>
          </w14:shadow>
        </w:rPr>
        <w:t>检测结果解析</w:t>
      </w:r>
      <w:bookmarkEnd w:id="45"/>
      <w:bookmarkEnd w:id="46"/>
      <w:bookmarkEnd w:id="47"/>
      <w:bookmarkEnd w:id="48"/>
      <w:bookmarkEnd w:id="49"/>
      <w:bookmarkEnd w:id="50"/>
      <w:bookmarkEnd w:id="51"/>
      <w:bookmarkEnd w:id="52"/>
      <w:bookmarkEnd w:id="53"/>
      <w:bookmarkEnd w:id="54"/>
    </w:p>
    <w:p w14:paraId="0B390F8C">
      <w:pPr>
        <w:pStyle w:val="3"/>
        <w:numPr>
          <w:ilvl w:val="255"/>
          <w:numId w:val="0"/>
        </w:numPr>
        <w:jc w:val="left"/>
        <w:rPr>
          <w:color w:val="auto"/>
          <w:sz w:val="30"/>
          <w:lang w:eastAsia="zh-CN"/>
        </w:rPr>
      </w:pPr>
      <w:bookmarkStart w:id="55" w:name="_Toc1575"/>
      <w:bookmarkStart w:id="56" w:name="_Toc12645"/>
      <w:bookmarkStart w:id="57" w:name="_Toc149837264"/>
      <w:r>
        <w:rPr>
          <w:rFonts w:hint="eastAsia"/>
          <w:color w:val="auto"/>
          <w:sz w:val="30"/>
          <w:lang w:eastAsia="zh-CN"/>
        </w:rPr>
        <w:t>变异位点结果解析</w:t>
      </w:r>
      <w:bookmarkEnd w:id="55"/>
      <w:bookmarkEnd w:id="56"/>
    </w:p>
    <w:p w14:paraId="4208E731">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for tdd in ComplexDrugStr %}</w:t>
      </w:r>
    </w:p>
    <w:p w14:paraId="4E50657C">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3FF44F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47D5C0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6085FE0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E1BE3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7A71E9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A9E7DC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549E8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BDA2EC0">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50F98">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5793B7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F24A8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154DAF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C3914C">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A23F1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CE6D8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C8C24A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3F666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B35783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D66E5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5C1F376">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9F5D9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8E1D70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C892FE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45C7B77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599779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1A6D01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38EAC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D6D38F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239AD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4F63A8A">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BE17E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B9F9EC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4D01B0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7308622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15CF8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70250CD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3587FB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5470BEB">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FC18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4CDE87A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6F4EF70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FE3E0D9">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53D822F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0CF5DC">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D66FD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BF63A2E">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B602E1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075F237">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2FDECB22">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0C506C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04AF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32520E9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712CC4C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1CE8A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4DBC2A1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42CF9B8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3CA5E9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B63B05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2EB980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BF680EA">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62F4DDC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0BBE5411">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5320E73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EE323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8D0FC8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0CE6A10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C68C19F">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7A57EA9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30FE88B3">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3A5E768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068B75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7F039B3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D412C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223D37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B2157DA">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19BB292D">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DA5F8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1A5876E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C2C0AA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08EBA9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7A3CD2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5297BAC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2B82ACC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585A95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2CD2850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BBE7DB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27AE4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53EA4C7">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740C2E0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796BB76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C6C450E">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14EB36">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3D281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01198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62D5D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68B42A85">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 endfor %}{% for tdd in BodyDrugNoComplexStr %}</w:t>
      </w:r>
      <w:bookmarkEnd w:id="57"/>
    </w:p>
    <w:p w14:paraId="5FE7C87F">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915C62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50EBD4F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552BB8C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w:t>
            </w:r>
            <w:r>
              <w:rPr>
                <w:rFonts w:hint="eastAsia" w:ascii="Times New Roman" w:hAnsi="Times New Roman" w:eastAsia="微软雅黑" w:cs="Times New Roman"/>
                <w:bCs/>
                <w:sz w:val="18"/>
                <w:szCs w:val="18"/>
                <w:lang w:val="en-US" w:eastAsia="zh-CN"/>
              </w:rPr>
              <w:t>1</w:t>
            </w:r>
            <w:r>
              <w:rPr>
                <w:rFonts w:hint="eastAsia" w:ascii="Times New Roman" w:hAnsi="Times New Roman" w:eastAsia="微软雅黑" w:cs="Times New Roman"/>
                <w:bCs/>
                <w:sz w:val="18"/>
                <w:szCs w:val="18"/>
                <w:lang w:eastAsia="zh-CN"/>
              </w:rPr>
              <w:t xml:space="preserve"> }}</w:t>
            </w:r>
          </w:p>
        </w:tc>
      </w:tr>
      <w:tr w14:paraId="480186D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4BD773B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1AB4B39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91F83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BC54382">
            <w:pPr>
              <w:spacing w:before="1" w:line="250" w:lineRule="auto"/>
              <w:jc w:val="center"/>
              <w:rPr>
                <w:rFonts w:ascii="Times New Roman" w:hAnsi="Times New Roman" w:eastAsia="微软雅黑" w:cs="Times New Roman"/>
                <w:sz w:val="18"/>
                <w:szCs w:val="18"/>
                <w:lang w:eastAsia="zh-CN"/>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6E3391F">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AC9DC6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25651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E74B692">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2E6F50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00F7F9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7B3CC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96B4AA">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4E1755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0CEE438">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EF0CB2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848F5C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69C5F3">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7DA6587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C070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C350F70">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603F7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55D4FAFF">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61C38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76F33A5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6EA98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6342195">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532710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E3CBC05">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245A63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877717C">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14ABE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B572BD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A5C2A6F">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D</w:t>
            </w:r>
            <w:r>
              <w:rPr>
                <w:rFonts w:ascii="Times New Roman" w:hAnsi="Times New Roman" w:eastAsia="微软雅黑" w:cs="Times New Roman"/>
                <w:b/>
                <w:color w:val="FFFFFF" w:themeColor="background1"/>
                <w:sz w:val="18"/>
                <w:szCs w:val="18"/>
                <w:lang w:eastAsia="zh-CN"/>
                <w14:textFill>
                  <w14:solidFill>
                    <w14:schemeClr w14:val="bg1"/>
                  </w14:solidFill>
                </w14:textFill>
              </w:rPr>
              <w:t>级</w:t>
            </w:r>
          </w:p>
        </w:tc>
        <w:tc>
          <w:tcPr>
            <w:tcW w:w="8247" w:type="dxa"/>
            <w:tcBorders>
              <w:top w:val="single" w:color="A4A4A4" w:sz="4" w:space="0"/>
              <w:left w:val="nil"/>
              <w:bottom w:val="single" w:color="A4A4A4" w:sz="4" w:space="0"/>
              <w:right w:val="nil"/>
            </w:tcBorders>
            <w:shd w:val="clear" w:color="auto" w:fill="auto"/>
            <w:vAlign w:val="center"/>
          </w:tcPr>
          <w:p w14:paraId="562ABA2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8015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953394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135387FD">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3C009A3F">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65AEF4F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034A5AA6">
      <w:pPr>
        <w:keepNext/>
        <w:spacing w:before="26"/>
        <w:rPr>
          <w:rFonts w:ascii="Times New Roman" w:hAnsi="Times New Roman" w:eastAsia="微软雅黑" w:cs="Times New Roman"/>
          <w:b/>
          <w:sz w:val="24"/>
          <w:lang w:eastAsia="zh-CN"/>
        </w:rPr>
      </w:pPr>
      <w:r>
        <w:rPr>
          <w:rFonts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20F8D68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DE392C4">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92D39B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5BFFD0D">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95" w:type="dxa"/>
            <w:tcBorders>
              <w:top w:val="nil"/>
              <w:left w:val="single" w:color="FFFFFF" w:sz="18" w:space="0"/>
              <w:bottom w:val="nil"/>
              <w:right w:val="nil"/>
            </w:tcBorders>
            <w:shd w:val="clear" w:color="auto" w:fill="62B541"/>
            <w:vAlign w:val="center"/>
          </w:tcPr>
          <w:p w14:paraId="5E7A361B">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16AA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4089A3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69546BE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30544B6">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0814CD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2D5D9C3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2B5D235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550220D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10A8A5F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511A3F2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5617A28F">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2FE23D7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AACD92A">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1D972D65">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413C87B0">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证据</w:t>
            </w: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等级</w:t>
            </w:r>
          </w:p>
        </w:tc>
        <w:tc>
          <w:tcPr>
            <w:tcW w:w="5666" w:type="dxa"/>
            <w:tcBorders>
              <w:top w:val="nil"/>
              <w:left w:val="single" w:color="FFFFFF" w:sz="18" w:space="0"/>
              <w:bottom w:val="nil"/>
              <w:right w:val="nil"/>
            </w:tcBorders>
            <w:shd w:val="clear" w:color="auto" w:fill="62B541"/>
            <w:vAlign w:val="center"/>
          </w:tcPr>
          <w:p w14:paraId="163FD00C">
            <w:pPr>
              <w:keepNext/>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48F88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1E22853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450CD6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00F319D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14A01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460765A9">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2090A32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7FE7B2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541C022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14B8AAF1">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3696F6D2">
      <w:pPr>
        <w:keepNext/>
        <w:spacing w:before="26"/>
        <w:rPr>
          <w:rFonts w:ascii="Times New Roman" w:hAnsi="Times New Roman" w:eastAsia="微软雅黑" w:cs="Times New Roman"/>
          <w:b/>
          <w:sz w:val="24"/>
          <w:lang w:eastAsia="zh-CN"/>
        </w:rPr>
      </w:pPr>
      <w:r>
        <w:rPr>
          <w:rFonts w:hint="eastAsia"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EEAAB3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3D3EB6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6956981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138BF8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715CD947">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DA54714">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78543F1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3766D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486C9F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7404150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325DF63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2D6B27FF">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226F2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4AF2EB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31F9050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F2CAD0C">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7C279B0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F5F726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124190F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75D1C6BE">
      <w:pPr>
        <w:pStyle w:val="26"/>
        <w:rPr>
          <w:color w:val="auto"/>
        </w:rPr>
      </w:pPr>
      <w:r>
        <w:rPr>
          <w:rFonts w:hint="eastAsia"/>
          <w:color w:val="auto"/>
        </w:rPr>
        <w:t>{% endif %}{% endfor %}{% for vus in unknownVarAnalysisStr %}</w:t>
      </w:r>
    </w:p>
    <w:p w14:paraId="2D2C76E0">
      <w:pPr>
        <w:keepNext/>
        <w:spacing w:before="120" w:beforeLines="50" w:after="120" w:afterLines="50"/>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0B9E16D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nil"/>
              <w:left w:val="nil"/>
              <w:bottom w:val="single" w:color="FFFFFF" w:sz="18" w:space="0"/>
              <w:right w:val="nil"/>
            </w:tcBorders>
            <w:shd w:val="clear" w:color="auto" w:fill="62B541"/>
            <w:vAlign w:val="center"/>
          </w:tcPr>
          <w:p w14:paraId="3973C848">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7809C71F">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w:t>
            </w:r>
            <w:r>
              <w:rPr>
                <w:rFonts w:hint="eastAsia" w:ascii="Times New Roman" w:hAnsi="Times New Roman" w:eastAsia="微软雅黑" w:cs="Times New Roman"/>
                <w:color w:val="000000"/>
                <w:sz w:val="18"/>
                <w:szCs w:val="18"/>
                <w:lang w:val="en-US" w:eastAsia="zh-CN"/>
              </w:rPr>
              <w:t>1</w:t>
            </w:r>
            <w:r>
              <w:rPr>
                <w:rFonts w:hint="eastAsia" w:ascii="Times New Roman" w:hAnsi="Times New Roman" w:eastAsia="微软雅黑" w:cs="Times New Roman"/>
                <w:color w:val="000000"/>
                <w:sz w:val="18"/>
                <w:szCs w:val="18"/>
                <w:lang w:eastAsia="zh-CN"/>
              </w:rPr>
              <w:t xml:space="preserve"> }}</w:t>
            </w:r>
          </w:p>
        </w:tc>
      </w:tr>
      <w:tr w14:paraId="62968BE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3FCE0AE3">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55216C31">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188DFE3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49BA625B">
            <w:pPr>
              <w:keepNext/>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63E1D394">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5D55C03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Times New Roman"/>
          <w:b/>
          <w:sz w:val="24"/>
          <w:szCs w:val="24"/>
          <w:lang w:eastAsia="zh-CN"/>
        </w:rPr>
        <w:t>{% endif %}</w:t>
      </w:r>
    </w:p>
    <w:p w14:paraId="57A115E4">
      <w:pPr>
        <w:outlineLvl w:val="0"/>
        <w:rPr>
          <w:rStyle w:val="38"/>
          <w:rFonts w:ascii="微软雅黑" w:hAnsi="微软雅黑" w:cs="微软雅黑"/>
          <w:color w:val="62B541"/>
          <w:sz w:val="32"/>
          <w:szCs w:val="32"/>
          <w14:shadow w14:blurRad="50800" w14:dist="38100" w14:dir="10800000" w14:sx="100000" w14:sy="100000" w14:kx="0" w14:ky="0" w14:algn="r">
            <w14:srgbClr w14:val="62B541">
              <w14:alpha w14:val="60000"/>
            </w14:srgbClr>
          </w14:shadow>
        </w:rPr>
      </w:pPr>
      <w:bookmarkStart w:id="58" w:name="_Toc1707_WPSOffice_Level1"/>
      <w:bookmarkStart w:id="59" w:name="_Toc13698"/>
      <w:bookmarkStart w:id="60" w:name="_Toc107825561"/>
      <w:bookmarkStart w:id="61" w:name="_Toc27302"/>
      <w:bookmarkStart w:id="62" w:name="_Toc11294"/>
      <w:bookmarkStart w:id="63" w:name="_Toc13196_WPSOffice_Level1"/>
      <w:bookmarkStart w:id="64" w:name="_Toc28240"/>
      <w:bookmarkStart w:id="65" w:name="_Toc21764_WPSOffice_Level1"/>
      <w:bookmarkStart w:id="66" w:name="_Toc30951"/>
      <w:bookmarkStart w:id="67" w:name="_Toc16835"/>
      <w:r>
        <w:rPr>
          <w:rStyle w:val="38"/>
          <w:rFonts w:hint="eastAsia" w:ascii="微软雅黑" w:hAnsi="微软雅黑" w:cs="微软雅黑"/>
          <w:color w:val="62B541"/>
          <w:sz w:val="32"/>
          <w:szCs w:val="32"/>
          <w14:shadow w14:blurRad="50800" w14:dist="38100" w14:dir="10800000" w14:sx="100000" w14:sy="100000" w14:kx="0" w14:ky="0" w14:algn="r">
            <w14:srgbClr w14:val="62B541">
              <w14:alpha w14:val="60000"/>
            </w14:srgbClr>
          </w14:shadow>
        </w:rPr>
        <w:t>附录</w:t>
      </w:r>
      <w:bookmarkEnd w:id="58"/>
      <w:bookmarkEnd w:id="59"/>
      <w:bookmarkEnd w:id="60"/>
      <w:bookmarkEnd w:id="61"/>
      <w:bookmarkEnd w:id="62"/>
      <w:bookmarkEnd w:id="63"/>
      <w:bookmarkEnd w:id="64"/>
      <w:bookmarkEnd w:id="65"/>
    </w:p>
    <w:bookmarkEnd w:id="66"/>
    <w:bookmarkEnd w:id="67"/>
    <w:p w14:paraId="3487FCD1">
      <w:pPr>
        <w:pStyle w:val="3"/>
        <w:numPr>
          <w:ilvl w:val="255"/>
          <w:numId w:val="0"/>
        </w:numPr>
        <w:jc w:val="left"/>
        <w:rPr>
          <w:color w:val="auto"/>
          <w:sz w:val="30"/>
          <w:lang w:eastAsia="zh-CN"/>
        </w:rPr>
      </w:pPr>
      <w:bookmarkStart w:id="68" w:name="_Toc27230"/>
      <w:bookmarkStart w:id="69" w:name="_Toc3674"/>
      <w:bookmarkStart w:id="70" w:name="_Toc14255_WPSOffice_Level1"/>
      <w:bookmarkStart w:id="71" w:name="_Toc32150"/>
      <w:bookmarkStart w:id="72" w:name="_Toc9066"/>
      <w:bookmarkStart w:id="73" w:name="_Toc24085_WPSOffice_Level1"/>
      <w:bookmarkStart w:id="74" w:name="_Toc28605"/>
      <w:bookmarkStart w:id="75" w:name="_Toc19101"/>
      <w:bookmarkStart w:id="76" w:name="_Toc15840_WPSOffice_Level1"/>
      <w:bookmarkStart w:id="77" w:name="_Toc28810_WPSOffice_Level1"/>
      <w:bookmarkStart w:id="78" w:name="_Toc11193_WPSOffice_Level1"/>
      <w:bookmarkStart w:id="79" w:name="_Toc23688"/>
      <w:bookmarkStart w:id="80" w:name="_Toc11896_WPSOffice_Level1"/>
      <w:r>
        <w:rPr>
          <w:rFonts w:hint="eastAsia"/>
          <w:color w:val="auto"/>
          <w:sz w:val="30"/>
          <w:lang w:eastAsia="zh-CN"/>
        </w:rPr>
        <w:t>样本质控情况</w:t>
      </w:r>
      <w:bookmarkEnd w:id="68"/>
      <w:bookmarkEnd w:id="69"/>
      <w:bookmarkEnd w:id="70"/>
      <w:bookmarkEnd w:id="71"/>
      <w:bookmarkEnd w:id="72"/>
      <w:bookmarkEnd w:id="73"/>
      <w:bookmarkEnd w:id="74"/>
      <w:bookmarkEnd w:id="75"/>
      <w:bookmarkEnd w:id="76"/>
    </w:p>
    <w:tbl>
      <w:tblPr>
        <w:tblStyle w:val="15"/>
        <w:tblW w:w="9810" w:type="dxa"/>
        <w:jc w:val="center"/>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Layout w:type="fixed"/>
        <w:tblCellMar>
          <w:top w:w="0" w:type="dxa"/>
          <w:left w:w="0" w:type="dxa"/>
          <w:bottom w:w="0" w:type="dxa"/>
          <w:right w:w="0" w:type="dxa"/>
        </w:tblCellMar>
      </w:tblPr>
      <w:tblGrid>
        <w:gridCol w:w="1987"/>
        <w:gridCol w:w="2721"/>
        <w:gridCol w:w="2381"/>
        <w:gridCol w:w="2721"/>
      </w:tblGrid>
      <w:tr w14:paraId="67B4D308">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3" w:hRule="atLeast"/>
          <w:jc w:val="center"/>
        </w:trPr>
        <w:tc>
          <w:tcPr>
            <w:tcW w:w="1987" w:type="dxa"/>
            <w:tcBorders>
              <w:top w:val="nil"/>
              <w:left w:val="nil"/>
              <w:bottom w:val="nil"/>
              <w:right w:val="single" w:color="FFFFFF" w:sz="18" w:space="0"/>
            </w:tcBorders>
            <w:shd w:val="clear" w:color="auto" w:fill="62BC41"/>
            <w:vAlign w:val="center"/>
          </w:tcPr>
          <w:p w14:paraId="67F43E19">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质控环节</w:t>
            </w:r>
          </w:p>
        </w:tc>
        <w:tc>
          <w:tcPr>
            <w:tcW w:w="2721" w:type="dxa"/>
            <w:tcBorders>
              <w:top w:val="nil"/>
              <w:left w:val="single" w:color="FFFFFF" w:sz="18" w:space="0"/>
              <w:bottom w:val="nil"/>
              <w:right w:val="single" w:color="FFFFFF" w:sz="18" w:space="0"/>
            </w:tcBorders>
            <w:shd w:val="clear" w:color="auto" w:fill="62BC41"/>
            <w:vAlign w:val="center"/>
          </w:tcPr>
          <w:p w14:paraId="5970C6B0">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质控参数</w:t>
            </w:r>
          </w:p>
        </w:tc>
        <w:tc>
          <w:tcPr>
            <w:tcW w:w="2381" w:type="dxa"/>
            <w:tcBorders>
              <w:top w:val="nil"/>
              <w:left w:val="single" w:color="FFFFFF" w:sz="18" w:space="0"/>
              <w:bottom w:val="nil"/>
              <w:right w:val="single" w:color="FFFFFF" w:sz="18" w:space="0"/>
            </w:tcBorders>
            <w:shd w:val="clear" w:color="auto" w:fill="62BC41"/>
            <w:vAlign w:val="center"/>
          </w:tcPr>
          <w:p w14:paraId="57B59FDB">
            <w:pPr>
              <w:ind w:left="119"/>
              <w:jc w:val="center"/>
              <w:rPr>
                <w:rFonts w:ascii="Times New Roman" w:hAnsi="Times New Roman" w:eastAsia="微软雅黑" w:cs="Times New Roman"/>
                <w:b/>
                <w:color w:val="FFFFFF" w:themeColor="background1"/>
                <w:sz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lang w:eastAsia="zh-CN"/>
                <w14:textFill>
                  <w14:solidFill>
                    <w14:schemeClr w14:val="bg1"/>
                  </w14:solidFill>
                </w14:textFill>
              </w:rPr>
              <w:t>质控数值</w:t>
            </w:r>
          </w:p>
        </w:tc>
        <w:tc>
          <w:tcPr>
            <w:tcW w:w="2721" w:type="dxa"/>
            <w:tcBorders>
              <w:top w:val="nil"/>
              <w:left w:val="single" w:color="FFFFFF" w:sz="18" w:space="0"/>
              <w:bottom w:val="nil"/>
              <w:right w:val="nil"/>
            </w:tcBorders>
            <w:shd w:val="clear" w:color="auto" w:fill="62BC41"/>
            <w:vAlign w:val="center"/>
          </w:tcPr>
          <w:p w14:paraId="53B1C5D4">
            <w:pPr>
              <w:ind w:left="119"/>
              <w:jc w:val="center"/>
              <w:rPr>
                <w:rFonts w:ascii="Times New Roman" w:hAnsi="Times New Roman" w:eastAsia="微软雅黑" w:cs="Times New Roman"/>
                <w:b/>
                <w:color w:val="FFFFFF" w:themeColor="background1"/>
                <w:sz w:val="21"/>
                <w14:textFill>
                  <w14:solidFill>
                    <w14:schemeClr w14:val="bg1"/>
                  </w14:solidFill>
                </w14:textFill>
              </w:rPr>
            </w:pPr>
            <w:r>
              <w:rPr>
                <w:rFonts w:ascii="Times New Roman" w:hAnsi="Times New Roman" w:eastAsia="微软雅黑" w:cs="Times New Roman"/>
                <w:b/>
                <w:color w:val="FFFFFF" w:themeColor="background1"/>
                <w:sz w:val="21"/>
                <w14:textFill>
                  <w14:solidFill>
                    <w14:schemeClr w14:val="bg1"/>
                  </w14:solidFill>
                </w14:textFill>
              </w:rPr>
              <w:t>质控标准</w:t>
            </w:r>
          </w:p>
        </w:tc>
      </w:tr>
      <w:tr w14:paraId="2C31A535">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tcBorders>
              <w:top w:val="nil"/>
              <w:left w:val="nil"/>
            </w:tcBorders>
            <w:vAlign w:val="center"/>
          </w:tcPr>
          <w:p w14:paraId="31627EBE">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病理</w:t>
            </w:r>
            <w:r>
              <w:rPr>
                <w:rFonts w:hint="eastAsia" w:ascii="Times New Roman" w:hAnsi="Times New Roman" w:eastAsia="微软雅黑" w:cs="Times New Roman"/>
                <w:b/>
                <w:sz w:val="21"/>
                <w:lang w:eastAsia="zh-CN"/>
              </w:rPr>
              <w:t>评估</w:t>
            </w:r>
          </w:p>
        </w:tc>
        <w:tc>
          <w:tcPr>
            <w:tcW w:w="2721" w:type="dxa"/>
            <w:tcBorders>
              <w:top w:val="nil"/>
            </w:tcBorders>
            <w:vAlign w:val="center"/>
          </w:tcPr>
          <w:p w14:paraId="5B1284F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肿瘤细胞含量</w:t>
            </w:r>
          </w:p>
        </w:tc>
        <w:tc>
          <w:tcPr>
            <w:tcW w:w="2381" w:type="dxa"/>
            <w:tcBorders>
              <w:top w:val="nil"/>
            </w:tcBorders>
            <w:vAlign w:val="center"/>
          </w:tcPr>
          <w:p w14:paraId="3E020E69">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rna.tumorcellcontent }}{%endif%}</w:t>
            </w:r>
          </w:p>
        </w:tc>
        <w:tc>
          <w:tcPr>
            <w:tcW w:w="2721" w:type="dxa"/>
            <w:tcBorders>
              <w:top w:val="nil"/>
              <w:right w:val="nil"/>
            </w:tcBorders>
            <w:vAlign w:val="center"/>
          </w:tcPr>
          <w:p w14:paraId="52079A9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w:t>
            </w:r>
            <w:r>
              <w:rPr>
                <w:rFonts w:hint="eastAsia" w:ascii="Times New Roman" w:hAnsi="Times New Roman" w:eastAsia="微软雅黑" w:cs="Times New Roman"/>
                <w:bCs/>
                <w:sz w:val="21"/>
                <w:lang w:val="en-US" w:eastAsia="zh-CN"/>
              </w:rPr>
              <w:t>2</w:t>
            </w:r>
            <w:r>
              <w:rPr>
                <w:rFonts w:hint="eastAsia" w:ascii="Times New Roman" w:hAnsi="Times New Roman" w:eastAsia="微软雅黑" w:cs="Times New Roman"/>
                <w:bCs/>
                <w:sz w:val="21"/>
                <w:lang w:eastAsia="zh-CN"/>
              </w:rPr>
              <w:t>0%</w:t>
            </w:r>
          </w:p>
        </w:tc>
      </w:tr>
      <w:tr w14:paraId="5E46F88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5CF7FA6C">
            <w:pPr>
              <w:ind w:left="119"/>
              <w:jc w:val="center"/>
              <w:rPr>
                <w:rFonts w:ascii="Times New Roman" w:hAnsi="Times New Roman" w:eastAsia="微软雅黑" w:cs="Times New Roman"/>
                <w:b/>
                <w:sz w:val="21"/>
                <w:lang w:eastAsia="zh-CN"/>
              </w:rPr>
            </w:pPr>
            <w:r>
              <w:rPr>
                <w:rFonts w:hint="eastAsia" w:ascii="Times New Roman" w:hAnsi="Times New Roman" w:eastAsia="微软雅黑" w:cs="Times New Roman"/>
                <w:b/>
                <w:sz w:val="21"/>
                <w:lang w:eastAsia="zh-CN"/>
              </w:rPr>
              <w:t>核酸质量评估</w:t>
            </w:r>
          </w:p>
        </w:tc>
        <w:tc>
          <w:tcPr>
            <w:tcW w:w="2721" w:type="dxa"/>
            <w:vAlign w:val="center"/>
          </w:tcPr>
          <w:p w14:paraId="3D3CFE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RNA总量（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69E50C3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rna.RNA_total }}{%endif%}</w:t>
            </w:r>
          </w:p>
        </w:tc>
        <w:tc>
          <w:tcPr>
            <w:tcW w:w="2721" w:type="dxa"/>
            <w:tcBorders>
              <w:right w:val="nil"/>
            </w:tcBorders>
            <w:vAlign w:val="center"/>
          </w:tcPr>
          <w:p w14:paraId="5EA776EF">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≥100</w:t>
            </w:r>
          </w:p>
        </w:tc>
      </w:tr>
      <w:tr w14:paraId="36E54686">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88A50B6">
            <w:pPr>
              <w:ind w:left="119"/>
              <w:jc w:val="center"/>
              <w:rPr>
                <w:rFonts w:ascii="Times New Roman" w:hAnsi="Times New Roman" w:eastAsia="微软雅黑" w:cs="Times New Roman"/>
                <w:b/>
                <w:sz w:val="21"/>
              </w:rPr>
            </w:pPr>
          </w:p>
        </w:tc>
        <w:tc>
          <w:tcPr>
            <w:tcW w:w="2721" w:type="dxa"/>
            <w:vAlign w:val="center"/>
          </w:tcPr>
          <w:p w14:paraId="3329ABDC">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RNA降解程度（DV200）</w:t>
            </w:r>
          </w:p>
        </w:tc>
        <w:tc>
          <w:tcPr>
            <w:tcW w:w="2381" w:type="dxa"/>
            <w:vAlign w:val="center"/>
          </w:tcPr>
          <w:p w14:paraId="2A09E151">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rna.RNA_degradation }}{%endif%}</w:t>
            </w:r>
          </w:p>
        </w:tc>
        <w:tc>
          <w:tcPr>
            <w:tcW w:w="2721" w:type="dxa"/>
            <w:tcBorders>
              <w:right w:val="nil"/>
            </w:tcBorders>
            <w:vAlign w:val="center"/>
          </w:tcPr>
          <w:p w14:paraId="1698BDF7">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≥30 (2100)</w:t>
            </w:r>
          </w:p>
          <w:p w14:paraId="06C291BE">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≥70 (QSEP)</w:t>
            </w:r>
          </w:p>
        </w:tc>
      </w:tr>
      <w:tr w14:paraId="27701737">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4718D705">
            <w:pPr>
              <w:ind w:left="119"/>
              <w:jc w:val="center"/>
              <w:rPr>
                <w:rFonts w:ascii="Times New Roman" w:hAnsi="Times New Roman" w:eastAsia="微软雅黑" w:cs="Times New Roman"/>
                <w:b/>
                <w:sz w:val="21"/>
              </w:rPr>
            </w:pPr>
          </w:p>
        </w:tc>
        <w:tc>
          <w:tcPr>
            <w:tcW w:w="2721" w:type="dxa"/>
            <w:vAlign w:val="center"/>
          </w:tcPr>
          <w:p w14:paraId="4820E9A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预文库总量（</w:t>
            </w:r>
            <w:r>
              <w:rPr>
                <w:rFonts w:ascii="Times New Roman" w:hAnsi="Times New Roman" w:eastAsia="微软雅黑" w:cs="Times New Roman"/>
                <w:bCs/>
                <w:sz w:val="21"/>
                <w:lang w:eastAsia="zh-CN"/>
              </w:rPr>
              <w:t>ng</w:t>
            </w:r>
            <w:r>
              <w:rPr>
                <w:rFonts w:hint="eastAsia" w:ascii="Times New Roman" w:hAnsi="Times New Roman" w:eastAsia="微软雅黑" w:cs="Times New Roman"/>
                <w:bCs/>
                <w:sz w:val="21"/>
                <w:lang w:eastAsia="zh-CN"/>
              </w:rPr>
              <w:t>）</w:t>
            </w:r>
          </w:p>
        </w:tc>
        <w:tc>
          <w:tcPr>
            <w:tcW w:w="2381" w:type="dxa"/>
            <w:vAlign w:val="center"/>
          </w:tcPr>
          <w:p w14:paraId="24AE0A9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rna.outbound_quantity }}{%endif%}</w:t>
            </w:r>
          </w:p>
        </w:tc>
        <w:tc>
          <w:tcPr>
            <w:tcW w:w="2721" w:type="dxa"/>
            <w:tcBorders>
              <w:right w:val="nil"/>
            </w:tcBorders>
            <w:vAlign w:val="center"/>
          </w:tcPr>
          <w:p w14:paraId="41A9783A">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≥500</w:t>
            </w:r>
          </w:p>
        </w:tc>
      </w:tr>
      <w:tr w14:paraId="3A86109E">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restart"/>
            <w:tcBorders>
              <w:left w:val="nil"/>
            </w:tcBorders>
            <w:vAlign w:val="center"/>
          </w:tcPr>
          <w:p w14:paraId="6EEA8C83">
            <w:pPr>
              <w:ind w:left="119"/>
              <w:jc w:val="center"/>
              <w:rPr>
                <w:rFonts w:ascii="Times New Roman" w:hAnsi="Times New Roman" w:eastAsia="微软雅黑" w:cs="Times New Roman"/>
                <w:b/>
                <w:sz w:val="21"/>
                <w:lang w:eastAsia="zh-CN"/>
              </w:rPr>
            </w:pPr>
            <w:r>
              <w:rPr>
                <w:rFonts w:ascii="Times New Roman" w:hAnsi="Times New Roman" w:eastAsia="微软雅黑" w:cs="Times New Roman"/>
                <w:b/>
                <w:sz w:val="21"/>
              </w:rPr>
              <w:t>测序</w:t>
            </w:r>
            <w:r>
              <w:rPr>
                <w:rFonts w:hint="eastAsia" w:ascii="Times New Roman" w:hAnsi="Times New Roman" w:eastAsia="微软雅黑" w:cs="Times New Roman"/>
                <w:b/>
                <w:sz w:val="21"/>
                <w:lang w:eastAsia="zh-CN"/>
              </w:rPr>
              <w:t>质量评估</w:t>
            </w:r>
          </w:p>
        </w:tc>
        <w:tc>
          <w:tcPr>
            <w:tcW w:w="2721" w:type="dxa"/>
            <w:vAlign w:val="center"/>
          </w:tcPr>
          <w:p w14:paraId="4D34C7E1">
            <w:pPr>
              <w:ind w:left="119"/>
              <w:jc w:val="center"/>
              <w:rPr>
                <w:rFonts w:ascii="Times New Roman" w:hAnsi="Times New Roman" w:eastAsia="微软雅黑" w:cs="Times New Roman"/>
                <w:bCs/>
                <w:sz w:val="21"/>
              </w:rPr>
            </w:pPr>
            <w:r>
              <w:rPr>
                <w:rFonts w:hint="eastAsia" w:ascii="Times New Roman" w:hAnsi="Times New Roman" w:eastAsia="微软雅黑" w:cs="Times New Roman"/>
                <w:bCs/>
                <w:sz w:val="21"/>
                <w:lang w:eastAsia="zh-CN"/>
              </w:rPr>
              <w:t>测序总reads数（条）</w:t>
            </w:r>
          </w:p>
        </w:tc>
        <w:tc>
          <w:tcPr>
            <w:tcW w:w="2381" w:type="dxa"/>
            <w:vAlign w:val="center"/>
          </w:tcPr>
          <w:p w14:paraId="62D04172">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rna.total_reads }}{%endif%}</w:t>
            </w:r>
          </w:p>
        </w:tc>
        <w:tc>
          <w:tcPr>
            <w:tcW w:w="2721" w:type="dxa"/>
            <w:tcBorders>
              <w:right w:val="nil"/>
            </w:tcBorders>
            <w:vAlign w:val="center"/>
          </w:tcPr>
          <w:p w14:paraId="48C0B3C5">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≥12,000,000</w:t>
            </w:r>
          </w:p>
        </w:tc>
      </w:tr>
      <w:tr w14:paraId="1EB3BB42">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2" w:hRule="atLeast"/>
          <w:jc w:val="center"/>
        </w:trPr>
        <w:tc>
          <w:tcPr>
            <w:tcW w:w="1987" w:type="dxa"/>
            <w:vMerge w:val="continue"/>
            <w:tcBorders>
              <w:left w:val="nil"/>
            </w:tcBorders>
            <w:vAlign w:val="center"/>
          </w:tcPr>
          <w:p w14:paraId="09C75563">
            <w:pPr>
              <w:ind w:left="119"/>
              <w:jc w:val="center"/>
              <w:rPr>
                <w:rFonts w:ascii="Times New Roman" w:hAnsi="Times New Roman" w:eastAsia="微软雅黑" w:cs="Times New Roman"/>
                <w:b/>
                <w:sz w:val="21"/>
              </w:rPr>
            </w:pPr>
          </w:p>
        </w:tc>
        <w:tc>
          <w:tcPr>
            <w:tcW w:w="2721" w:type="dxa"/>
            <w:vAlign w:val="center"/>
          </w:tcPr>
          <w:p w14:paraId="60A31A53">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碱基质量</w:t>
            </w:r>
            <w:r>
              <w:rPr>
                <w:rFonts w:ascii="Times New Roman" w:hAnsi="Times New Roman" w:eastAsia="微软雅黑" w:cs="Times New Roman"/>
                <w:bCs/>
                <w:sz w:val="21"/>
                <w:lang w:eastAsia="zh-CN"/>
              </w:rPr>
              <w:t>Q30</w:t>
            </w:r>
            <w:r>
              <w:rPr>
                <w:rFonts w:hint="eastAsia" w:ascii="Times New Roman" w:hAnsi="Times New Roman" w:eastAsia="微软雅黑" w:cs="Times New Roman"/>
                <w:bCs/>
                <w:sz w:val="21"/>
                <w:lang w:eastAsia="zh-CN"/>
              </w:rPr>
              <w:t>占比</w:t>
            </w:r>
          </w:p>
        </w:tc>
        <w:tc>
          <w:tcPr>
            <w:tcW w:w="2381" w:type="dxa"/>
            <w:vAlign w:val="center"/>
          </w:tcPr>
          <w:p w14:paraId="48684F50">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{%if rna != undefined%}{{ rna.base_quality }}{%endif%}</w:t>
            </w:r>
          </w:p>
        </w:tc>
        <w:tc>
          <w:tcPr>
            <w:tcW w:w="2721" w:type="dxa"/>
            <w:tcBorders>
              <w:right w:val="nil"/>
            </w:tcBorders>
            <w:vAlign w:val="center"/>
          </w:tcPr>
          <w:p w14:paraId="042AE134">
            <w:pPr>
              <w:ind w:left="119"/>
              <w:jc w:val="center"/>
              <w:rPr>
                <w:rFonts w:ascii="Times New Roman" w:hAnsi="Times New Roman" w:eastAsia="微软雅黑" w:cs="Times New Roman"/>
                <w:bCs/>
                <w:sz w:val="21"/>
                <w:lang w:eastAsia="zh-CN"/>
              </w:rPr>
            </w:pPr>
            <w:r>
              <w:rPr>
                <w:rFonts w:hint="eastAsia" w:ascii="Times New Roman" w:hAnsi="Times New Roman" w:eastAsia="微软雅黑" w:cs="Times New Roman"/>
                <w:bCs/>
                <w:sz w:val="21"/>
                <w:lang w:eastAsia="zh-CN"/>
              </w:rPr>
              <w:t>≥80%</w:t>
            </w:r>
          </w:p>
        </w:tc>
      </w:tr>
      <w:tr w14:paraId="264E1779">
        <w:tblPrEx>
          <w:tblBorders>
            <w:top w:val="single" w:color="416AAB" w:sz="24" w:space="0"/>
            <w:left w:val="single" w:color="416AAB" w:sz="24" w:space="0"/>
            <w:bottom w:val="single" w:color="A4A4A4" w:sz="4" w:space="0"/>
            <w:right w:val="single" w:color="416AAB" w:sz="24"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987" w:type="dxa"/>
            <w:tcBorders>
              <w:left w:val="nil"/>
            </w:tcBorders>
            <w:shd w:val="clear" w:color="auto" w:fill="F1F1F1"/>
            <w:vAlign w:val="center"/>
          </w:tcPr>
          <w:p w14:paraId="6F9D08A6">
            <w:pPr>
              <w:ind w:left="119"/>
              <w:jc w:val="center"/>
              <w:rPr>
                <w:rFonts w:ascii="Times New Roman" w:hAnsi="Times New Roman" w:eastAsia="微软雅黑" w:cs="Times New Roman"/>
                <w:b/>
                <w:sz w:val="21"/>
              </w:rPr>
            </w:pPr>
            <w:r>
              <w:rPr>
                <w:rFonts w:ascii="Times New Roman" w:hAnsi="Times New Roman" w:eastAsia="微软雅黑" w:cs="Times New Roman"/>
                <w:b/>
                <w:sz w:val="21"/>
              </w:rPr>
              <w:t>总体质量评估</w:t>
            </w:r>
          </w:p>
        </w:tc>
        <w:tc>
          <w:tcPr>
            <w:tcW w:w="7823" w:type="dxa"/>
            <w:gridSpan w:val="3"/>
            <w:tcBorders>
              <w:right w:val="nil"/>
            </w:tcBorders>
            <w:shd w:val="clear" w:color="auto" w:fill="F1F1F1"/>
            <w:vAlign w:val="center"/>
          </w:tcPr>
          <w:p w14:paraId="0D4EACFC">
            <w:pPr>
              <w:ind w:left="119"/>
              <w:jc w:val="center"/>
              <w:rPr>
                <w:rFonts w:ascii="Times New Roman" w:hAnsi="Times New Roman" w:eastAsia="微软雅黑" w:cs="Times New Roman"/>
                <w:bCs/>
                <w:sz w:val="21"/>
                <w:lang w:eastAsia="zh-CN"/>
              </w:rPr>
            </w:pPr>
            <w:r>
              <w:rPr>
                <w:rFonts w:hint="eastAsia" w:ascii="微软雅黑" w:hAnsi="微软雅黑" w:eastAsia="微软雅黑" w:cs="微软雅黑"/>
                <w:bCs/>
                <w:sz w:val="21"/>
                <w:lang w:eastAsia="zh-CN"/>
              </w:rPr>
              <w:t>{%if rna != undefined%}{{ rna.total_reads | oqa(12000000,10000000) }}{%endif%}</w:t>
            </w:r>
          </w:p>
        </w:tc>
      </w:tr>
    </w:tbl>
    <w:p w14:paraId="6CA2B564">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7894CC70">
      <w:pPr>
        <w:numPr>
          <w:ilvl w:val="0"/>
          <w:numId w:val="10"/>
        </w:numPr>
        <w:spacing w:before="53" w:line="301" w:lineRule="exact"/>
        <w:ind w:left="133"/>
        <w:rPr>
          <w:rFonts w:ascii="Times New Roman" w:hAnsi="Times New Roman" w:eastAsia="微软雅黑" w:cs="Times New Roman"/>
          <w:bCs/>
          <w:sz w:val="18"/>
          <w:szCs w:val="18"/>
          <w:lang w:eastAsia="zh-CN"/>
        </w:rPr>
      </w:pPr>
      <w:bookmarkStart w:id="81" w:name="_Toc24780"/>
      <w:bookmarkStart w:id="82" w:name="_Toc31843"/>
      <w:bookmarkStart w:id="83" w:name="_Toc4303"/>
      <w:bookmarkStart w:id="84" w:name="_Hlk33190413"/>
      <w:bookmarkStart w:id="85" w:name="_Toc107330130"/>
      <w:r>
        <w:rPr>
          <w:rFonts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w:t>
      </w:r>
    </w:p>
    <w:p w14:paraId="5C2E7553">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RNA总量：送检样本的RNA提取总量。</w:t>
      </w:r>
    </w:p>
    <w:p w14:paraId="41E0ED75">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RNA降解程度：大于 200 个核苷酸的 RNA 片段占 RNA 总片段的百分比。</w:t>
      </w:r>
    </w:p>
    <w:p w14:paraId="05B11438">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预文库总量：核酸片段经过接头连接和扩增纯化后中间产物的总量。</w:t>
      </w:r>
    </w:p>
    <w:p w14:paraId="4BC89F20">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测序总 reads 数：文库测序获得的数据总量（reads）。</w:t>
      </w:r>
    </w:p>
    <w:p w14:paraId="2E61ABAE">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碱基质量 Q30 占比：测序数据中碱基质量在 Q30 以上（即碱基识别错误率在千分之一以下）的占比。</w:t>
      </w:r>
    </w:p>
    <w:p w14:paraId="14A7AAFD">
      <w:pPr>
        <w:numPr>
          <w:ilvl w:val="0"/>
          <w:numId w:val="10"/>
        </w:numPr>
        <w:spacing w:before="53" w:line="301" w:lineRule="exact"/>
        <w:ind w:left="133"/>
        <w:rPr>
          <w:rFonts w:ascii="Times New Roman" w:hAnsi="Times New Roman" w:eastAsia="微软雅黑" w:cs="Times New Roman"/>
          <w:bCs/>
          <w:sz w:val="18"/>
          <w:szCs w:val="18"/>
          <w:lang w:eastAsia="zh-CN"/>
        </w:rPr>
      </w:pPr>
      <w:r>
        <w:rPr>
          <w:rFonts w:ascii="Times New Roman" w:hAnsi="Times New Roman" w:eastAsia="微软雅黑" w:cs="Times New Roman"/>
          <w:color w:val="000000"/>
          <w:sz w:val="18"/>
          <w:szCs w:val="18"/>
          <w:lang w:eastAsia="zh-CN"/>
        </w:rPr>
        <w:t>总体质量评估：根据 RNA 测序总 reads 数进行评估，分为“合格”、“警戒“、”不合格”三个等级。总体质量评估为“警戒“或者“不合格”时，均会影响检测的准确性和敏感性。</w:t>
      </w:r>
    </w:p>
    <w:p w14:paraId="05BD6C93">
      <w:pPr>
        <w:bidi w:val="0"/>
        <w:rPr>
          <w:sz w:val="28"/>
          <w:szCs w:val="28"/>
        </w:rPr>
      </w:pPr>
      <w:r>
        <w:br w:type="page"/>
      </w:r>
      <w:bookmarkStart w:id="86" w:name="_Toc23373"/>
      <w:r>
        <w:rPr>
          <w:rFonts w:hint="default" w:ascii="Times New Roman" w:hAnsi="Times New Roman" w:eastAsia="微软雅黑" w:cs="Times New Roman"/>
          <w:kern w:val="0"/>
          <w:sz w:val="28"/>
          <w:szCs w:val="28"/>
          <w:lang w:val="en-US" w:eastAsia="zh-CN" w:bidi="ar"/>
        </w:rPr>
        <w:t xml:space="preserve">{% if </w:t>
      </w:r>
      <w:r>
        <w:rPr>
          <w:rFonts w:hint="eastAsia" w:ascii="Times New Roman" w:hAnsi="Times New Roman" w:eastAsia="微软雅黑" w:cs="Times New Roman"/>
          <w:kern w:val="0"/>
          <w:sz w:val="28"/>
          <w:szCs w:val="28"/>
          <w:lang w:val="en-US" w:eastAsia="zh-CN" w:bidi="ar"/>
        </w:rPr>
        <w:t>b</w:t>
      </w:r>
      <w:r>
        <w:rPr>
          <w:rFonts w:hint="default" w:ascii="Times New Roman" w:hAnsi="Times New Roman" w:eastAsia="微软雅黑" w:cs="黑体"/>
          <w:kern w:val="0"/>
          <w:sz w:val="28"/>
          <w:szCs w:val="28"/>
          <w:lang w:val="en-US" w:eastAsia="zh-CN" w:bidi="ar"/>
        </w:rPr>
        <w:t>rainGlioma</w:t>
      </w:r>
      <w:r>
        <w:rPr>
          <w:rFonts w:hint="eastAsia" w:ascii="Times New Roman" w:hAnsi="Times New Roman" w:eastAsia="微软雅黑" w:cs="黑体"/>
          <w:kern w:val="0"/>
          <w:sz w:val="28"/>
          <w:szCs w:val="28"/>
          <w:lang w:val="en-US" w:eastAsia="zh-CN" w:bidi="ar"/>
        </w:rPr>
        <w:t xml:space="preserve">Flag </w:t>
      </w:r>
      <w:r>
        <w:rPr>
          <w:rFonts w:hint="default" w:ascii="Times New Roman" w:hAnsi="Times New Roman" w:eastAsia="微软雅黑" w:cs="Times New Roman"/>
          <w:kern w:val="0"/>
          <w:sz w:val="28"/>
          <w:szCs w:val="28"/>
          <w:lang w:val="en-US" w:eastAsia="zh-CN" w:bidi="ar"/>
        </w:rPr>
        <w:t>%}</w:t>
      </w:r>
    </w:p>
    <w:p w14:paraId="6C433726">
      <w:pPr>
        <w:pStyle w:val="3"/>
        <w:numPr>
          <w:ilvl w:val="255"/>
          <w:numId w:val="0"/>
        </w:numPr>
        <w:jc w:val="left"/>
        <w:rPr>
          <w:rFonts w:hint="eastAsia"/>
          <w:color w:val="auto"/>
          <w:sz w:val="30"/>
          <w:lang w:eastAsia="zh-CN"/>
        </w:rPr>
      </w:pPr>
      <w:bookmarkStart w:id="87" w:name="_Toc4278"/>
      <w:r>
        <w:rPr>
          <w:rFonts w:hint="eastAsia"/>
          <w:color w:val="auto"/>
          <w:sz w:val="30"/>
          <w:lang w:eastAsia="zh-CN"/>
        </w:rPr>
        <w:t>常见胶质瘤分型相关基因变异</w:t>
      </w:r>
      <w:bookmarkEnd w:id="86"/>
      <w:bookmarkEnd w:id="87"/>
    </w:p>
    <w:bookmarkEnd w:id="19"/>
    <w:bookmarkEnd w:id="77"/>
    <w:bookmarkEnd w:id="78"/>
    <w:bookmarkEnd w:id="79"/>
    <w:bookmarkEnd w:id="80"/>
    <w:bookmarkEnd w:id="81"/>
    <w:bookmarkEnd w:id="82"/>
    <w:bookmarkEnd w:id="83"/>
    <w:bookmarkEnd w:id="84"/>
    <w:bookmarkEnd w:id="85"/>
    <w:p w14:paraId="056BD978">
      <w:pPr>
        <w:numPr>
          <w:ilvl w:val="0"/>
          <w:numId w:val="11"/>
        </w:numPr>
        <w:rPr>
          <w:rFonts w:ascii="Times New Roman" w:hAnsi="Times New Roman" w:eastAsia="微软雅黑" w:cs="Times New Roman"/>
          <w:color w:val="000000"/>
          <w:sz w:val="21"/>
          <w:szCs w:val="21"/>
          <w:lang w:eastAsia="zh-Hans" w:bidi="ar"/>
        </w:rPr>
      </w:pPr>
      <w:bookmarkStart w:id="88" w:name="_Toc27034"/>
      <w:bookmarkStart w:id="89" w:name="_Toc5476"/>
      <w:bookmarkStart w:id="90" w:name="_Toc8911"/>
      <w:bookmarkStart w:id="91" w:name="_Toc28454_WPSOffice_Level1"/>
      <w:bookmarkStart w:id="92" w:name="_Toc20170_WPSOffice_Level1"/>
      <w:bookmarkStart w:id="93" w:name="_Toc26985_WPSOffice_Level1"/>
      <w:bookmarkStart w:id="94" w:name="_Toc107825570"/>
      <w:r>
        <w:rPr>
          <w:rFonts w:ascii="Times New Roman" w:hAnsi="Times New Roman" w:eastAsia="微软雅黑" w:cs="Times New Roman"/>
          <w:sz w:val="21"/>
          <w:szCs w:val="21"/>
          <w:lang w:eastAsia="zh-Hans"/>
        </w:rPr>
        <w:t>本部分内容参考：WHO-软组织与骨肿瘤指南</w:t>
      </w:r>
    </w:p>
    <w:tbl>
      <w:tblPr>
        <w:tblStyle w:val="15"/>
        <w:tblW w:w="4999" w:type="pct"/>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0" w:type="dxa"/>
          <w:left w:w="108" w:type="dxa"/>
          <w:bottom w:w="0" w:type="dxa"/>
          <w:right w:w="108" w:type="dxa"/>
        </w:tblCellMar>
      </w:tblPr>
      <w:tblGrid>
        <w:gridCol w:w="2659"/>
        <w:gridCol w:w="7426"/>
      </w:tblGrid>
      <w:tr w14:paraId="6A4AF9D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97" w:hRule="atLeast"/>
          <w:jc w:val="center"/>
        </w:trPr>
        <w:tc>
          <w:tcPr>
            <w:tcW w:w="1318" w:type="pct"/>
            <w:tcBorders>
              <w:top w:val="nil"/>
              <w:left w:val="nil"/>
              <w:bottom w:val="nil"/>
              <w:right w:val="single" w:color="FFFFFF" w:sz="12" w:space="0"/>
            </w:tcBorders>
            <w:shd w:val="clear" w:color="auto" w:fill="62BC41"/>
            <w:vAlign w:val="center"/>
          </w:tcPr>
          <w:p w14:paraId="2BFF24CC">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CNS分子标记物</w:t>
            </w:r>
          </w:p>
        </w:tc>
        <w:tc>
          <w:tcPr>
            <w:tcW w:w="3681" w:type="pct"/>
            <w:tcBorders>
              <w:top w:val="nil"/>
              <w:left w:val="single" w:color="FFFFFF" w:sz="12" w:space="0"/>
              <w:bottom w:val="nil"/>
              <w:right w:val="nil"/>
            </w:tcBorders>
            <w:shd w:val="clear" w:color="auto" w:fill="62BC41"/>
            <w:vAlign w:val="center"/>
          </w:tcPr>
          <w:p w14:paraId="4FAC6165">
            <w:pPr>
              <w:keepNext w:val="0"/>
              <w:keepLines w:val="0"/>
              <w:widowControl/>
              <w:suppressLineNumbers w:val="0"/>
              <w:jc w:val="center"/>
              <w:textAlignment w:val="center"/>
              <w:rPr>
                <w:rFonts w:hint="eastAsia" w:ascii="微软雅黑" w:hAnsi="微软雅黑" w:eastAsia="微软雅黑" w:cs="微软雅黑"/>
                <w:b/>
                <w:bCs/>
                <w:i w:val="0"/>
                <w:iCs w:val="0"/>
                <w:color w:val="FFFFFF"/>
                <w:sz w:val="21"/>
                <w:szCs w:val="21"/>
                <w:u w:val="none"/>
              </w:rPr>
            </w:pPr>
            <w:r>
              <w:rPr>
                <w:rStyle w:val="42"/>
                <w:rFonts w:hint="eastAsia" w:ascii="微软雅黑" w:hAnsi="微软雅黑" w:eastAsia="微软雅黑" w:cs="微软雅黑"/>
                <w:lang w:val="en-US" w:eastAsia="zh-CN" w:bidi="ar"/>
              </w:rPr>
              <w:t>临床检测意义</w:t>
            </w:r>
          </w:p>
        </w:tc>
      </w:tr>
      <w:tr w14:paraId="0A0C557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nil"/>
              <w:left w:val="nil"/>
              <w:bottom w:val="single" w:color="A4A4A4" w:sz="4" w:space="0"/>
              <w:right w:val="single" w:color="A4A4A4" w:sz="4" w:space="0"/>
            </w:tcBorders>
            <w:shd w:val="clear" w:color="auto" w:fill="auto"/>
            <w:vAlign w:val="center"/>
          </w:tcPr>
          <w:p w14:paraId="79269543">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BRAF 融合</w:t>
            </w:r>
          </w:p>
        </w:tc>
        <w:tc>
          <w:tcPr>
            <w:tcW w:w="3681" w:type="pct"/>
            <w:tcBorders>
              <w:top w:val="nil"/>
              <w:left w:val="single" w:color="A4A4A4" w:sz="4" w:space="0"/>
              <w:bottom w:val="single" w:color="A4A4A4" w:sz="4" w:space="0"/>
              <w:right w:val="nil"/>
            </w:tcBorders>
            <w:shd w:val="clear" w:color="auto" w:fill="auto"/>
            <w:vAlign w:val="center"/>
          </w:tcPr>
          <w:p w14:paraId="0838DC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KIAA1549-BRAF 融合是毛细胞型星形细胞瘤的关键诊断指标。</w:t>
            </w:r>
          </w:p>
        </w:tc>
      </w:tr>
      <w:tr w14:paraId="4C66269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37D73F">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3336499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FGFR1/2/3 融合常见于青少年多形性低级别神经上皮肿瘤；其中FGFR1 融合也见于 IDH 野生型的脑室外神经细胞瘤中。FGFR1 激酶结构域重复（KDD）常见于弥漫性低级别胶质瘤，MAPK 信号通路突变型，在低级别星形细胞瘤中也有报道，包括毛细胞星形细胞瘤（通常是小脑外）和胚胎发育不良性神经上皮肿瘤。FGFR1 热点突变发生在 FGFR1的激酶结构域内，常见于在胚胎发育不良神经上皮肿瘤中，并已成为菊形团形成性胶质神经元肿瘤 (RGNT) 的分子标志，主要影响年轻人。靶向治疗靶点。</w:t>
            </w:r>
          </w:p>
        </w:tc>
      </w:tr>
      <w:tr w14:paraId="6A366F59">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52FA06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1AD62B51">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240A6B30">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11430F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FGFR3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63B03E4A">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734CD92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59C2C20">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NTRK1 融合</w:t>
            </w:r>
          </w:p>
        </w:tc>
        <w:tc>
          <w:tcPr>
            <w:tcW w:w="3681" w:type="pct"/>
            <w:vMerge w:val="restart"/>
            <w:tcBorders>
              <w:top w:val="single" w:color="A4A4A4" w:sz="4" w:space="0"/>
              <w:left w:val="single" w:color="A4A4A4" w:sz="4" w:space="0"/>
              <w:bottom w:val="single" w:color="A4A4A4" w:sz="4" w:space="0"/>
              <w:right w:val="nil"/>
            </w:tcBorders>
            <w:shd w:val="clear" w:color="auto" w:fill="auto"/>
            <w:vAlign w:val="center"/>
          </w:tcPr>
          <w:p w14:paraId="4B044C1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0B1CD33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7ABD2FC">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NTRK2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239E97C3">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5D4917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0BDC53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NTRK3 融合</w:t>
            </w:r>
          </w:p>
        </w:tc>
        <w:tc>
          <w:tcPr>
            <w:tcW w:w="3681" w:type="pct"/>
            <w:vMerge w:val="continue"/>
            <w:tcBorders>
              <w:top w:val="single" w:color="A4A4A4" w:sz="4" w:space="0"/>
              <w:left w:val="single" w:color="A4A4A4" w:sz="4" w:space="0"/>
              <w:bottom w:val="single" w:color="A4A4A4" w:sz="4" w:space="0"/>
              <w:right w:val="nil"/>
            </w:tcBorders>
            <w:shd w:val="clear" w:color="auto" w:fill="auto"/>
            <w:vAlign w:val="center"/>
          </w:tcPr>
          <w:p w14:paraId="4422F532">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p>
        </w:tc>
      </w:tr>
      <w:tr w14:paraId="145399E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0C8756E9">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5BBE2FFD">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3C03D31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F071635">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ROS1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FF32067">
            <w:pPr>
              <w:widowControl/>
              <w:textAlignment w:val="cente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常见于婴儿型半球胶质瘤。治疗意义：靶向治疗靶点。</w:t>
            </w:r>
          </w:p>
        </w:tc>
      </w:tr>
      <w:tr w14:paraId="65AC617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269E05CD">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 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74911D96">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YAP1融合是幕上室管膜瘤的诊断指标。发生YAP1 融合变异的幕上室管膜瘤更具侵袭性，预后相对较差。</w:t>
            </w:r>
          </w:p>
        </w:tc>
      </w:tr>
      <w:tr w14:paraId="0616239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53538FBE">
            <w:pPr>
              <w:widowControl/>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ZFTA（C11orf95）-RELA融合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1AAF6E23">
            <w:pPr>
              <w:widowControl/>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ZFTA-RELA 基因融合是室管膜瘤亚型的关键诊断指标。发生ZFTA-RELA 融合变异的幕上室管膜瘤更具侵袭性，预后相对较差。</w:t>
            </w:r>
          </w:p>
        </w:tc>
      </w:tr>
      <w:tr w14:paraId="414BFEB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7CDF3C44">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EGFR VIII</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0733A16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在高级别胶质瘤中高频发生EGFR扩增和EGFRvIII突变，携带EGFRvIII突变的患者预后较差; EGFR扩增和vIII突变与胶质瘤预后和靶向治疗相关。</w:t>
            </w:r>
          </w:p>
        </w:tc>
      </w:tr>
      <w:tr w14:paraId="6CF840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69" w:hRule="atLeast"/>
          <w:jc w:val="center"/>
        </w:trPr>
        <w:tc>
          <w:tcPr>
            <w:tcW w:w="1318" w:type="pct"/>
            <w:tcBorders>
              <w:top w:val="single" w:color="A4A4A4" w:sz="4" w:space="0"/>
              <w:left w:val="nil"/>
              <w:bottom w:val="single" w:color="A4A4A4" w:sz="4" w:space="0"/>
              <w:right w:val="single" w:color="A4A4A4" w:sz="4" w:space="0"/>
            </w:tcBorders>
            <w:shd w:val="clear" w:color="auto" w:fill="auto"/>
            <w:vAlign w:val="center"/>
          </w:tcPr>
          <w:p w14:paraId="3D4B077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RELA融合</w:t>
            </w:r>
          </w:p>
        </w:tc>
        <w:tc>
          <w:tcPr>
            <w:tcW w:w="3681" w:type="pct"/>
            <w:tcBorders>
              <w:top w:val="single" w:color="A4A4A4" w:sz="4" w:space="0"/>
              <w:left w:val="single" w:color="A4A4A4" w:sz="4" w:space="0"/>
              <w:bottom w:val="single" w:color="A4A4A4" w:sz="4" w:space="0"/>
              <w:right w:val="nil"/>
            </w:tcBorders>
            <w:shd w:val="clear" w:color="auto" w:fill="auto"/>
            <w:vAlign w:val="center"/>
          </w:tcPr>
          <w:p w14:paraId="2E0A64F0">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根据脑胶质瘤诊疗规范（2018版）和2016年中枢神经系统肿瘤分类，幕上室管膜瘤RELA融合阳性肿瘤需要进行RELA融合的分子检测。RELA融合阳性幕上室管膜瘤具有较差的临床预后特征。</w:t>
            </w:r>
          </w:p>
        </w:tc>
      </w:tr>
      <w:tr w14:paraId="30D23B12">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DB357F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JAK1融合</w:t>
            </w:r>
          </w:p>
        </w:tc>
        <w:tc>
          <w:tcPr>
            <w:tcW w:w="3681" w:type="pct"/>
            <w:tcBorders>
              <w:top w:val="single" w:color="A4A4A4" w:sz="4" w:space="0"/>
              <w:left w:val="single" w:color="A4A4A4" w:sz="4" w:space="0"/>
              <w:bottom w:val="single" w:color="A4A4A4" w:sz="4" w:space="0"/>
            </w:tcBorders>
            <w:shd w:val="clear" w:color="auto" w:fill="auto"/>
          </w:tcPr>
          <w:p w14:paraId="38812CE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有研究表明JAK1参与的信号通路与促进缺氧期间胶质瘤干细胞样细胞的自我更新有关。</w:t>
            </w:r>
          </w:p>
        </w:tc>
      </w:tr>
      <w:tr w14:paraId="481FE4C3">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06CAE0E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JAK2融合</w:t>
            </w:r>
          </w:p>
        </w:tc>
        <w:tc>
          <w:tcPr>
            <w:tcW w:w="3681" w:type="pct"/>
            <w:tcBorders>
              <w:top w:val="single" w:color="A4A4A4" w:sz="4" w:space="0"/>
              <w:left w:val="single" w:color="A4A4A4" w:sz="4" w:space="0"/>
              <w:bottom w:val="single" w:color="A4A4A4" w:sz="4" w:space="0"/>
            </w:tcBorders>
            <w:shd w:val="clear" w:color="auto" w:fill="auto"/>
          </w:tcPr>
          <w:p w14:paraId="3300CAE7">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该基因融合和错义突变与慢性粒细胞白血病有关，有临床研究显示携带该基因融合突变的慢性粒细胞白血病患者对伊马替尼有效。</w:t>
            </w:r>
          </w:p>
        </w:tc>
      </w:tr>
      <w:tr w14:paraId="5DCF6DA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58109E18">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MYB融合</w:t>
            </w:r>
          </w:p>
        </w:tc>
        <w:tc>
          <w:tcPr>
            <w:tcW w:w="3681" w:type="pct"/>
            <w:vMerge w:val="restart"/>
            <w:tcBorders>
              <w:top w:val="single" w:color="A4A4A4" w:sz="4" w:space="0"/>
              <w:left w:val="single" w:color="A4A4A4" w:sz="4" w:space="0"/>
              <w:bottom w:val="single" w:color="A4A4A4" w:sz="4" w:space="0"/>
            </w:tcBorders>
            <w:shd w:val="clear" w:color="auto" w:fill="auto"/>
          </w:tcPr>
          <w:p w14:paraId="35F5C765">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病理类型为WHO II级的IDH野生/H3野生型弥漫胶质瘤，如果其有如下分子特征：BRAF V600E，FGFR1变异，MYB/BYBL1重排则此类患者预后较好，肿瘤较为惰性，很少向高级别进行。</w:t>
            </w:r>
          </w:p>
        </w:tc>
      </w:tr>
      <w:tr w14:paraId="1C9BA0D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714C511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MYBL1融合</w:t>
            </w:r>
          </w:p>
        </w:tc>
        <w:tc>
          <w:tcPr>
            <w:tcW w:w="3681" w:type="pct"/>
            <w:vMerge w:val="continue"/>
            <w:tcBorders>
              <w:top w:val="single" w:color="A4A4A4" w:sz="4" w:space="0"/>
              <w:left w:val="single" w:color="A4A4A4" w:sz="4" w:space="0"/>
              <w:bottom w:val="single" w:color="A4A4A4" w:sz="4" w:space="0"/>
            </w:tcBorders>
            <w:shd w:val="clear" w:color="auto" w:fill="auto"/>
          </w:tcPr>
          <w:p w14:paraId="13F13B73">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p>
        </w:tc>
      </w:tr>
      <w:tr w14:paraId="11C9CA47">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0" w:type="dxa"/>
            <w:left w:w="108" w:type="dxa"/>
            <w:bottom w:w="0" w:type="dxa"/>
            <w:right w:w="108" w:type="dxa"/>
          </w:tblCellMar>
        </w:tblPrEx>
        <w:trPr>
          <w:trHeight w:val="369" w:hRule="atLeast"/>
          <w:jc w:val="center"/>
        </w:trPr>
        <w:tc>
          <w:tcPr>
            <w:tcW w:w="0" w:type="auto"/>
            <w:tcBorders>
              <w:top w:val="single" w:color="A4A4A4" w:sz="4" w:space="0"/>
              <w:bottom w:val="single" w:color="A4A4A4" w:sz="4" w:space="0"/>
              <w:right w:val="single" w:color="A4A4A4" w:sz="4" w:space="0"/>
            </w:tcBorders>
            <w:shd w:val="clear" w:color="auto" w:fill="auto"/>
            <w:vAlign w:val="center"/>
          </w:tcPr>
          <w:p w14:paraId="6D38B8CC">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w:t>
            </w:r>
          </w:p>
        </w:tc>
        <w:tc>
          <w:tcPr>
            <w:tcW w:w="3681" w:type="pct"/>
            <w:tcBorders>
              <w:top w:val="single" w:color="A4A4A4" w:sz="4" w:space="0"/>
              <w:left w:val="single" w:color="A4A4A4" w:sz="4" w:space="0"/>
              <w:bottom w:val="single" w:color="A4A4A4" w:sz="4" w:space="0"/>
            </w:tcBorders>
            <w:shd w:val="clear" w:color="auto" w:fill="auto"/>
          </w:tcPr>
          <w:p w14:paraId="57319419">
            <w:pPr>
              <w:widowControl/>
              <w:textAlignment w:val="cente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highlight w:val="none"/>
                <w:lang w:val="en-US" w:eastAsia="zh-CN" w:bidi="ar"/>
                <w14:textFill>
                  <w14:solidFill>
                    <w14:schemeClr w14:val="tx1"/>
                  </w14:solidFill>
                </w14:textFill>
              </w:rPr>
              <w:t>MET融合和METex14在继发性母细胞中被鉴定，通常与胶质瘤差预后有关，在研究药物有PLB-1001。</w:t>
            </w:r>
          </w:p>
        </w:tc>
      </w:tr>
    </w:tbl>
    <w:p w14:paraId="0AA0123B">
      <w:pPr>
        <w:keepNext w:val="0"/>
        <w:keepLines w:val="0"/>
        <w:widowControl w:val="0"/>
        <w:suppressLineNumbers w:val="0"/>
        <w:spacing w:before="0" w:beforeAutospacing="0" w:after="0" w:afterAutospacing="0"/>
        <w:ind w:left="0" w:right="0"/>
        <w:jc w:val="left"/>
      </w:pPr>
      <w:r>
        <w:rPr>
          <w:rFonts w:ascii="Times New Roman" w:hAnsi="Times New Roman" w:eastAsia="微软雅黑" w:cs="Times New Roman"/>
          <w:sz w:val="30"/>
          <w:lang w:eastAsia="zh-CN"/>
        </w:rPr>
        <w:br w:type="page"/>
      </w:r>
      <w:r>
        <w:rPr>
          <w:rFonts w:hint="default" w:ascii="Times New Roman" w:hAnsi="Times New Roman" w:eastAsia="微软雅黑" w:cs="Times New Roman"/>
          <w:kern w:val="0"/>
          <w:sz w:val="28"/>
          <w:szCs w:val="28"/>
          <w:lang w:val="en-US" w:eastAsia="zh-CN" w:bidi="ar"/>
        </w:rPr>
        <w:t xml:space="preserve">{% </w:t>
      </w:r>
      <w:r>
        <w:rPr>
          <w:rFonts w:hint="eastAsia" w:ascii="Times New Roman" w:hAnsi="Times New Roman" w:eastAsia="微软雅黑" w:cs="Times New Roman"/>
          <w:kern w:val="0"/>
          <w:sz w:val="28"/>
          <w:szCs w:val="28"/>
          <w:lang w:val="en-US" w:eastAsia="zh-CN" w:bidi="ar"/>
        </w:rPr>
        <w:t xml:space="preserve">endif </w:t>
      </w:r>
      <w:r>
        <w:rPr>
          <w:rFonts w:hint="default" w:ascii="Times New Roman" w:hAnsi="Times New Roman" w:eastAsia="微软雅黑" w:cs="Times New Roman"/>
          <w:kern w:val="0"/>
          <w:sz w:val="28"/>
          <w:szCs w:val="28"/>
          <w:lang w:val="en-US" w:eastAsia="zh-CN" w:bidi="ar"/>
        </w:rPr>
        <w:t>%}{% if disease.</w:t>
      </w:r>
      <w:r>
        <w:rPr>
          <w:rFonts w:hint="eastAsia" w:ascii="Times New Roman" w:hAnsi="Times New Roman" w:eastAsia="微软雅黑" w:cs="黑体"/>
          <w:kern w:val="0"/>
          <w:sz w:val="28"/>
          <w:szCs w:val="28"/>
          <w:lang w:val="en-US" w:eastAsia="zh-CN" w:bidi="ar"/>
        </w:rPr>
        <w:t xml:space="preserve">Midline </w:t>
      </w:r>
      <w:r>
        <w:rPr>
          <w:rFonts w:hint="default" w:ascii="Times New Roman" w:hAnsi="Times New Roman" w:eastAsia="微软雅黑" w:cs="Times New Roman"/>
          <w:kern w:val="0"/>
          <w:sz w:val="28"/>
          <w:szCs w:val="28"/>
          <w:lang w:val="en-US" w:eastAsia="zh-CN" w:bidi="ar"/>
        </w:rPr>
        <w:t>%}</w:t>
      </w:r>
    </w:p>
    <w:p w14:paraId="309B0806">
      <w:pPr>
        <w:pStyle w:val="3"/>
        <w:numPr>
          <w:ilvl w:val="255"/>
          <w:numId w:val="0"/>
        </w:numPr>
        <w:jc w:val="left"/>
        <w:rPr>
          <w:rFonts w:hint="eastAsia"/>
          <w:color w:val="auto"/>
          <w:sz w:val="30"/>
          <w:lang w:val="en-US" w:eastAsia="zh-CN"/>
        </w:rPr>
      </w:pPr>
      <w:bookmarkStart w:id="95" w:name="_Toc12522"/>
      <w:r>
        <w:rPr>
          <w:rFonts w:hint="eastAsia"/>
          <w:color w:val="auto"/>
          <w:sz w:val="30"/>
          <w:lang w:val="en-US" w:eastAsia="zh-CN"/>
        </w:rPr>
        <w:t>中线癌相关分子标记物检测意义</w:t>
      </w:r>
      <w:bookmarkEnd w:id="95"/>
    </w:p>
    <w:p w14:paraId="5D056232">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伴睾丸核蛋白（nuclear protein in testis，NUT）基因重排的中线癌又称 NUT 癌，是一种与NUT中线癌家族成员1（NUT midline carcinoma family member 1，NUTM1）基因重排相关，罕见且具有高度侵袭性的恶性肿瘤。该病于 1991年首次被报道，随后报道的病例多见于头颈部及纵隔等人体中线结构，因此命名为中线癌。NUT癌也可发生在人体其他器官（如肺、膀胱、肾、胰腺、骨骼、鼻腔、腮腺、中枢神经系统、生殖系统、软组织等），因此世界卫生组织将中线癌更名为“NUT癌”，其可在任何年龄段发病，不同研究中位发病年龄不一致，80%以上的NUT癌患者为青少年和中青年群体，中位发病年龄多集中在18~23岁，发病年龄范围从新生儿到81岁。</w:t>
      </w:r>
    </w:p>
    <w:p w14:paraId="11B29234">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NUTMI基因位于15号染色体上，负责编码睾丸和卵巢生殖细胞中表达的NUT蛋白，染色体易位/重排导致染色体15g14上的 NUTMI 基因与各种融合伴侣基因融合，其中约70%以上的NUT癌患者中携带含溴结构域蛋白4（BRD4）融合伴侣基因，天然的NUT蛋白在细胞核表达，可在睾丸生殖细胞、卵巢、生殖细胞肿瘤和NUTM1重排肿瘤中表达。</w:t>
      </w:r>
    </w:p>
    <w:p w14:paraId="2F32D849">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NUT癌生存率与肿瘤部位及NUTM1不同融合伴侣密切相关，其中BRD4融合伴侣预后最差。CHAU等纳入124例患者的研究中指出胸部原发 NUT 癌预后相比其他部位NUT癌更差，易发生远处转移，瘤体&gt;6 cm且难以完整切除，OS仅为4.4个月，2年生存率为5%。其中，携带 BRD4：：NUTM1 融合基因的胸部NUT癌患者预后最差，未携带BRD4：：NUTM1融合基因（如BRD3：：NUTM1和NSD3：：NUTM1）的非胸部NUT癌患者预后最好，2年生存率为 64%，中位OS为36.5个月 。BRD4：：NUTM1融合的非胸部NUT癌肿瘤中位OS为10个月。头颈部NUT癌患者预后优于肺部和其他部位 NUT 癌患者（OS：16 个月 vs 6个月）。</w:t>
      </w:r>
    </w:p>
    <w:p w14:paraId="4AA0A7B0">
      <w:pPr>
        <w:spacing w:line="276" w:lineRule="auto"/>
        <w:ind w:firstLine="420" w:firstLineChars="200"/>
        <w:jc w:val="both"/>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t>中线（NUT）癌诊断与治疗专家共识（2023版）表明NUT癌的临床表现、组织病理学及常规IHC特征均不具有特异性，因此特异性NUT抗体进行IHC对NUT癌的诊断显得十分重要。对初诊伴有快速进展或远处转移的低分化癌尤其是小圆细胞肿瘤的患者建议积极考虑进行NUT免疫组织化学检查（证据级别：4级；推荐等级：强推荐），考虑加做高通量测序明确 NUTM1 融合伴侣类型（如 BRD4、BRD3、NSD3等）（证据级别：5级；推荐等级：强推荐）。</w:t>
      </w:r>
    </w:p>
    <w:p w14:paraId="6A9976EB">
      <w:pPr>
        <w:rPr>
          <w:rFonts w:hint="default" w:ascii="Times New Roman" w:hAnsi="Times New Roman" w:cs="Times New Roman"/>
          <w:sz w:val="24"/>
          <w:szCs w:val="24"/>
          <w:lang w:val="en-US" w:eastAsia="zh-CN"/>
        </w:rPr>
      </w:pPr>
      <w:r>
        <w:rPr>
          <w:rFonts w:hint="eastAsia" w:ascii="Times New Roman" w:hAnsi="Times New Roman" w:eastAsia="微软雅黑" w:cs="Times New Roman"/>
          <w:bCs/>
          <w:sz w:val="21"/>
          <w:szCs w:val="21"/>
          <w:lang w:val="en-US" w:eastAsia="zh-CN"/>
        </w:rPr>
        <w:br w:type="page"/>
      </w:r>
      <w:r>
        <w:rPr>
          <w:rFonts w:hint="default" w:ascii="Times New Roman" w:hAnsi="Times New Roman" w:cs="Times New Roman"/>
          <w:sz w:val="24"/>
          <w:szCs w:val="24"/>
          <w:lang w:val="en-US" w:eastAsia="zh-CN"/>
        </w:rPr>
        <w:t>{% endif %}{%</w:t>
      </w:r>
      <w:r>
        <w:rPr>
          <w:rFonts w:hint="eastAsia" w:ascii="Times New Roman" w:hAnsi="Times New Roman" w:cs="Times New Roman"/>
          <w:sz w:val="24"/>
          <w:szCs w:val="24"/>
          <w:lang w:val="en-US" w:eastAsia="zh-CN"/>
        </w:rPr>
        <w:t xml:space="preserve"> </w:t>
      </w:r>
      <w:r>
        <w:rPr>
          <w:rFonts w:hint="default" w:ascii="Times New Roman" w:hAnsi="Times New Roman" w:cs="Times New Roman"/>
          <w:sz w:val="24"/>
          <w:szCs w:val="24"/>
          <w:lang w:val="en-US" w:eastAsia="zh-CN"/>
        </w:rPr>
        <w:t>if disease.</w:t>
      </w:r>
      <w:r>
        <w:rPr>
          <w:rFonts w:hint="eastAsia" w:ascii="Times New Roman" w:hAnsi="Times New Roman" w:cs="Times New Roman"/>
          <w:sz w:val="24"/>
          <w:szCs w:val="24"/>
          <w:lang w:val="en-US" w:eastAsia="zh-CN"/>
        </w:rPr>
        <w:t>KidneyFlag</w:t>
      </w:r>
      <w:r>
        <w:rPr>
          <w:rFonts w:hint="default" w:ascii="Times New Roman" w:hAnsi="Times New Roman" w:cs="Times New Roman"/>
          <w:sz w:val="24"/>
          <w:szCs w:val="24"/>
          <w:lang w:val="en-US" w:eastAsia="zh-CN"/>
        </w:rPr>
        <w:t xml:space="preserve"> %}</w:t>
      </w:r>
    </w:p>
    <w:p w14:paraId="7B9F1C02">
      <w:pPr>
        <w:pStyle w:val="3"/>
        <w:numPr>
          <w:ilvl w:val="255"/>
          <w:numId w:val="0"/>
        </w:numPr>
        <w:jc w:val="left"/>
        <w:rPr>
          <w:rFonts w:hint="default"/>
          <w:color w:val="auto"/>
          <w:sz w:val="30"/>
          <w:lang w:val="en-US" w:eastAsia="zh-CN"/>
        </w:rPr>
      </w:pPr>
      <w:bookmarkStart w:id="96" w:name="_Toc19525"/>
      <w:r>
        <w:rPr>
          <w:rFonts w:hint="eastAsia"/>
          <w:color w:val="auto"/>
          <w:sz w:val="30"/>
          <w:lang w:val="en-US" w:eastAsia="zh-CN"/>
        </w:rPr>
        <w:t>分子定义的肾细胞癌的形态学和分子特征</w:t>
      </w:r>
      <w:bookmarkEnd w:id="96"/>
    </w:p>
    <w:p w14:paraId="4DB8042F">
      <w:pPr>
        <w:numPr>
          <w:ilvl w:val="0"/>
          <w:numId w:val="11"/>
        </w:numPr>
        <w:rPr>
          <w:rFonts w:hint="eastAsia" w:ascii="Times New Roman" w:hAnsi="Times New Roman" w:eastAsia="微软雅黑" w:cs="Times New Roman"/>
          <w:sz w:val="21"/>
          <w:szCs w:val="21"/>
          <w:lang w:val="en-US" w:eastAsia="zh-CN"/>
        </w:rPr>
      </w:pPr>
      <w:r>
        <w:rPr>
          <w:rFonts w:hint="eastAsia" w:ascii="Times New Roman" w:hAnsi="Times New Roman" w:eastAsia="微软雅黑" w:cs="Times New Roman"/>
          <w:sz w:val="21"/>
          <w:szCs w:val="21"/>
          <w:lang w:eastAsia="zh-Hans"/>
        </w:rPr>
        <w:t>本部分内容参考：WHO</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szCs w:val="21"/>
          <w:lang w:eastAsia="zh-Hans"/>
        </w:rPr>
        <w:t>泌尿和男性生殖系统肿瘤分类</w:t>
      </w:r>
      <w:r>
        <w:rPr>
          <w:rFonts w:hint="eastAsia"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Hans"/>
        </w:rPr>
        <w:t>中分子定义的肾细胞癌</w:t>
      </w:r>
    </w:p>
    <w:tbl>
      <w:tblPr>
        <w:tblStyle w:val="15"/>
        <w:tblpPr w:leftFromText="180" w:rightFromText="180" w:vertAnchor="text" w:horzAnchor="page" w:tblpXSpec="center" w:tblpY="97"/>
        <w:tblOverlap w:val="never"/>
        <w:tblW w:w="9658"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45"/>
        <w:gridCol w:w="2750"/>
        <w:gridCol w:w="2510"/>
        <w:gridCol w:w="2953"/>
      </w:tblGrid>
      <w:tr w14:paraId="7BFB4152">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45" w:type="dxa"/>
            <w:tcBorders>
              <w:top w:val="nil"/>
              <w:right w:val="single" w:color="FFFFFF" w:themeColor="background1" w:sz="12" w:space="0"/>
            </w:tcBorders>
            <w:shd w:val="clear" w:color="auto" w:fill="62B541"/>
            <w:noWrap/>
            <w:vAlign w:val="center"/>
          </w:tcPr>
          <w:p w14:paraId="4A1D2C8F">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分类</w:t>
            </w:r>
          </w:p>
        </w:tc>
        <w:tc>
          <w:tcPr>
            <w:tcW w:w="2750" w:type="dxa"/>
            <w:tcBorders>
              <w:top w:val="nil"/>
              <w:left w:val="single" w:color="FFFFFF" w:themeColor="background1" w:sz="12" w:space="0"/>
              <w:right w:val="single" w:color="FFFFFF" w:themeColor="background1" w:sz="12" w:space="0"/>
            </w:tcBorders>
            <w:shd w:val="clear" w:color="auto" w:fill="62B541"/>
            <w:noWrap/>
            <w:vAlign w:val="center"/>
          </w:tcPr>
          <w:p w14:paraId="7A1DC14C">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形态学特征</w:t>
            </w:r>
          </w:p>
        </w:tc>
        <w:tc>
          <w:tcPr>
            <w:tcW w:w="2510" w:type="dxa"/>
            <w:tcBorders>
              <w:top w:val="nil"/>
              <w:left w:val="single" w:color="FFFFFF" w:themeColor="background1" w:sz="12" w:space="0"/>
              <w:right w:val="single" w:color="FFFFFF" w:themeColor="background1" w:sz="12" w:space="0"/>
            </w:tcBorders>
            <w:shd w:val="clear" w:color="auto" w:fill="62B541"/>
            <w:noWrap/>
            <w:vAlign w:val="center"/>
          </w:tcPr>
          <w:p w14:paraId="4DE14937">
            <w:pPr>
              <w:keepNext w:val="0"/>
              <w:keepLines w:val="0"/>
              <w:widowControl/>
              <w:suppressLineNumbers w:val="0"/>
              <w:jc w:val="center"/>
              <w:textAlignment w:val="center"/>
              <w:rPr>
                <w:rFonts w:ascii="Times New Roman" w:hAnsi="Times New Roman" w:cs="Times New Roman"/>
                <w:b/>
                <w:bCs/>
                <w:i/>
                <w:iCs/>
                <w:color w:val="FFFFFF" w:themeColor="background1"/>
                <w:sz w:val="18"/>
                <w:szCs w:val="18"/>
                <w:lang w:eastAsia="zh-CN" w:bidi="ar"/>
                <w14:textFill>
                  <w14:solidFill>
                    <w14:schemeClr w14:val="bg1"/>
                  </w14:solidFill>
                </w14:textFill>
              </w:rPr>
            </w:pPr>
            <w: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t>分子特征</w:t>
            </w:r>
          </w:p>
        </w:tc>
        <w:tc>
          <w:tcPr>
            <w:tcW w:w="2953" w:type="dxa"/>
            <w:tcBorders>
              <w:top w:val="nil"/>
              <w:left w:val="single" w:color="FFFFFF" w:themeColor="background1" w:sz="12" w:space="0"/>
            </w:tcBorders>
            <w:shd w:val="clear" w:color="auto" w:fill="62B541"/>
            <w:noWrap/>
            <w:vAlign w:val="center"/>
          </w:tcPr>
          <w:p w14:paraId="4F9E20B2">
            <w:pPr>
              <w:keepNext w:val="0"/>
              <w:keepLines w:val="0"/>
              <w:widowControl/>
              <w:suppressLineNumbers w:val="0"/>
              <w:jc w:val="center"/>
              <w:textAlignment w:val="center"/>
              <w:rPr>
                <w:rFonts w:hint="default" w:ascii="Arial" w:hAnsi="Arial" w:eastAsia="宋体" w:cs="Arial"/>
                <w:b/>
                <w:bCs/>
                <w:i w:val="0"/>
                <w:iCs w:val="0"/>
                <w:color w:val="FFFFFF" w:themeColor="background1"/>
                <w:kern w:val="0"/>
                <w:sz w:val="20"/>
                <w:szCs w:val="20"/>
                <w:u w:val="none"/>
                <w:lang w:val="en-US" w:eastAsia="zh-CN" w:bidi="ar"/>
                <w14:textFill>
                  <w14:solidFill>
                    <w14:schemeClr w14:val="bg1"/>
                  </w14:solidFill>
                </w14:textFill>
              </w:rPr>
            </w:pPr>
            <w:r>
              <w:rPr>
                <w:rFonts w:hint="eastAsia" w:ascii="Arial" w:hAnsi="Arial" w:cs="Arial"/>
                <w:b/>
                <w:bCs/>
                <w:i w:val="0"/>
                <w:iCs w:val="0"/>
                <w:color w:val="FFFFFF" w:themeColor="background1"/>
                <w:kern w:val="0"/>
                <w:sz w:val="20"/>
                <w:szCs w:val="20"/>
                <w:u w:val="none"/>
                <w:lang w:val="en-US" w:eastAsia="zh-CN" w:bidi="ar"/>
                <w14:textFill>
                  <w14:solidFill>
                    <w14:schemeClr w14:val="bg1"/>
                  </w14:solidFill>
                </w14:textFill>
              </w:rPr>
              <w:t>临床意义</w:t>
            </w:r>
          </w:p>
        </w:tc>
      </w:tr>
      <w:tr w14:paraId="36CD0FE8">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F9DE26B">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w:t>
            </w:r>
          </w:p>
        </w:tc>
        <w:tc>
          <w:tcPr>
            <w:tcW w:w="2750" w:type="dxa"/>
            <w:tcBorders>
              <w:tl2br w:val="nil"/>
              <w:tr2bl w:val="nil"/>
            </w:tcBorders>
            <w:shd w:val="clear" w:color="auto" w:fill="auto"/>
            <w:noWrap/>
            <w:vAlign w:val="center"/>
          </w:tcPr>
          <w:p w14:paraId="3AF470BA">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胞质丰富的透明或嗜酸细胞、乳头状结构、砂砾体</w:t>
            </w:r>
          </w:p>
        </w:tc>
        <w:tc>
          <w:tcPr>
            <w:tcW w:w="2510" w:type="dxa"/>
            <w:tcBorders>
              <w:tl2br w:val="nil"/>
              <w:tr2bl w:val="nil"/>
            </w:tcBorders>
            <w:shd w:val="clear" w:color="auto" w:fill="auto"/>
            <w:noWrap/>
            <w:vAlign w:val="center"/>
          </w:tcPr>
          <w:p w14:paraId="00488B49">
            <w:pPr>
              <w:widowControl/>
              <w:jc w:val="both"/>
              <w:textAlignment w:val="cente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最常见</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TFE3、PRCC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 TFE3、SFPQ</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w:t>
            </w:r>
          </w:p>
        </w:tc>
        <w:tc>
          <w:tcPr>
            <w:tcW w:w="2953" w:type="dxa"/>
            <w:tcBorders>
              <w:tl2br w:val="nil"/>
              <w:tr2bl w:val="nil"/>
            </w:tcBorders>
            <w:shd w:val="clear" w:color="auto" w:fill="auto"/>
            <w:noWrap/>
            <w:vAlign w:val="center"/>
          </w:tcPr>
          <w:p w14:paraId="02E08CDB">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TFE3重排肾细胞癌预后与透明细胞肾细胞癌相似</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年龄大和分期晚是最重要的预后不良因素</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不同融合亚型的预后存在一定的差别</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ASPSCR1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融合通常比PRCC</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TFE3融合分期晚、更易发生淋巴结转移和远处转移</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 xml:space="preserve">MED15 </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TFE3 融合主要表现为多房囊性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预后较好。</w:t>
            </w:r>
          </w:p>
        </w:tc>
      </w:tr>
      <w:tr w14:paraId="4D8BC23E">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1" w:hRule="atLeast"/>
          <w:jc w:val="center"/>
        </w:trPr>
        <w:tc>
          <w:tcPr>
            <w:tcW w:w="1445" w:type="dxa"/>
            <w:tcBorders>
              <w:tl2br w:val="nil"/>
              <w:tr2bl w:val="nil"/>
            </w:tcBorders>
            <w:shd w:val="clear" w:color="auto" w:fill="auto"/>
            <w:noWrap/>
            <w:vAlign w:val="center"/>
          </w:tcPr>
          <w:p w14:paraId="260677DD">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w:t>
            </w:r>
          </w:p>
        </w:tc>
        <w:tc>
          <w:tcPr>
            <w:tcW w:w="2750" w:type="dxa"/>
            <w:tcBorders>
              <w:tl2br w:val="nil"/>
              <w:tr2bl w:val="nil"/>
            </w:tcBorders>
            <w:shd w:val="clear" w:color="auto" w:fill="auto"/>
            <w:noWrap/>
            <w:vAlign w:val="center"/>
          </w:tcPr>
          <w:p w14:paraId="6A224333">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双相结构，周围为大的上皮样细胞（胞质透 亮或嗜酸）、中央为围绕基膜样物的小细胞簇</w:t>
            </w:r>
          </w:p>
        </w:tc>
        <w:tc>
          <w:tcPr>
            <w:tcW w:w="2510" w:type="dxa"/>
            <w:tcBorders>
              <w:tl2br w:val="nil"/>
              <w:tr2bl w:val="nil"/>
            </w:tcBorders>
            <w:shd w:val="clear" w:color="auto" w:fill="auto"/>
            <w:noWrap/>
            <w:vAlign w:val="center"/>
          </w:tcPr>
          <w:p w14:paraId="20CE7ED1">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大部分为 MALATI</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 融合</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，（TFEB的伴侣基因除了最常见的MALAT1，还有 ACTBEWSR1、CLTC、CADM2、KHDRBS2、COL21A1、PPP1R10、NEAT-1）</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部分为TFEB扩增</w:t>
            </w:r>
          </w:p>
        </w:tc>
        <w:tc>
          <w:tcPr>
            <w:tcW w:w="2953" w:type="dxa"/>
            <w:tcBorders>
              <w:tl2br w:val="nil"/>
              <w:tr2bl w:val="nil"/>
            </w:tcBorders>
            <w:shd w:val="clear" w:color="auto" w:fill="auto"/>
            <w:noWrap/>
            <w:vAlign w:val="center"/>
          </w:tcPr>
          <w:p w14:paraId="65DC51E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绝大多数TFEB重排肾细胞癌预后较好</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存在肿瘤性坏死提示预后较差</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而TFEB扩增肾细胞癌更具有侵袭性</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分期晚、易发生转移。TFEB扩增同时常伴有 VEGFA扩增</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TFEB改变肾细胞癌常高表达PD-L1</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这类肿瘤可能从抗血管生成治疗和免疫抑制治疗中获益</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w:t>
            </w:r>
          </w:p>
        </w:tc>
      </w:tr>
      <w:tr w14:paraId="3547A083">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77" w:hRule="atLeast"/>
          <w:jc w:val="center"/>
        </w:trPr>
        <w:tc>
          <w:tcPr>
            <w:tcW w:w="1445" w:type="dxa"/>
            <w:tcBorders>
              <w:bottom w:val="single" w:color="A4A4A4" w:sz="4" w:space="0"/>
            </w:tcBorders>
            <w:shd w:val="clear" w:color="auto" w:fill="auto"/>
            <w:noWrap/>
            <w:vAlign w:val="center"/>
          </w:tcPr>
          <w:p w14:paraId="7D508F67">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ALK重排肾细胞癌</w:t>
            </w:r>
          </w:p>
        </w:tc>
        <w:tc>
          <w:tcPr>
            <w:tcW w:w="2750" w:type="dxa"/>
            <w:tcBorders>
              <w:bottom w:val="single" w:color="A4A4A4" w:sz="4" w:space="0"/>
            </w:tcBorders>
            <w:shd w:val="clear" w:color="auto" w:fill="auto"/>
            <w:noWrap/>
            <w:vAlign w:val="center"/>
          </w:tcPr>
          <w:p w14:paraId="7972DA02">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乳头状、筛状、实性、管状、管囊状、梁状、条 索状排列；可见细胞内黏液或细胞外黏液样 基质，砂砾体钙化，横纹肌样细胞，淋巴浆细胞浸润</w:t>
            </w:r>
          </w:p>
        </w:tc>
        <w:tc>
          <w:tcPr>
            <w:tcW w:w="2510" w:type="dxa"/>
            <w:tcBorders>
              <w:bottom w:val="single" w:color="A4A4A4" w:sz="4" w:space="0"/>
            </w:tcBorders>
            <w:shd w:val="clear" w:color="auto" w:fill="auto"/>
            <w:noWrap/>
            <w:vAlign w:val="center"/>
          </w:tcPr>
          <w:p w14:paraId="4DD0C7A4">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PAX8、ALK（弥漫胞质或胞膜+）、VCL和非 VCL融合（最常见 EML4、TMP3、STRN等)</w:t>
            </w:r>
          </w:p>
        </w:tc>
        <w:tc>
          <w:tcPr>
            <w:tcW w:w="2953" w:type="dxa"/>
            <w:tcBorders>
              <w:bottom w:val="single" w:color="A4A4A4" w:sz="4" w:space="0"/>
            </w:tcBorders>
            <w:shd w:val="clear" w:color="auto" w:fill="auto"/>
            <w:noWrap/>
            <w:vAlign w:val="center"/>
          </w:tcPr>
          <w:p w14:paraId="291D2DA0">
            <w:pPr>
              <w:widowControl/>
              <w:jc w:val="both"/>
              <w:textAlignment w:val="cente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约</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25</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％的</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重排肾细胞癌患者可出现肿瘤复发转移和与之相关的死亡，</w:t>
            </w:r>
            <w:r>
              <w:rPr>
                <w:rFonts w:hint="eastAsia" w:ascii="Times New Roman" w:hAnsi="Times New Roman" w:eastAsia="微软雅黑" w:cs="Times New Roman"/>
                <w:color w:val="000000" w:themeColor="text1"/>
                <w:sz w:val="18"/>
                <w:szCs w:val="18"/>
                <w:lang w:val="en-US" w:eastAsia="zh-CN" w:bidi="ar"/>
                <w14:textFill>
                  <w14:solidFill>
                    <w14:schemeClr w14:val="tx1"/>
                  </w14:solidFill>
                </w14:textFill>
              </w:rPr>
              <w:t>ALK</w:t>
            </w: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抑制剂已经在部分患者的治疗中显示出明显的有效性。</w:t>
            </w:r>
          </w:p>
        </w:tc>
      </w:tr>
    </w:tbl>
    <w:p w14:paraId="1D324E8B">
      <w:pPr>
        <w:rPr>
          <w:rFonts w:hint="eastAsia" w:ascii="Times New Roman" w:hAnsi="Times New Roman" w:eastAsia="微软雅黑" w:cs="Times New Roman"/>
          <w:bCs/>
          <w:sz w:val="21"/>
          <w:szCs w:val="21"/>
          <w:lang w:val="en-US" w:eastAsia="zh-CN"/>
        </w:rPr>
      </w:pPr>
      <w:r>
        <w:rPr>
          <w:rFonts w:hint="eastAsia" w:ascii="Times New Roman" w:hAnsi="Times New Roman" w:eastAsia="微软雅黑" w:cs="Times New Roman"/>
          <w:bCs/>
          <w:sz w:val="21"/>
          <w:szCs w:val="21"/>
          <w:lang w:val="en-US" w:eastAsia="zh-CN"/>
        </w:rPr>
        <w:br w:type="page"/>
      </w:r>
    </w:p>
    <w:p w14:paraId="00FA72CE">
      <w:pPr>
        <w:outlineLvl w:val="9"/>
        <w:rPr>
          <w:rFonts w:hint="eastAsia" w:ascii="Times New Roman" w:hAnsi="Times New Roman"/>
          <w:sz w:val="21"/>
          <w:szCs w:val="21"/>
          <w:lang w:val="en-US" w:eastAsia="zh-CN"/>
        </w:rPr>
      </w:pPr>
      <w:r>
        <w:rPr>
          <w:rFonts w:hint="eastAsia" w:ascii="Times New Roman" w:hAnsi="Times New Roman"/>
          <w:sz w:val="21"/>
          <w:szCs w:val="21"/>
          <w:lang w:val="en-US" w:eastAsia="zh-CN"/>
        </w:rPr>
        <w:t>{% endif %}</w:t>
      </w:r>
      <w:r>
        <w:rPr>
          <w:rFonts w:hint="eastAsia" w:ascii="Times New Roman" w:hAnsi="Times New Roman" w:cs="Times New Roman"/>
          <w:b/>
          <w:bCs/>
          <w:sz w:val="21"/>
          <w:szCs w:val="21"/>
          <w:lang w:val="en-US" w:eastAsia="zh-CN"/>
        </w:rPr>
        <w:t>{% if disease.Sarcoma %}</w:t>
      </w:r>
    </w:p>
    <w:p w14:paraId="695BFCA8">
      <w:pPr>
        <w:pStyle w:val="3"/>
        <w:numPr>
          <w:ilvl w:val="255"/>
          <w:numId w:val="0"/>
        </w:numPr>
        <w:jc w:val="left"/>
        <w:rPr>
          <w:rFonts w:hint="eastAsia"/>
          <w:color w:val="auto"/>
          <w:sz w:val="30"/>
          <w:lang w:val="en-US" w:eastAsia="zh-CN"/>
        </w:rPr>
      </w:pPr>
      <w:bookmarkStart w:id="97" w:name="_Toc26621"/>
      <w:bookmarkStart w:id="98" w:name="_Toc19457"/>
      <w:r>
        <w:rPr>
          <w:rFonts w:hint="eastAsia"/>
          <w:color w:val="auto"/>
          <w:sz w:val="30"/>
          <w:lang w:val="en-US" w:eastAsia="zh-CN"/>
        </w:rPr>
        <w:t>常见肉瘤分型相关基因变异</w:t>
      </w:r>
      <w:bookmarkEnd w:id="97"/>
      <w:bookmarkEnd w:id="98"/>
    </w:p>
    <w:p w14:paraId="1988D020">
      <w:pPr>
        <w:numPr>
          <w:ilvl w:val="0"/>
          <w:numId w:val="11"/>
        </w:numPr>
        <w:rPr>
          <w:rFonts w:ascii="Times New Roman" w:hAnsi="Times New Roman" w:eastAsia="微软雅黑" w:cs="Times New Roman"/>
          <w:color w:val="000000"/>
          <w:sz w:val="21"/>
          <w:szCs w:val="21"/>
          <w:lang w:eastAsia="zh-Hans" w:bidi="ar"/>
        </w:rPr>
      </w:pPr>
      <w:r>
        <w:rPr>
          <w:rFonts w:ascii="Times New Roman" w:hAnsi="Times New Roman" w:eastAsia="微软雅黑" w:cs="Times New Roman"/>
          <w:sz w:val="21"/>
          <w:szCs w:val="21"/>
          <w:lang w:eastAsia="zh-Hans"/>
        </w:rPr>
        <w:t>本部分内容参考：WHO-软组织与骨肿瘤指南</w:t>
      </w:r>
    </w:p>
    <w:tbl>
      <w:tblPr>
        <w:tblStyle w:val="15"/>
        <w:tblW w:w="997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8"/>
        <w:gridCol w:w="4888"/>
      </w:tblGrid>
      <w:tr w14:paraId="041CF97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340" w:hRule="atLeast"/>
          <w:tblHeader/>
          <w:jc w:val="center"/>
        </w:trPr>
        <w:tc>
          <w:tcPr>
            <w:tcW w:w="5088" w:type="dxa"/>
            <w:tcBorders>
              <w:top w:val="nil"/>
              <w:bottom w:val="nil"/>
              <w:right w:val="single" w:color="FFFFFF" w:sz="18" w:space="0"/>
            </w:tcBorders>
            <w:shd w:val="clear" w:color="auto" w:fill="62B541"/>
            <w:vAlign w:val="center"/>
          </w:tcPr>
          <w:p w14:paraId="1C6C0B72">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4888" w:type="dxa"/>
            <w:tcBorders>
              <w:top w:val="nil"/>
              <w:left w:val="single" w:color="FFFFFF" w:sz="18" w:space="0"/>
              <w:bottom w:val="nil"/>
            </w:tcBorders>
            <w:shd w:val="clear" w:color="auto" w:fill="62B541"/>
            <w:vAlign w:val="center"/>
          </w:tcPr>
          <w:p w14:paraId="7610F298">
            <w:pPr>
              <w:widowControl/>
              <w:jc w:val="center"/>
              <w:textAlignment w:val="bottom"/>
              <w:rPr>
                <w:rFonts w:ascii="Times New Roman" w:hAnsi="Times New Roman" w:eastAsia="微软雅黑" w:cs="Times New Roman"/>
                <w:b/>
                <w:color w:val="FFFFFF" w:themeColor="background1"/>
                <w:sz w:val="21"/>
                <w:szCs w:val="21"/>
                <w:lang w:eastAsia="zh-CN" w:bidi="ar"/>
                <w14:textFill>
                  <w14:solidFill>
                    <w14:schemeClr w14:val="bg1"/>
                  </w14:solidFill>
                </w14:textFill>
              </w:rPr>
            </w:pPr>
            <w:r>
              <w:rPr>
                <w:rFonts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28C5D76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op w:val="nil"/>
              <w:tl2br w:val="nil"/>
              <w:tr2bl w:val="nil"/>
            </w:tcBorders>
            <w:shd w:val="clear" w:color="auto" w:fill="auto"/>
            <w:vAlign w:val="center"/>
          </w:tcPr>
          <w:p w14:paraId="62FDB6B0">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脂肪母细胞瘤和脂肪母细胞瘤病</w:t>
            </w:r>
          </w:p>
        </w:tc>
        <w:tc>
          <w:tcPr>
            <w:tcW w:w="4888" w:type="dxa"/>
            <w:tcBorders>
              <w:top w:val="nil"/>
              <w:tl2br w:val="nil"/>
              <w:tr2bl w:val="nil"/>
            </w:tcBorders>
            <w:shd w:val="clear" w:color="auto" w:fill="auto"/>
            <w:noWrap/>
            <w:vAlign w:val="center"/>
          </w:tcPr>
          <w:p w14:paraId="218677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HAS2-PLAG1</w:t>
            </w:r>
          </w:p>
        </w:tc>
      </w:tr>
      <w:tr w14:paraId="44D51E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AF42C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9EDC6D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COL1A2-PLAG1</w:t>
            </w:r>
          </w:p>
        </w:tc>
      </w:tr>
      <w:tr w14:paraId="12DA66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DB0B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2B622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RAD51B-PLAG1</w:t>
            </w:r>
          </w:p>
        </w:tc>
      </w:tr>
      <w:tr w14:paraId="019A43E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77125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8E884F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COL3A1-PLAG1</w:t>
            </w:r>
          </w:p>
        </w:tc>
      </w:tr>
      <w:tr w14:paraId="76094B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9BC4E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A5D6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RAB2A-PLAG1</w:t>
            </w:r>
          </w:p>
        </w:tc>
      </w:tr>
      <w:tr w14:paraId="28B77D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D005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1A4674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BOC-PLAG1</w:t>
            </w:r>
          </w:p>
        </w:tc>
      </w:tr>
      <w:tr w14:paraId="51E0D10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B246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黏液样脂肪肉瘤</w:t>
            </w:r>
          </w:p>
        </w:tc>
        <w:tc>
          <w:tcPr>
            <w:tcW w:w="4888" w:type="dxa"/>
            <w:tcBorders>
              <w:tl2br w:val="nil"/>
              <w:tr2bl w:val="nil"/>
            </w:tcBorders>
            <w:shd w:val="clear" w:color="auto" w:fill="auto"/>
            <w:noWrap/>
            <w:vAlign w:val="center"/>
          </w:tcPr>
          <w:p w14:paraId="7ADC23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FUS-DDIT3</w:t>
            </w:r>
          </w:p>
        </w:tc>
      </w:tr>
      <w:tr w14:paraId="28404E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5C5B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526E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EWSR1-DDIT3</w:t>
            </w:r>
          </w:p>
        </w:tc>
      </w:tr>
      <w:tr w14:paraId="52D01E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AC1CB7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结节性筋膜炎</w:t>
            </w:r>
          </w:p>
        </w:tc>
        <w:tc>
          <w:tcPr>
            <w:tcW w:w="4888" w:type="dxa"/>
            <w:tcBorders>
              <w:tl2br w:val="nil"/>
              <w:tr2bl w:val="nil"/>
            </w:tcBorders>
            <w:shd w:val="clear" w:color="auto" w:fill="auto"/>
            <w:noWrap/>
            <w:vAlign w:val="center"/>
          </w:tcPr>
          <w:p w14:paraId="1F0AE1B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MYH9-USP6</w:t>
            </w:r>
          </w:p>
        </w:tc>
      </w:tr>
      <w:tr w14:paraId="256AA8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32F75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C679F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PPP6R3-USP6</w:t>
            </w:r>
          </w:p>
        </w:tc>
      </w:tr>
      <w:tr w14:paraId="365957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576F61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骨化性肌炎和指趾纤维骨性假瘤</w:t>
            </w:r>
          </w:p>
        </w:tc>
        <w:tc>
          <w:tcPr>
            <w:tcW w:w="4888" w:type="dxa"/>
            <w:tcBorders>
              <w:tl2br w:val="nil"/>
              <w:tr2bl w:val="nil"/>
            </w:tcBorders>
            <w:shd w:val="clear" w:color="auto" w:fill="auto"/>
            <w:noWrap/>
            <w:vAlign w:val="center"/>
          </w:tcPr>
          <w:p w14:paraId="20EC3B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USP6 重排</w:t>
            </w:r>
          </w:p>
        </w:tc>
      </w:tr>
      <w:tr w14:paraId="4FE91A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0F79FD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钙化性腱膜纤维瘤</w:t>
            </w:r>
          </w:p>
        </w:tc>
        <w:tc>
          <w:tcPr>
            <w:tcW w:w="4888" w:type="dxa"/>
            <w:tcBorders>
              <w:tl2br w:val="nil"/>
              <w:tr2bl w:val="nil"/>
            </w:tcBorders>
            <w:shd w:val="clear" w:color="auto" w:fill="auto"/>
            <w:noWrap/>
            <w:vAlign w:val="center"/>
          </w:tcPr>
          <w:p w14:paraId="58BF122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FN1-EGF</w:t>
            </w:r>
          </w:p>
        </w:tc>
      </w:tr>
      <w:tr w14:paraId="2C08EA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00B2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EWSR1-SMAD3阳性纤维母细胞瘤</w:t>
            </w:r>
          </w:p>
        </w:tc>
        <w:tc>
          <w:tcPr>
            <w:tcW w:w="4888" w:type="dxa"/>
            <w:tcBorders>
              <w:tl2br w:val="nil"/>
              <w:tr2bl w:val="nil"/>
            </w:tcBorders>
            <w:shd w:val="clear" w:color="auto" w:fill="auto"/>
            <w:noWrap/>
            <w:vAlign w:val="center"/>
          </w:tcPr>
          <w:p w14:paraId="17EA26C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EWSR1-SMAD3</w:t>
            </w:r>
          </w:p>
        </w:tc>
      </w:tr>
      <w:tr w14:paraId="6589BF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687C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软组织血管纤维瘤</w:t>
            </w:r>
          </w:p>
        </w:tc>
        <w:tc>
          <w:tcPr>
            <w:tcW w:w="4888" w:type="dxa"/>
            <w:tcBorders>
              <w:tl2br w:val="nil"/>
              <w:tr2bl w:val="nil"/>
            </w:tcBorders>
            <w:shd w:val="clear" w:color="auto" w:fill="auto"/>
            <w:noWrap/>
            <w:vAlign w:val="center"/>
          </w:tcPr>
          <w:p w14:paraId="5AEE403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AHRR-NCOA2</w:t>
            </w:r>
          </w:p>
        </w:tc>
      </w:tr>
      <w:tr w14:paraId="7F2A1C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910029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56C4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GTF2I-NCOA2</w:t>
            </w:r>
          </w:p>
        </w:tc>
      </w:tr>
      <w:tr w14:paraId="6E1616C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3259B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巨细胞成纤维细胞瘤</w:t>
            </w:r>
          </w:p>
        </w:tc>
        <w:tc>
          <w:tcPr>
            <w:tcW w:w="4888" w:type="dxa"/>
            <w:tcBorders>
              <w:tl2br w:val="nil"/>
              <w:tr2bl w:val="nil"/>
            </w:tcBorders>
            <w:shd w:val="clear" w:color="auto" w:fill="auto"/>
            <w:noWrap/>
            <w:vAlign w:val="center"/>
          </w:tcPr>
          <w:p w14:paraId="4571FF3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43B8B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34B78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隆突性皮肤纤维肉瘤</w:t>
            </w:r>
          </w:p>
        </w:tc>
        <w:tc>
          <w:tcPr>
            <w:tcW w:w="4888" w:type="dxa"/>
            <w:tcBorders>
              <w:tl2br w:val="nil"/>
              <w:tr2bl w:val="nil"/>
            </w:tcBorders>
            <w:shd w:val="clear" w:color="auto" w:fill="auto"/>
            <w:noWrap/>
            <w:vAlign w:val="center"/>
          </w:tcPr>
          <w:p w14:paraId="4A6835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COL1A1-PDGFB</w:t>
            </w:r>
          </w:p>
        </w:tc>
      </w:tr>
      <w:tr w14:paraId="283B99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E9E18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41FDFD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COL6A3-PDGFD</w:t>
            </w:r>
          </w:p>
        </w:tc>
      </w:tr>
      <w:tr w14:paraId="021070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AAFBD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B1A03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EMILIN2-PDGFD</w:t>
            </w:r>
          </w:p>
        </w:tc>
      </w:tr>
      <w:tr w14:paraId="39F9A1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47C8A9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孤立性纤维性肿瘤</w:t>
            </w:r>
          </w:p>
        </w:tc>
        <w:tc>
          <w:tcPr>
            <w:tcW w:w="4888" w:type="dxa"/>
            <w:tcBorders>
              <w:tl2br w:val="nil"/>
              <w:tr2bl w:val="nil"/>
            </w:tcBorders>
            <w:shd w:val="clear" w:color="auto" w:fill="auto"/>
            <w:noWrap/>
            <w:vAlign w:val="center"/>
          </w:tcPr>
          <w:p w14:paraId="22337F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NAB2-STAT6</w:t>
            </w:r>
          </w:p>
        </w:tc>
      </w:tr>
      <w:tr w14:paraId="6B6FCA2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660C97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炎性肌成纤维细胞性肿瘤</w:t>
            </w:r>
          </w:p>
        </w:tc>
        <w:tc>
          <w:tcPr>
            <w:tcW w:w="4888" w:type="dxa"/>
            <w:tcBorders>
              <w:tl2br w:val="nil"/>
              <w:tr2bl w:val="nil"/>
            </w:tcBorders>
            <w:shd w:val="clear" w:color="auto" w:fill="auto"/>
            <w:noWrap/>
            <w:vAlign w:val="center"/>
          </w:tcPr>
          <w:p w14:paraId="68ACF3E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TPM3-ALK</w:t>
            </w:r>
          </w:p>
        </w:tc>
      </w:tr>
      <w:tr w14:paraId="678579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303AE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261F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TPM4-ALK</w:t>
            </w:r>
          </w:p>
        </w:tc>
      </w:tr>
      <w:tr w14:paraId="6E6B21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46826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99EA5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CLTC-ALK</w:t>
            </w:r>
          </w:p>
        </w:tc>
      </w:tr>
      <w:tr w14:paraId="7F2308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A27AD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885B7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CARS1(CARS)-ALK</w:t>
            </w:r>
          </w:p>
        </w:tc>
      </w:tr>
      <w:tr w14:paraId="50E30D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681EC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825EC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ATIC-ALK</w:t>
            </w:r>
          </w:p>
        </w:tc>
      </w:tr>
      <w:tr w14:paraId="11BB555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B6E01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6B3E1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SEC31L1-ALK</w:t>
            </w:r>
          </w:p>
        </w:tc>
      </w:tr>
      <w:tr w14:paraId="021C46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6139A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8492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PPFIBP1-ALK</w:t>
            </w:r>
          </w:p>
        </w:tc>
      </w:tr>
      <w:tr w14:paraId="5B87EF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6AD49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559B7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DCTN1-ALK</w:t>
            </w:r>
          </w:p>
        </w:tc>
      </w:tr>
      <w:tr w14:paraId="12FE54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7783A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44098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EML4-ALK</w:t>
            </w:r>
          </w:p>
        </w:tc>
      </w:tr>
      <w:tr w14:paraId="48F8699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06BC5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3D80C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PRKAR1A-ALK</w:t>
            </w:r>
          </w:p>
        </w:tc>
      </w:tr>
      <w:tr w14:paraId="6D3F8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4B5640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3C8F4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LMNA-ALK</w:t>
            </w:r>
          </w:p>
        </w:tc>
      </w:tr>
      <w:tr w14:paraId="1E0649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EA31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3CD8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TFG-ALK</w:t>
            </w:r>
          </w:p>
        </w:tc>
      </w:tr>
      <w:tr w14:paraId="03B127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6A666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DEE08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FN1-ALK</w:t>
            </w:r>
          </w:p>
        </w:tc>
      </w:tr>
      <w:tr w14:paraId="025B2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88965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A8BA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HNRNPA1-ALK</w:t>
            </w:r>
          </w:p>
        </w:tc>
      </w:tr>
      <w:tr w14:paraId="66E17A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90AF5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243B99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TFG-ROS1</w:t>
            </w:r>
          </w:p>
        </w:tc>
      </w:tr>
      <w:tr w14:paraId="20214D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E3B92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FCEE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YWHAE-ROS1</w:t>
            </w:r>
          </w:p>
        </w:tc>
      </w:tr>
      <w:tr w14:paraId="4C62A8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ACF77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3AB3A6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E03AB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708E2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上皮样炎性肌纤维母细胞肉瘤</w:t>
            </w:r>
          </w:p>
        </w:tc>
        <w:tc>
          <w:tcPr>
            <w:tcW w:w="4888" w:type="dxa"/>
            <w:tcBorders>
              <w:tl2br w:val="nil"/>
              <w:tr2bl w:val="nil"/>
            </w:tcBorders>
            <w:shd w:val="clear" w:color="auto" w:fill="auto"/>
            <w:noWrap/>
            <w:vAlign w:val="center"/>
          </w:tcPr>
          <w:p w14:paraId="5BC374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RANBP2-ALK</w:t>
            </w:r>
          </w:p>
        </w:tc>
      </w:tr>
      <w:tr w14:paraId="0C62EA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087B8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2AE8A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RRBP1-ALK</w:t>
            </w:r>
          </w:p>
        </w:tc>
      </w:tr>
      <w:tr w14:paraId="0FCB6C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62B86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婴儿纤维肉瘤</w:t>
            </w:r>
          </w:p>
        </w:tc>
        <w:tc>
          <w:tcPr>
            <w:tcW w:w="4888" w:type="dxa"/>
            <w:tcBorders>
              <w:tl2br w:val="nil"/>
              <w:tr2bl w:val="nil"/>
            </w:tcBorders>
            <w:shd w:val="clear" w:color="auto" w:fill="auto"/>
            <w:noWrap/>
            <w:vAlign w:val="center"/>
          </w:tcPr>
          <w:p w14:paraId="4BC0B2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2D90C1A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9BD7D3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B494B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EML4-NTRK3</w:t>
            </w:r>
          </w:p>
        </w:tc>
      </w:tr>
      <w:tr w14:paraId="01FE524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18869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B576E0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75DA34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3DAE98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A4491D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3AA231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63581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90A77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75340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bottom w:val="single" w:color="A4A4A4" w:sz="4" w:space="0"/>
              <w:tl2br w:val="nil"/>
              <w:tr2bl w:val="nil"/>
            </w:tcBorders>
            <w:shd w:val="clear" w:color="auto" w:fill="auto"/>
            <w:vAlign w:val="center"/>
          </w:tcPr>
          <w:p w14:paraId="011EF3C2">
            <w:pPr>
              <w:rPr>
                <w:rFonts w:ascii="Times New Roman" w:hAnsi="Times New Roman" w:eastAsia="微软雅黑" w:cs="Times New Roman"/>
                <w:sz w:val="18"/>
                <w:szCs w:val="18"/>
              </w:rPr>
            </w:pPr>
          </w:p>
        </w:tc>
        <w:tc>
          <w:tcPr>
            <w:tcW w:w="4888" w:type="dxa"/>
            <w:tcBorders>
              <w:bottom w:val="single" w:color="A4A4A4" w:sz="4" w:space="0"/>
              <w:tl2br w:val="nil"/>
              <w:tr2bl w:val="nil"/>
            </w:tcBorders>
            <w:shd w:val="clear" w:color="auto" w:fill="auto"/>
            <w:noWrap/>
            <w:vAlign w:val="center"/>
          </w:tcPr>
          <w:p w14:paraId="536AE3B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SQSTM1-NTRK1</w:t>
            </w:r>
          </w:p>
        </w:tc>
      </w:tr>
      <w:tr w14:paraId="582BFB6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op w:val="single" w:color="A4A4A4" w:sz="4" w:space="0"/>
              <w:tl2br w:val="nil"/>
              <w:tr2bl w:val="nil"/>
            </w:tcBorders>
            <w:shd w:val="clear" w:color="auto" w:fill="auto"/>
            <w:vAlign w:val="center"/>
          </w:tcPr>
          <w:p w14:paraId="7457A318">
            <w:pPr>
              <w:rPr>
                <w:rFonts w:ascii="Times New Roman" w:hAnsi="Times New Roman" w:eastAsia="微软雅黑" w:cs="Times New Roman"/>
                <w:sz w:val="18"/>
                <w:szCs w:val="18"/>
              </w:rPr>
            </w:pPr>
          </w:p>
        </w:tc>
        <w:tc>
          <w:tcPr>
            <w:tcW w:w="4888" w:type="dxa"/>
            <w:tcBorders>
              <w:top w:val="single" w:color="A4A4A4" w:sz="4" w:space="0"/>
              <w:tl2br w:val="nil"/>
              <w:tr2bl w:val="nil"/>
            </w:tcBorders>
            <w:shd w:val="clear" w:color="auto" w:fill="auto"/>
            <w:noWrap/>
            <w:vAlign w:val="center"/>
          </w:tcPr>
          <w:p w14:paraId="273E69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MIR584F1-NTRK1</w:t>
            </w:r>
          </w:p>
        </w:tc>
      </w:tr>
      <w:tr w14:paraId="4644D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285F8F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7DBF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TFG-MET</w:t>
            </w:r>
          </w:p>
        </w:tc>
      </w:tr>
      <w:tr w14:paraId="0702D48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28B06F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F4C3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BRAF 融合</w:t>
            </w:r>
          </w:p>
        </w:tc>
      </w:tr>
      <w:tr w14:paraId="04E48C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C621CB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低度恶性纤维黏液样肉瘤</w:t>
            </w:r>
          </w:p>
        </w:tc>
        <w:tc>
          <w:tcPr>
            <w:tcW w:w="4888" w:type="dxa"/>
            <w:tcBorders>
              <w:tl2br w:val="nil"/>
              <w:tr2bl w:val="nil"/>
            </w:tcBorders>
            <w:shd w:val="clear" w:color="auto" w:fill="auto"/>
            <w:noWrap/>
            <w:vAlign w:val="center"/>
          </w:tcPr>
          <w:p w14:paraId="20A9A3D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2CD134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3D7571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8A448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66A6D1D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409A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454D7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6A9BAF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DDC848F">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硬化性上皮样纤维肉瘤</w:t>
            </w:r>
          </w:p>
        </w:tc>
        <w:tc>
          <w:tcPr>
            <w:tcW w:w="4888" w:type="dxa"/>
            <w:tcBorders>
              <w:tl2br w:val="nil"/>
              <w:tr2bl w:val="nil"/>
            </w:tcBorders>
            <w:shd w:val="clear" w:color="auto" w:fill="auto"/>
            <w:noWrap/>
            <w:vAlign w:val="center"/>
          </w:tcPr>
          <w:p w14:paraId="066904C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EWSR1-CREB3L1</w:t>
            </w:r>
          </w:p>
        </w:tc>
      </w:tr>
      <w:tr w14:paraId="79EE96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F5A4B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8AFE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EWSR1-CREB3L2</w:t>
            </w:r>
          </w:p>
        </w:tc>
      </w:tr>
      <w:tr w14:paraId="4D8A75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4880F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7DC43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EWSR1-CREB3L3</w:t>
            </w:r>
          </w:p>
        </w:tc>
      </w:tr>
      <w:tr w14:paraId="0FCDBBC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FFC6C5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BEDF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FUS-CREB3L1</w:t>
            </w:r>
          </w:p>
        </w:tc>
      </w:tr>
      <w:tr w14:paraId="16754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6BFD08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1D02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FUS-CREB3L2</w:t>
            </w:r>
          </w:p>
        </w:tc>
      </w:tr>
      <w:tr w14:paraId="574976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968AE8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27E556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FUS-CREM</w:t>
            </w:r>
          </w:p>
        </w:tc>
      </w:tr>
      <w:tr w14:paraId="32C25B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FE2F1F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9B79B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PAX5-CREB3L1</w:t>
            </w:r>
          </w:p>
        </w:tc>
      </w:tr>
      <w:tr w14:paraId="7C87B9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62E390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腱鞘巨细胞肿瘤</w:t>
            </w:r>
          </w:p>
        </w:tc>
        <w:tc>
          <w:tcPr>
            <w:tcW w:w="4888" w:type="dxa"/>
            <w:tcBorders>
              <w:tl2br w:val="nil"/>
              <w:tr2bl w:val="nil"/>
            </w:tcBorders>
            <w:shd w:val="clear" w:color="auto" w:fill="auto"/>
            <w:noWrap/>
            <w:vAlign w:val="center"/>
          </w:tcPr>
          <w:p w14:paraId="6524F0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CSF1 重排</w:t>
            </w:r>
          </w:p>
        </w:tc>
      </w:tr>
      <w:tr w14:paraId="5CEFF4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719506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上皮样血管瘤</w:t>
            </w:r>
          </w:p>
        </w:tc>
        <w:tc>
          <w:tcPr>
            <w:tcW w:w="4888" w:type="dxa"/>
            <w:tcBorders>
              <w:tl2br w:val="nil"/>
              <w:tr2bl w:val="nil"/>
            </w:tcBorders>
            <w:shd w:val="clear" w:color="auto" w:fill="auto"/>
            <w:noWrap/>
            <w:vAlign w:val="center"/>
          </w:tcPr>
          <w:p w14:paraId="6CB01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276323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F7ECC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F046F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2F6A0C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5BEFEF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054637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50717C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110C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B79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6E3E0D4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C6FAA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69C09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3737BF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AE8D34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4FEF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75F6F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9C15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E3829E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45E6BA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329D5E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假性肌源性血管内皮瘤</w:t>
            </w:r>
          </w:p>
        </w:tc>
        <w:tc>
          <w:tcPr>
            <w:tcW w:w="4888" w:type="dxa"/>
            <w:tcBorders>
              <w:tl2br w:val="nil"/>
              <w:tr2bl w:val="nil"/>
            </w:tcBorders>
            <w:shd w:val="clear" w:color="auto" w:fill="auto"/>
            <w:noWrap/>
            <w:vAlign w:val="center"/>
          </w:tcPr>
          <w:p w14:paraId="112D649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SERPINE1-FOSB</w:t>
            </w:r>
          </w:p>
        </w:tc>
      </w:tr>
      <w:tr w14:paraId="755DA4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5E974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6DDB05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ACTB-FOSB</w:t>
            </w:r>
          </w:p>
        </w:tc>
      </w:tr>
      <w:tr w14:paraId="7117AC3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noWrap/>
            <w:vAlign w:val="center"/>
          </w:tcPr>
          <w:p w14:paraId="573D1C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上皮样血管内皮瘤伴WWTR1-CAMTA1融合</w:t>
            </w:r>
          </w:p>
        </w:tc>
        <w:tc>
          <w:tcPr>
            <w:tcW w:w="4888" w:type="dxa"/>
            <w:tcBorders>
              <w:tl2br w:val="nil"/>
              <w:tr2bl w:val="nil"/>
            </w:tcBorders>
            <w:shd w:val="clear" w:color="auto" w:fill="auto"/>
            <w:noWrap/>
            <w:vAlign w:val="center"/>
          </w:tcPr>
          <w:p w14:paraId="3629E7C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0491773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A00F43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上皮样血管内皮瘤伴YAP1-TFE3融合</w:t>
            </w:r>
          </w:p>
        </w:tc>
        <w:tc>
          <w:tcPr>
            <w:tcW w:w="4888" w:type="dxa"/>
            <w:tcBorders>
              <w:tl2br w:val="nil"/>
              <w:tr2bl w:val="nil"/>
            </w:tcBorders>
            <w:shd w:val="clear" w:color="auto" w:fill="auto"/>
            <w:noWrap/>
            <w:vAlign w:val="center"/>
          </w:tcPr>
          <w:p w14:paraId="60A2448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2C08E5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A5858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血管球肿瘤</w:t>
            </w:r>
          </w:p>
        </w:tc>
        <w:tc>
          <w:tcPr>
            <w:tcW w:w="4888" w:type="dxa"/>
            <w:tcBorders>
              <w:tl2br w:val="nil"/>
              <w:tr2bl w:val="nil"/>
            </w:tcBorders>
            <w:shd w:val="clear" w:color="auto" w:fill="auto"/>
            <w:noWrap/>
            <w:vAlign w:val="center"/>
          </w:tcPr>
          <w:p w14:paraId="2B3411A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MIR143-NOTCH1</w:t>
            </w:r>
          </w:p>
        </w:tc>
      </w:tr>
      <w:tr w14:paraId="6FA71F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A8CB6E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B9B0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MIR143-NOTCH2</w:t>
            </w:r>
          </w:p>
        </w:tc>
      </w:tr>
      <w:tr w14:paraId="4F8E05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F92948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CD9249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MIR143-NOTCH3</w:t>
            </w:r>
          </w:p>
        </w:tc>
      </w:tr>
      <w:tr w14:paraId="116D81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650B5ED">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肌周细胞瘤，包括肌纤维瘤</w:t>
            </w:r>
          </w:p>
        </w:tc>
        <w:tc>
          <w:tcPr>
            <w:tcW w:w="4888" w:type="dxa"/>
            <w:tcBorders>
              <w:tl2br w:val="nil"/>
              <w:tr2bl w:val="nil"/>
            </w:tcBorders>
            <w:shd w:val="clear" w:color="auto" w:fill="auto"/>
            <w:noWrap/>
            <w:vAlign w:val="center"/>
          </w:tcPr>
          <w:p w14:paraId="28C2605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SRF-RELA</w:t>
            </w:r>
          </w:p>
        </w:tc>
      </w:tr>
      <w:tr w14:paraId="7EF110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91DFB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腺泡状横纹肌肉瘤</w:t>
            </w:r>
          </w:p>
        </w:tc>
        <w:tc>
          <w:tcPr>
            <w:tcW w:w="4888" w:type="dxa"/>
            <w:tcBorders>
              <w:tl2br w:val="nil"/>
              <w:tr2bl w:val="nil"/>
            </w:tcBorders>
            <w:shd w:val="clear" w:color="auto" w:fill="auto"/>
            <w:noWrap/>
            <w:vAlign w:val="center"/>
          </w:tcPr>
          <w:p w14:paraId="34B84C2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PAX3-FOXO1</w:t>
            </w:r>
          </w:p>
        </w:tc>
      </w:tr>
      <w:tr w14:paraId="224E09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CCABD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EF55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PAX3 -FOXO4</w:t>
            </w:r>
          </w:p>
        </w:tc>
      </w:tr>
      <w:tr w14:paraId="71F13DC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257E5B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1FAD0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PAX3-NCOA1</w:t>
            </w:r>
          </w:p>
        </w:tc>
      </w:tr>
      <w:tr w14:paraId="63FA27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1D00D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573AF5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PAX3-INO80D</w:t>
            </w:r>
          </w:p>
        </w:tc>
      </w:tr>
      <w:tr w14:paraId="78BC16E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80A9A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E06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PAX7-FOXO1</w:t>
            </w:r>
          </w:p>
        </w:tc>
      </w:tr>
      <w:tr w14:paraId="7A5541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47004F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A15E95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FOXO1-FGFR1</w:t>
            </w:r>
          </w:p>
        </w:tc>
      </w:tr>
      <w:tr w14:paraId="491A99B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D7343F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先天性梭形细胞横纹肌肉瘤伴VGLL2/NCOA2/CITED2重排</w:t>
            </w:r>
          </w:p>
        </w:tc>
        <w:tc>
          <w:tcPr>
            <w:tcW w:w="4888" w:type="dxa"/>
            <w:tcBorders>
              <w:tl2br w:val="nil"/>
              <w:tr2bl w:val="nil"/>
            </w:tcBorders>
            <w:shd w:val="clear" w:color="auto" w:fill="auto"/>
            <w:noWrap/>
            <w:vAlign w:val="center"/>
          </w:tcPr>
          <w:p w14:paraId="295F69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SRF-NCOA2</w:t>
            </w:r>
          </w:p>
        </w:tc>
      </w:tr>
      <w:tr w14:paraId="1B201E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8F4C5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5943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TEAD1-NCOA2</w:t>
            </w:r>
          </w:p>
        </w:tc>
      </w:tr>
      <w:tr w14:paraId="21046F3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359190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A01940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VGLL2-NCOA2</w:t>
            </w:r>
          </w:p>
        </w:tc>
      </w:tr>
      <w:tr w14:paraId="69FDEC2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BEE4A9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A2EEA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VGLL2-CITED2</w:t>
            </w:r>
          </w:p>
        </w:tc>
      </w:tr>
      <w:tr w14:paraId="38DD3C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FDC2F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骨内梭形细胞横纹肌肉瘤(伴TFCP2/NCOA2重排)</w:t>
            </w:r>
          </w:p>
        </w:tc>
        <w:tc>
          <w:tcPr>
            <w:tcW w:w="4888" w:type="dxa"/>
            <w:tcBorders>
              <w:tl2br w:val="nil"/>
              <w:tr2bl w:val="nil"/>
            </w:tcBorders>
            <w:shd w:val="clear" w:color="auto" w:fill="auto"/>
            <w:noWrap/>
            <w:vAlign w:val="center"/>
          </w:tcPr>
          <w:p w14:paraId="50270B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EWSR1-TFCP2</w:t>
            </w:r>
          </w:p>
        </w:tc>
      </w:tr>
      <w:tr w14:paraId="6DB73E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242AC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3981D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FUS-TFCP2</w:t>
            </w:r>
          </w:p>
        </w:tc>
      </w:tr>
      <w:tr w14:paraId="24BA04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38CB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66177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MEIS1-NCOA2</w:t>
            </w:r>
          </w:p>
        </w:tc>
      </w:tr>
      <w:tr w14:paraId="6B47A0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C60688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胃肠道间质瘤</w:t>
            </w:r>
          </w:p>
        </w:tc>
        <w:tc>
          <w:tcPr>
            <w:tcW w:w="4888" w:type="dxa"/>
            <w:tcBorders>
              <w:tl2br w:val="nil"/>
              <w:tr2bl w:val="nil"/>
            </w:tcBorders>
            <w:shd w:val="clear" w:color="auto" w:fill="auto"/>
            <w:noWrap/>
            <w:vAlign w:val="center"/>
          </w:tcPr>
          <w:p w14:paraId="45708D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ETV6-NTRK3</w:t>
            </w:r>
          </w:p>
        </w:tc>
      </w:tr>
      <w:tr w14:paraId="04239F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E6C83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CFDB8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FGFR1-HOOK3</w:t>
            </w:r>
          </w:p>
        </w:tc>
      </w:tr>
      <w:tr w14:paraId="699F05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FAF36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9E71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FGFR1-TACC1</w:t>
            </w:r>
          </w:p>
        </w:tc>
      </w:tr>
      <w:tr w14:paraId="232204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5A702C1">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深部（侵袭性）血管黏液瘤</w:t>
            </w:r>
          </w:p>
        </w:tc>
        <w:tc>
          <w:tcPr>
            <w:tcW w:w="4888" w:type="dxa"/>
            <w:tcBorders>
              <w:tl2br w:val="nil"/>
              <w:tr2bl w:val="nil"/>
            </w:tcBorders>
            <w:shd w:val="clear" w:color="auto" w:fill="auto"/>
            <w:noWrap/>
            <w:vAlign w:val="center"/>
          </w:tcPr>
          <w:p w14:paraId="1241621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HMGA2 重排</w:t>
            </w:r>
          </w:p>
        </w:tc>
      </w:tr>
      <w:tr w14:paraId="79B69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7FD538A">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血管瘤样纤维组织细胞瘤</w:t>
            </w:r>
          </w:p>
        </w:tc>
        <w:tc>
          <w:tcPr>
            <w:tcW w:w="4888" w:type="dxa"/>
            <w:tcBorders>
              <w:tl2br w:val="nil"/>
              <w:tr2bl w:val="nil"/>
            </w:tcBorders>
            <w:shd w:val="clear" w:color="auto" w:fill="auto"/>
            <w:noWrap/>
            <w:vAlign w:val="center"/>
          </w:tcPr>
          <w:p w14:paraId="7C1C52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4A0CC0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83ABCC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7CB358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21791B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7D9974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EFE45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1CF696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2AFD450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骨化性纤维黏液样肿瘤</w:t>
            </w:r>
          </w:p>
        </w:tc>
        <w:tc>
          <w:tcPr>
            <w:tcW w:w="4888" w:type="dxa"/>
            <w:tcBorders>
              <w:tl2br w:val="nil"/>
              <w:tr2bl w:val="nil"/>
            </w:tcBorders>
            <w:shd w:val="clear" w:color="auto" w:fill="auto"/>
            <w:noWrap/>
            <w:vAlign w:val="center"/>
          </w:tcPr>
          <w:p w14:paraId="1B7E492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EP400-PHF1</w:t>
            </w:r>
          </w:p>
        </w:tc>
      </w:tr>
      <w:tr w14:paraId="0F3397B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8ACBE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C1B8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MEAF6-PHF1</w:t>
            </w:r>
          </w:p>
        </w:tc>
      </w:tr>
      <w:tr w14:paraId="2C25C8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A3248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48B2FD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EPC1-PHF1</w:t>
            </w:r>
          </w:p>
        </w:tc>
      </w:tr>
      <w:tr w14:paraId="489E30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576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AC441D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PHF1-TFE3</w:t>
            </w:r>
          </w:p>
        </w:tc>
      </w:tr>
      <w:tr w14:paraId="3F43C8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B6A86E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肌上皮瘤、肌上皮癌</w:t>
            </w:r>
          </w:p>
        </w:tc>
        <w:tc>
          <w:tcPr>
            <w:tcW w:w="4888" w:type="dxa"/>
            <w:tcBorders>
              <w:tl2br w:val="nil"/>
              <w:tr2bl w:val="nil"/>
            </w:tcBorders>
            <w:shd w:val="clear" w:color="auto" w:fill="auto"/>
            <w:noWrap/>
            <w:vAlign w:val="center"/>
          </w:tcPr>
          <w:p w14:paraId="7B1C4A0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EWSR1-POU5F1</w:t>
            </w:r>
          </w:p>
        </w:tc>
      </w:tr>
      <w:tr w14:paraId="17D6550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9D22F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0511E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EWSR1-PBX1</w:t>
            </w:r>
          </w:p>
        </w:tc>
      </w:tr>
      <w:tr w14:paraId="339261B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260960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D865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EWSR1-ZNF444</w:t>
            </w:r>
          </w:p>
        </w:tc>
      </w:tr>
      <w:tr w14:paraId="7DE32E8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B6E5D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C02C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EWSR1-KLF17</w:t>
            </w:r>
          </w:p>
        </w:tc>
      </w:tr>
      <w:tr w14:paraId="2A7246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D75B0A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C2F63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6E9AF7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6B7944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33ADE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EWSR1-PBX3</w:t>
            </w:r>
          </w:p>
        </w:tc>
      </w:tr>
      <w:tr w14:paraId="10138D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500E0F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4417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FUS-ZNF444</w:t>
            </w:r>
          </w:p>
        </w:tc>
      </w:tr>
      <w:tr w14:paraId="390E0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EE52A35">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E9D29C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FUS-KLF17</w:t>
            </w:r>
          </w:p>
        </w:tc>
      </w:tr>
      <w:tr w14:paraId="7D3B1AE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1046D5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6BE99F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FUS-ATF1</w:t>
            </w:r>
          </w:p>
        </w:tc>
      </w:tr>
      <w:tr w14:paraId="0FF2C5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80B3CC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278291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FUS-PBX3</w:t>
            </w:r>
          </w:p>
        </w:tc>
      </w:tr>
      <w:tr w14:paraId="0A85CDE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C9789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混合瘤</w:t>
            </w:r>
          </w:p>
        </w:tc>
        <w:tc>
          <w:tcPr>
            <w:tcW w:w="4888" w:type="dxa"/>
            <w:tcBorders>
              <w:tl2br w:val="nil"/>
              <w:tr2bl w:val="nil"/>
            </w:tcBorders>
            <w:shd w:val="clear" w:color="auto" w:fill="auto"/>
            <w:noWrap/>
            <w:vAlign w:val="center"/>
          </w:tcPr>
          <w:p w14:paraId="3E82BD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LIFR-PLAG1</w:t>
            </w:r>
          </w:p>
        </w:tc>
      </w:tr>
      <w:tr w14:paraId="183716A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DD8FDF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EB44B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CTNNB1-PLAG1</w:t>
            </w:r>
          </w:p>
        </w:tc>
      </w:tr>
      <w:tr w14:paraId="31B805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2C10393">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1BCEF5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TCEA1-PLAG1</w:t>
            </w:r>
          </w:p>
        </w:tc>
      </w:tr>
      <w:tr w14:paraId="70F9E3D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94A4A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F236B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CHCHD7-PLAG1</w:t>
            </w:r>
          </w:p>
        </w:tc>
      </w:tr>
      <w:tr w14:paraId="1B133C0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45860F5">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软组织多形性透明血管扩张瘤</w:t>
            </w:r>
          </w:p>
        </w:tc>
        <w:tc>
          <w:tcPr>
            <w:tcW w:w="4888" w:type="dxa"/>
            <w:tcBorders>
              <w:tl2br w:val="nil"/>
              <w:tr2bl w:val="nil"/>
            </w:tcBorders>
            <w:shd w:val="clear" w:color="auto" w:fill="auto"/>
            <w:noWrap/>
            <w:vAlign w:val="center"/>
          </w:tcPr>
          <w:p w14:paraId="30B52F4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543B28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E067B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BD075A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444AF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F85D558">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含铁血黄素沉着性纤维脂肪瘤性肿瘤</w:t>
            </w:r>
          </w:p>
        </w:tc>
        <w:tc>
          <w:tcPr>
            <w:tcW w:w="4888" w:type="dxa"/>
            <w:tcBorders>
              <w:tl2br w:val="nil"/>
              <w:tr2bl w:val="nil"/>
            </w:tcBorders>
            <w:shd w:val="clear" w:color="auto" w:fill="auto"/>
            <w:noWrap/>
            <w:vAlign w:val="center"/>
          </w:tcPr>
          <w:p w14:paraId="357D1B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TGFBR3 重排</w:t>
            </w:r>
          </w:p>
        </w:tc>
      </w:tr>
      <w:tr w14:paraId="2D6798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9B23EC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FFE493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OGA 重排</w:t>
            </w:r>
          </w:p>
        </w:tc>
      </w:tr>
      <w:tr w14:paraId="504AF46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EE8E8A3">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磷酸盐尿性间叶性肿瘤</w:t>
            </w:r>
          </w:p>
        </w:tc>
        <w:tc>
          <w:tcPr>
            <w:tcW w:w="4888" w:type="dxa"/>
            <w:tcBorders>
              <w:tl2br w:val="nil"/>
              <w:tr2bl w:val="nil"/>
            </w:tcBorders>
            <w:shd w:val="clear" w:color="auto" w:fill="auto"/>
            <w:noWrap/>
            <w:vAlign w:val="center"/>
          </w:tcPr>
          <w:p w14:paraId="4C04EF9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FN1-FGFR1</w:t>
            </w:r>
          </w:p>
        </w:tc>
      </w:tr>
      <w:tr w14:paraId="1F4D698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29322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73D2E3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FN1-FGF1</w:t>
            </w:r>
          </w:p>
        </w:tc>
      </w:tr>
      <w:tr w14:paraId="3F1D020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52C920AE">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NTRK重排的梭形细胞肿瘤</w:t>
            </w:r>
          </w:p>
        </w:tc>
        <w:tc>
          <w:tcPr>
            <w:tcW w:w="4888" w:type="dxa"/>
            <w:tcBorders>
              <w:tl2br w:val="nil"/>
              <w:tr2bl w:val="nil"/>
            </w:tcBorders>
            <w:shd w:val="clear" w:color="auto" w:fill="auto"/>
            <w:vAlign w:val="center"/>
          </w:tcPr>
          <w:p w14:paraId="2A1A58AF">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LMNA-NTRK1</w:t>
            </w:r>
          </w:p>
        </w:tc>
      </w:tr>
      <w:tr w14:paraId="2D8F603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87B566">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F4A9D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TPR-NTRK1</w:t>
            </w:r>
          </w:p>
        </w:tc>
      </w:tr>
      <w:tr w14:paraId="5A2011E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13CEB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6CA2C9B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TPM3-NTRK1</w:t>
            </w:r>
          </w:p>
        </w:tc>
      </w:tr>
      <w:tr w14:paraId="40704EF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1A9390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BE36B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NTRK2 融合</w:t>
            </w:r>
          </w:p>
        </w:tc>
      </w:tr>
      <w:tr w14:paraId="1793AC9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D68A61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27CA54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NTRK3 融合</w:t>
            </w:r>
          </w:p>
        </w:tc>
      </w:tr>
      <w:tr w14:paraId="5E9D01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084C4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滑膜肉瘤</w:t>
            </w:r>
          </w:p>
        </w:tc>
        <w:tc>
          <w:tcPr>
            <w:tcW w:w="4888" w:type="dxa"/>
            <w:tcBorders>
              <w:tl2br w:val="nil"/>
              <w:tr2bl w:val="nil"/>
            </w:tcBorders>
            <w:shd w:val="clear" w:color="auto" w:fill="auto"/>
            <w:noWrap/>
            <w:vAlign w:val="center"/>
          </w:tcPr>
          <w:p w14:paraId="03A0F68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SS18-SSX1</w:t>
            </w:r>
          </w:p>
        </w:tc>
      </w:tr>
      <w:tr w14:paraId="19F651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E8AD7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FCBF0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SS18-SSX2</w:t>
            </w:r>
          </w:p>
        </w:tc>
      </w:tr>
      <w:tr w14:paraId="00ED11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037CE4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CB5179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SS18-SSX4</w:t>
            </w:r>
          </w:p>
        </w:tc>
      </w:tr>
      <w:tr w14:paraId="0E86B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5219F0F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腺泡状软组织肉瘤</w:t>
            </w:r>
          </w:p>
        </w:tc>
        <w:tc>
          <w:tcPr>
            <w:tcW w:w="4888" w:type="dxa"/>
            <w:tcBorders>
              <w:tl2br w:val="nil"/>
              <w:tr2bl w:val="nil"/>
            </w:tcBorders>
            <w:shd w:val="clear" w:color="auto" w:fill="auto"/>
            <w:noWrap/>
            <w:vAlign w:val="center"/>
          </w:tcPr>
          <w:p w14:paraId="061974A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ASPSCR1-TFE3</w:t>
            </w:r>
          </w:p>
        </w:tc>
      </w:tr>
      <w:tr w14:paraId="06D77EB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9DA9C2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软组织透明细胞肉瘤</w:t>
            </w:r>
          </w:p>
        </w:tc>
        <w:tc>
          <w:tcPr>
            <w:tcW w:w="4888" w:type="dxa"/>
            <w:tcBorders>
              <w:tl2br w:val="nil"/>
              <w:tr2bl w:val="nil"/>
            </w:tcBorders>
            <w:shd w:val="clear" w:color="auto" w:fill="auto"/>
            <w:noWrap/>
            <w:vAlign w:val="center"/>
          </w:tcPr>
          <w:p w14:paraId="05C73A3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EWSR1-ATF1</w:t>
            </w:r>
          </w:p>
        </w:tc>
      </w:tr>
      <w:tr w14:paraId="0F08EA4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A463C7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D3CD5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EWSR1-CREB1</w:t>
            </w:r>
          </w:p>
        </w:tc>
      </w:tr>
      <w:tr w14:paraId="67684B4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823F9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骨外黏液样软骨肉瘤</w:t>
            </w:r>
          </w:p>
        </w:tc>
        <w:tc>
          <w:tcPr>
            <w:tcW w:w="4888" w:type="dxa"/>
            <w:tcBorders>
              <w:tl2br w:val="nil"/>
              <w:tr2bl w:val="nil"/>
            </w:tcBorders>
            <w:shd w:val="clear" w:color="auto" w:fill="auto"/>
            <w:noWrap/>
            <w:vAlign w:val="center"/>
          </w:tcPr>
          <w:p w14:paraId="43F843C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EWSR1-NR4A3</w:t>
            </w:r>
          </w:p>
        </w:tc>
      </w:tr>
      <w:tr w14:paraId="115D3A9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B5B8F31">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3013C9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TAF15-NR4A3</w:t>
            </w:r>
          </w:p>
        </w:tc>
      </w:tr>
      <w:tr w14:paraId="04D74D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C5975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AA0C99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TCF12-NR4A3</w:t>
            </w:r>
          </w:p>
        </w:tc>
      </w:tr>
      <w:tr w14:paraId="54A074B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9507C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18EB4B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TFG-NR4A3</w:t>
            </w:r>
          </w:p>
        </w:tc>
      </w:tr>
      <w:tr w14:paraId="5E8B46A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73453E0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增生性小圆细胞肿瘤</w:t>
            </w:r>
          </w:p>
        </w:tc>
        <w:tc>
          <w:tcPr>
            <w:tcW w:w="4888" w:type="dxa"/>
            <w:tcBorders>
              <w:tl2br w:val="nil"/>
              <w:tr2bl w:val="nil"/>
            </w:tcBorders>
            <w:shd w:val="clear" w:color="auto" w:fill="auto"/>
            <w:noWrap/>
            <w:vAlign w:val="center"/>
          </w:tcPr>
          <w:p w14:paraId="7EF0EC0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EWSR1-WT1</w:t>
            </w:r>
          </w:p>
        </w:tc>
      </w:tr>
      <w:tr w14:paraId="20AFA0D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1073ED6">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血管周围上皮样细胞瘤</w:t>
            </w:r>
          </w:p>
        </w:tc>
        <w:tc>
          <w:tcPr>
            <w:tcW w:w="4888" w:type="dxa"/>
            <w:tcBorders>
              <w:tl2br w:val="nil"/>
              <w:tr2bl w:val="nil"/>
            </w:tcBorders>
            <w:shd w:val="clear" w:color="auto" w:fill="auto"/>
            <w:noWrap/>
            <w:vAlign w:val="center"/>
          </w:tcPr>
          <w:p w14:paraId="16E9BCA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SFPQ-TFE3</w:t>
            </w:r>
          </w:p>
        </w:tc>
      </w:tr>
      <w:tr w14:paraId="1342536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A19554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4DD15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DVL2-TFE3</w:t>
            </w:r>
          </w:p>
        </w:tc>
      </w:tr>
      <w:tr w14:paraId="3737FF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0B9CBD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2ECC2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NONO-TFE3</w:t>
            </w:r>
          </w:p>
        </w:tc>
      </w:tr>
      <w:tr w14:paraId="4CE24BD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EE0CC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尤文肉瘤</w:t>
            </w:r>
          </w:p>
        </w:tc>
        <w:tc>
          <w:tcPr>
            <w:tcW w:w="4888" w:type="dxa"/>
            <w:tcBorders>
              <w:tl2br w:val="nil"/>
              <w:tr2bl w:val="nil"/>
            </w:tcBorders>
            <w:shd w:val="clear" w:color="auto" w:fill="auto"/>
            <w:vAlign w:val="center"/>
          </w:tcPr>
          <w:p w14:paraId="19F350EB">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EWSR1-FLI1</w:t>
            </w:r>
          </w:p>
        </w:tc>
      </w:tr>
      <w:tr w14:paraId="2A23F19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5471C6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C7E02F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EWSR1-ERG</w:t>
            </w:r>
          </w:p>
        </w:tc>
      </w:tr>
      <w:tr w14:paraId="3BE37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4A92CC9">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BA0E62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EWSR1-FEV</w:t>
            </w:r>
          </w:p>
        </w:tc>
      </w:tr>
      <w:tr w14:paraId="68B5F3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B27EE8C">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454E625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EWSR1-ETV1</w:t>
            </w:r>
          </w:p>
        </w:tc>
      </w:tr>
      <w:tr w14:paraId="5E778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A193B0">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7396DDC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EWSR1-ETV4(E1AF)</w:t>
            </w:r>
          </w:p>
        </w:tc>
      </w:tr>
      <w:tr w14:paraId="25326E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468BA5A">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2E9B6FF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EWSR1-PATZ1(ZSG)</w:t>
            </w:r>
          </w:p>
        </w:tc>
      </w:tr>
      <w:tr w14:paraId="6084815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607652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AA4B26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EWSR1-SP3</w:t>
            </w:r>
          </w:p>
        </w:tc>
      </w:tr>
      <w:tr w14:paraId="10B3B7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80E05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9DAB0A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2BAC7C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5C86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2B95F5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EWSR1-SMARCA5</w:t>
            </w:r>
          </w:p>
        </w:tc>
      </w:tr>
      <w:tr w14:paraId="4D6DE2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E8F8A77">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20BB81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FUS-ERG</w:t>
            </w:r>
          </w:p>
        </w:tc>
      </w:tr>
      <w:tr w14:paraId="3C441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9579118">
            <w:pPr>
              <w:rPr>
                <w:rFonts w:ascii="Times New Roman" w:hAnsi="Times New Roman" w:eastAsia="微软雅黑" w:cs="Times New Roman"/>
                <w:sz w:val="18"/>
                <w:szCs w:val="18"/>
              </w:rPr>
            </w:pPr>
          </w:p>
        </w:tc>
        <w:tc>
          <w:tcPr>
            <w:tcW w:w="4888" w:type="dxa"/>
            <w:tcBorders>
              <w:tl2br w:val="nil"/>
              <w:tr2bl w:val="nil"/>
            </w:tcBorders>
            <w:shd w:val="clear" w:color="auto" w:fill="auto"/>
            <w:vAlign w:val="center"/>
          </w:tcPr>
          <w:p w14:paraId="119FC16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FUS-FEV</w:t>
            </w:r>
          </w:p>
        </w:tc>
      </w:tr>
      <w:tr w14:paraId="02C1F32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0F59F8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EWSR1-非ETS融合圆细胞肉瘤</w:t>
            </w:r>
          </w:p>
        </w:tc>
        <w:tc>
          <w:tcPr>
            <w:tcW w:w="4888" w:type="dxa"/>
            <w:tcBorders>
              <w:tl2br w:val="nil"/>
              <w:tr2bl w:val="nil"/>
            </w:tcBorders>
            <w:shd w:val="clear" w:color="auto" w:fill="auto"/>
            <w:noWrap/>
            <w:vAlign w:val="center"/>
          </w:tcPr>
          <w:p w14:paraId="492947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EWSR1-NFATC2</w:t>
            </w:r>
          </w:p>
        </w:tc>
      </w:tr>
      <w:tr w14:paraId="06C089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DD67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355A23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FUS-NFATC2</w:t>
            </w:r>
          </w:p>
        </w:tc>
      </w:tr>
      <w:tr w14:paraId="22BFE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052ABC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D1B2F6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EWSR1-PATZ1</w:t>
            </w:r>
          </w:p>
        </w:tc>
      </w:tr>
      <w:tr w14:paraId="0E8E3DB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6D508A2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CIC重排肉瘤</w:t>
            </w:r>
          </w:p>
        </w:tc>
        <w:tc>
          <w:tcPr>
            <w:tcW w:w="4888" w:type="dxa"/>
            <w:tcBorders>
              <w:tl2br w:val="nil"/>
              <w:tr2bl w:val="nil"/>
            </w:tcBorders>
            <w:shd w:val="clear" w:color="auto" w:fill="auto"/>
            <w:noWrap/>
            <w:vAlign w:val="center"/>
          </w:tcPr>
          <w:p w14:paraId="0144B441">
            <w:pPr>
              <w:widowControl/>
              <w:textAlignment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bidi="ar"/>
              </w:rPr>
              <w:t>CIC-DUX4L1</w:t>
            </w:r>
          </w:p>
        </w:tc>
      </w:tr>
      <w:tr w14:paraId="65A2A1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7157107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547009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CIC-FOXO4</w:t>
            </w:r>
          </w:p>
        </w:tc>
      </w:tr>
      <w:tr w14:paraId="2D3C4A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2199E4B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1D9021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CIC-LEUTX</w:t>
            </w:r>
          </w:p>
        </w:tc>
      </w:tr>
      <w:tr w14:paraId="639F49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6AAA1E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C99001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CIC-NUTM1</w:t>
            </w:r>
          </w:p>
        </w:tc>
      </w:tr>
      <w:tr w14:paraId="0EA4B6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A17312D">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5A7ACD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CIC-NUTM2A</w:t>
            </w:r>
          </w:p>
        </w:tc>
      </w:tr>
      <w:tr w14:paraId="186A16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39E258B">
            <w:pPr>
              <w:widowControl/>
              <w:textAlignment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bidi="ar"/>
              </w:rPr>
              <w:t>伴有BCOR基因改变的肉瘤</w:t>
            </w:r>
          </w:p>
        </w:tc>
        <w:tc>
          <w:tcPr>
            <w:tcW w:w="4888" w:type="dxa"/>
            <w:tcBorders>
              <w:tl2br w:val="nil"/>
              <w:tr2bl w:val="nil"/>
            </w:tcBorders>
            <w:shd w:val="clear" w:color="auto" w:fill="auto"/>
            <w:noWrap/>
            <w:vAlign w:val="center"/>
          </w:tcPr>
          <w:p w14:paraId="12E1DA1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BCOR-CCNB3</w:t>
            </w:r>
          </w:p>
        </w:tc>
      </w:tr>
      <w:tr w14:paraId="26B58BB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74E4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9C367C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BCOR-MAML2</w:t>
            </w:r>
          </w:p>
        </w:tc>
      </w:tr>
      <w:tr w14:paraId="448F38B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15BCEB7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软骨粘液样纤维瘤</w:t>
            </w:r>
          </w:p>
        </w:tc>
        <w:tc>
          <w:tcPr>
            <w:tcW w:w="4888" w:type="dxa"/>
            <w:tcBorders>
              <w:tl2br w:val="nil"/>
              <w:tr2bl w:val="nil"/>
            </w:tcBorders>
            <w:shd w:val="clear" w:color="auto" w:fill="auto"/>
            <w:noWrap/>
            <w:vAlign w:val="center"/>
          </w:tcPr>
          <w:p w14:paraId="0642CC50">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TBL1XR1-GRM1</w:t>
            </w:r>
          </w:p>
        </w:tc>
      </w:tr>
      <w:tr w14:paraId="2C0FC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F3A44D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3067624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MEF2A-GRM1</w:t>
            </w:r>
          </w:p>
        </w:tc>
      </w:tr>
      <w:tr w14:paraId="3B73EB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23384BD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间叶性软骨肉瘤</w:t>
            </w:r>
          </w:p>
        </w:tc>
        <w:tc>
          <w:tcPr>
            <w:tcW w:w="4888" w:type="dxa"/>
            <w:tcBorders>
              <w:tl2br w:val="nil"/>
              <w:tr2bl w:val="nil"/>
            </w:tcBorders>
            <w:shd w:val="clear" w:color="auto" w:fill="auto"/>
            <w:noWrap/>
            <w:vAlign w:val="center"/>
          </w:tcPr>
          <w:p w14:paraId="4C6430C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HEY1-NCOA2</w:t>
            </w:r>
          </w:p>
        </w:tc>
      </w:tr>
      <w:tr w14:paraId="7B2892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tcBorders>
              <w:tl2br w:val="nil"/>
              <w:tr2bl w:val="nil"/>
            </w:tcBorders>
            <w:shd w:val="clear" w:color="auto" w:fill="auto"/>
            <w:vAlign w:val="center"/>
          </w:tcPr>
          <w:p w14:paraId="394E31A1">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骨样骨瘤</w:t>
            </w:r>
          </w:p>
        </w:tc>
        <w:tc>
          <w:tcPr>
            <w:tcW w:w="4888" w:type="dxa"/>
            <w:tcBorders>
              <w:tl2br w:val="nil"/>
              <w:tr2bl w:val="nil"/>
            </w:tcBorders>
            <w:shd w:val="clear" w:color="auto" w:fill="auto"/>
            <w:noWrap/>
            <w:vAlign w:val="center"/>
          </w:tcPr>
          <w:p w14:paraId="5759320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2C24C7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4823FEF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成骨细胞瘤</w:t>
            </w:r>
          </w:p>
        </w:tc>
        <w:tc>
          <w:tcPr>
            <w:tcW w:w="4888" w:type="dxa"/>
            <w:tcBorders>
              <w:tl2br w:val="nil"/>
              <w:tr2bl w:val="nil"/>
            </w:tcBorders>
            <w:shd w:val="clear" w:color="auto" w:fill="auto"/>
            <w:noWrap/>
            <w:vAlign w:val="center"/>
          </w:tcPr>
          <w:p w14:paraId="581F282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 重排</w:t>
            </w:r>
          </w:p>
        </w:tc>
      </w:tr>
      <w:tr w14:paraId="3E4449A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9EA08FC">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DBEFC72">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FOSB 重排</w:t>
            </w:r>
          </w:p>
        </w:tc>
      </w:tr>
      <w:tr w14:paraId="61D44B2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3EDEA9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骨上皮样血管瘤</w:t>
            </w:r>
          </w:p>
        </w:tc>
        <w:tc>
          <w:tcPr>
            <w:tcW w:w="4888" w:type="dxa"/>
            <w:tcBorders>
              <w:tl2br w:val="nil"/>
              <w:tr2bl w:val="nil"/>
            </w:tcBorders>
            <w:shd w:val="clear" w:color="auto" w:fill="auto"/>
            <w:noWrap/>
            <w:vAlign w:val="center"/>
          </w:tcPr>
          <w:p w14:paraId="053183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FOS-MBNL1</w:t>
            </w:r>
          </w:p>
        </w:tc>
      </w:tr>
      <w:tr w14:paraId="088A3E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0AE253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36852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FOS-VIM</w:t>
            </w:r>
          </w:p>
        </w:tc>
      </w:tr>
      <w:tr w14:paraId="6F144D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486A5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2B18F3D7">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FOS-RP11-326N17.1(lincRNA)</w:t>
            </w:r>
          </w:p>
        </w:tc>
      </w:tr>
      <w:tr w14:paraId="45216E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39E5670">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F9202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FOS-LMNA</w:t>
            </w:r>
          </w:p>
        </w:tc>
      </w:tr>
      <w:tr w14:paraId="3AD69A8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CC1BC77">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0C1CA8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ZFP36-FOSB</w:t>
            </w:r>
          </w:p>
        </w:tc>
      </w:tr>
      <w:tr w14:paraId="2EAD34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EDFDB28">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A6CBA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WWTR1-FOSB</w:t>
            </w:r>
          </w:p>
        </w:tc>
      </w:tr>
      <w:tr w14:paraId="1385C17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7B45F11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骨上皮样血管内皮瘤</w:t>
            </w:r>
          </w:p>
        </w:tc>
        <w:tc>
          <w:tcPr>
            <w:tcW w:w="4888" w:type="dxa"/>
            <w:tcBorders>
              <w:tl2br w:val="nil"/>
              <w:tr2bl w:val="nil"/>
            </w:tcBorders>
            <w:shd w:val="clear" w:color="auto" w:fill="auto"/>
            <w:noWrap/>
            <w:vAlign w:val="center"/>
          </w:tcPr>
          <w:p w14:paraId="5175242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WWTR1-CAMTA1</w:t>
            </w:r>
          </w:p>
        </w:tc>
      </w:tr>
      <w:tr w14:paraId="6FC1DC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D01ECC9">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FB0E08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YAP1-TFE3</w:t>
            </w:r>
          </w:p>
        </w:tc>
      </w:tr>
      <w:tr w14:paraId="0C9EACC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restart"/>
            <w:tcBorders>
              <w:tl2br w:val="nil"/>
              <w:tr2bl w:val="nil"/>
            </w:tcBorders>
            <w:shd w:val="clear" w:color="auto" w:fill="auto"/>
            <w:vAlign w:val="center"/>
          </w:tcPr>
          <w:p w14:paraId="0787D768">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动脉瘤样骨囊肿</w:t>
            </w:r>
          </w:p>
        </w:tc>
        <w:tc>
          <w:tcPr>
            <w:tcW w:w="4888" w:type="dxa"/>
            <w:tcBorders>
              <w:tl2br w:val="nil"/>
              <w:tr2bl w:val="nil"/>
            </w:tcBorders>
            <w:shd w:val="clear" w:color="auto" w:fill="auto"/>
            <w:noWrap/>
            <w:vAlign w:val="center"/>
          </w:tcPr>
          <w:p w14:paraId="4F39DA73">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CDH11-USP6</w:t>
            </w:r>
          </w:p>
        </w:tc>
      </w:tr>
      <w:tr w14:paraId="5D8317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56557D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FD68B5">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THRAP3-USP6</w:t>
            </w:r>
          </w:p>
        </w:tc>
      </w:tr>
      <w:tr w14:paraId="06BABC5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7AD8E4F">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4A1B74A">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CNBP-USP6</w:t>
            </w:r>
          </w:p>
        </w:tc>
      </w:tr>
      <w:tr w14:paraId="2E0AEA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473E991E">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0170856">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OMD-USP6</w:t>
            </w:r>
          </w:p>
        </w:tc>
      </w:tr>
      <w:tr w14:paraId="4B6C7E1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84F2B4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EC2C2E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COL1A1-USP6</w:t>
            </w:r>
          </w:p>
        </w:tc>
      </w:tr>
      <w:tr w14:paraId="23D4C7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C338F7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90D77E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CTNNB1-USP6</w:t>
            </w:r>
          </w:p>
        </w:tc>
      </w:tr>
      <w:tr w14:paraId="28B238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113BC4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CDCFE4D">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STAT3-USP6</w:t>
            </w:r>
          </w:p>
        </w:tc>
      </w:tr>
      <w:tr w14:paraId="36DFE9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0D78761A">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55365ABC">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FOSL2-USP6</w:t>
            </w:r>
          </w:p>
        </w:tc>
      </w:tr>
      <w:tr w14:paraId="616B86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5CD0ED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71ED6EC9">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EIF1-USP6</w:t>
            </w:r>
          </w:p>
        </w:tc>
      </w:tr>
      <w:tr w14:paraId="0E8227F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147C2E42">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07DC7CE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SPARC-USP6</w:t>
            </w:r>
          </w:p>
        </w:tc>
      </w:tr>
      <w:tr w14:paraId="654AB07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FBB1F94">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1D399DA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PAFAH1B1-USP6</w:t>
            </w:r>
          </w:p>
        </w:tc>
      </w:tr>
      <w:tr w14:paraId="7253A0D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3799F0DB">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47EA1164">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USP9X-USP6</w:t>
            </w:r>
          </w:p>
        </w:tc>
      </w:tr>
      <w:tr w14:paraId="1CA6E2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8" w:type="dxa"/>
            <w:vMerge w:val="continue"/>
            <w:tcBorders>
              <w:tl2br w:val="nil"/>
              <w:tr2bl w:val="nil"/>
            </w:tcBorders>
            <w:shd w:val="clear" w:color="auto" w:fill="auto"/>
            <w:vAlign w:val="center"/>
          </w:tcPr>
          <w:p w14:paraId="6F1B8B36">
            <w:pPr>
              <w:rPr>
                <w:rFonts w:ascii="Times New Roman" w:hAnsi="Times New Roman" w:eastAsia="微软雅黑" w:cs="Times New Roman"/>
                <w:sz w:val="18"/>
                <w:szCs w:val="18"/>
              </w:rPr>
            </w:pPr>
          </w:p>
        </w:tc>
        <w:tc>
          <w:tcPr>
            <w:tcW w:w="4888" w:type="dxa"/>
            <w:tcBorders>
              <w:tl2br w:val="nil"/>
              <w:tr2bl w:val="nil"/>
            </w:tcBorders>
            <w:shd w:val="clear" w:color="auto" w:fill="auto"/>
            <w:noWrap/>
            <w:vAlign w:val="center"/>
          </w:tcPr>
          <w:p w14:paraId="6CB9E21E">
            <w:pPr>
              <w:widowControl/>
              <w:textAlignment w:val="center"/>
              <w:rPr>
                <w:rFonts w:ascii="Times New Roman" w:hAnsi="Times New Roman" w:eastAsia="微软雅黑" w:cs="Times New Roman"/>
                <w:sz w:val="18"/>
                <w:szCs w:val="18"/>
              </w:rPr>
            </w:pPr>
            <w:r>
              <w:rPr>
                <w:rFonts w:ascii="Times New Roman" w:hAnsi="Times New Roman" w:eastAsia="微软雅黑" w:cs="Times New Roman"/>
                <w:sz w:val="18"/>
                <w:szCs w:val="18"/>
                <w:lang w:eastAsia="zh-CN" w:bidi="ar"/>
              </w:rPr>
              <w:t>RUNX2-USP6</w:t>
            </w:r>
          </w:p>
        </w:tc>
      </w:tr>
    </w:tbl>
    <w:p w14:paraId="56637077">
      <w:pPr>
        <w:rPr>
          <w:rFonts w:ascii="Times New Roman" w:hAnsi="Times New Roman" w:eastAsia="微软雅黑" w:cs="Times New Roman"/>
        </w:rPr>
      </w:pPr>
      <w:r>
        <w:rPr>
          <w:rFonts w:ascii="Times New Roman" w:hAnsi="Times New Roman" w:eastAsia="微软雅黑" w:cs="Times New Roman"/>
          <w:color w:val="000000"/>
          <w:sz w:val="18"/>
          <w:szCs w:val="18"/>
          <w:lang w:eastAsia="zh-Hans" w:bidi="ar"/>
        </w:rPr>
        <w:t>参考指南：</w:t>
      </w:r>
      <w:r>
        <w:rPr>
          <w:rFonts w:ascii="Times New Roman" w:hAnsi="Times New Roman" w:eastAsia="微软雅黑" w:cs="Times New Roman"/>
          <w:color w:val="000000"/>
          <w:sz w:val="18"/>
          <w:szCs w:val="18"/>
          <w:lang w:eastAsia="zh-CN" w:bidi="ar"/>
        </w:rPr>
        <w:t>Soft tissue and bone tumours / edited by WHO Classification of Tumours Editorial Board.（2020）</w:t>
      </w:r>
    </w:p>
    <w:p w14:paraId="628FDED3">
      <w:pPr>
        <w:rPr>
          <w:rFonts w:ascii="Times New Roman" w:hAnsi="Times New Roman" w:cs="Times New Roman"/>
          <w:lang w:eastAsia="zh-CN"/>
        </w:rPr>
      </w:pPr>
      <w:r>
        <w:rPr>
          <w:rFonts w:hint="eastAsia" w:ascii="Times New Roman" w:hAnsi="Times New Roman" w:cs="Times New Roman"/>
          <w:spacing w:val="-1"/>
          <w:sz w:val="18"/>
          <w:szCs w:val="18"/>
          <w:lang w:eastAsia="zh-Hans"/>
        </w:rPr>
        <w:br w:type="page"/>
      </w:r>
    </w:p>
    <w:p w14:paraId="3A5CDDD4">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本部分内容参考：NCCN-软组织肉瘤等指南</w:t>
      </w:r>
    </w:p>
    <w:tbl>
      <w:tblPr>
        <w:tblStyle w:val="15"/>
        <w:tblW w:w="10026"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96"/>
        <w:gridCol w:w="4930"/>
      </w:tblGrid>
      <w:tr w14:paraId="53D1BC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473" w:hRule="atLeast"/>
          <w:tblHeader/>
          <w:jc w:val="center"/>
        </w:trPr>
        <w:tc>
          <w:tcPr>
            <w:tcW w:w="5096" w:type="dxa"/>
            <w:tcBorders>
              <w:top w:val="nil"/>
              <w:bottom w:val="nil"/>
              <w:right w:val="single" w:color="FFFFFF" w:sz="18" w:space="0"/>
            </w:tcBorders>
            <w:shd w:val="clear" w:color="auto" w:fill="62B541"/>
            <w:vAlign w:val="center"/>
          </w:tcPr>
          <w:p w14:paraId="62C12211">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930" w:type="dxa"/>
            <w:tcBorders>
              <w:top w:val="nil"/>
              <w:left w:val="single" w:color="FFFFFF" w:sz="18" w:space="0"/>
              <w:bottom w:val="nil"/>
            </w:tcBorders>
            <w:shd w:val="clear" w:color="auto" w:fill="62B541"/>
            <w:vAlign w:val="center"/>
          </w:tcPr>
          <w:p w14:paraId="4731CC0D">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95ACD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op w:val="nil"/>
              <w:tl2br w:val="nil"/>
              <w:tr2bl w:val="nil"/>
            </w:tcBorders>
            <w:shd w:val="clear" w:color="auto" w:fill="auto"/>
            <w:vAlign w:val="center"/>
          </w:tcPr>
          <w:p w14:paraId="5B0C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930" w:type="dxa"/>
            <w:tcBorders>
              <w:top w:val="nil"/>
              <w:tl2br w:val="nil"/>
              <w:tr2bl w:val="nil"/>
            </w:tcBorders>
            <w:shd w:val="clear" w:color="auto" w:fill="auto"/>
            <w:vAlign w:val="center"/>
          </w:tcPr>
          <w:p w14:paraId="1E7425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02EDA07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7AF5E2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5E128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2F465B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BA32D9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4C75E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PAX3-FOXO4(AFX)</w:t>
            </w:r>
          </w:p>
        </w:tc>
      </w:tr>
      <w:tr w14:paraId="534238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7D32F3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8103E0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8E8DE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continue"/>
            <w:tcBorders>
              <w:tl2br w:val="nil"/>
              <w:tr2bl w:val="nil"/>
            </w:tcBorders>
            <w:shd w:val="clear" w:color="auto" w:fill="auto"/>
            <w:vAlign w:val="center"/>
          </w:tcPr>
          <w:p w14:paraId="6564241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2F82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4158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384A01A6">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2F380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PAX3-INO80D</w:t>
            </w:r>
          </w:p>
        </w:tc>
      </w:tr>
      <w:tr w14:paraId="679B1F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5CB9977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930" w:type="dxa"/>
            <w:tcBorders>
              <w:tl2br w:val="nil"/>
              <w:tr2bl w:val="nil"/>
            </w:tcBorders>
            <w:shd w:val="clear" w:color="auto" w:fill="auto"/>
            <w:vAlign w:val="center"/>
          </w:tcPr>
          <w:p w14:paraId="7893D5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0DB7BC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B99D08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尤文肉瘤/外周神经外胚层肿瘤</w:t>
            </w:r>
          </w:p>
        </w:tc>
        <w:tc>
          <w:tcPr>
            <w:tcW w:w="4930" w:type="dxa"/>
            <w:tcBorders>
              <w:tl2br w:val="nil"/>
              <w:tr2bl w:val="nil"/>
            </w:tcBorders>
            <w:shd w:val="clear" w:color="auto" w:fill="auto"/>
            <w:vAlign w:val="center"/>
          </w:tcPr>
          <w:p w14:paraId="72AD08F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70F65C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62261F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AB595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1B4CB5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F4FB7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40777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696DB6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D79C38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82E8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3407120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7C852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F21B5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EWSR1-ETV4(E1AF)</w:t>
            </w:r>
          </w:p>
        </w:tc>
      </w:tr>
      <w:tr w14:paraId="436CBC8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2803D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1CE9C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FAE329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A3EC94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64A54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58A491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B9A144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9F01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5A9CEA9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restart"/>
            <w:tcBorders>
              <w:tl2br w:val="nil"/>
              <w:tr2bl w:val="nil"/>
            </w:tcBorders>
            <w:shd w:val="clear" w:color="auto" w:fill="auto"/>
            <w:vAlign w:val="center"/>
          </w:tcPr>
          <w:p w14:paraId="6FF990D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未分化圆形细胞肉瘤</w:t>
            </w:r>
          </w:p>
        </w:tc>
        <w:tc>
          <w:tcPr>
            <w:tcW w:w="4930" w:type="dxa"/>
            <w:tcBorders>
              <w:tl2br w:val="nil"/>
              <w:tr2bl w:val="nil"/>
            </w:tcBorders>
            <w:shd w:val="clear" w:color="auto" w:fill="auto"/>
            <w:vAlign w:val="center"/>
          </w:tcPr>
          <w:p w14:paraId="7DB7166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7CEDC4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904C8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7606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22472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E17A51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黏液样/圆形细胞脂肪肉瘤</w:t>
            </w:r>
          </w:p>
        </w:tc>
        <w:tc>
          <w:tcPr>
            <w:tcW w:w="4930" w:type="dxa"/>
            <w:tcBorders>
              <w:tl2br w:val="nil"/>
              <w:tr2bl w:val="nil"/>
            </w:tcBorders>
            <w:shd w:val="clear" w:color="auto" w:fill="auto"/>
            <w:vAlign w:val="center"/>
          </w:tcPr>
          <w:p w14:paraId="7A41D0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7F6E0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99150D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264FE3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14D8945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2B5FA5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930" w:type="dxa"/>
            <w:tcBorders>
              <w:tl2br w:val="nil"/>
              <w:tr2bl w:val="nil"/>
            </w:tcBorders>
            <w:shd w:val="clear" w:color="auto" w:fill="auto"/>
            <w:vAlign w:val="center"/>
          </w:tcPr>
          <w:p w14:paraId="519B0A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ASPSCR1(ASPL)-TFE3</w:t>
            </w:r>
          </w:p>
        </w:tc>
      </w:tr>
      <w:tr w14:paraId="0D540D8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5AE87E5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血管瘤样纤维组织细胞瘤</w:t>
            </w:r>
          </w:p>
        </w:tc>
        <w:tc>
          <w:tcPr>
            <w:tcW w:w="4930" w:type="dxa"/>
            <w:tcBorders>
              <w:tl2br w:val="nil"/>
              <w:tr2bl w:val="nil"/>
            </w:tcBorders>
            <w:shd w:val="clear" w:color="auto" w:fill="auto"/>
            <w:vAlign w:val="center"/>
          </w:tcPr>
          <w:p w14:paraId="5F61EC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0E1F74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A02A71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3DFE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016EC6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B3A326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13658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FUS-ATF1</w:t>
            </w:r>
          </w:p>
        </w:tc>
      </w:tr>
      <w:tr w14:paraId="1A3D0D4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2FC15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透明细胞肉瘤</w:t>
            </w:r>
          </w:p>
        </w:tc>
        <w:tc>
          <w:tcPr>
            <w:tcW w:w="4930" w:type="dxa"/>
            <w:tcBorders>
              <w:tl2br w:val="nil"/>
              <w:tr2bl w:val="nil"/>
            </w:tcBorders>
            <w:shd w:val="clear" w:color="auto" w:fill="auto"/>
            <w:vAlign w:val="center"/>
          </w:tcPr>
          <w:p w14:paraId="18BDB4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677FCB7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833B36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9390D8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2AAA5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131BC3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先天性/婴幼儿纤维肉瘤</w:t>
            </w:r>
          </w:p>
        </w:tc>
        <w:tc>
          <w:tcPr>
            <w:tcW w:w="4930" w:type="dxa"/>
            <w:tcBorders>
              <w:tl2br w:val="nil"/>
              <w:tr2bl w:val="nil"/>
            </w:tcBorders>
            <w:shd w:val="clear" w:color="auto" w:fill="auto"/>
            <w:vAlign w:val="center"/>
          </w:tcPr>
          <w:p w14:paraId="0488CFA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5D58DD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A1D0C5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w:t>
            </w:r>
          </w:p>
        </w:tc>
        <w:tc>
          <w:tcPr>
            <w:tcW w:w="4930" w:type="dxa"/>
            <w:tcBorders>
              <w:tl2br w:val="nil"/>
              <w:tr2bl w:val="nil"/>
            </w:tcBorders>
            <w:shd w:val="clear" w:color="auto" w:fill="auto"/>
            <w:vAlign w:val="center"/>
          </w:tcPr>
          <w:p w14:paraId="2BF3BBC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65E275D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1FB9964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高级别子宫内膜间质肉瘤</w:t>
            </w:r>
          </w:p>
        </w:tc>
        <w:tc>
          <w:tcPr>
            <w:tcW w:w="4930" w:type="dxa"/>
            <w:tcBorders>
              <w:tl2br w:val="nil"/>
              <w:tr2bl w:val="nil"/>
            </w:tcBorders>
            <w:shd w:val="clear" w:color="auto" w:fill="auto"/>
            <w:vAlign w:val="center"/>
          </w:tcPr>
          <w:p w14:paraId="1339D3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YWHAE-NUTM2A</w:t>
            </w:r>
          </w:p>
        </w:tc>
      </w:tr>
      <w:tr w14:paraId="10FBDF7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21493B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6D372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5F656E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28DAE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4C7BDC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5BBFF3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0DF42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930" w:type="dxa"/>
            <w:tcBorders>
              <w:tl2br w:val="nil"/>
              <w:tr2bl w:val="nil"/>
            </w:tcBorders>
            <w:shd w:val="clear" w:color="auto" w:fill="auto"/>
            <w:vAlign w:val="center"/>
          </w:tcPr>
          <w:p w14:paraId="1A9CC0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595BC9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A500B20">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F8541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2D1F82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FAA2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930" w:type="dxa"/>
            <w:tcBorders>
              <w:tl2br w:val="nil"/>
              <w:tr2bl w:val="nil"/>
            </w:tcBorders>
            <w:shd w:val="clear" w:color="auto" w:fill="auto"/>
            <w:vAlign w:val="center"/>
          </w:tcPr>
          <w:p w14:paraId="2AF02A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426D933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CFDD2F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C19A4F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5DE3CCF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CBC8AC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4CA934D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66F93D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1BA4F6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39A9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2477648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30FC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胃肠道间质瘤</w:t>
            </w:r>
          </w:p>
        </w:tc>
        <w:tc>
          <w:tcPr>
            <w:tcW w:w="4930" w:type="dxa"/>
            <w:tcBorders>
              <w:tl2br w:val="nil"/>
              <w:tr2bl w:val="nil"/>
            </w:tcBorders>
            <w:shd w:val="clear" w:color="auto" w:fill="auto"/>
            <w:vAlign w:val="center"/>
          </w:tcPr>
          <w:p w14:paraId="324C846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52177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28F07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D97A4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0FFCD09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A8B18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2B49A1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0B38CE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B7DB00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11AD20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 融合</w:t>
            </w:r>
          </w:p>
        </w:tc>
      </w:tr>
      <w:tr w14:paraId="0BE936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044D4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炎性肌纤维母细胞瘤</w:t>
            </w:r>
          </w:p>
        </w:tc>
        <w:tc>
          <w:tcPr>
            <w:tcW w:w="4930" w:type="dxa"/>
            <w:tcBorders>
              <w:tl2br w:val="nil"/>
              <w:tr2bl w:val="nil"/>
            </w:tcBorders>
            <w:shd w:val="clear" w:color="auto" w:fill="auto"/>
            <w:vAlign w:val="center"/>
          </w:tcPr>
          <w:p w14:paraId="605310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66AA9C8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2558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DCD3A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304565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AC6869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1FCA4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0CACFB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3FD2BD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25B54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6C110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17EBC74">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362F68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202FA4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B04A2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C39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35BAB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C88201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6787A4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16B82E19">
        <w:tblPrEx>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C4A87C5">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F6622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F7B9EA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EE169C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930" w:type="dxa"/>
            <w:tcBorders>
              <w:tl2br w:val="nil"/>
              <w:tr2bl w:val="nil"/>
            </w:tcBorders>
            <w:shd w:val="clear" w:color="auto" w:fill="auto"/>
            <w:vAlign w:val="center"/>
          </w:tcPr>
          <w:p w14:paraId="11358B1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36770E9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6F1C057">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6811B8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2A976F9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76747D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930" w:type="dxa"/>
            <w:tcBorders>
              <w:tl2br w:val="nil"/>
              <w:tr2bl w:val="nil"/>
            </w:tcBorders>
            <w:shd w:val="clear" w:color="auto" w:fill="auto"/>
            <w:vAlign w:val="center"/>
          </w:tcPr>
          <w:p w14:paraId="0C0F88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2B0280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602973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930" w:type="dxa"/>
            <w:tcBorders>
              <w:tl2br w:val="nil"/>
              <w:tr2bl w:val="nil"/>
            </w:tcBorders>
            <w:shd w:val="clear" w:color="auto" w:fill="auto"/>
            <w:vAlign w:val="center"/>
          </w:tcPr>
          <w:p w14:paraId="6E67F5E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2325F34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1CFA27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930" w:type="dxa"/>
            <w:tcBorders>
              <w:tl2br w:val="nil"/>
              <w:tr2bl w:val="nil"/>
            </w:tcBorders>
            <w:shd w:val="clear" w:color="auto" w:fill="auto"/>
            <w:vAlign w:val="center"/>
          </w:tcPr>
          <w:p w14:paraId="52B98DC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B025F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BEAE35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7878B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6E15AE7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E2BACEF">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4EF7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69647F1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3D130BE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腱鞘巨细胞瘤/色素沉着绒毛结节性滑膜炎</w:t>
            </w:r>
          </w:p>
        </w:tc>
        <w:tc>
          <w:tcPr>
            <w:tcW w:w="4930" w:type="dxa"/>
            <w:tcBorders>
              <w:tl2br w:val="nil"/>
              <w:tr2bl w:val="nil"/>
            </w:tcBorders>
            <w:shd w:val="clear" w:color="auto" w:fill="auto"/>
            <w:vAlign w:val="center"/>
          </w:tcPr>
          <w:p w14:paraId="4C444E9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 重排</w:t>
            </w:r>
          </w:p>
        </w:tc>
      </w:tr>
      <w:tr w14:paraId="3CACF01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058588E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子宫上皮样平滑肌肉瘤</w:t>
            </w:r>
          </w:p>
        </w:tc>
        <w:tc>
          <w:tcPr>
            <w:tcW w:w="4930" w:type="dxa"/>
            <w:tcBorders>
              <w:tl2br w:val="nil"/>
              <w:tr2bl w:val="nil"/>
            </w:tcBorders>
            <w:shd w:val="clear" w:color="auto" w:fill="auto"/>
            <w:vAlign w:val="center"/>
          </w:tcPr>
          <w:p w14:paraId="18B902E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PGR 融合</w:t>
            </w:r>
          </w:p>
        </w:tc>
      </w:tr>
      <w:tr w14:paraId="1C363A1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4E03674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子宫粘液样平滑肌肉瘤</w:t>
            </w:r>
          </w:p>
        </w:tc>
        <w:tc>
          <w:tcPr>
            <w:tcW w:w="4930" w:type="dxa"/>
            <w:tcBorders>
              <w:tl2br w:val="nil"/>
              <w:tr2bl w:val="nil"/>
            </w:tcBorders>
            <w:shd w:val="clear" w:color="auto" w:fill="auto"/>
            <w:vAlign w:val="center"/>
          </w:tcPr>
          <w:p w14:paraId="1C1E3F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PLAG1 融合</w:t>
            </w:r>
          </w:p>
        </w:tc>
      </w:tr>
      <w:tr w14:paraId="5C259E7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30E68BA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低级别子宫内膜间质肉瘤</w:t>
            </w:r>
          </w:p>
        </w:tc>
        <w:tc>
          <w:tcPr>
            <w:tcW w:w="4930" w:type="dxa"/>
            <w:tcBorders>
              <w:tl2br w:val="nil"/>
              <w:tr2bl w:val="nil"/>
            </w:tcBorders>
            <w:shd w:val="clear" w:color="auto" w:fill="auto"/>
            <w:vAlign w:val="center"/>
          </w:tcPr>
          <w:p w14:paraId="5D68D0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JAZF1-SUZ12</w:t>
            </w:r>
          </w:p>
        </w:tc>
      </w:tr>
      <w:tr w14:paraId="28B583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PrEx>
        <w:trPr>
          <w:trHeight w:val="283" w:hRule="atLeast"/>
          <w:jc w:val="center"/>
        </w:trPr>
        <w:tc>
          <w:tcPr>
            <w:tcW w:w="5096" w:type="dxa"/>
            <w:vMerge w:val="continue"/>
            <w:tcBorders>
              <w:tl2br w:val="nil"/>
              <w:tr2bl w:val="nil"/>
            </w:tcBorders>
            <w:shd w:val="clear" w:color="auto" w:fill="auto"/>
            <w:vAlign w:val="center"/>
          </w:tcPr>
          <w:p w14:paraId="0D1CF2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5762AC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JAZF1-PHF1</w:t>
            </w:r>
          </w:p>
        </w:tc>
      </w:tr>
      <w:tr w14:paraId="63FD93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EE94D0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5645B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EPC1-PHF1</w:t>
            </w:r>
          </w:p>
        </w:tc>
      </w:tr>
      <w:tr w14:paraId="067922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01D161C">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73E83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MEAF6-PHF1</w:t>
            </w:r>
          </w:p>
        </w:tc>
      </w:tr>
      <w:tr w14:paraId="596912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19E6F2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13C456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MBTD1-EZHIP(CXorf67)</w:t>
            </w:r>
          </w:p>
        </w:tc>
      </w:tr>
      <w:tr w14:paraId="260434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42AFCD7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F1F3A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BRD8-PHF1</w:t>
            </w:r>
          </w:p>
        </w:tc>
      </w:tr>
      <w:tr w14:paraId="0B4BDE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CEDE70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5EEFB2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EPC2-PHF1</w:t>
            </w:r>
          </w:p>
        </w:tc>
      </w:tr>
      <w:tr w14:paraId="4144C9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82D62C3">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3EED14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EPC1-SUZ12</w:t>
            </w:r>
          </w:p>
        </w:tc>
      </w:tr>
      <w:tr w14:paraId="1CDB5D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FAB9B8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子宫血管周上皮样细胞瘤</w:t>
            </w:r>
          </w:p>
        </w:tc>
        <w:tc>
          <w:tcPr>
            <w:tcW w:w="4930" w:type="dxa"/>
            <w:tcBorders>
              <w:tl2br w:val="nil"/>
              <w:tr2bl w:val="nil"/>
            </w:tcBorders>
            <w:shd w:val="clear" w:color="auto" w:fill="auto"/>
            <w:vAlign w:val="center"/>
          </w:tcPr>
          <w:p w14:paraId="356BA6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 融合</w:t>
            </w:r>
          </w:p>
        </w:tc>
      </w:tr>
      <w:tr w14:paraId="0BB3818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228E1F7D">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55AA6B7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RAD51B 融合</w:t>
            </w:r>
          </w:p>
        </w:tc>
      </w:tr>
      <w:tr w14:paraId="4365985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56893AC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BEB2B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HTR4-ST3GAL1</w:t>
            </w:r>
          </w:p>
        </w:tc>
      </w:tr>
      <w:tr w14:paraId="471028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7D30242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子宫炎性肌纤维母细胞瘤</w:t>
            </w:r>
          </w:p>
        </w:tc>
        <w:tc>
          <w:tcPr>
            <w:tcW w:w="4930" w:type="dxa"/>
            <w:tcBorders>
              <w:tl2br w:val="nil"/>
              <w:tr2bl w:val="nil"/>
            </w:tcBorders>
            <w:shd w:val="clear" w:color="auto" w:fill="auto"/>
            <w:vAlign w:val="center"/>
          </w:tcPr>
          <w:p w14:paraId="5CDD1EC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IGFBP5-ALK</w:t>
            </w:r>
          </w:p>
        </w:tc>
      </w:tr>
      <w:tr w14:paraId="556070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3BCBDE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AD76AF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THBS1-ALK</w:t>
            </w:r>
          </w:p>
        </w:tc>
      </w:tr>
      <w:tr w14:paraId="6BC7160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6B78BD8">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09436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TIMP3-ALK</w:t>
            </w:r>
          </w:p>
        </w:tc>
      </w:tr>
      <w:tr w14:paraId="4521F2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137E0F2">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7B0A833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368BAC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9A43FEE">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31AA382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RRBP1-ALK</w:t>
            </w:r>
          </w:p>
        </w:tc>
      </w:tr>
      <w:tr w14:paraId="082B2DC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6C9B0E1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NTRK重排子宫肉瘤</w:t>
            </w:r>
          </w:p>
        </w:tc>
        <w:tc>
          <w:tcPr>
            <w:tcW w:w="4930" w:type="dxa"/>
            <w:tcBorders>
              <w:tl2br w:val="nil"/>
              <w:tr2bl w:val="nil"/>
            </w:tcBorders>
            <w:shd w:val="clear" w:color="auto" w:fill="auto"/>
            <w:vAlign w:val="center"/>
          </w:tcPr>
          <w:p w14:paraId="1075402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NTRK1 融合</w:t>
            </w:r>
          </w:p>
        </w:tc>
      </w:tr>
      <w:tr w14:paraId="60D04EE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6B34C599">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01A6C8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融合</w:t>
            </w:r>
          </w:p>
        </w:tc>
      </w:tr>
      <w:tr w14:paraId="4CFFDE6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71CA9BE1">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CAAFE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融合</w:t>
            </w:r>
          </w:p>
        </w:tc>
      </w:tr>
      <w:tr w14:paraId="761738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3A7940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类似于卵巢性索肿瘤的子宫肿瘤</w:t>
            </w:r>
          </w:p>
        </w:tc>
        <w:tc>
          <w:tcPr>
            <w:tcW w:w="4930" w:type="dxa"/>
            <w:tcBorders>
              <w:tl2br w:val="nil"/>
              <w:tr2bl w:val="nil"/>
            </w:tcBorders>
            <w:shd w:val="clear" w:color="auto" w:fill="auto"/>
            <w:vAlign w:val="center"/>
          </w:tcPr>
          <w:p w14:paraId="2B6E73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ESR1 融合</w:t>
            </w:r>
          </w:p>
        </w:tc>
      </w:tr>
      <w:tr w14:paraId="1293B8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03FE637B">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69A010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GREB1 融合</w:t>
            </w:r>
          </w:p>
        </w:tc>
      </w:tr>
      <w:tr w14:paraId="5FA7FA4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tcBorders>
              <w:tl2br w:val="nil"/>
              <w:tr2bl w:val="nil"/>
            </w:tcBorders>
            <w:shd w:val="clear" w:color="auto" w:fill="auto"/>
            <w:vAlign w:val="center"/>
          </w:tcPr>
          <w:p w14:paraId="269F5E6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子宫腺泡状横纹肌肉瘤</w:t>
            </w:r>
          </w:p>
        </w:tc>
        <w:tc>
          <w:tcPr>
            <w:tcW w:w="4930" w:type="dxa"/>
            <w:tcBorders>
              <w:tl2br w:val="nil"/>
              <w:tr2bl w:val="nil"/>
            </w:tcBorders>
            <w:shd w:val="clear" w:color="auto" w:fill="auto"/>
            <w:vAlign w:val="center"/>
          </w:tcPr>
          <w:p w14:paraId="63DF0E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 融合</w:t>
            </w:r>
          </w:p>
        </w:tc>
      </w:tr>
      <w:tr w14:paraId="2B5B6E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restart"/>
            <w:tcBorders>
              <w:tl2br w:val="nil"/>
              <w:tr2bl w:val="nil"/>
            </w:tcBorders>
            <w:shd w:val="clear" w:color="auto" w:fill="auto"/>
            <w:vAlign w:val="center"/>
          </w:tcPr>
          <w:p w14:paraId="223D0E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子宫Müllerian腺肉瘤</w:t>
            </w:r>
          </w:p>
        </w:tc>
        <w:tc>
          <w:tcPr>
            <w:tcW w:w="4930" w:type="dxa"/>
            <w:tcBorders>
              <w:tl2br w:val="nil"/>
              <w:tr2bl w:val="nil"/>
            </w:tcBorders>
            <w:shd w:val="clear" w:color="auto" w:fill="auto"/>
            <w:vAlign w:val="center"/>
          </w:tcPr>
          <w:p w14:paraId="7055D6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NCOA2 融合</w:t>
            </w:r>
          </w:p>
        </w:tc>
      </w:tr>
      <w:tr w14:paraId="03FCD5D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96" w:type="dxa"/>
            <w:vMerge w:val="continue"/>
            <w:tcBorders>
              <w:tl2br w:val="nil"/>
              <w:tr2bl w:val="nil"/>
            </w:tcBorders>
            <w:shd w:val="clear" w:color="auto" w:fill="auto"/>
            <w:vAlign w:val="center"/>
          </w:tcPr>
          <w:p w14:paraId="17F98BCA">
            <w:pPr>
              <w:rPr>
                <w:rFonts w:ascii="Times New Roman" w:hAnsi="Times New Roman" w:eastAsia="微软雅黑" w:cs="Times New Roman"/>
                <w:color w:val="000000" w:themeColor="text1"/>
                <w:sz w:val="18"/>
                <w:szCs w:val="18"/>
                <w14:textFill>
                  <w14:solidFill>
                    <w14:schemeClr w14:val="tx1"/>
                  </w14:solidFill>
                </w14:textFill>
              </w:rPr>
            </w:pPr>
          </w:p>
        </w:tc>
        <w:tc>
          <w:tcPr>
            <w:tcW w:w="4930" w:type="dxa"/>
            <w:tcBorders>
              <w:tl2br w:val="nil"/>
              <w:tr2bl w:val="nil"/>
            </w:tcBorders>
            <w:shd w:val="clear" w:color="auto" w:fill="auto"/>
            <w:vAlign w:val="center"/>
          </w:tcPr>
          <w:p w14:paraId="2313A16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NCOA3 融合</w:t>
            </w:r>
          </w:p>
        </w:tc>
      </w:tr>
    </w:tbl>
    <w:p w14:paraId="60411581">
      <w:pPr>
        <w:rPr>
          <w:rFonts w:ascii="微软雅黑" w:hAnsi="微软雅黑" w:eastAsia="微软雅黑" w:cs="微软雅黑"/>
          <w:sz w:val="18"/>
          <w:szCs w:val="18"/>
          <w:lang w:eastAsia="zh-Hans"/>
        </w:rPr>
      </w:pPr>
      <w:r>
        <w:rPr>
          <w:rFonts w:hint="eastAsia" w:ascii="微软雅黑" w:hAnsi="微软雅黑" w:eastAsia="微软雅黑" w:cs="微软雅黑"/>
          <w:sz w:val="18"/>
          <w:szCs w:val="18"/>
          <w:lang w:eastAsia="zh-Hans"/>
        </w:rPr>
        <w:t>参考指南：</w:t>
      </w:r>
    </w:p>
    <w:p w14:paraId="7810CD5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2</w:t>
      </w:r>
      <w:r>
        <w:rPr>
          <w:rFonts w:hint="eastAsia" w:ascii="Times New Roman" w:hAnsi="Times New Roman" w:eastAsia="微软雅黑" w:cs="Times New Roman"/>
          <w:sz w:val="18"/>
          <w:szCs w:val="18"/>
          <w:lang w:eastAsia="zh-Hans"/>
        </w:rPr>
        <w:t>.</w:t>
      </w:r>
      <w:r>
        <w:rPr>
          <w:rFonts w:ascii="Times New Roman" w:hAnsi="Times New Roman" w:eastAsia="微软雅黑" w:cs="Times New Roman"/>
          <w:sz w:val="18"/>
          <w:szCs w:val="18"/>
          <w:lang w:eastAsia="zh-Hans"/>
        </w:rPr>
        <w:t>202</w:t>
      </w:r>
      <w:r>
        <w:rPr>
          <w:rFonts w:hint="eastAsia" w:ascii="Times New Roman" w:hAnsi="Times New Roman" w:eastAsia="微软雅黑" w:cs="Times New Roman"/>
          <w:sz w:val="18"/>
          <w:szCs w:val="18"/>
          <w:lang w:eastAsia="zh-CN"/>
        </w:rPr>
        <w:t>2</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oft</w:t>
      </w:r>
      <w:r>
        <w:rPr>
          <w:rFonts w:ascii="Times New Roman" w:hAnsi="Times New Roman" w:eastAsia="微软雅黑" w:cs="Times New Roman"/>
          <w:sz w:val="18"/>
          <w:szCs w:val="18"/>
          <w:lang w:eastAsia="zh-Hans"/>
        </w:rPr>
        <w:t xml:space="preserve"> T</w:t>
      </w:r>
      <w:r>
        <w:rPr>
          <w:rFonts w:hint="eastAsia" w:ascii="Times New Roman" w:hAnsi="Times New Roman" w:eastAsia="微软雅黑" w:cs="Times New Roman"/>
          <w:sz w:val="18"/>
          <w:szCs w:val="18"/>
          <w:lang w:eastAsia="zh-Hans"/>
        </w:rPr>
        <w:t>issue</w:t>
      </w:r>
      <w:r>
        <w:rPr>
          <w:rFonts w:ascii="Times New Roman" w:hAnsi="Times New Roman" w:eastAsia="微软雅黑" w:cs="Times New Roman"/>
          <w:sz w:val="18"/>
          <w:szCs w:val="18"/>
          <w:lang w:eastAsia="zh-Hans"/>
        </w:rPr>
        <w:t xml:space="preserve"> S</w:t>
      </w:r>
      <w:r>
        <w:rPr>
          <w:rFonts w:hint="eastAsia" w:ascii="Times New Roman" w:hAnsi="Times New Roman" w:eastAsia="微软雅黑" w:cs="Times New Roman"/>
          <w:sz w:val="18"/>
          <w:szCs w:val="18"/>
          <w:lang w:eastAsia="zh-Hans"/>
        </w:rPr>
        <w:t>arcoma</w:t>
      </w:r>
    </w:p>
    <w:p w14:paraId="34876229">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Bone Cancer</w:t>
      </w:r>
    </w:p>
    <w:p w14:paraId="0FD36ADF">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Gastrointestinal Stromal Tumors (GISTs)</w:t>
      </w:r>
    </w:p>
    <w:p w14:paraId="5C533EAD">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1.2022 Uterine Neoplasms</w:t>
      </w:r>
    </w:p>
    <w:p w14:paraId="7798BDFB">
      <w:pPr>
        <w:numPr>
          <w:ilvl w:val="0"/>
          <w:numId w:val="12"/>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NCCN G</w:t>
      </w:r>
      <w:r>
        <w:rPr>
          <w:rFonts w:hint="eastAsia" w:ascii="Times New Roman" w:hAnsi="Times New Roman" w:eastAsia="微软雅黑" w:cs="Times New Roman"/>
          <w:sz w:val="18"/>
          <w:szCs w:val="18"/>
          <w:lang w:eastAsia="zh-Hans"/>
        </w:rPr>
        <w:t>uidelines</w:t>
      </w:r>
      <w:r>
        <w:rPr>
          <w:rFonts w:ascii="Times New Roman" w:hAnsi="Times New Roman" w:eastAsia="微软雅黑" w:cs="Times New Roman"/>
          <w:sz w:val="18"/>
          <w:szCs w:val="18"/>
          <w:lang w:eastAsia="zh-Hans"/>
        </w:rPr>
        <w:t xml:space="preserve"> V</w:t>
      </w:r>
      <w:r>
        <w:rPr>
          <w:rFonts w:hint="eastAsia" w:ascii="Times New Roman" w:hAnsi="Times New Roman" w:eastAsia="微软雅黑" w:cs="Times New Roman"/>
          <w:sz w:val="18"/>
          <w:szCs w:val="18"/>
          <w:lang w:eastAsia="zh-Hans"/>
        </w:rPr>
        <w:t>ersion</w:t>
      </w:r>
      <w:r>
        <w:rPr>
          <w:rFonts w:ascii="Times New Roman" w:hAnsi="Times New Roman" w:eastAsia="微软雅黑" w:cs="Times New Roman"/>
          <w:sz w:val="18"/>
          <w:szCs w:val="18"/>
          <w:lang w:eastAsia="zh-Hans"/>
        </w:rPr>
        <w:t xml:space="preserve"> </w:t>
      </w:r>
      <w:r>
        <w:rPr>
          <w:rFonts w:hint="eastAsia" w:ascii="Times New Roman" w:hAnsi="Times New Roman" w:eastAsia="微软雅黑" w:cs="Times New Roman"/>
          <w:sz w:val="18"/>
          <w:szCs w:val="18"/>
          <w:lang w:eastAsia="zh-CN"/>
        </w:rPr>
        <w:t>2.2022 Dermatofibrosarcoma Protuberans</w:t>
      </w:r>
    </w:p>
    <w:p w14:paraId="3E3D2598">
      <w:pPr>
        <w:rPr>
          <w:rFonts w:ascii="Times New Roman" w:hAnsi="Times New Roman" w:cs="Times New Roman"/>
          <w:sz w:val="24"/>
          <w:szCs w:val="24"/>
          <w:lang w:eastAsia="zh-CN"/>
        </w:rPr>
      </w:pPr>
    </w:p>
    <w:p w14:paraId="635E1887">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762C6E7C">
      <w:pPr>
        <w:numPr>
          <w:ilvl w:val="0"/>
          <w:numId w:val="11"/>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本部分内容参考：CSCO-软组织</w:t>
      </w:r>
      <w:r>
        <w:rPr>
          <w:rFonts w:ascii="Times New Roman" w:hAnsi="Times New Roman" w:eastAsia="微软雅黑" w:cs="Times New Roman"/>
          <w:sz w:val="21"/>
          <w:szCs w:val="21"/>
          <w:lang w:eastAsia="zh-CN"/>
        </w:rPr>
        <w:t>肉</w:t>
      </w:r>
      <w:r>
        <w:rPr>
          <w:rFonts w:ascii="Times New Roman" w:hAnsi="Times New Roman" w:eastAsia="微软雅黑" w:cs="Times New Roman"/>
          <w:sz w:val="21"/>
          <w:szCs w:val="21"/>
          <w:lang w:eastAsia="zh-Hans"/>
        </w:rPr>
        <w:t>瘤等指南</w:t>
      </w:r>
    </w:p>
    <w:tbl>
      <w:tblPr>
        <w:tblStyle w:val="15"/>
        <w:tblW w:w="9960"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2"/>
        <w:gridCol w:w="4878"/>
      </w:tblGrid>
      <w:tr w14:paraId="6C059E3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4" w:hRule="atLeast"/>
          <w:tblHeader/>
          <w:jc w:val="center"/>
        </w:trPr>
        <w:tc>
          <w:tcPr>
            <w:tcW w:w="5082" w:type="dxa"/>
            <w:tcBorders>
              <w:top w:val="nil"/>
              <w:bottom w:val="nil"/>
              <w:right w:val="single" w:color="FFFFFF" w:sz="18" w:space="0"/>
            </w:tcBorders>
            <w:shd w:val="clear" w:color="auto" w:fill="62B541"/>
            <w:vAlign w:val="center"/>
          </w:tcPr>
          <w:p w14:paraId="36094A0E">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78" w:type="dxa"/>
            <w:tcBorders>
              <w:top w:val="nil"/>
              <w:left w:val="single" w:color="FFFFFF" w:sz="18" w:space="0"/>
              <w:bottom w:val="nil"/>
            </w:tcBorders>
            <w:shd w:val="clear" w:color="auto" w:fill="62B541"/>
            <w:vAlign w:val="center"/>
          </w:tcPr>
          <w:p w14:paraId="4B504A0F">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67AC792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op w:val="nil"/>
              <w:tl2br w:val="nil"/>
              <w:tr2bl w:val="nil"/>
            </w:tcBorders>
            <w:shd w:val="clear" w:color="auto" w:fill="auto"/>
            <w:vAlign w:val="center"/>
          </w:tcPr>
          <w:p w14:paraId="221751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黏液样脂肪肉瘤</w:t>
            </w:r>
          </w:p>
        </w:tc>
        <w:tc>
          <w:tcPr>
            <w:tcW w:w="4878" w:type="dxa"/>
            <w:tcBorders>
              <w:top w:val="nil"/>
              <w:tl2br w:val="nil"/>
              <w:tr2bl w:val="nil"/>
            </w:tcBorders>
            <w:shd w:val="clear" w:color="auto" w:fill="auto"/>
            <w:vAlign w:val="center"/>
          </w:tcPr>
          <w:p w14:paraId="62F4515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FUS-DDIT3</w:t>
            </w:r>
          </w:p>
        </w:tc>
      </w:tr>
      <w:tr w14:paraId="370F9EB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74311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DF958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EWSR1-DDIT3</w:t>
            </w:r>
          </w:p>
        </w:tc>
      </w:tr>
      <w:tr w14:paraId="0BB441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7268CA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孤立性纤维性肿瘤</w:t>
            </w:r>
          </w:p>
        </w:tc>
        <w:tc>
          <w:tcPr>
            <w:tcW w:w="4878" w:type="dxa"/>
            <w:tcBorders>
              <w:tl2br w:val="nil"/>
              <w:tr2bl w:val="nil"/>
            </w:tcBorders>
            <w:shd w:val="clear" w:color="auto" w:fill="auto"/>
            <w:vAlign w:val="center"/>
          </w:tcPr>
          <w:p w14:paraId="60A7072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NAB2-STAT6</w:t>
            </w:r>
          </w:p>
        </w:tc>
      </w:tr>
      <w:tr w14:paraId="018C40E2">
        <w:tblPrEx>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DAF19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炎性成肌纤维细胞瘤</w:t>
            </w:r>
          </w:p>
        </w:tc>
        <w:tc>
          <w:tcPr>
            <w:tcW w:w="4878" w:type="dxa"/>
            <w:tcBorders>
              <w:tl2br w:val="nil"/>
              <w:tr2bl w:val="nil"/>
            </w:tcBorders>
            <w:shd w:val="clear" w:color="auto" w:fill="auto"/>
            <w:vAlign w:val="center"/>
          </w:tcPr>
          <w:p w14:paraId="6BBEF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TPM3-ALK</w:t>
            </w:r>
          </w:p>
        </w:tc>
      </w:tr>
      <w:tr w14:paraId="771EF99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E4CB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A9596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TPM4-ALK</w:t>
            </w:r>
          </w:p>
        </w:tc>
      </w:tr>
      <w:tr w14:paraId="7732435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E7C8F6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F8293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CLTC-ALK</w:t>
            </w:r>
          </w:p>
        </w:tc>
      </w:tr>
      <w:tr w14:paraId="428F4C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E3FAF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278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03B51DF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41F3B0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8D88B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ATIC-ALK</w:t>
            </w:r>
          </w:p>
        </w:tc>
      </w:tr>
      <w:tr w14:paraId="54E1A80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69A4CE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9A8A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CARS1(CARS)-ALK</w:t>
            </w:r>
          </w:p>
        </w:tc>
      </w:tr>
      <w:tr w14:paraId="0EDEEC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A370A3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437EE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SEC31A(SEC31L1)-ALK</w:t>
            </w:r>
          </w:p>
        </w:tc>
      </w:tr>
      <w:tr w14:paraId="170C25F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B108FA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CC694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PPFIBP1-ALK</w:t>
            </w:r>
          </w:p>
        </w:tc>
      </w:tr>
      <w:tr w14:paraId="534C53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B81C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0187F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30C0B10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CB224A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B8847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9D356D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96F6E5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隆突性皮肤纤维肉瘤/巨细胞成纤维细胞瘤</w:t>
            </w:r>
          </w:p>
        </w:tc>
        <w:tc>
          <w:tcPr>
            <w:tcW w:w="4878" w:type="dxa"/>
            <w:tcBorders>
              <w:tl2br w:val="nil"/>
              <w:tr2bl w:val="nil"/>
            </w:tcBorders>
            <w:shd w:val="clear" w:color="auto" w:fill="auto"/>
            <w:vAlign w:val="center"/>
          </w:tcPr>
          <w:p w14:paraId="56F015F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COL1A1-PDGFB</w:t>
            </w:r>
          </w:p>
        </w:tc>
      </w:tr>
      <w:tr w14:paraId="0593A9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5981FB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婴儿型纤维肉瘤</w:t>
            </w:r>
          </w:p>
        </w:tc>
        <w:tc>
          <w:tcPr>
            <w:tcW w:w="4878" w:type="dxa"/>
            <w:tcBorders>
              <w:tl2br w:val="nil"/>
              <w:tr2bl w:val="nil"/>
            </w:tcBorders>
            <w:shd w:val="clear" w:color="auto" w:fill="auto"/>
            <w:vAlign w:val="center"/>
          </w:tcPr>
          <w:p w14:paraId="0DA1A72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F3518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C59541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低级别纤维黏液样肉瘤</w:t>
            </w:r>
          </w:p>
        </w:tc>
        <w:tc>
          <w:tcPr>
            <w:tcW w:w="4878" w:type="dxa"/>
            <w:tcBorders>
              <w:tl2br w:val="nil"/>
              <w:tr2bl w:val="nil"/>
            </w:tcBorders>
            <w:shd w:val="clear" w:color="auto" w:fill="auto"/>
            <w:vAlign w:val="center"/>
          </w:tcPr>
          <w:p w14:paraId="47CDF7F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63F985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60A529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9E25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3A97FE1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394785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硬化性上皮样纤维肉瘤</w:t>
            </w:r>
          </w:p>
        </w:tc>
        <w:tc>
          <w:tcPr>
            <w:tcW w:w="4878" w:type="dxa"/>
            <w:tcBorders>
              <w:tl2br w:val="nil"/>
              <w:tr2bl w:val="nil"/>
            </w:tcBorders>
            <w:shd w:val="clear" w:color="auto" w:fill="auto"/>
            <w:vAlign w:val="center"/>
          </w:tcPr>
          <w:p w14:paraId="2FC400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EWSR1-CREB3L1</w:t>
            </w:r>
          </w:p>
        </w:tc>
      </w:tr>
      <w:tr w14:paraId="2E55B14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AD1C37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F9D10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FUS-CREB3L1</w:t>
            </w:r>
          </w:p>
        </w:tc>
      </w:tr>
      <w:tr w14:paraId="192E086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28BA5D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D91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FUS-CREB3L2</w:t>
            </w:r>
          </w:p>
        </w:tc>
      </w:tr>
      <w:tr w14:paraId="70F244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155EAF4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腱鞘巨细胞瘤</w:t>
            </w:r>
          </w:p>
        </w:tc>
        <w:tc>
          <w:tcPr>
            <w:tcW w:w="4878" w:type="dxa"/>
            <w:tcBorders>
              <w:tl2br w:val="nil"/>
              <w:tr2bl w:val="nil"/>
            </w:tcBorders>
            <w:shd w:val="clear" w:color="auto" w:fill="auto"/>
            <w:vAlign w:val="center"/>
          </w:tcPr>
          <w:p w14:paraId="2C2E4F9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CSF1-COL6A3</w:t>
            </w:r>
          </w:p>
        </w:tc>
      </w:tr>
      <w:tr w14:paraId="0A3F81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446C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上皮样血管内皮瘤</w:t>
            </w:r>
          </w:p>
        </w:tc>
        <w:tc>
          <w:tcPr>
            <w:tcW w:w="4878" w:type="dxa"/>
            <w:tcBorders>
              <w:tl2br w:val="nil"/>
              <w:tr2bl w:val="nil"/>
            </w:tcBorders>
            <w:shd w:val="clear" w:color="auto" w:fill="auto"/>
            <w:vAlign w:val="center"/>
          </w:tcPr>
          <w:p w14:paraId="67121C6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WWTR1-CAMTA1</w:t>
            </w:r>
          </w:p>
        </w:tc>
      </w:tr>
      <w:tr w14:paraId="6632DC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5032E8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232A3D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3B7C938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58AAF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腺泡状横纹肌肉瘤</w:t>
            </w:r>
          </w:p>
        </w:tc>
        <w:tc>
          <w:tcPr>
            <w:tcW w:w="4878" w:type="dxa"/>
            <w:tcBorders>
              <w:tl2br w:val="nil"/>
              <w:tr2bl w:val="nil"/>
            </w:tcBorders>
            <w:shd w:val="clear" w:color="auto" w:fill="auto"/>
            <w:vAlign w:val="center"/>
          </w:tcPr>
          <w:p w14:paraId="25C6C0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PAX3-FOXO1</w:t>
            </w:r>
          </w:p>
        </w:tc>
      </w:tr>
      <w:tr w14:paraId="3E2E95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48795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5EF167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PAX7-FOXO1</w:t>
            </w:r>
          </w:p>
        </w:tc>
      </w:tr>
      <w:tr w14:paraId="66F698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A45CF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22B2F7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PAX3-FOXO4</w:t>
            </w:r>
          </w:p>
        </w:tc>
      </w:tr>
      <w:tr w14:paraId="5BDDC16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8CE5CD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6CF01B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PAX3-NCOA1</w:t>
            </w:r>
          </w:p>
        </w:tc>
      </w:tr>
      <w:tr w14:paraId="7267EC5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7D18ED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61697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PAX3-NCOA2</w:t>
            </w:r>
          </w:p>
        </w:tc>
      </w:tr>
      <w:tr w14:paraId="1B28049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3A998E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A796A3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FOXO1-FGFR1</w:t>
            </w:r>
          </w:p>
        </w:tc>
      </w:tr>
      <w:tr w14:paraId="7B098A2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3A565F8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先天性/婴儿梭形细胞横纹肌肉瘤</w:t>
            </w:r>
          </w:p>
        </w:tc>
        <w:tc>
          <w:tcPr>
            <w:tcW w:w="4878" w:type="dxa"/>
            <w:tcBorders>
              <w:tl2br w:val="nil"/>
              <w:tr2bl w:val="nil"/>
            </w:tcBorders>
            <w:shd w:val="clear" w:color="auto" w:fill="auto"/>
            <w:vAlign w:val="center"/>
          </w:tcPr>
          <w:p w14:paraId="18C63A0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237DFDA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C070FA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F43E81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1298E5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D06AEE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A6B47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2AD5304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541A33">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C16D71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6DDA41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05630D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间叶性软骨肉瘤</w:t>
            </w:r>
          </w:p>
        </w:tc>
        <w:tc>
          <w:tcPr>
            <w:tcW w:w="4878" w:type="dxa"/>
            <w:tcBorders>
              <w:tl2br w:val="nil"/>
              <w:tr2bl w:val="nil"/>
            </w:tcBorders>
            <w:shd w:val="clear" w:color="auto" w:fill="auto"/>
            <w:vAlign w:val="center"/>
          </w:tcPr>
          <w:p w14:paraId="329E36A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HEY1-NCOA2</w:t>
            </w:r>
          </w:p>
        </w:tc>
      </w:tr>
      <w:tr w14:paraId="707739F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11EC43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软组织肌上皮肿瘤</w:t>
            </w:r>
          </w:p>
        </w:tc>
        <w:tc>
          <w:tcPr>
            <w:tcW w:w="4878" w:type="dxa"/>
            <w:tcBorders>
              <w:tl2br w:val="nil"/>
              <w:tr2bl w:val="nil"/>
            </w:tcBorders>
            <w:shd w:val="clear" w:color="auto" w:fill="auto"/>
            <w:vAlign w:val="center"/>
          </w:tcPr>
          <w:p w14:paraId="061A03A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DE015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752680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5B4950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EWSR1-PBX1</w:t>
            </w:r>
          </w:p>
        </w:tc>
      </w:tr>
      <w:tr w14:paraId="11DFAB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04259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B3B96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FUS-KLF17</w:t>
            </w:r>
          </w:p>
        </w:tc>
      </w:tr>
      <w:tr w14:paraId="5B009F3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7A4A1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CBFDAA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EWSR1-PBX3</w:t>
            </w:r>
          </w:p>
        </w:tc>
      </w:tr>
      <w:tr w14:paraId="236C860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401323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434DF6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EWSR1-ZNF444</w:t>
            </w:r>
          </w:p>
        </w:tc>
      </w:tr>
      <w:tr w14:paraId="59CF75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2C464A8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78" w:type="dxa"/>
            <w:tcBorders>
              <w:tl2br w:val="nil"/>
              <w:tr2bl w:val="nil"/>
            </w:tcBorders>
            <w:shd w:val="clear" w:color="auto" w:fill="auto"/>
            <w:vAlign w:val="center"/>
          </w:tcPr>
          <w:p w14:paraId="14B03FA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7B8B0C1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E6E8C5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78A76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006FEFB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74CEE9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A58B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002893C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C1817A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E94864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NTRK2 重排</w:t>
            </w:r>
          </w:p>
        </w:tc>
      </w:tr>
      <w:tr w14:paraId="63FBD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98A8B2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B05F86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NTRK3 重排</w:t>
            </w:r>
          </w:p>
        </w:tc>
      </w:tr>
      <w:tr w14:paraId="23E5DCB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334161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滑膜肉瘤</w:t>
            </w:r>
          </w:p>
        </w:tc>
        <w:tc>
          <w:tcPr>
            <w:tcW w:w="4878" w:type="dxa"/>
            <w:tcBorders>
              <w:tl2br w:val="nil"/>
              <w:tr2bl w:val="nil"/>
            </w:tcBorders>
            <w:shd w:val="clear" w:color="auto" w:fill="auto"/>
            <w:vAlign w:val="center"/>
          </w:tcPr>
          <w:p w14:paraId="46FB59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SS18-SSX1</w:t>
            </w:r>
          </w:p>
        </w:tc>
      </w:tr>
      <w:tr w14:paraId="700F321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3D773A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6D60DC8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SS18-SSX2</w:t>
            </w:r>
          </w:p>
        </w:tc>
      </w:tr>
      <w:tr w14:paraId="27F9A14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5BCC02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B4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SS18-SSX4</w:t>
            </w:r>
          </w:p>
        </w:tc>
      </w:tr>
      <w:tr w14:paraId="383529D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7BF1E7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腺泡状软组织肉瘤</w:t>
            </w:r>
          </w:p>
        </w:tc>
        <w:tc>
          <w:tcPr>
            <w:tcW w:w="4878" w:type="dxa"/>
            <w:tcBorders>
              <w:tl2br w:val="nil"/>
              <w:tr2bl w:val="nil"/>
            </w:tcBorders>
            <w:shd w:val="clear" w:color="auto" w:fill="auto"/>
            <w:vAlign w:val="center"/>
          </w:tcPr>
          <w:p w14:paraId="78C036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ASPSCR1-TFE3</w:t>
            </w:r>
          </w:p>
        </w:tc>
      </w:tr>
      <w:tr w14:paraId="38021A3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0A5FC6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软组织透明细胞肉瘤/胃肠道透明细胞肉瘤样肿瘤</w:t>
            </w:r>
          </w:p>
        </w:tc>
        <w:tc>
          <w:tcPr>
            <w:tcW w:w="4878" w:type="dxa"/>
            <w:tcBorders>
              <w:tl2br w:val="nil"/>
              <w:tr2bl w:val="nil"/>
            </w:tcBorders>
            <w:shd w:val="clear" w:color="auto" w:fill="auto"/>
            <w:vAlign w:val="center"/>
          </w:tcPr>
          <w:p w14:paraId="76E38B0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EWSR1-ATF1</w:t>
            </w:r>
          </w:p>
        </w:tc>
      </w:tr>
      <w:tr w14:paraId="285C9F6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F549CC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0290878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w:t>
            </w:r>
          </w:p>
        </w:tc>
      </w:tr>
      <w:tr w14:paraId="7F4D17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1BAB734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骨外黏液样软骨肉瘤</w:t>
            </w:r>
          </w:p>
        </w:tc>
        <w:tc>
          <w:tcPr>
            <w:tcW w:w="4878" w:type="dxa"/>
            <w:tcBorders>
              <w:tl2br w:val="nil"/>
              <w:tr2bl w:val="nil"/>
            </w:tcBorders>
            <w:shd w:val="clear" w:color="auto" w:fill="auto"/>
            <w:vAlign w:val="center"/>
          </w:tcPr>
          <w:p w14:paraId="3BA67FC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EWSR1-NR4A3</w:t>
            </w:r>
          </w:p>
        </w:tc>
      </w:tr>
      <w:tr w14:paraId="0D24DA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6C0291C">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72EE9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TAF15(TAF2N)-NR4A3</w:t>
            </w:r>
          </w:p>
        </w:tc>
      </w:tr>
      <w:tr w14:paraId="329FCB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2DF4A46">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666A13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TCF12-NR4A3</w:t>
            </w:r>
          </w:p>
        </w:tc>
      </w:tr>
      <w:tr w14:paraId="33F3D04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AB3DBBB">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8E2403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TFG-NR4A3</w:t>
            </w:r>
          </w:p>
        </w:tc>
      </w:tr>
      <w:tr w14:paraId="615F7B6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6DCC6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促结缔组织增生性小圆细胞肿瘤</w:t>
            </w:r>
          </w:p>
        </w:tc>
        <w:tc>
          <w:tcPr>
            <w:tcW w:w="4878" w:type="dxa"/>
            <w:tcBorders>
              <w:tl2br w:val="nil"/>
              <w:tr2bl w:val="nil"/>
            </w:tcBorders>
            <w:shd w:val="clear" w:color="auto" w:fill="auto"/>
            <w:vAlign w:val="center"/>
          </w:tcPr>
          <w:p w14:paraId="2EE85C6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EWSR1-WT1</w:t>
            </w:r>
          </w:p>
        </w:tc>
      </w:tr>
      <w:tr w14:paraId="5DAC40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037BD49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血管周围上皮样细胞瘤</w:t>
            </w:r>
          </w:p>
        </w:tc>
        <w:tc>
          <w:tcPr>
            <w:tcW w:w="4878" w:type="dxa"/>
            <w:tcBorders>
              <w:tl2br w:val="nil"/>
              <w:tr2bl w:val="nil"/>
            </w:tcBorders>
            <w:shd w:val="clear" w:color="auto" w:fill="auto"/>
            <w:vAlign w:val="center"/>
          </w:tcPr>
          <w:p w14:paraId="06D2087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DVL2-TFE3</w:t>
            </w:r>
          </w:p>
        </w:tc>
      </w:tr>
      <w:tr w14:paraId="22BF45C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4C880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尤文肉瘤</w:t>
            </w:r>
          </w:p>
        </w:tc>
        <w:tc>
          <w:tcPr>
            <w:tcW w:w="4878" w:type="dxa"/>
            <w:tcBorders>
              <w:tl2br w:val="nil"/>
              <w:tr2bl w:val="nil"/>
            </w:tcBorders>
            <w:shd w:val="clear" w:color="auto" w:fill="auto"/>
            <w:vAlign w:val="center"/>
          </w:tcPr>
          <w:p w14:paraId="16D43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EWSR1-FLI1</w:t>
            </w:r>
          </w:p>
        </w:tc>
      </w:tr>
      <w:tr w14:paraId="107680A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15A6FD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803E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EWSR1-ERG</w:t>
            </w:r>
          </w:p>
        </w:tc>
      </w:tr>
      <w:tr w14:paraId="464ED2E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A01359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32965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EWSR1-FEV</w:t>
            </w:r>
          </w:p>
        </w:tc>
      </w:tr>
      <w:tr w14:paraId="262BA75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0CF3E0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173CA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EWSR1-ETV1</w:t>
            </w:r>
          </w:p>
        </w:tc>
      </w:tr>
      <w:tr w14:paraId="58864E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9A8988D">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084B8E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EWSR1-ETV4</w:t>
            </w:r>
          </w:p>
        </w:tc>
      </w:tr>
      <w:tr w14:paraId="53F739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E2D306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04F815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EWSR1-PATZ1(ZSG)</w:t>
            </w:r>
          </w:p>
        </w:tc>
      </w:tr>
      <w:tr w14:paraId="4024C28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3532583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DB0FD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FUS-ERG</w:t>
            </w:r>
          </w:p>
        </w:tc>
      </w:tr>
      <w:tr w14:paraId="16F51E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4A0CAF2">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88517A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FUS-FEV</w:t>
            </w:r>
          </w:p>
        </w:tc>
      </w:tr>
      <w:tr w14:paraId="792A48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6C1886E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CIC重排肉瘤</w:t>
            </w:r>
          </w:p>
        </w:tc>
        <w:tc>
          <w:tcPr>
            <w:tcW w:w="4878" w:type="dxa"/>
            <w:tcBorders>
              <w:tl2br w:val="nil"/>
              <w:tr2bl w:val="nil"/>
            </w:tcBorders>
            <w:shd w:val="clear" w:color="auto" w:fill="auto"/>
            <w:vAlign w:val="center"/>
          </w:tcPr>
          <w:p w14:paraId="38205E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hint="eastAsia" w:ascii="Times New Roman" w:hAnsi="Times New Roman" w:eastAsia="微软雅黑" w:cs="Times New Roman"/>
                <w:color w:val="000000" w:themeColor="text1"/>
                <w:sz w:val="18"/>
                <w:szCs w:val="18"/>
                <w:lang w:eastAsia="zh-CN" w:bidi="ar"/>
                <w14:textFill>
                  <w14:solidFill>
                    <w14:schemeClr w14:val="tx1"/>
                  </w14:solidFill>
                </w14:textFill>
              </w:rPr>
              <w:t>CIC-DUX4L1</w:t>
            </w:r>
          </w:p>
        </w:tc>
      </w:tr>
      <w:tr w14:paraId="0FEB070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8C27DAE">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82A889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CIC-FOXO4</w:t>
            </w:r>
          </w:p>
        </w:tc>
      </w:tr>
      <w:tr w14:paraId="64949A3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98437E4">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9D8E08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CIC-NUTM1</w:t>
            </w:r>
          </w:p>
        </w:tc>
      </w:tr>
      <w:tr w14:paraId="568000A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6ADAA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0C2467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CIC-NUTM2B</w:t>
            </w:r>
          </w:p>
        </w:tc>
      </w:tr>
      <w:tr w14:paraId="510EEF8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F18C48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78" w:type="dxa"/>
            <w:tcBorders>
              <w:tl2br w:val="nil"/>
              <w:tr2bl w:val="nil"/>
            </w:tcBorders>
            <w:shd w:val="clear" w:color="auto" w:fill="auto"/>
            <w:vAlign w:val="center"/>
          </w:tcPr>
          <w:p w14:paraId="269CB7B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650328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4C63220">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3E7D3F3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BCOR-MAML1</w:t>
            </w:r>
          </w:p>
        </w:tc>
      </w:tr>
      <w:tr w14:paraId="0FBDE4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4F5D280A">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796CBECB">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BCOR-MAML2</w:t>
            </w:r>
          </w:p>
        </w:tc>
      </w:tr>
      <w:tr w14:paraId="67FA262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63678EB1">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50A00D88">
            <w:pPr>
              <w:widowControl/>
              <w:textAlignment w:val="center"/>
              <w:rPr>
                <w:rFonts w:ascii="Times New Roman" w:hAnsi="Times New Roman" w:eastAsia="微软雅黑" w:cs="Times New Roman"/>
                <w:color w:val="000000" w:themeColor="text1"/>
                <w:sz w:val="18"/>
                <w:szCs w:val="18"/>
                <w:lang w:eastAsia="zh-CN" w:bidi="ar"/>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6293B12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108B09EF">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83B18D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65E0B60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tcBorders>
              <w:tl2br w:val="nil"/>
              <w:tr2bl w:val="nil"/>
            </w:tcBorders>
            <w:shd w:val="clear" w:color="auto" w:fill="auto"/>
            <w:vAlign w:val="center"/>
          </w:tcPr>
          <w:p w14:paraId="45BD03C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婴幼儿未分化圆细胞肉瘤/婴幼儿原始黏液样间叶性肿瘤</w:t>
            </w:r>
          </w:p>
        </w:tc>
        <w:tc>
          <w:tcPr>
            <w:tcW w:w="4878" w:type="dxa"/>
            <w:tcBorders>
              <w:tl2br w:val="nil"/>
              <w:tr2bl w:val="nil"/>
            </w:tcBorders>
            <w:shd w:val="clear" w:color="auto" w:fill="auto"/>
            <w:vAlign w:val="center"/>
          </w:tcPr>
          <w:p w14:paraId="3870111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YWHAE(YWHAE1)-NUTM2B</w:t>
            </w:r>
          </w:p>
        </w:tc>
      </w:tr>
      <w:tr w14:paraId="1169E06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restart"/>
            <w:tcBorders>
              <w:tl2br w:val="nil"/>
              <w:tr2bl w:val="nil"/>
            </w:tcBorders>
            <w:shd w:val="clear" w:color="auto" w:fill="auto"/>
            <w:vAlign w:val="center"/>
          </w:tcPr>
          <w:p w14:paraId="04ED2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EWSR1-非ETS融合的圆细胞肉瘤</w:t>
            </w:r>
          </w:p>
        </w:tc>
        <w:tc>
          <w:tcPr>
            <w:tcW w:w="4878" w:type="dxa"/>
            <w:tcBorders>
              <w:tl2br w:val="nil"/>
              <w:tr2bl w:val="nil"/>
            </w:tcBorders>
            <w:shd w:val="clear" w:color="auto" w:fill="auto"/>
            <w:vAlign w:val="center"/>
          </w:tcPr>
          <w:p w14:paraId="35EECFE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5783822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72282B8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7176B3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494ACAD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24CFA02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F93AD2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0985F27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0BCF079">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22B8A4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4858B0B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03688E78">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124B60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3CAFDFA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2" w:type="dxa"/>
            <w:vMerge w:val="continue"/>
            <w:tcBorders>
              <w:tl2br w:val="nil"/>
              <w:tr2bl w:val="nil"/>
            </w:tcBorders>
            <w:shd w:val="clear" w:color="auto" w:fill="auto"/>
            <w:vAlign w:val="center"/>
          </w:tcPr>
          <w:p w14:paraId="53D2BEF7">
            <w:pPr>
              <w:rPr>
                <w:rFonts w:ascii="Times New Roman" w:hAnsi="Times New Roman" w:eastAsia="微软雅黑" w:cs="Times New Roman"/>
                <w:color w:val="000000" w:themeColor="text1"/>
                <w:sz w:val="18"/>
                <w:szCs w:val="18"/>
                <w14:textFill>
                  <w14:solidFill>
                    <w14:schemeClr w14:val="tx1"/>
                  </w14:solidFill>
                </w14:textFill>
              </w:rPr>
            </w:pPr>
          </w:p>
        </w:tc>
        <w:tc>
          <w:tcPr>
            <w:tcW w:w="4878" w:type="dxa"/>
            <w:tcBorders>
              <w:tl2br w:val="nil"/>
              <w:tr2bl w:val="nil"/>
            </w:tcBorders>
            <w:shd w:val="clear" w:color="auto" w:fill="auto"/>
            <w:vAlign w:val="center"/>
          </w:tcPr>
          <w:p w14:paraId="43B6BE7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bl>
    <w:p w14:paraId="1AC47A08">
      <w:p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参考指南：</w:t>
      </w:r>
    </w:p>
    <w:p w14:paraId="18028E55">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中国临床肿瘤学会（CSCO）软组织肉瘤诊疗指南2021</w:t>
      </w:r>
    </w:p>
    <w:p w14:paraId="7FB681A7">
      <w:pPr>
        <w:numPr>
          <w:ilvl w:val="0"/>
          <w:numId w:val="13"/>
        </w:numPr>
        <w:rPr>
          <w:rFonts w:ascii="Times New Roman" w:hAnsi="Times New Roman" w:eastAsia="微软雅黑" w:cs="Times New Roman"/>
          <w:sz w:val="18"/>
          <w:szCs w:val="18"/>
          <w:lang w:eastAsia="zh-Hans"/>
        </w:rPr>
      </w:pPr>
      <w:r>
        <w:rPr>
          <w:rFonts w:ascii="Times New Roman" w:hAnsi="Times New Roman" w:eastAsia="微软雅黑" w:cs="Times New Roman"/>
          <w:sz w:val="18"/>
          <w:szCs w:val="18"/>
          <w:lang w:eastAsia="zh-Hans"/>
        </w:rPr>
        <w:t>中国临床肿瘤学会（CSCO）</w:t>
      </w:r>
      <w:r>
        <w:rPr>
          <w:rFonts w:ascii="Times New Roman" w:hAnsi="Times New Roman" w:eastAsia="微软雅黑" w:cs="Times New Roman"/>
          <w:sz w:val="18"/>
          <w:szCs w:val="18"/>
          <w:lang w:eastAsia="zh-CN"/>
        </w:rPr>
        <w:t>骨巨细胞瘤</w:t>
      </w:r>
      <w:r>
        <w:rPr>
          <w:rFonts w:ascii="Times New Roman" w:hAnsi="Times New Roman" w:eastAsia="微软雅黑" w:cs="Times New Roman"/>
          <w:sz w:val="18"/>
          <w:szCs w:val="18"/>
          <w:lang w:eastAsia="zh-Hans"/>
        </w:rPr>
        <w:t>诊疗指南202</w:t>
      </w:r>
      <w:r>
        <w:rPr>
          <w:rFonts w:ascii="Times New Roman" w:hAnsi="Times New Roman" w:eastAsia="微软雅黑" w:cs="Times New Roman"/>
          <w:sz w:val="18"/>
          <w:szCs w:val="18"/>
          <w:lang w:eastAsia="zh-CN"/>
        </w:rPr>
        <w:t>0</w:t>
      </w:r>
    </w:p>
    <w:p w14:paraId="05925AF8">
      <w:pPr>
        <w:rPr>
          <w:rFonts w:ascii="Times New Roman" w:hAnsi="Times New Roman" w:cs="Times New Roman"/>
          <w:sz w:val="24"/>
          <w:szCs w:val="24"/>
          <w:lang w:eastAsia="zh-CN"/>
        </w:rPr>
      </w:pPr>
      <w:r>
        <w:rPr>
          <w:rFonts w:ascii="Times New Roman" w:hAnsi="Times New Roman" w:cs="Times New Roman"/>
          <w:sz w:val="24"/>
          <w:szCs w:val="24"/>
          <w:lang w:eastAsia="zh-CN"/>
        </w:rPr>
        <w:br w:type="page"/>
      </w:r>
    </w:p>
    <w:p w14:paraId="583E909D">
      <w:pPr>
        <w:numPr>
          <w:ilvl w:val="0"/>
          <w:numId w:val="14"/>
        </w:numP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Hans"/>
        </w:rPr>
        <w:t>本部分内容参考：骨与软组织肿瘤二代测序中国专家共识（2021年版）</w:t>
      </w:r>
    </w:p>
    <w:tbl>
      <w:tblPr>
        <w:tblStyle w:val="15"/>
        <w:tblW w:w="9977" w:type="dxa"/>
        <w:jc w:val="center"/>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83"/>
        <w:gridCol w:w="4894"/>
      </w:tblGrid>
      <w:tr w14:paraId="02AF44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tblHeader/>
          <w:jc w:val="center"/>
        </w:trPr>
        <w:tc>
          <w:tcPr>
            <w:tcW w:w="5083" w:type="dxa"/>
            <w:tcBorders>
              <w:top w:val="nil"/>
              <w:bottom w:val="nil"/>
              <w:right w:val="single" w:color="FFFFFF" w:sz="18" w:space="0"/>
            </w:tcBorders>
            <w:shd w:val="clear" w:color="auto" w:fill="62B541"/>
            <w:vAlign w:val="center"/>
          </w:tcPr>
          <w:p w14:paraId="33E42E1A">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肉瘤亚型</w:t>
            </w:r>
          </w:p>
        </w:tc>
        <w:tc>
          <w:tcPr>
            <w:tcW w:w="4894" w:type="dxa"/>
            <w:tcBorders>
              <w:top w:val="nil"/>
              <w:left w:val="single" w:color="FFFFFF" w:sz="18" w:space="0"/>
              <w:bottom w:val="nil"/>
            </w:tcBorders>
            <w:shd w:val="clear" w:color="auto" w:fill="62B541"/>
            <w:vAlign w:val="center"/>
          </w:tcPr>
          <w:p w14:paraId="5C64BE59">
            <w:pPr>
              <w:keepNext w:val="0"/>
              <w:keepLines w:val="0"/>
              <w:pageBreakBefore w:val="0"/>
              <w:widowControl w:val="0"/>
              <w:kinsoku/>
              <w:wordWrap/>
              <w:overflowPunct/>
              <w:topLinePunct w:val="0"/>
              <w:autoSpaceDE/>
              <w:autoSpaceDN/>
              <w:bidi w:val="0"/>
              <w:adjustRightInd/>
              <w:snapToGrid/>
              <w:spacing w:before="32" w:beforeLines="10" w:line="206" w:lineRule="exact"/>
              <w:ind w:left="0" w:leftChars="0" w:firstLine="0" w:firstLineChars="0"/>
              <w:jc w:val="center"/>
              <w:textAlignment w:val="auto"/>
              <w:rPr>
                <w:rFonts w:ascii="Times New Roman" w:hAnsi="Times New Roman" w:eastAsia="微软雅黑" w:cs="Times New Roman"/>
                <w:b/>
                <w:bCs/>
                <w:color w:val="FFFFFF" w:themeColor="background1"/>
                <w:sz w:val="21"/>
                <w:szCs w:val="21"/>
                <w:lang w:eastAsia="zh-CN"/>
                <w14:textFill>
                  <w14:solidFill>
                    <w14:schemeClr w14:val="bg1"/>
                  </w14:solidFill>
                </w14:textFill>
              </w:rPr>
            </w:pPr>
            <w:r>
              <w:rPr>
                <w:rFonts w:ascii="Times New Roman" w:hAnsi="Times New Roman" w:eastAsia="微软雅黑" w:cs="Times New Roman"/>
                <w:b/>
                <w:bCs/>
                <w:color w:val="FFFFFF" w:themeColor="background1"/>
                <w:sz w:val="21"/>
                <w:szCs w:val="21"/>
                <w:lang w:eastAsia="zh-CN"/>
                <w14:textFill>
                  <w14:solidFill>
                    <w14:schemeClr w14:val="bg1"/>
                  </w14:solidFill>
                </w14:textFill>
              </w:rPr>
              <w:t>分子分型</w:t>
            </w:r>
          </w:p>
        </w:tc>
      </w:tr>
      <w:tr w14:paraId="254CD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op w:val="nil"/>
              <w:tl2br w:val="nil"/>
              <w:tr2bl w:val="nil"/>
            </w:tcBorders>
            <w:shd w:val="clear" w:color="auto" w:fill="auto"/>
            <w:vAlign w:val="center"/>
          </w:tcPr>
          <w:p w14:paraId="061656A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EWSR1-SMAD3阳性纤维母细胞性肿瘤</w:t>
            </w:r>
          </w:p>
        </w:tc>
        <w:tc>
          <w:tcPr>
            <w:tcW w:w="4894" w:type="dxa"/>
            <w:tcBorders>
              <w:top w:val="nil"/>
              <w:tl2br w:val="nil"/>
              <w:tr2bl w:val="nil"/>
            </w:tcBorders>
            <w:shd w:val="clear" w:color="auto" w:fill="auto"/>
            <w:vAlign w:val="center"/>
          </w:tcPr>
          <w:p w14:paraId="6BA39F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EWSR1-SMAD3</w:t>
            </w:r>
          </w:p>
        </w:tc>
      </w:tr>
      <w:tr w14:paraId="22BBFE9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6F7972F4">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GAB1-ABL1阳性纤维母细胞性肿瘤</w:t>
            </w:r>
          </w:p>
        </w:tc>
        <w:tc>
          <w:tcPr>
            <w:tcW w:w="4894" w:type="dxa"/>
            <w:tcBorders>
              <w:tl2br w:val="nil"/>
              <w:tr2bl w:val="nil"/>
            </w:tcBorders>
            <w:shd w:val="clear" w:color="auto" w:fill="auto"/>
            <w:vAlign w:val="center"/>
          </w:tcPr>
          <w:p w14:paraId="1B039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GAB1-ABL1</w:t>
            </w:r>
          </w:p>
        </w:tc>
      </w:tr>
      <w:tr w14:paraId="461B3E0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DD9A2ED">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ALK阴性炎性肌纤维母细胞瘤</w:t>
            </w:r>
          </w:p>
        </w:tc>
        <w:tc>
          <w:tcPr>
            <w:tcW w:w="4894" w:type="dxa"/>
            <w:tcBorders>
              <w:tl2br w:val="nil"/>
              <w:tr2bl w:val="nil"/>
            </w:tcBorders>
            <w:shd w:val="clear" w:color="auto" w:fill="auto"/>
            <w:vAlign w:val="center"/>
          </w:tcPr>
          <w:p w14:paraId="1A30CF9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TFG-ROS1</w:t>
            </w:r>
          </w:p>
        </w:tc>
      </w:tr>
      <w:tr w14:paraId="191585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326D97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B6E6E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YWHAE-ROS1</w:t>
            </w:r>
          </w:p>
        </w:tc>
      </w:tr>
      <w:tr w14:paraId="6CA845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F337BE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1AE508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2C5B816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4F15221">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上皮样炎性肌纤维母细胞肉瘤</w:t>
            </w:r>
          </w:p>
        </w:tc>
        <w:tc>
          <w:tcPr>
            <w:tcW w:w="4894" w:type="dxa"/>
            <w:tcBorders>
              <w:tl2br w:val="nil"/>
              <w:tr2bl w:val="nil"/>
            </w:tcBorders>
            <w:shd w:val="clear" w:color="auto" w:fill="auto"/>
            <w:vAlign w:val="center"/>
          </w:tcPr>
          <w:p w14:paraId="151B08A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RANBP2-ALK</w:t>
            </w:r>
          </w:p>
        </w:tc>
      </w:tr>
      <w:tr w14:paraId="2182A54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D8B7EE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98A34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RRBP1(RRBP)-ALK</w:t>
            </w:r>
          </w:p>
        </w:tc>
      </w:tr>
      <w:tr w14:paraId="06BCC1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764632E">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少数隆突性皮纤维肉瘤</w:t>
            </w:r>
          </w:p>
        </w:tc>
        <w:tc>
          <w:tcPr>
            <w:tcW w:w="4894" w:type="dxa"/>
            <w:tcBorders>
              <w:tl2br w:val="nil"/>
              <w:tr2bl w:val="nil"/>
            </w:tcBorders>
            <w:shd w:val="clear" w:color="auto" w:fill="auto"/>
            <w:vAlign w:val="center"/>
          </w:tcPr>
          <w:p w14:paraId="5C49946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COL6A3-PDGFD</w:t>
            </w:r>
          </w:p>
        </w:tc>
      </w:tr>
      <w:tr w14:paraId="70D0E4A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0ADA83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03CE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EMILIN2-PDGFD</w:t>
            </w:r>
          </w:p>
        </w:tc>
      </w:tr>
      <w:tr w14:paraId="19D9D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5AD297D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MUC4阴性硬化性上皮样纤维肉瘤</w:t>
            </w:r>
          </w:p>
        </w:tc>
        <w:tc>
          <w:tcPr>
            <w:tcW w:w="4894" w:type="dxa"/>
            <w:tcBorders>
              <w:tl2br w:val="nil"/>
              <w:tr2bl w:val="nil"/>
            </w:tcBorders>
            <w:shd w:val="clear" w:color="auto" w:fill="auto"/>
            <w:vAlign w:val="center"/>
          </w:tcPr>
          <w:p w14:paraId="78FB5F2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YAP1-KMT2A</w:t>
            </w:r>
          </w:p>
        </w:tc>
      </w:tr>
      <w:tr w14:paraId="2BC5159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265E81EF">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上皮样纤维组织细胞瘤</w:t>
            </w:r>
          </w:p>
        </w:tc>
        <w:tc>
          <w:tcPr>
            <w:tcW w:w="4894" w:type="dxa"/>
            <w:tcBorders>
              <w:tl2br w:val="nil"/>
              <w:tr2bl w:val="nil"/>
            </w:tcBorders>
            <w:shd w:val="clear" w:color="auto" w:fill="auto"/>
            <w:vAlign w:val="center"/>
          </w:tcPr>
          <w:p w14:paraId="6E813C1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SQSTM1-ALK</w:t>
            </w:r>
          </w:p>
        </w:tc>
      </w:tr>
      <w:tr w14:paraId="0CE5813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592DB2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39456D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VCL-ALK</w:t>
            </w:r>
          </w:p>
        </w:tc>
      </w:tr>
      <w:tr w14:paraId="4EB854F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A94E4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上皮样血管瘤</w:t>
            </w:r>
          </w:p>
        </w:tc>
        <w:tc>
          <w:tcPr>
            <w:tcW w:w="4894" w:type="dxa"/>
            <w:tcBorders>
              <w:tl2br w:val="nil"/>
              <w:tr2bl w:val="nil"/>
            </w:tcBorders>
            <w:shd w:val="clear" w:color="auto" w:fill="auto"/>
            <w:vAlign w:val="center"/>
          </w:tcPr>
          <w:p w14:paraId="22B2838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MBNL1-FOS</w:t>
            </w:r>
          </w:p>
        </w:tc>
      </w:tr>
      <w:tr w14:paraId="56B592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0219DC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4B314B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VIM-FOS</w:t>
            </w:r>
          </w:p>
        </w:tc>
      </w:tr>
      <w:tr w14:paraId="712FE847">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3E4DBF1">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6D4A9F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lincRNA-FOS</w:t>
            </w:r>
          </w:p>
        </w:tc>
      </w:tr>
      <w:tr w14:paraId="22CA29F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3F6C38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5B3F7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ZFP36-FOSB</w:t>
            </w:r>
          </w:p>
        </w:tc>
      </w:tr>
      <w:tr w14:paraId="3E78FF3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AB8353">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03203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WWTR1-FOSB</w:t>
            </w:r>
          </w:p>
        </w:tc>
      </w:tr>
      <w:tr w14:paraId="4ED01AC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1F23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58C3ED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240E3EE9">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7B9BB06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TFE3重排上皮样血管内皮瘤</w:t>
            </w:r>
          </w:p>
        </w:tc>
        <w:tc>
          <w:tcPr>
            <w:tcW w:w="4894" w:type="dxa"/>
            <w:tcBorders>
              <w:tl2br w:val="nil"/>
              <w:tr2bl w:val="nil"/>
            </w:tcBorders>
            <w:shd w:val="clear" w:color="auto" w:fill="auto"/>
            <w:vAlign w:val="center"/>
          </w:tcPr>
          <w:p w14:paraId="1913227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YAP1-TFE3</w:t>
            </w:r>
          </w:p>
        </w:tc>
      </w:tr>
      <w:tr w14:paraId="173090B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CD7D1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假肌源性血管内皮瘤</w:t>
            </w:r>
          </w:p>
        </w:tc>
        <w:tc>
          <w:tcPr>
            <w:tcW w:w="4894" w:type="dxa"/>
            <w:tcBorders>
              <w:tl2br w:val="nil"/>
              <w:tr2bl w:val="nil"/>
            </w:tcBorders>
            <w:shd w:val="clear" w:color="auto" w:fill="auto"/>
            <w:vAlign w:val="center"/>
          </w:tcPr>
          <w:p w14:paraId="59D4AF0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SERPINE1-FOSB</w:t>
            </w:r>
          </w:p>
        </w:tc>
      </w:tr>
      <w:tr w14:paraId="747121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7E1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148ED8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ACTB-FOSB</w:t>
            </w:r>
          </w:p>
        </w:tc>
      </w:tr>
      <w:tr w14:paraId="333326C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25DF305">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网状和复合性血管内皮瘤</w:t>
            </w:r>
          </w:p>
        </w:tc>
        <w:tc>
          <w:tcPr>
            <w:tcW w:w="4894" w:type="dxa"/>
            <w:tcBorders>
              <w:tl2br w:val="nil"/>
              <w:tr2bl w:val="nil"/>
            </w:tcBorders>
            <w:shd w:val="clear" w:color="auto" w:fill="auto"/>
            <w:vAlign w:val="center"/>
          </w:tcPr>
          <w:p w14:paraId="4C90A6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YAP1-MAML2</w:t>
            </w:r>
          </w:p>
        </w:tc>
      </w:tr>
      <w:tr w14:paraId="66B565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8060512">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伴有神经内分泌分化复合性血管内皮瘤</w:t>
            </w:r>
          </w:p>
        </w:tc>
        <w:tc>
          <w:tcPr>
            <w:tcW w:w="4894" w:type="dxa"/>
            <w:tcBorders>
              <w:tl2br w:val="nil"/>
              <w:tr2bl w:val="nil"/>
            </w:tcBorders>
            <w:shd w:val="clear" w:color="auto" w:fill="auto"/>
            <w:vAlign w:val="center"/>
          </w:tcPr>
          <w:p w14:paraId="59A967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PTBP1-MAML2</w:t>
            </w:r>
          </w:p>
        </w:tc>
      </w:tr>
      <w:tr w14:paraId="153502D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38CB4598">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先天性梭形细胞横纹肌肉瘤</w:t>
            </w:r>
          </w:p>
        </w:tc>
        <w:tc>
          <w:tcPr>
            <w:tcW w:w="4894" w:type="dxa"/>
            <w:tcBorders>
              <w:tl2br w:val="nil"/>
              <w:tr2bl w:val="nil"/>
            </w:tcBorders>
            <w:shd w:val="clear" w:color="auto" w:fill="auto"/>
            <w:vAlign w:val="center"/>
          </w:tcPr>
          <w:p w14:paraId="02E84E2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SRF-NCOA2</w:t>
            </w:r>
          </w:p>
        </w:tc>
      </w:tr>
      <w:tr w14:paraId="18CE6E2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56793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458AC2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TEAD1-NCOA2</w:t>
            </w:r>
          </w:p>
        </w:tc>
      </w:tr>
      <w:tr w14:paraId="02A6651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E66A99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529154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VGLL2-NCOA2</w:t>
            </w:r>
          </w:p>
        </w:tc>
      </w:tr>
      <w:tr w14:paraId="57ED19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FB8D3D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19EE9D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VGLL2-CITED2</w:t>
            </w:r>
          </w:p>
        </w:tc>
      </w:tr>
      <w:tr w14:paraId="1D7E753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1DE7713">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骨上皮样和梭形细胞横纹肌肉瘤</w:t>
            </w:r>
          </w:p>
        </w:tc>
        <w:tc>
          <w:tcPr>
            <w:tcW w:w="4894" w:type="dxa"/>
            <w:tcBorders>
              <w:tl2br w:val="nil"/>
              <w:tr2bl w:val="nil"/>
            </w:tcBorders>
            <w:shd w:val="clear" w:color="auto" w:fill="auto"/>
            <w:vAlign w:val="center"/>
          </w:tcPr>
          <w:p w14:paraId="6DF3E6C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EWSR1-TFCP2</w:t>
            </w:r>
          </w:p>
        </w:tc>
      </w:tr>
      <w:tr w14:paraId="62F0C6C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596B3F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9123AA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FUS-TFCP2</w:t>
            </w:r>
          </w:p>
        </w:tc>
      </w:tr>
      <w:tr w14:paraId="0808382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B74E4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92D0F3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r w14:paraId="1906C04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121A0E2B">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NTRK重排梭形细胞肿瘤</w:t>
            </w:r>
          </w:p>
        </w:tc>
        <w:tc>
          <w:tcPr>
            <w:tcW w:w="4894" w:type="dxa"/>
            <w:tcBorders>
              <w:tl2br w:val="nil"/>
              <w:tr2bl w:val="nil"/>
            </w:tcBorders>
            <w:shd w:val="clear" w:color="auto" w:fill="auto"/>
            <w:vAlign w:val="center"/>
          </w:tcPr>
          <w:p w14:paraId="44AD2C5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LMNA-NTRK1</w:t>
            </w:r>
          </w:p>
        </w:tc>
      </w:tr>
      <w:tr w14:paraId="5452D1D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C6019F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CD4E1F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TPR-NTRK1</w:t>
            </w:r>
          </w:p>
        </w:tc>
      </w:tr>
      <w:tr w14:paraId="72538AC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FF7FB4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2B3454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TPM3-NTRK1</w:t>
            </w:r>
          </w:p>
        </w:tc>
      </w:tr>
      <w:tr w14:paraId="143DF80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93EBA0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A3005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SPECC1L-NTRK2</w:t>
            </w:r>
          </w:p>
        </w:tc>
      </w:tr>
      <w:tr w14:paraId="2F705E2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AEF809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2EBB9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STRN-NTRK2</w:t>
            </w:r>
          </w:p>
        </w:tc>
      </w:tr>
      <w:tr w14:paraId="0F039A6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C53183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1240E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EML4(EMAL4)-NTRK3</w:t>
            </w:r>
          </w:p>
        </w:tc>
      </w:tr>
      <w:tr w14:paraId="760C142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8F8D39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D9B2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0692BE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575A3616">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其他双表达CD34和S-100的梭形细胞肿瘤</w:t>
            </w:r>
          </w:p>
        </w:tc>
        <w:tc>
          <w:tcPr>
            <w:tcW w:w="4894" w:type="dxa"/>
            <w:tcBorders>
              <w:tl2br w:val="nil"/>
              <w:tr2bl w:val="nil"/>
            </w:tcBorders>
            <w:shd w:val="clear" w:color="auto" w:fill="auto"/>
            <w:vAlign w:val="center"/>
          </w:tcPr>
          <w:p w14:paraId="75D558E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SEPTIN7(SEPT7)-BRAF</w:t>
            </w:r>
          </w:p>
        </w:tc>
      </w:tr>
      <w:tr w14:paraId="0235800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F5673CE">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272B12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CUX1-BRAF</w:t>
            </w:r>
          </w:p>
        </w:tc>
      </w:tr>
      <w:tr w14:paraId="11AB778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3C3C76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5617F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CDC42SE2-BRAF</w:t>
            </w:r>
          </w:p>
        </w:tc>
      </w:tr>
      <w:tr w14:paraId="796F481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AE0B27D">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8C5159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PDZRN3-RAF1</w:t>
            </w:r>
          </w:p>
        </w:tc>
      </w:tr>
      <w:tr w14:paraId="78D5B15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348871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C4215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SLMAP-RAF1</w:t>
            </w:r>
          </w:p>
        </w:tc>
      </w:tr>
      <w:tr w14:paraId="10E2D2D0">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402BE4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BF90B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TMF1-RAF1</w:t>
            </w:r>
          </w:p>
        </w:tc>
      </w:tr>
      <w:tr w14:paraId="7498B36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62A430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39FB13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MTAP-RAF1</w:t>
            </w:r>
          </w:p>
        </w:tc>
      </w:tr>
      <w:tr w14:paraId="3F2DCA2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4CCF5F5">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19A3B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PPP1CB-ALK</w:t>
            </w:r>
          </w:p>
        </w:tc>
      </w:tr>
      <w:tr w14:paraId="0E58CFF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DB6F409">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2C617B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TFG-RET</w:t>
            </w:r>
          </w:p>
        </w:tc>
      </w:tr>
      <w:tr w14:paraId="00113F9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1297D56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055DC2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MYH10-RET</w:t>
            </w:r>
          </w:p>
        </w:tc>
      </w:tr>
      <w:tr w14:paraId="1719E4F2">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B843AA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A6866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NCOA4-RET</w:t>
            </w:r>
          </w:p>
        </w:tc>
      </w:tr>
      <w:tr w14:paraId="5DFAE01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60B80D7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2B4E69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VCL-RET</w:t>
            </w:r>
          </w:p>
        </w:tc>
      </w:tr>
      <w:tr w14:paraId="0123299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AF7F0A6">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429EEC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CLIP2-RET</w:t>
            </w:r>
          </w:p>
        </w:tc>
      </w:tr>
      <w:tr w14:paraId="2CA40D7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E7588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12D4FAFF">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KIAA1217-RET</w:t>
            </w:r>
          </w:p>
        </w:tc>
      </w:tr>
      <w:tr w14:paraId="71692DB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DA619C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44D2F2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KHDRBS1-RET</w:t>
            </w:r>
          </w:p>
        </w:tc>
      </w:tr>
      <w:tr w14:paraId="10B7DCA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5090C72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9BC536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SPECC1L-RET</w:t>
            </w:r>
          </w:p>
        </w:tc>
      </w:tr>
      <w:tr w14:paraId="739F9B38">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FDD23B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BF95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CCDC6-RET</w:t>
            </w:r>
          </w:p>
        </w:tc>
      </w:tr>
      <w:tr w14:paraId="5DC2091E">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A12B15A">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EWSR1-非ETS融合肉瘤</w:t>
            </w:r>
          </w:p>
        </w:tc>
        <w:tc>
          <w:tcPr>
            <w:tcW w:w="4894" w:type="dxa"/>
            <w:tcBorders>
              <w:tl2br w:val="nil"/>
              <w:tr2bl w:val="nil"/>
            </w:tcBorders>
            <w:shd w:val="clear" w:color="auto" w:fill="auto"/>
            <w:vAlign w:val="center"/>
          </w:tcPr>
          <w:p w14:paraId="3845628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EWSR1-NFATC2</w:t>
            </w:r>
          </w:p>
        </w:tc>
      </w:tr>
      <w:tr w14:paraId="28DF2131">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75DED5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588D0C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FUS-NFATC2</w:t>
            </w:r>
          </w:p>
        </w:tc>
      </w:tr>
      <w:tr w14:paraId="748F1CE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9B496C4">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57E899D0">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EWSR1-PATZ1</w:t>
            </w:r>
          </w:p>
        </w:tc>
      </w:tr>
      <w:tr w14:paraId="6BC9D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8C0D05B">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7CC07B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EWSR1-POU5F1</w:t>
            </w:r>
          </w:p>
        </w:tc>
      </w:tr>
      <w:tr w14:paraId="66DFD35A">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49BBA0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B6C2209">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EWSR1-SP3</w:t>
            </w:r>
          </w:p>
        </w:tc>
      </w:tr>
      <w:tr w14:paraId="459D0FFC">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AAA369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0067E94">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EWSR1-SMARCA5</w:t>
            </w:r>
          </w:p>
        </w:tc>
      </w:tr>
      <w:tr w14:paraId="724DEC5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74F0AB0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BCOR重排肉瘤</w:t>
            </w:r>
          </w:p>
        </w:tc>
        <w:tc>
          <w:tcPr>
            <w:tcW w:w="4894" w:type="dxa"/>
            <w:tcBorders>
              <w:tl2br w:val="nil"/>
              <w:tr2bl w:val="nil"/>
            </w:tcBorders>
            <w:shd w:val="clear" w:color="auto" w:fill="auto"/>
            <w:vAlign w:val="center"/>
          </w:tcPr>
          <w:p w14:paraId="26775CD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BCOR-CCNB3</w:t>
            </w:r>
          </w:p>
        </w:tc>
      </w:tr>
      <w:tr w14:paraId="1B2556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F38D372">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0A47265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BCOR-MAML3</w:t>
            </w:r>
          </w:p>
        </w:tc>
      </w:tr>
      <w:tr w14:paraId="1CD683A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0D3FEA97">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FA13102">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ZC3H7B-BCOR</w:t>
            </w:r>
          </w:p>
        </w:tc>
      </w:tr>
      <w:tr w14:paraId="32C17E0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ACEC7BF">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3044C0E1">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YWHAE-NUTM2B</w:t>
            </w:r>
          </w:p>
        </w:tc>
      </w:tr>
      <w:tr w14:paraId="49A9B46D">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4226700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GLI1重排/扩增恶性上皮样肿瘤</w:t>
            </w:r>
          </w:p>
        </w:tc>
        <w:tc>
          <w:tcPr>
            <w:tcW w:w="4894" w:type="dxa"/>
            <w:tcBorders>
              <w:tl2br w:val="nil"/>
              <w:tr2bl w:val="nil"/>
            </w:tcBorders>
            <w:shd w:val="clear" w:color="auto" w:fill="auto"/>
            <w:vAlign w:val="center"/>
          </w:tcPr>
          <w:p w14:paraId="03B9774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ACTB-GLI1</w:t>
            </w:r>
          </w:p>
        </w:tc>
      </w:tr>
      <w:tr w14:paraId="41E92576">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777A741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A44A5D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7B3D161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2E3E1D4C">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63688F3B">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PTCH1-GLI1</w:t>
            </w:r>
          </w:p>
        </w:tc>
      </w:tr>
      <w:tr w14:paraId="0F58BD6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09939C">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胃母细胞瘤/胃丛状纤维黏液瘤</w:t>
            </w:r>
          </w:p>
        </w:tc>
        <w:tc>
          <w:tcPr>
            <w:tcW w:w="4894" w:type="dxa"/>
            <w:tcBorders>
              <w:tl2br w:val="nil"/>
              <w:tr2bl w:val="nil"/>
            </w:tcBorders>
            <w:shd w:val="clear" w:color="auto" w:fill="auto"/>
            <w:vAlign w:val="center"/>
          </w:tcPr>
          <w:p w14:paraId="423852E7">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MALAT1-GLI1</w:t>
            </w:r>
          </w:p>
        </w:tc>
      </w:tr>
      <w:tr w14:paraId="1B87A27F">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restart"/>
            <w:tcBorders>
              <w:tl2br w:val="nil"/>
              <w:tr2bl w:val="nil"/>
            </w:tcBorders>
            <w:shd w:val="clear" w:color="auto" w:fill="auto"/>
            <w:vAlign w:val="center"/>
          </w:tcPr>
          <w:p w14:paraId="6DB553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野生型胃肠道间质瘤</w:t>
            </w:r>
          </w:p>
        </w:tc>
        <w:tc>
          <w:tcPr>
            <w:tcW w:w="4894" w:type="dxa"/>
            <w:tcBorders>
              <w:tl2br w:val="nil"/>
              <w:tr2bl w:val="nil"/>
            </w:tcBorders>
            <w:shd w:val="clear" w:color="auto" w:fill="auto"/>
            <w:vAlign w:val="center"/>
          </w:tcPr>
          <w:p w14:paraId="03EC7ED8">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FGFR1-HOOK3</w:t>
            </w:r>
          </w:p>
        </w:tc>
      </w:tr>
      <w:tr w14:paraId="7A45F453">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32282598">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7B420E4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FGFR1-TACC1</w:t>
            </w:r>
          </w:p>
        </w:tc>
      </w:tr>
      <w:tr w14:paraId="436DB18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vMerge w:val="continue"/>
            <w:tcBorders>
              <w:tl2br w:val="nil"/>
              <w:tr2bl w:val="nil"/>
            </w:tcBorders>
            <w:shd w:val="clear" w:color="auto" w:fill="auto"/>
            <w:vAlign w:val="center"/>
          </w:tcPr>
          <w:p w14:paraId="469C44BA">
            <w:pPr>
              <w:rPr>
                <w:rFonts w:ascii="Times New Roman" w:hAnsi="Times New Roman" w:eastAsia="微软雅黑" w:cs="Times New Roman"/>
                <w:color w:val="000000" w:themeColor="text1"/>
                <w:sz w:val="18"/>
                <w:szCs w:val="18"/>
                <w14:textFill>
                  <w14:solidFill>
                    <w14:schemeClr w14:val="tx1"/>
                  </w14:solidFill>
                </w14:textFill>
              </w:rPr>
            </w:pPr>
          </w:p>
        </w:tc>
        <w:tc>
          <w:tcPr>
            <w:tcW w:w="4894" w:type="dxa"/>
            <w:tcBorders>
              <w:tl2br w:val="nil"/>
              <w:tr2bl w:val="nil"/>
            </w:tcBorders>
            <w:shd w:val="clear" w:color="auto" w:fill="auto"/>
            <w:vAlign w:val="center"/>
          </w:tcPr>
          <w:p w14:paraId="238BDDCC">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ETV6-NTRK3</w:t>
            </w:r>
          </w:p>
        </w:tc>
      </w:tr>
      <w:tr w14:paraId="7C4BC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08D4356E">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富于细胞性肌样肿瘤</w:t>
            </w:r>
          </w:p>
        </w:tc>
        <w:tc>
          <w:tcPr>
            <w:tcW w:w="4894" w:type="dxa"/>
            <w:tcBorders>
              <w:tl2br w:val="nil"/>
              <w:tr2bl w:val="nil"/>
            </w:tcBorders>
            <w:shd w:val="clear" w:color="auto" w:fill="auto"/>
            <w:vAlign w:val="center"/>
          </w:tcPr>
          <w:p w14:paraId="7696DDD6">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SRF-ICA1L</w:t>
            </w:r>
          </w:p>
        </w:tc>
      </w:tr>
      <w:tr w14:paraId="362EE9E4">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34F74257">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肌上皮瘤样玻璃样变肿瘤</w:t>
            </w:r>
          </w:p>
        </w:tc>
        <w:tc>
          <w:tcPr>
            <w:tcW w:w="4894" w:type="dxa"/>
            <w:tcBorders>
              <w:tl2br w:val="nil"/>
              <w:tr2bl w:val="nil"/>
            </w:tcBorders>
            <w:shd w:val="clear" w:color="auto" w:fill="auto"/>
            <w:vAlign w:val="center"/>
          </w:tcPr>
          <w:p w14:paraId="26B6F545">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OGT-FOXO3</w:t>
            </w:r>
          </w:p>
        </w:tc>
      </w:tr>
      <w:tr w14:paraId="3B8C0CC5">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93F5D09">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部分不能分类的圆细胞肉瘤</w:t>
            </w:r>
          </w:p>
        </w:tc>
        <w:tc>
          <w:tcPr>
            <w:tcW w:w="4894" w:type="dxa"/>
            <w:tcBorders>
              <w:tl2br w:val="nil"/>
              <w:tr2bl w:val="nil"/>
            </w:tcBorders>
            <w:shd w:val="clear" w:color="auto" w:fill="auto"/>
            <w:vAlign w:val="center"/>
          </w:tcPr>
          <w:p w14:paraId="6B0D47ED">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EWSR1-CREB1(CREB)</w:t>
            </w:r>
          </w:p>
        </w:tc>
      </w:tr>
      <w:tr w14:paraId="405E036B">
        <w:tblPrEx>
          <w:tblBorders>
            <w:top w:val="single" w:color="D8D8D8" w:sz="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jc w:val="center"/>
        </w:trPr>
        <w:tc>
          <w:tcPr>
            <w:tcW w:w="5083" w:type="dxa"/>
            <w:tcBorders>
              <w:tl2br w:val="nil"/>
              <w:tr2bl w:val="nil"/>
            </w:tcBorders>
            <w:shd w:val="clear" w:color="auto" w:fill="auto"/>
            <w:vAlign w:val="center"/>
          </w:tcPr>
          <w:p w14:paraId="16D162FA">
            <w:pPr>
              <w:widowControl/>
              <w:textAlignment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肾脏原始梭形细胞肉瘤</w:t>
            </w:r>
          </w:p>
        </w:tc>
        <w:tc>
          <w:tcPr>
            <w:tcW w:w="4894" w:type="dxa"/>
            <w:tcBorders>
              <w:tl2br w:val="nil"/>
              <w:tr2bl w:val="nil"/>
            </w:tcBorders>
            <w:shd w:val="clear" w:color="auto" w:fill="auto"/>
            <w:vAlign w:val="center"/>
          </w:tcPr>
          <w:p w14:paraId="50B89173">
            <w:pPr>
              <w:widowControl/>
              <w:textAlignment w:val="center"/>
              <w:rPr>
                <w:rFonts w:ascii="Times New Roman" w:hAnsi="Times New Roman" w:eastAsia="微软雅黑" w:cs="Times New Roman"/>
                <w:color w:val="000000" w:themeColor="text1"/>
                <w:sz w:val="18"/>
                <w:szCs w:val="18"/>
                <w14:textFill>
                  <w14:solidFill>
                    <w14:schemeClr w14:val="tx1"/>
                  </w14:solidFill>
                </w14:textFill>
              </w:rPr>
            </w:pPr>
            <w:r>
              <w:rPr>
                <w:rFonts w:ascii="Times New Roman" w:hAnsi="Times New Roman" w:eastAsia="微软雅黑" w:cs="Times New Roman"/>
                <w:color w:val="000000" w:themeColor="text1"/>
                <w:sz w:val="18"/>
                <w:szCs w:val="18"/>
                <w:lang w:eastAsia="zh-CN" w:bidi="ar"/>
                <w14:textFill>
                  <w14:solidFill>
                    <w14:schemeClr w14:val="tx1"/>
                  </w14:solidFill>
                </w14:textFill>
              </w:rPr>
              <w:t>MEIS1-NCOA2</w:t>
            </w:r>
          </w:p>
        </w:tc>
      </w:tr>
    </w:tbl>
    <w:p w14:paraId="7939251F">
      <w:pPr>
        <w:rPr>
          <w:rFonts w:ascii="Times New Roman" w:hAnsi="Times New Roman" w:eastAsia="微软雅黑" w:cs="Times New Roman"/>
          <w:color w:val="000000"/>
          <w:sz w:val="18"/>
          <w:szCs w:val="18"/>
          <w:lang w:eastAsia="zh-Hans" w:bidi="ar"/>
        </w:rPr>
      </w:pPr>
      <w:r>
        <w:rPr>
          <w:rFonts w:ascii="Times New Roman" w:hAnsi="Times New Roman" w:eastAsia="微软雅黑" w:cs="Times New Roman"/>
          <w:color w:val="000000"/>
          <w:sz w:val="18"/>
          <w:szCs w:val="18"/>
          <w:lang w:eastAsia="zh-Hans" w:bidi="ar"/>
        </w:rPr>
        <w:t>参考指南：骨与软组织肿瘤二代测序中国专家共识（2021年版）</w:t>
      </w:r>
    </w:p>
    <w:p w14:paraId="3C011AA8">
      <w:pPr>
        <w:rPr>
          <w:rFonts w:hint="default" w:ascii="Times New Roman" w:hAnsi="Times New Roman" w:eastAsia="微软雅黑" w:cs="Times New Roman"/>
          <w:color w:val="000000"/>
          <w:sz w:val="21"/>
          <w:szCs w:val="21"/>
          <w:lang w:val="en-US" w:eastAsia="zh-CN" w:bidi="ar"/>
        </w:rPr>
      </w:pPr>
      <w:r>
        <w:rPr>
          <w:rFonts w:ascii="Times New Roman" w:hAnsi="Times New Roman" w:eastAsia="微软雅黑" w:cs="Times New Roman"/>
          <w:color w:val="000000"/>
          <w:sz w:val="18"/>
          <w:szCs w:val="18"/>
          <w:lang w:eastAsia="zh-Hans" w:bidi="ar"/>
        </w:rPr>
        <w:br w:type="page"/>
      </w:r>
      <w:r>
        <w:rPr>
          <w:rFonts w:hint="default" w:ascii="Times New Roman" w:hAnsi="Times New Roman" w:cs="Times New Roman"/>
          <w:sz w:val="21"/>
          <w:szCs w:val="21"/>
          <w:lang w:val="en-US" w:eastAsia="zh-CN"/>
        </w:rPr>
        <w:t>{% endif %}</w:t>
      </w:r>
    </w:p>
    <w:p w14:paraId="750374D9">
      <w:pPr>
        <w:pStyle w:val="3"/>
        <w:numPr>
          <w:ilvl w:val="255"/>
          <w:numId w:val="0"/>
        </w:numPr>
        <w:jc w:val="left"/>
        <w:rPr>
          <w:rFonts w:hint="eastAsia"/>
          <w:color w:val="auto"/>
          <w:sz w:val="30"/>
          <w:lang w:val="en-US" w:eastAsia="zh-CN"/>
        </w:rPr>
      </w:pPr>
      <w:bookmarkStart w:id="99" w:name="_Toc18001"/>
      <w:r>
        <w:rPr>
          <w:rFonts w:hint="eastAsia"/>
          <w:color w:val="auto"/>
          <w:sz w:val="30"/>
          <w:lang w:val="en-US" w:eastAsia="zh-CN"/>
        </w:rPr>
        <w:t>检测基因列表（1166个基因）</w:t>
      </w:r>
      <w:bookmarkEnd w:id="99"/>
    </w:p>
    <w:tbl>
      <w:tblPr>
        <w:tblStyle w:val="15"/>
        <w:tblpPr w:leftFromText="180" w:rightFromText="180" w:vertAnchor="text" w:horzAnchor="page" w:tblpXSpec="center" w:tblpY="264"/>
        <w:tblOverlap w:val="never"/>
        <w:tblW w:w="9931" w:type="dxa"/>
        <w:jc w:val="center"/>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1212"/>
        <w:gridCol w:w="1202"/>
        <w:gridCol w:w="1257"/>
        <w:gridCol w:w="1225"/>
        <w:gridCol w:w="1323"/>
        <w:gridCol w:w="1236"/>
        <w:gridCol w:w="1202"/>
        <w:gridCol w:w="1274"/>
      </w:tblGrid>
      <w:tr w14:paraId="23D49BCF">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DE0C9DC">
            <w:pPr>
              <w:widowControl/>
              <w:jc w:val="center"/>
              <w:textAlignment w:val="bottom"/>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genes(8,18,True) %}</w:t>
            </w:r>
          </w:p>
        </w:tc>
      </w:tr>
      <w:tr w14:paraId="695AC2D0">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1212" w:type="dxa"/>
            <w:tcBorders>
              <w:tl2br w:val="nil"/>
              <w:tr2bl w:val="nil"/>
            </w:tcBorders>
            <w:shd w:val="clear" w:color="auto" w:fill="auto"/>
            <w:noWrap/>
            <w:vAlign w:val="center"/>
          </w:tcPr>
          <w:p w14:paraId="0BEEF9C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Gene[0] }}</w:t>
            </w:r>
          </w:p>
        </w:tc>
        <w:tc>
          <w:tcPr>
            <w:tcW w:w="1202" w:type="dxa"/>
            <w:tcBorders>
              <w:tl2br w:val="nil"/>
              <w:tr2bl w:val="nil"/>
            </w:tcBorders>
            <w:shd w:val="clear" w:color="auto" w:fill="auto"/>
            <w:noWrap/>
            <w:vAlign w:val="center"/>
          </w:tcPr>
          <w:p w14:paraId="5BF3E08E">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Gene[1] }}</w:t>
            </w:r>
          </w:p>
        </w:tc>
        <w:tc>
          <w:tcPr>
            <w:tcW w:w="1257" w:type="dxa"/>
            <w:tcBorders>
              <w:tl2br w:val="nil"/>
              <w:tr2bl w:val="nil"/>
            </w:tcBorders>
            <w:shd w:val="clear" w:color="auto" w:fill="auto"/>
            <w:noWrap/>
            <w:vAlign w:val="center"/>
          </w:tcPr>
          <w:p w14:paraId="2597992B">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Gene[2] }}</w:t>
            </w:r>
          </w:p>
        </w:tc>
        <w:tc>
          <w:tcPr>
            <w:tcW w:w="1225" w:type="dxa"/>
            <w:tcBorders>
              <w:tl2br w:val="nil"/>
              <w:tr2bl w:val="nil"/>
            </w:tcBorders>
            <w:shd w:val="clear" w:color="auto" w:fill="auto"/>
            <w:noWrap/>
            <w:vAlign w:val="center"/>
          </w:tcPr>
          <w:p w14:paraId="09EAA040">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Gene[3] }}</w:t>
            </w:r>
          </w:p>
        </w:tc>
        <w:tc>
          <w:tcPr>
            <w:tcW w:w="1323" w:type="dxa"/>
            <w:tcBorders>
              <w:tl2br w:val="nil"/>
              <w:tr2bl w:val="nil"/>
            </w:tcBorders>
            <w:shd w:val="clear" w:color="auto" w:fill="auto"/>
            <w:noWrap/>
            <w:vAlign w:val="center"/>
          </w:tcPr>
          <w:p w14:paraId="595BCEAC">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Gene[4] }}</w:t>
            </w:r>
          </w:p>
        </w:tc>
        <w:tc>
          <w:tcPr>
            <w:tcW w:w="1236" w:type="dxa"/>
            <w:tcBorders>
              <w:tl2br w:val="nil"/>
              <w:tr2bl w:val="nil"/>
            </w:tcBorders>
            <w:shd w:val="clear" w:color="auto" w:fill="auto"/>
            <w:noWrap/>
            <w:vAlign w:val="center"/>
          </w:tcPr>
          <w:p w14:paraId="4C989A52">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Gene[5] }}</w:t>
            </w:r>
          </w:p>
        </w:tc>
        <w:tc>
          <w:tcPr>
            <w:tcW w:w="1202" w:type="dxa"/>
            <w:tcBorders>
              <w:tl2br w:val="nil"/>
              <w:tr2bl w:val="nil"/>
            </w:tcBorders>
            <w:shd w:val="clear" w:color="auto" w:fill="auto"/>
            <w:noWrap/>
            <w:vAlign w:val="center"/>
          </w:tcPr>
          <w:p w14:paraId="6C0ED6A9">
            <w:pPr>
              <w:widowControl/>
              <w:jc w:val="center"/>
              <w:textAlignment w:val="bottom"/>
              <w:rPr>
                <w:rFonts w:ascii="Times New Roman" w:hAnsi="Times New Roman" w:cs="Times New Roman"/>
                <w:i/>
                <w:iCs/>
                <w:color w:val="000000"/>
                <w:sz w:val="18"/>
                <w:szCs w:val="18"/>
                <w:lang w:eastAsia="zh-CN" w:bidi="ar"/>
              </w:rPr>
            </w:pPr>
            <w:r>
              <w:rPr>
                <w:rFonts w:hint="eastAsia" w:ascii="Times New Roman" w:hAnsi="Times New Roman" w:cs="Times New Roman"/>
                <w:i/>
                <w:iCs/>
                <w:color w:val="000000"/>
                <w:sz w:val="18"/>
                <w:szCs w:val="18"/>
                <w:lang w:eastAsia="zh-CN" w:bidi="ar"/>
              </w:rPr>
              <w:t>{{r Gene[6] }}</w:t>
            </w:r>
          </w:p>
        </w:tc>
        <w:tc>
          <w:tcPr>
            <w:tcW w:w="0" w:type="auto"/>
            <w:tcBorders>
              <w:tl2br w:val="nil"/>
              <w:tr2bl w:val="nil"/>
            </w:tcBorders>
            <w:shd w:val="clear" w:color="auto" w:fill="auto"/>
            <w:noWrap/>
            <w:vAlign w:val="center"/>
          </w:tcPr>
          <w:p w14:paraId="1F173D11">
            <w:pPr>
              <w:widowControl/>
              <w:jc w:val="center"/>
              <w:textAlignment w:val="bottom"/>
              <w:rPr>
                <w:rFonts w:ascii="Times New Roman" w:hAnsi="Times New Roman" w:cs="Times New Roman"/>
                <w:i/>
                <w:iCs/>
                <w:color w:val="000000"/>
                <w:sz w:val="18"/>
                <w:szCs w:val="18"/>
              </w:rPr>
            </w:pPr>
            <w:r>
              <w:rPr>
                <w:rFonts w:hint="eastAsia" w:ascii="Times New Roman" w:hAnsi="Times New Roman" w:cs="Times New Roman"/>
                <w:i/>
                <w:iCs/>
                <w:color w:val="000000"/>
                <w:sz w:val="18"/>
                <w:szCs w:val="18"/>
                <w:lang w:eastAsia="zh-CN" w:bidi="ar"/>
              </w:rPr>
              <w:t>{{r Gene[7] }}</w:t>
            </w:r>
          </w:p>
        </w:tc>
      </w:tr>
      <w:tr w14:paraId="58279D51">
        <w:tblPrEx>
          <w:tblBorders>
            <w:top w:val="single" w:color="62B541" w:sz="18" w:space="0"/>
            <w:left w:val="none" w:color="auto" w:sz="0" w:space="0"/>
            <w:bottom w:val="single" w:color="62B541" w:sz="18"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6" w:hRule="atLeast"/>
          <w:jc w:val="center"/>
        </w:trPr>
        <w:tc>
          <w:tcPr>
            <w:tcW w:w="9931" w:type="dxa"/>
            <w:gridSpan w:val="8"/>
            <w:tcBorders>
              <w:tl2br w:val="nil"/>
              <w:tr2bl w:val="nil"/>
            </w:tcBorders>
            <w:shd w:val="clear" w:color="auto" w:fill="auto"/>
            <w:noWrap/>
            <w:vAlign w:val="center"/>
          </w:tcPr>
          <w:p w14:paraId="7CC3F68A">
            <w:pPr>
              <w:jc w:val="center"/>
              <w:rPr>
                <w:rFonts w:ascii="Times New Roman" w:hAnsi="Times New Roman" w:cs="Times New Roman"/>
                <w:i/>
                <w:iCs/>
                <w:color w:val="000000"/>
                <w:sz w:val="18"/>
                <w:szCs w:val="18"/>
              </w:rPr>
            </w:pPr>
            <w:r>
              <w:rPr>
                <w:rFonts w:hint="eastAsia" w:ascii="Times New Roman" w:hAnsi="Times New Roman" w:eastAsia="微软雅黑" w:cs="Times New Roman"/>
                <w:sz w:val="18"/>
                <w:szCs w:val="18"/>
                <w:lang w:eastAsia="zh-CN"/>
              </w:rPr>
              <w:t>{%tr endfor%}</w:t>
            </w:r>
          </w:p>
        </w:tc>
      </w:tr>
    </w:tbl>
    <w:p w14:paraId="383B99AB">
      <w:pPr>
        <w:rPr>
          <w:rFonts w:ascii="Times New Roman" w:hAnsi="Times New Roman"/>
          <w:sz w:val="30"/>
          <w:lang w:eastAsia="zh-CN"/>
        </w:rPr>
      </w:pPr>
    </w:p>
    <w:p w14:paraId="13254E49">
      <w:pPr>
        <w:rPr>
          <w:rFonts w:ascii="Times New Roman" w:hAnsi="Times New Roman"/>
          <w:sz w:val="30"/>
          <w:lang w:eastAsia="zh-CN"/>
        </w:rPr>
      </w:pPr>
      <w:r>
        <w:rPr>
          <w:rFonts w:hint="eastAsia" w:ascii="Times New Roman" w:hAnsi="Times New Roman"/>
          <w:sz w:val="30"/>
          <w:lang w:eastAsia="zh-CN"/>
        </w:rPr>
        <w:br w:type="page"/>
      </w:r>
    </w:p>
    <w:p w14:paraId="77B7B61B">
      <w:pPr>
        <w:pStyle w:val="3"/>
        <w:numPr>
          <w:ilvl w:val="255"/>
          <w:numId w:val="0"/>
        </w:numPr>
        <w:jc w:val="left"/>
        <w:rPr>
          <w:color w:val="auto"/>
          <w:sz w:val="30"/>
          <w:lang w:eastAsia="zh-CN"/>
        </w:rPr>
      </w:pPr>
      <w:bookmarkStart w:id="100" w:name="_Toc15114"/>
      <w:bookmarkStart w:id="101" w:name="_Toc24071"/>
      <w:bookmarkStart w:id="102" w:name="_Toc3409"/>
      <w:r>
        <w:rPr>
          <w:rFonts w:hint="eastAsia"/>
          <w:color w:val="auto"/>
          <w:sz w:val="30"/>
          <w:lang w:eastAsia="zh-CN"/>
        </w:rPr>
        <w:t>检测方法与局限性</w:t>
      </w:r>
      <w:bookmarkEnd w:id="100"/>
      <w:bookmarkEnd w:id="101"/>
      <w:bookmarkEnd w:id="102"/>
    </w:p>
    <w:p w14:paraId="723DC2B1">
      <w:pPr>
        <w:rPr>
          <w:highlight w:val="yellow"/>
          <w:lang w:eastAsia="zh-CN"/>
        </w:rPr>
      </w:pPr>
    </w:p>
    <w:p w14:paraId="60F40A29">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检测方法</w:t>
      </w:r>
    </w:p>
    <w:p w14:paraId="5BE43D7F">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本次检测采用目标区域探针捕获技术，利用脱氧核糖核酸测序对样本进行检测。</w:t>
      </w:r>
    </w:p>
    <w:p w14:paraId="2CA5879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本次</w:t>
      </w:r>
      <w:r>
        <w:rPr>
          <w:rFonts w:hint="eastAsia" w:ascii="Times New Roman" w:hAnsi="Times New Roman" w:eastAsia="微软雅黑" w:cs="Times New Roman"/>
          <w:bCs/>
          <w:sz w:val="21"/>
          <w:szCs w:val="21"/>
          <w:lang w:val="en-US" w:eastAsia="zh-CN"/>
        </w:rPr>
        <w:t>从转录层面</w:t>
      </w:r>
      <w:r>
        <w:rPr>
          <w:rFonts w:hint="eastAsia" w:ascii="Times New Roman" w:hAnsi="Times New Roman" w:eastAsia="微软雅黑" w:cs="Times New Roman"/>
          <w:bCs/>
          <w:sz w:val="21"/>
          <w:szCs w:val="21"/>
          <w:lang w:eastAsia="zh-CN"/>
        </w:rPr>
        <w:t>检测与肿瘤发生发展相关的1166个基因，探针设计覆盖目标基因全转录本区域，可提供全面可信的融合基因检测。</w:t>
      </w:r>
    </w:p>
    <w:p w14:paraId="6B58C844">
      <w:pPr>
        <w:rPr>
          <w:rFonts w:ascii="Times New Roman" w:hAnsi="Times New Roman" w:eastAsia="微软雅黑" w:cs="Times New Roman"/>
          <w:bCs/>
          <w:sz w:val="21"/>
          <w:szCs w:val="21"/>
          <w:lang w:eastAsia="zh-CN"/>
        </w:rPr>
      </w:pPr>
    </w:p>
    <w:p w14:paraId="43F4ACA2">
      <w:pPr>
        <w:spacing w:line="276" w:lineRule="auto"/>
        <w:ind w:right="448"/>
        <w:rPr>
          <w:rFonts w:ascii="Times New Roman" w:hAnsi="Times New Roman" w:eastAsia="微软雅黑" w:cs="Times New Roman"/>
          <w:b/>
          <w:bCs/>
          <w:sz w:val="24"/>
          <w:szCs w:val="24"/>
          <w:lang w:eastAsia="zh-CN"/>
        </w:rPr>
      </w:pPr>
      <w:r>
        <w:rPr>
          <w:rFonts w:hint="eastAsia" w:ascii="Times New Roman" w:hAnsi="Times New Roman" w:eastAsia="微软雅黑" w:cs="Times New Roman"/>
          <w:b/>
          <w:bCs/>
          <w:sz w:val="24"/>
          <w:szCs w:val="24"/>
          <w:lang w:eastAsia="zh-CN"/>
        </w:rPr>
        <w:t>局限性说明</w:t>
      </w:r>
    </w:p>
    <w:p w14:paraId="4B6BB4E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1.本检测仅为临床诊断及治疗决策提供参考和辅助。临床诊断及治疗决策应由临床医生结合受检者的全面临床信息进行综合判断。</w:t>
      </w:r>
    </w:p>
    <w:p w14:paraId="790B0183">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2.本检测的分析和解读基于已发表的文献和公开的数据库，随着科学研究的发展和数据库的更新，变异解读可能发生一定的变更。</w:t>
      </w:r>
    </w:p>
    <w:p w14:paraId="1CC71279">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3.本检测只适用于发现指定基因</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的融合变异检测，其它基因变异形式不在检测范围内。</w:t>
      </w:r>
    </w:p>
    <w:p w14:paraId="66E9E52A">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4.肿瘤是一种复杂的系统性疾病，评定是否为恶性肿瘤需要由临床医生综合多种检查结果进行判定。本检测不能用于确认或排除恶性肿瘤的存在。</w:t>
      </w:r>
    </w:p>
    <w:p w14:paraId="694EAA2B">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5.</w:t>
      </w:r>
      <w:r>
        <w:rPr>
          <w:rFonts w:hint="eastAsia" w:ascii="Times New Roman" w:hAnsi="Times New Roman" w:eastAsia="微软雅黑" w:cs="Times New Roman"/>
          <w:bCs/>
          <w:sz w:val="21"/>
          <w:szCs w:val="21"/>
          <w:lang w:val="en-US" w:eastAsia="zh-CN"/>
        </w:rPr>
        <w:t>转录层面</w:t>
      </w:r>
      <w:r>
        <w:rPr>
          <w:rFonts w:hint="eastAsia" w:ascii="Times New Roman" w:hAnsi="Times New Roman" w:eastAsia="微软雅黑" w:cs="Times New Roman"/>
          <w:bCs/>
          <w:sz w:val="21"/>
          <w:szCs w:val="21"/>
          <w:lang w:eastAsia="zh-CN"/>
        </w:rPr>
        <w:t>融合检测的灵敏度，受基因表达水平、肿瘤细胞含量、送检样本质量影响，如未检出指定基因的变异（即阴性结果）不能排除存在低于检测下限的变异的可能性。</w:t>
      </w:r>
    </w:p>
    <w:p w14:paraId="615AA914">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6.肿瘤发展或治疗过程中可能出现获得性基因变异，从而使癌症的突变谱发生变化。同时肿瘤也可能存在肿瘤间和肿瘤内的异质性，利用小块组织检测到的变异可能无法完全反映病灶部位全部细胞变异情况。</w:t>
      </w:r>
    </w:p>
    <w:p w14:paraId="1D693D7B">
      <w:pPr>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br w:type="page"/>
      </w:r>
    </w:p>
    <w:bookmarkEnd w:id="88"/>
    <w:bookmarkEnd w:id="89"/>
    <w:bookmarkEnd w:id="90"/>
    <w:bookmarkEnd w:id="91"/>
    <w:bookmarkEnd w:id="92"/>
    <w:bookmarkEnd w:id="93"/>
    <w:bookmarkEnd w:id="94"/>
    <w:p w14:paraId="3DCBBEF1">
      <w:pPr>
        <w:pStyle w:val="3"/>
        <w:numPr>
          <w:ilvl w:val="255"/>
          <w:numId w:val="0"/>
        </w:numPr>
        <w:jc w:val="left"/>
        <w:rPr>
          <w:color w:val="auto"/>
          <w:sz w:val="30"/>
          <w:lang w:eastAsia="zh-CN"/>
        </w:rPr>
      </w:pPr>
      <w:bookmarkStart w:id="103" w:name="_Toc26977"/>
      <w:bookmarkStart w:id="104" w:name="_Toc16927"/>
      <w:bookmarkStart w:id="105" w:name="_Toc9662"/>
      <w:bookmarkStart w:id="106" w:name="_Toc107825571"/>
      <w:bookmarkStart w:id="107" w:name="_Toc21361"/>
      <w:bookmarkStart w:id="108" w:name="_Toc14611_WPSOffice_Level1"/>
      <w:bookmarkStart w:id="109" w:name="_Toc22162_WPSOffice_Level1"/>
      <w:bookmarkStart w:id="110" w:name="_Toc19584_WPSOffice_Level1"/>
      <w:bookmarkStart w:id="111" w:name="_Toc22623"/>
      <w:bookmarkStart w:id="112" w:name="_Toc13275"/>
      <w:bookmarkStart w:id="113" w:name="_Toc17792_WPSOffice_Level2"/>
      <w:r>
        <w:rPr>
          <w:rFonts w:hint="eastAsia"/>
          <w:color w:val="auto"/>
          <w:sz w:val="30"/>
          <w:lang w:eastAsia="zh-CN"/>
        </w:rPr>
        <w:t>参考文献</w:t>
      </w:r>
      <w:bookmarkEnd w:id="103"/>
      <w:bookmarkEnd w:id="104"/>
      <w:bookmarkEnd w:id="105"/>
      <w:bookmarkEnd w:id="106"/>
      <w:bookmarkEnd w:id="107"/>
    </w:p>
    <w:bookmarkEnd w:id="108"/>
    <w:bookmarkEnd w:id="109"/>
    <w:bookmarkEnd w:id="110"/>
    <w:bookmarkEnd w:id="111"/>
    <w:bookmarkEnd w:id="112"/>
    <w:bookmarkEnd w:id="113"/>
    <w:p w14:paraId="68C1F568">
      <w:pPr>
        <w:pStyle w:val="33"/>
        <w:widowControl/>
        <w:adjustRightInd w:val="0"/>
        <w:snapToGrid w:val="0"/>
        <w:spacing w:after="120" w:afterLines="50"/>
        <w:ind w:firstLine="0" w:firstLineChars="0"/>
        <w:jc w:val="both"/>
        <w:rPr>
          <w:rFonts w:hint="default" w:ascii="Times New Roman" w:hAnsi="Times New Roman" w:eastAsia="微软雅黑"/>
          <w:sz w:val="15"/>
          <w:szCs w:val="15"/>
        </w:rPr>
      </w:pPr>
    </w:p>
    <w:p w14:paraId="7D4F7BBB">
      <w:pPr>
        <w:keepNext w:val="0"/>
        <w:keepLines w:val="0"/>
        <w:widowControl w:val="0"/>
        <w:suppressLineNumbers w:val="0"/>
        <w:spacing w:before="0" w:beforeAutospacing="0" w:after="0" w:afterAutospacing="0"/>
        <w:ind w:left="0" w:right="0"/>
        <w:jc w:val="left"/>
        <w:rPr>
          <w:rFonts w:hint="eastAsia"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if </w:t>
      </w:r>
      <w:r>
        <w:rPr>
          <w:rFonts w:hint="eastAsia" w:ascii="Times New Roman" w:hAnsi="Times New Roman" w:cs="Times New Roman"/>
          <w:sz w:val="15"/>
          <w:szCs w:val="15"/>
          <w:lang w:val="en-US" w:eastAsia="zh-CN"/>
        </w:rPr>
        <w:t xml:space="preserve">3620 in diseaseIdList </w:t>
      </w:r>
      <w:r>
        <w:rPr>
          <w:rFonts w:hint="default" w:ascii="Times New Roman" w:hAnsi="Times New Roman" w:cs="Times New Roman"/>
          <w:sz w:val="15"/>
          <w:szCs w:val="15"/>
          <w:lang w:val="en-US" w:eastAsia="zh-CN"/>
        </w:rPr>
        <w:t>%}</w:t>
      </w:r>
      <w:r>
        <w:rPr>
          <w:rFonts w:hint="eastAsia" w:ascii="Times New Roman" w:hAnsi="Times New Roman" w:cs="Times New Roman"/>
          <w:sz w:val="15"/>
          <w:szCs w:val="15"/>
          <w:lang w:eastAsia="zh-CN"/>
        </w:rPr>
        <w:t>NCCN临床实践指南：中枢神经系统肿瘤（2020.V3）</w:t>
      </w:r>
    </w:p>
    <w:p w14:paraId="57DF88EC">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2022年版《脑胶质瘤中国肿瘤整合诊治指南》</w:t>
      </w:r>
    </w:p>
    <w:p w14:paraId="00663F2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2022年版《中国抗癌协会脑胶质瘤整合诊治指南》</w:t>
      </w:r>
    </w:p>
    <w:p w14:paraId="7E8D1566">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default" w:ascii="Times New Roman" w:hAnsi="Times New Roman" w:cs="Times New Roman"/>
          <w:sz w:val="15"/>
          <w:szCs w:val="15"/>
          <w:lang w:val="en-US" w:eastAsia="zh-CN"/>
        </w:rPr>
      </w:pPr>
      <w:r>
        <w:rPr>
          <w:rFonts w:hint="eastAsia" w:ascii="Times New Roman" w:hAnsi="Times New Roman" w:cs="Times New Roman"/>
          <w:sz w:val="15"/>
          <w:szCs w:val="15"/>
          <w:lang w:val="en-US" w:eastAsia="zh-CN"/>
        </w:rPr>
        <w:t>The 2021 WHO Classification of Tumors of the Central Nervous System: a summary Neuro-Oncology 23(8), 1231–1251, 2021 | doi:10.1093/neuonc/noab106</w:t>
      </w:r>
    </w:p>
    <w:p w14:paraId="5771ACEE">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bookmarkStart w:id="114" w:name="OLE_LINK1"/>
      <w:r>
        <w:rPr>
          <w:rFonts w:hint="eastAsia" w:ascii="Times New Roman" w:hAnsi="Times New Roman" w:cs="Times New Roman"/>
          <w:sz w:val="15"/>
          <w:szCs w:val="15"/>
          <w:lang w:eastAsia="zh-CN"/>
        </w:rPr>
        <w:t>Comprehensive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Profiling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282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Pediatric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Low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High</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Grade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Reveals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Genomic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Drivers,Tumor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Mutational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Burden,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Hypermutation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Signatures.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PMID:28912153</w:t>
      </w:r>
    </w:p>
    <w:bookmarkEnd w:id="114"/>
    <w:p w14:paraId="1525612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ChapmanPB,HauschildA,RobertCetal.ImprovedsurvivalwithvemurafenibinmelanomaWithBRAFV600Emutation[J].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New</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England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Medicine,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2011,364(26):2507-2516.</w:t>
      </w:r>
    </w:p>
    <w:p w14:paraId="06D8A17A">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High-gradeglioma：ESMO</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Practice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Guidelines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fordiagnosis,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treatment</w:t>
      </w:r>
      <w:r>
        <w:rPr>
          <w:rFonts w:hint="eastAsia" w:ascii="Times New Roman" w:hAnsi="Times New Roman" w:cs="Times New Roman"/>
          <w:sz w:val="15"/>
          <w:szCs w:val="15"/>
          <w:lang w:val="en-US" w:eastAsia="zh-CN"/>
        </w:rPr>
        <w:t xml:space="preserve"> a</w:t>
      </w:r>
      <w:r>
        <w:rPr>
          <w:rFonts w:hint="eastAsia" w:ascii="Times New Roman" w:hAnsi="Times New Roman" w:cs="Times New Roman"/>
          <w:sz w:val="15"/>
          <w:szCs w:val="15"/>
          <w:lang w:eastAsia="zh-CN"/>
        </w:rPr>
        <w:t>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follow-up.AnnalsofOncology00:1-9,2014.</w:t>
      </w:r>
    </w:p>
    <w:p w14:paraId="39926A41">
      <w:pPr>
        <w:keepNext w:val="0"/>
        <w:keepLines w:val="0"/>
        <w:pageBreakBefore w:val="0"/>
        <w:widowControl/>
        <w:kinsoku/>
        <w:wordWrap/>
        <w:overflowPunct/>
        <w:topLinePunct w:val="0"/>
        <w:autoSpaceDE/>
        <w:autoSpaceDN/>
        <w:bidi w:val="0"/>
        <w:adjustRightInd w:val="0"/>
        <w:snapToGrid w:val="0"/>
        <w:spacing w:line="360" w:lineRule="auto"/>
        <w:jc w:val="both"/>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KillelaPJ,YanH,BignerDD,etal.Mutations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IDH1,</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IDH2,</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TERT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promoter</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define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clinically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distinct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subgroup</w:t>
      </w:r>
      <w:r>
        <w:rPr>
          <w:rFonts w:hint="eastAsia" w:ascii="Times New Roman" w:hAnsi="Times New Roman" w:cs="Times New Roman"/>
          <w:sz w:val="15"/>
          <w:szCs w:val="15"/>
          <w:lang w:val="en-US" w:eastAsia="zh-CN"/>
        </w:rPr>
        <w:t xml:space="preserve">s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adult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gliomas.Oncotarget2014;5(6):1515-1525.</w:t>
      </w:r>
    </w:p>
    <w:p w14:paraId="7F73C0B8">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eastAsia="zh-CN"/>
        </w:rPr>
      </w:pPr>
      <w:r>
        <w:rPr>
          <w:rFonts w:hint="eastAsia" w:ascii="Times New Roman" w:hAnsi="Times New Roman" w:cs="Times New Roman"/>
          <w:sz w:val="15"/>
          <w:szCs w:val="15"/>
          <w:lang w:eastAsia="zh-CN"/>
        </w:rPr>
        <w:t>LukeJJ,HodiFS.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Ipilimumab,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vemurafenib,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da</w:t>
      </w:r>
      <w:r>
        <w:rPr>
          <w:rFonts w:hint="eastAsia" w:ascii="Times New Roman" w:hAnsi="Times New Roman" w:cs="Times New Roman"/>
          <w:sz w:val="15"/>
          <w:szCs w:val="15"/>
          <w:lang w:val="en-US" w:eastAsia="zh-CN"/>
        </w:rPr>
        <w:t>braf</w:t>
      </w:r>
      <w:r>
        <w:rPr>
          <w:rFonts w:hint="eastAsia" w:ascii="Times New Roman" w:hAnsi="Times New Roman" w:cs="Times New Roman"/>
          <w:sz w:val="15"/>
          <w:szCs w:val="15"/>
          <w:lang w:eastAsia="zh-CN"/>
        </w:rPr>
        <w:t>enib,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trametinib:</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synergistic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competitors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clinical</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management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BRAF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Mutant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malignant</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melanoma[J].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Theoncologist,2013,18(6):717-725.</w:t>
      </w:r>
    </w:p>
    <w:p w14:paraId="0CBE2845">
      <w:pPr>
        <w:pStyle w:val="33"/>
        <w:widowControl/>
        <w:adjustRightInd w:val="0"/>
        <w:snapToGrid w:val="0"/>
        <w:spacing w:after="120" w:afterLines="50"/>
        <w:ind w:firstLine="0" w:firstLineChars="0"/>
        <w:jc w:val="both"/>
        <w:rPr>
          <w:rFonts w:hint="eastAsia" w:ascii="Times New Roman" w:hAnsi="Times New Roman" w:cs="Times New Roman"/>
          <w:sz w:val="15"/>
          <w:szCs w:val="15"/>
          <w:lang w:val="en-US" w:eastAsia="zh-CN"/>
        </w:rPr>
      </w:pPr>
      <w:r>
        <w:rPr>
          <w:rFonts w:hint="eastAsia" w:ascii="Times New Roman" w:hAnsi="Times New Roman" w:cs="Times New Roman"/>
          <w:sz w:val="15"/>
          <w:szCs w:val="15"/>
          <w:lang w:eastAsia="zh-CN"/>
        </w:rPr>
        <w:t>DubbinkHJ,AtmodimedjoPN,VanMR,etal.Diagnostic</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Detection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eastAsia="微软雅黑" w:cs="Times New Roman"/>
          <w:sz w:val="15"/>
          <w:szCs w:val="15"/>
          <w:lang w:eastAsia="zh-CN"/>
        </w:rPr>
        <w:t>Allelic</w:t>
      </w:r>
      <w:r>
        <w:rPr>
          <w:rFonts w:hint="eastAsia" w:ascii="Times New Roman" w:hAnsi="Times New Roman" w:eastAsia="微软雅黑" w:cs="Times New Roman"/>
          <w:sz w:val="15"/>
          <w:szCs w:val="15"/>
          <w:lang w:val="en-US" w:eastAsia="zh-CN"/>
        </w:rPr>
        <w:t xml:space="preserve"> </w:t>
      </w:r>
      <w:r>
        <w:rPr>
          <w:rFonts w:hint="eastAsia" w:ascii="Times New Roman" w:hAnsi="Times New Roman" w:cs="Times New Roman"/>
          <w:sz w:val="15"/>
          <w:szCs w:val="15"/>
          <w:lang w:eastAsia="zh-CN"/>
        </w:rPr>
        <w:t>Losses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and</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Imbalances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by</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Next-Generation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Sequencing:</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1P/19Q</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Co-deletion</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Analysis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of</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Gliomas.</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w:t>
      </w:r>
      <w:r>
        <w:rPr>
          <w:rFonts w:hint="eastAsia" w:ascii="Times New Roman" w:hAnsi="Times New Roman" w:cs="Times New Roman"/>
          <w:sz w:val="15"/>
          <w:szCs w:val="15"/>
          <w:lang w:val="en-US" w:eastAsia="zh-CN"/>
        </w:rPr>
        <w:t xml:space="preserve"> </w:t>
      </w:r>
      <w:r>
        <w:rPr>
          <w:rFonts w:hint="eastAsia" w:ascii="Times New Roman" w:hAnsi="Times New Roman" w:cs="Times New Roman"/>
          <w:sz w:val="15"/>
          <w:szCs w:val="15"/>
          <w:lang w:eastAsia="zh-CN"/>
        </w:rPr>
        <w:t>JournalofMolecularDiagnostics,2016,18(5):775-78</w:t>
      </w:r>
      <w:r>
        <w:rPr>
          <w:rFonts w:hint="eastAsia" w:ascii="Times New Roman" w:hAnsi="Times New Roman" w:cs="Times New Roman"/>
          <w:sz w:val="15"/>
          <w:szCs w:val="15"/>
          <w:lang w:val="en-US" w:eastAsia="zh-CN"/>
        </w:rPr>
        <w:t>6</w:t>
      </w:r>
    </w:p>
    <w:p w14:paraId="4D8BCA0B">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60463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KEES U R，MULCAHY M T，WILLOUGHBY M L. Intrathoracic</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carcinoma in an 11⁃year⁃old girl showing a translocation t（15；19）［J］.Am J Pediatr Hematol Oncol，1991，13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：459⁃464.</w:t>
      </w:r>
    </w:p>
    <w:p w14:paraId="0C470735">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CHAU N G，MA C，DANGA K，et al.An Anatomical Site and Genetic⁃Based Prognostic Model for Patients With Nuclear Protein in Testis（NUT）Midline Carcinoma：Analysis of 124 Patients［J］.JNCI Cancer</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Spectr，2020，4（2）：pkz94.</w:t>
      </w:r>
    </w:p>
    <w:p w14:paraId="7A3661D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CHARLAB R，RACZ R.The expanding universe of NUTM1 fusions</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in pediatric cancer［J］.Clin Transl Sci，2023，16（8）：1331⁃1339.</w:t>
      </w:r>
    </w:p>
    <w:p w14:paraId="4E779724">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COSTA B A，MARAVEYAS A，WILKOFF M H，et al.Primary Pulmonary</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NUT Carcinoma：Case Illustration and Updated Review of Literature［J］.Clin Lung Cancer，2022，23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：e296⁃e300.</w:t>
      </w:r>
    </w:p>
    <w:p w14:paraId="6490D240">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VIRARKAR M，MALLERY M，SALEH M，et al.Clinical，Radiographic，Pathologic Characterization and Survival Outcomes of Nuclear Protein of</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the Testis Carcinoma［J］.J Comput Assist Tomogr，2021，45</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3</w:t>
      </w:r>
      <w:r>
        <w:rPr>
          <w:rFonts w:hint="eastAsia" w:ascii="Times New Roman" w:hAnsi="Times New Roman" w:cs="Times New Roman"/>
          <w:sz w:val="15"/>
          <w:szCs w:val="15"/>
          <w:lang w:val="en-US" w:eastAsia="zh-CN"/>
        </w:rPr>
        <w:t>):</w:t>
      </w:r>
      <w:r>
        <w:rPr>
          <w:rFonts w:hint="default" w:ascii="Times New Roman" w:hAnsi="Times New Roman" w:cs="Times New Roman"/>
          <w:sz w:val="15"/>
          <w:szCs w:val="15"/>
          <w:lang w:eastAsia="zh-CN"/>
        </w:rPr>
        <w:t>431⁃441.</w:t>
      </w:r>
    </w:p>
    <w:p w14:paraId="2C377F23">
      <w:pPr>
        <w:pStyle w:val="33"/>
        <w:widowControl/>
        <w:adjustRightInd w:val="0"/>
        <w:snapToGrid w:val="0"/>
        <w:spacing w:after="120" w:afterLines="50"/>
        <w:ind w:firstLine="0" w:firstLineChars="0"/>
        <w:jc w:val="both"/>
        <w:rPr>
          <w:rFonts w:hint="eastAsia" w:ascii="Times New Roman" w:hAnsi="Times New Roman" w:cs="Times New Roman"/>
          <w:sz w:val="15"/>
          <w:szCs w:val="15"/>
          <w:lang w:eastAsia="zh-CN"/>
        </w:rPr>
      </w:pPr>
      <w:r>
        <w:rPr>
          <w:rFonts w:hint="default" w:ascii="Times New Roman" w:hAnsi="Times New Roman" w:cs="Times New Roman"/>
          <w:sz w:val="15"/>
          <w:szCs w:val="15"/>
          <w:lang w:eastAsia="zh-CN"/>
        </w:rPr>
        <w:t>中线（NUT）癌诊断与治疗专家共识（2023版</w:t>
      </w:r>
      <w:r>
        <w:rPr>
          <w:rFonts w:hint="eastAsia" w:ascii="Times New Roman" w:hAnsi="Times New Roman" w:cs="Times New Roman"/>
          <w:sz w:val="15"/>
          <w:szCs w:val="15"/>
          <w:lang w:eastAsia="zh-CN"/>
        </w:rPr>
        <w:t>）</w:t>
      </w:r>
    </w:p>
    <w:p w14:paraId="5D3EA67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263 in diseaseIdList </w:t>
      </w:r>
      <w:r>
        <w:rPr>
          <w:rFonts w:hint="default" w:ascii="Times New Roman" w:hAnsi="Times New Roman" w:cs="Times New Roman"/>
          <w:sz w:val="15"/>
          <w:szCs w:val="15"/>
          <w:lang w:val="en-US" w:eastAsia="zh-CN"/>
        </w:rPr>
        <w:t>%}</w:t>
      </w:r>
      <w:r>
        <w:rPr>
          <w:rFonts w:hint="default" w:ascii="Times New Roman" w:hAnsi="Times New Roman" w:cs="Times New Roman"/>
          <w:sz w:val="15"/>
          <w:szCs w:val="15"/>
          <w:lang w:eastAsia="zh-CN"/>
        </w:rPr>
        <w:t>WH</w:t>
      </w:r>
      <w:r>
        <w:rPr>
          <w:rFonts w:hint="eastAsia" w:ascii="Times New Roman" w:hAnsi="Times New Roman" w:cs="Times New Roman"/>
          <w:sz w:val="15"/>
          <w:szCs w:val="15"/>
          <w:lang w:val="en-US" w:eastAsia="zh-CN"/>
        </w:rPr>
        <w:t>O</w:t>
      </w:r>
      <w:r>
        <w:rPr>
          <w:rFonts w:hint="default" w:ascii="Times New Roman" w:hAnsi="Times New Roman" w:cs="Times New Roman"/>
          <w:sz w:val="15"/>
          <w:szCs w:val="15"/>
          <w:lang w:eastAsia="zh-CN"/>
        </w:rPr>
        <w:t xml:space="preserve"> Classification of Tumours Editorial Board. WHO classifica-tion of tumours. Urinary and male genital tumours [ M]. 5th ed,Lyon:IARC Press,2022 :72 -84</w:t>
      </w:r>
      <w:r>
        <w:rPr>
          <w:rFonts w:hint="eastAsia" w:ascii="Times New Roman" w:hAnsi="Times New Roman" w:cs="Times New Roman"/>
          <w:sz w:val="15"/>
          <w:szCs w:val="15"/>
          <w:lang w:val="en-US" w:eastAsia="zh-CN"/>
        </w:rPr>
        <w:t>.</w:t>
      </w:r>
    </w:p>
    <w:p w14:paraId="142578A2">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Pei J, Cooper H, Flieder D B,et al. NEAT1-TFE3 and KAT6A.TFE3 renal cell carcinomas, new members of MiT family transloca-tion renal cell carcinoma[J]. Mod Pathol, 2019,32(5):710-716.</w:t>
      </w:r>
    </w:p>
    <w:p w14:paraId="6EEECC2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 T, Xia Q Y, Ye S B, et al. RNA sequencing of Xpl1translocation-associated cancers reveals novel gene fusions and dis-tinctive clinicopathologic correlations[ 」]. Mod Pathol, 2018 ,31(9):1346 -1360.</w:t>
      </w:r>
    </w:p>
    <w:p w14:paraId="35DF696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Wang XM,Shao L,Xiao H,et al. Lessons from 801 clinicalTFE3/TFEB FISH assays performed on renal cell carcinoma suspi-cious forMiTF family aberrations[」]. Am J Clin Pathol, 2023 ,160(6):549 -554.</w:t>
      </w:r>
    </w:p>
    <w:p w14:paraId="0FCD5146">
      <w:pPr>
        <w:pStyle w:val="33"/>
        <w:widowControl/>
        <w:adjustRightInd w:val="0"/>
        <w:snapToGrid w:val="0"/>
        <w:spacing w:after="120" w:afterLines="50"/>
        <w:ind w:firstLine="0" w:firstLineChars="0"/>
        <w:jc w:val="both"/>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Xia QY, Wang XT, Fang R, et al. Clinicopathologic and molee-ular analysis of the TFEB fusion variant reveals new members ofTFEB translocation renal cell carcinomas ( RCCs): expanding thegenomic spectrum[」]. Am JSurg Pathol,2020,44(4):477 -48</w:t>
      </w:r>
      <w:r>
        <w:rPr>
          <w:rFonts w:hint="eastAsia" w:ascii="Times New Roman" w:hAnsi="Times New Roman" w:cs="Times New Roman"/>
          <w:sz w:val="15"/>
          <w:szCs w:val="15"/>
          <w:lang w:val="en-US" w:eastAsia="zh-CN"/>
        </w:rPr>
        <w:t>9</w:t>
      </w:r>
    </w:p>
    <w:p w14:paraId="138C9DD0">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hint="default" w:ascii="Times New Roman" w:hAnsi="Times New Roman" w:cs="Times New Roman"/>
          <w:sz w:val="15"/>
          <w:szCs w:val="15"/>
          <w:lang w:val="en-US" w:eastAsia="zh-CN"/>
        </w:rPr>
        <w:t xml:space="preserve">{% </w:t>
      </w:r>
      <w:r>
        <w:rPr>
          <w:rFonts w:hint="eastAsia" w:ascii="Times New Roman" w:hAnsi="Times New Roman" w:cs="Times New Roman"/>
          <w:sz w:val="15"/>
          <w:szCs w:val="15"/>
          <w:lang w:val="en-US" w:eastAsia="zh-CN"/>
        </w:rPr>
        <w:t>el</w:t>
      </w:r>
      <w:r>
        <w:rPr>
          <w:rFonts w:hint="default" w:ascii="Times New Roman" w:hAnsi="Times New Roman" w:cs="Times New Roman"/>
          <w:sz w:val="15"/>
          <w:szCs w:val="15"/>
          <w:lang w:val="en-US" w:eastAsia="zh-CN"/>
        </w:rPr>
        <w:t xml:space="preserve">if </w:t>
      </w:r>
      <w:r>
        <w:rPr>
          <w:rFonts w:hint="eastAsia" w:ascii="Times New Roman" w:hAnsi="Times New Roman" w:cs="Times New Roman"/>
          <w:sz w:val="15"/>
          <w:szCs w:val="15"/>
          <w:lang w:val="en-US" w:eastAsia="zh-CN"/>
        </w:rPr>
        <w:t xml:space="preserve">1115 in diseaseIdList </w:t>
      </w:r>
      <w:r>
        <w:rPr>
          <w:rFonts w:hint="default" w:ascii="Times New Roman" w:hAnsi="Times New Roman" w:cs="Times New Roman"/>
          <w:sz w:val="15"/>
          <w:szCs w:val="15"/>
          <w:lang w:val="en-US" w:eastAsia="zh-CN"/>
        </w:rPr>
        <w:t>%}</w:t>
      </w:r>
      <w:r>
        <w:rPr>
          <w:rFonts w:ascii="Times New Roman" w:hAnsi="Times New Roman" w:eastAsia="微软雅黑" w:cs="Times New Roman"/>
          <w:sz w:val="15"/>
          <w:szCs w:val="15"/>
        </w:rPr>
        <w:t>Riggi N, Cironi L, Provero P, et al. Development of Ewing's sarcoma from primary bone marrow-derived mesenchymal</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progenitor cells. Cancer Res. 2005;65(24):11459-11468.[PMID:16357154]</w:t>
      </w:r>
    </w:p>
    <w:p w14:paraId="27514A69">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rPr>
        <w:t>Jeon IS, Davis JN, Braun BS, et al. A variant Ewing's sarcoma translocation (7;22) fuses the EWS gene to the ETS gene</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ETV1. Oncogene. 1995;10(6):1229-1234.[PMID:7700648]</w:t>
      </w:r>
    </w:p>
    <w:p w14:paraId="5D6AE1E5">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rPr>
        <w:t>Riggi N, Knoechel B, Gillespie SM, et al. EWS-FLI1 utilizes divergent chromatin remodeling mechanisms to directly</w:t>
      </w:r>
      <w:r>
        <w:rPr>
          <w:rFonts w:ascii="Times New Roman" w:hAnsi="Times New Roman" w:eastAsia="微软雅黑" w:cs="Times New Roman"/>
          <w:sz w:val="15"/>
          <w:szCs w:val="15"/>
          <w:lang w:eastAsia="zh-CN"/>
        </w:rPr>
        <w:t xml:space="preserve"> </w:t>
      </w:r>
      <w:r>
        <w:rPr>
          <w:rFonts w:ascii="Times New Roman" w:hAnsi="Times New Roman" w:eastAsia="微软雅黑" w:cs="Times New Roman"/>
          <w:sz w:val="15"/>
          <w:szCs w:val="15"/>
        </w:rPr>
        <w:t>activate or repress enhancer elements in Ewing sarcoma. Cancer Cell. 2014;26(5):668-681.[PMID:25453903]</w:t>
      </w:r>
    </w:p>
    <w:p w14:paraId="64BF22FB">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CN"/>
        </w:rPr>
        <w:t>Soft tissue and bone tumours / edited by WHO Classification of Tumours Editorial Board.（2020）.</w:t>
      </w:r>
    </w:p>
    <w:p w14:paraId="4FF0FAEB">
      <w:pPr>
        <w:pStyle w:val="32"/>
        <w:adjustRightInd w:val="0"/>
        <w:snapToGrid w:val="0"/>
        <w:spacing w:after="120" w:afterLines="50"/>
        <w:ind w:firstLine="0" w:firstLineChars="0"/>
        <w:jc w:val="both"/>
        <w:rPr>
          <w:rFonts w:ascii="Times New Roman" w:hAnsi="Times New Roman" w:eastAsia="微软雅黑" w:cs="Times New Roman"/>
          <w:sz w:val="15"/>
          <w:szCs w:val="15"/>
        </w:rPr>
      </w:pPr>
      <w:r>
        <w:rPr>
          <w:rFonts w:ascii="Times New Roman" w:hAnsi="Times New Roman" w:eastAsia="微软雅黑" w:cs="Times New Roman"/>
          <w:sz w:val="15"/>
          <w:szCs w:val="15"/>
          <w:lang w:eastAsia="zh-Hans"/>
        </w:rPr>
        <w:t>NCCN Guidelines Version 2.2021 Soft Tissue Sarcoma.</w:t>
      </w:r>
    </w:p>
    <w:p w14:paraId="1996CF5E">
      <w:pPr>
        <w:pStyle w:val="32"/>
        <w:adjustRightInd w:val="0"/>
        <w:snapToGrid w:val="0"/>
        <w:spacing w:after="120" w:afterLines="50"/>
        <w:ind w:firstLine="0" w:firstLineChars="0"/>
        <w:jc w:val="both"/>
        <w:rPr>
          <w:rFonts w:ascii="Times New Roman" w:hAnsi="Times New Roman" w:eastAsia="微软雅黑" w:cs="Times New Roman"/>
          <w:sz w:val="15"/>
          <w:szCs w:val="15"/>
          <w:lang w:eastAsia="zh-CN"/>
        </w:rPr>
      </w:pPr>
      <w:r>
        <w:rPr>
          <w:rFonts w:ascii="Times New Roman" w:hAnsi="Times New Roman" w:eastAsia="微软雅黑" w:cs="Times New Roman"/>
          <w:sz w:val="15"/>
          <w:szCs w:val="15"/>
          <w:lang w:eastAsia="zh-Hans"/>
        </w:rPr>
        <w:t>中国临床肿瘤学会（CSCO）软组织肉瘤诊疗指南2021.</w:t>
      </w:r>
    </w:p>
    <w:p w14:paraId="3F458897">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eastAsia" w:ascii="Times New Roman" w:hAnsi="Times New Roman" w:cs="Times New Roman"/>
          <w:sz w:val="15"/>
          <w:szCs w:val="15"/>
          <w:lang w:val="en-US" w:eastAsia="zh-CN"/>
        </w:rPr>
      </w:pPr>
      <w:r>
        <w:rPr>
          <w:rFonts w:ascii="Times New Roman" w:hAnsi="Times New Roman" w:eastAsia="微软雅黑" w:cs="Times New Roman"/>
          <w:sz w:val="15"/>
          <w:szCs w:val="15"/>
          <w:lang w:eastAsia="zh-CN"/>
        </w:rPr>
        <w:t>《骨与软组织肿瘤二代测序中国专家共识（2021 年版）》,中国抗癌协会肉瘤专业委员会.中国肿瘤临床2021年第48卷第20期.</w:t>
      </w:r>
    </w:p>
    <w:p w14:paraId="127D986C">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eastAsia" w:ascii="Times New Roman" w:hAnsi="Times New Roman" w:cs="Times New Roman"/>
          <w:sz w:val="15"/>
          <w:szCs w:val="15"/>
          <w:lang w:val="en-US" w:eastAsia="zh-CN"/>
        </w:rPr>
        <w:t>{% else %}</w:t>
      </w:r>
      <w:r>
        <w:rPr>
          <w:rFonts w:hint="default" w:ascii="Times New Roman" w:hAnsi="Times New Roman" w:cs="Times New Roman"/>
          <w:sz w:val="15"/>
          <w:szCs w:val="15"/>
          <w:lang w:eastAsia="zh-CN"/>
        </w:rPr>
        <w:t xml:space="preserve">Shaw AT, Bauer TM, de Marinis F, et al. First-line lorlatinib or crizotinib in advanced ALK-positive lung cancer. N Engl J Med. 2020;383(21):2018-2029. </w:t>
      </w:r>
    </w:p>
    <w:p w14:paraId="2EB17811">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Drusbosky LM, Rodriguez E, Dawar R, et al. Therapeutic strategies in RET gene rearranged non-small cell lung cancer. J Hematol Oncol. 2021;14(1):50.</w:t>
      </w:r>
    </w:p>
    <w:p w14:paraId="60C9EDB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Guo L, Liu Y, Dong L, et al.</w:t>
      </w:r>
      <w:r>
        <w:rPr>
          <w:rFonts w:hint="eastAsia" w:ascii="Times New Roman" w:hAnsi="Times New Roman" w:cs="Times New Roman"/>
          <w:sz w:val="15"/>
          <w:szCs w:val="15"/>
          <w:lang w:val="en-US" w:eastAsia="zh-CN"/>
        </w:rPr>
        <w:t xml:space="preserve"> </w:t>
      </w:r>
      <w:r>
        <w:rPr>
          <w:rFonts w:hint="default" w:ascii="Times New Roman" w:hAnsi="Times New Roman" w:cs="Times New Roman"/>
          <w:sz w:val="15"/>
          <w:szCs w:val="15"/>
          <w:lang w:eastAsia="zh-CN"/>
        </w:rPr>
        <w:t xml:space="preserve">Potential Unreliability of Uncommon ALK, ROS1, and RET Genomic Breakpoints in Predicting the Efficacy of Targeted Therapy in NSCLC. J Thorac Oncol. 2021 Mar;16(3):404-418. doi: 10.1016/j.jtho.2020.10.156. Epub 2020 Nov 26. </w:t>
      </w:r>
    </w:p>
    <w:p w14:paraId="15442F5F">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Li W, Liu Y, Li W, et al. Intergenic Breakpoints Identified by DNA Sequencing Confound Targetable Kinase Fusion Detection in NSCLC. J Thorac Oncol. 2020 Jul;15(7):1223-1231. doi: 10.1016/j.jtho.2020.02.023. Epub 2020 Mar 7.</w:t>
      </w:r>
    </w:p>
    <w:p w14:paraId="154CD193">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Majewski IJ, Mittempergher L, Davidson NM, et al. Identification of recurrent FGFR3 fusion genes in lung cancer through kinome-centred RNA sequencing. J Pathol. 2013 Jul;230(3):270-6. doi: 10.1002/path.4209. PMID: 23661334.</w:t>
      </w:r>
    </w:p>
    <w:p w14:paraId="39FE750E">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val="en-US" w:eastAsia="zh-CN"/>
        </w:rPr>
      </w:pPr>
      <w:r>
        <w:rPr>
          <w:rFonts w:hint="default" w:ascii="Times New Roman" w:hAnsi="Times New Roman" w:cs="Times New Roman"/>
          <w:sz w:val="15"/>
          <w:szCs w:val="15"/>
          <w:lang w:eastAsia="zh-CN"/>
        </w:rPr>
        <w:t>《中国实体瘤 NTRK 融合基因临床治疗专家共识》</w:t>
      </w:r>
      <w:r>
        <w:rPr>
          <w:rFonts w:hint="eastAsia" w:ascii="Times New Roman" w:hAnsi="Times New Roman" w:cs="Times New Roman"/>
          <w:sz w:val="15"/>
          <w:szCs w:val="15"/>
          <w:lang w:val="en-US" w:eastAsia="zh-CN"/>
        </w:rPr>
        <w:t>2022.9.</w:t>
      </w:r>
    </w:p>
    <w:p w14:paraId="0B3B134D">
      <w:pPr>
        <w:keepNext w:val="0"/>
        <w:keepLines w:val="0"/>
        <w:pageBreakBefore w:val="0"/>
        <w:widowControl/>
        <w:kinsoku/>
        <w:wordWrap/>
        <w:overflowPunct/>
        <w:topLinePunct w:val="0"/>
        <w:autoSpaceDE/>
        <w:autoSpaceDN/>
        <w:bidi w:val="0"/>
        <w:adjustRightInd w:val="0"/>
        <w:snapToGrid w:val="0"/>
        <w:spacing w:line="360" w:lineRule="auto"/>
        <w:jc w:val="left"/>
        <w:textAlignment w:val="auto"/>
        <w:rPr>
          <w:rFonts w:hint="default" w:ascii="Times New Roman" w:hAnsi="Times New Roman" w:cs="Times New Roman"/>
          <w:sz w:val="15"/>
          <w:szCs w:val="15"/>
          <w:lang w:eastAsia="zh-CN"/>
        </w:rPr>
      </w:pPr>
      <w:r>
        <w:rPr>
          <w:rFonts w:hint="default" w:ascii="Times New Roman" w:hAnsi="Times New Roman" w:cs="Times New Roman"/>
          <w:sz w:val="15"/>
          <w:szCs w:val="15"/>
          <w:lang w:eastAsia="zh-CN"/>
        </w:rPr>
        <w:t xml:space="preserve">中国临床肿瘤学会（CSCO）软组织肉瘤诊疗指南2021. 7. </w:t>
      </w:r>
    </w:p>
    <w:p w14:paraId="40BB38AF">
      <w:pPr>
        <w:pStyle w:val="33"/>
        <w:widowControl/>
        <w:adjustRightInd w:val="0"/>
        <w:snapToGrid w:val="0"/>
        <w:spacing w:after="120" w:afterLines="50"/>
        <w:ind w:firstLine="0" w:firstLineChars="0"/>
        <w:jc w:val="both"/>
        <w:rPr>
          <w:rFonts w:ascii="Times New Roman" w:hAnsi="Times New Roman" w:eastAsia="等线"/>
          <w:sz w:val="22"/>
          <w:lang w:eastAsia="zh-CN"/>
        </w:rPr>
      </w:pPr>
      <w:r>
        <w:rPr>
          <w:rFonts w:hint="default" w:ascii="Times New Roman" w:hAnsi="Times New Roman" w:cs="Times New Roman"/>
          <w:sz w:val="15"/>
          <w:szCs w:val="15"/>
          <w:lang w:eastAsia="zh-CN"/>
        </w:rPr>
        <w:t>《骨与软组织肿瘤二代测序中国专家共识（2021 年版）</w:t>
      </w:r>
      <w:r>
        <w:rPr>
          <w:rFonts w:hint="eastAsia" w:ascii="Times New Roman" w:hAnsi="Times New Roman" w:cs="Times New Roman"/>
          <w:sz w:val="15"/>
          <w:szCs w:val="15"/>
          <w:lang w:eastAsia="zh-CN"/>
        </w:rPr>
        <w:t>》</w:t>
      </w:r>
      <w:r>
        <w:rPr>
          <w:rFonts w:hint="eastAsia" w:ascii="Times New Roman" w:hAnsi="Times New Roman" w:cs="Times New Roman"/>
          <w:sz w:val="15"/>
          <w:szCs w:val="15"/>
          <w:lang w:val="en-US" w:eastAsia="zh-CN"/>
        </w:rPr>
        <w:t>{% endif %}</w:t>
      </w:r>
    </w:p>
    <w:sectPr>
      <w:footerReference r:id="rId5" w:type="default"/>
      <w:pgSz w:w="11911" w:h="16838"/>
      <w:pgMar w:top="1037" w:right="1020" w:bottom="981" w:left="1020" w:header="567" w:footer="680" w:gutter="0"/>
      <w:pgBorders>
        <w:top w:val="none" w:sz="0" w:space="0"/>
        <w:left w:val="none" w:sz="0" w:space="0"/>
        <w:bottom w:val="none" w:sz="0" w:space="0"/>
        <w:right w:val="none" w:sz="0" w:space="0"/>
      </w:pgBorders>
      <w:pgNumType w:fmt="decimal"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Bookshelf Symbol 7">
    <w:panose1 w:val="05010101010101010101"/>
    <w:charset w:val="02"/>
    <w:family w:val="auto"/>
    <w:pitch w:val="default"/>
    <w:sig w:usb0="00000000" w:usb1="00000000" w:usb2="00000000" w:usb3="00000000" w:csb0="80000000"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DFFF16C">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E48D4F9">
    <w:pPr>
      <w:pStyle w:val="9"/>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874395" cy="245745"/>
              <wp:effectExtent l="0" t="0" r="0" b="0"/>
              <wp:wrapNone/>
              <wp:docPr id="4" name="文本框 4"/>
              <wp:cNvGraphicFramePr/>
              <a:graphic xmlns:a="http://schemas.openxmlformats.org/drawingml/2006/main">
                <a:graphicData uri="http://schemas.microsoft.com/office/word/2010/wordprocessingShape">
                  <wps:wsp>
                    <wps:cNvSpPr txBox="1"/>
                    <wps:spPr>
                      <a:xfrm>
                        <a:off x="0" y="0"/>
                        <a:ext cx="874395" cy="2457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upright="0" compatLnSpc="1">
                      <a:noAutofit/>
                    </wps:bodyPr>
                  </wps:wsp>
                </a:graphicData>
              </a:graphic>
            </wp:anchor>
          </w:drawing>
        </mc:Choice>
        <mc:Fallback>
          <w:pict>
            <v:shape id="_x0000_s1026" o:spid="_x0000_s1026" o:spt="202" type="#_x0000_t202" style="position:absolute;left:0pt;margin-top:0pt;height:19.35pt;width:68.85pt;mso-position-horizontal:center;mso-position-horizontal-relative:margin;z-index:251659264;mso-width-relative:page;mso-height-relative:page;" filled="f" stroked="f" coordsize="21600,21600" o:gfxdata="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B7DgIXUAAAABAEAAA8AAAAAAAAAAQAgAAAAIgAAAGRycy9kb3ducmV2&#10;LnhtbFBLAQIUABQAAAAIAIdO4kCDVhBEOQIAAGEEAAAOAAAAAAAAAAEAIAAAACMBAABkcnMvZTJv&#10;RG9jLnhtbFBLBQYAAAAABgAGAFkBAADOBQAAAAA=&#10;">
              <v:fill on="f" focussize="0,0"/>
              <v:stroke on="f" weight="0.5pt"/>
              <v:imagedata o:title=""/>
              <o:lock v:ext="edit" aspectratio="f"/>
              <v:textbox inset="0mm,0mm,0mm,0mm">
                <w:txbxContent>
                  <w:p w14:paraId="59ED0CF8">
                    <w:pPr>
                      <w:pStyle w:val="9"/>
                      <w:jc w:val="center"/>
                      <w:rPr>
                        <w:rFonts w:hint="default"/>
                      </w:rPr>
                    </w:pPr>
                    <w:r>
                      <w:rPr>
                        <w:rFonts w:hint="default" w:ascii="Times New Roman" w:hAnsi="Times New Roman" w:cs="Times New Roman"/>
                        <w:b/>
                        <w:bCs/>
                      </w:rPr>
                      <w:fldChar w:fldCharType="begin"/>
                    </w:r>
                    <w:r>
                      <w:rPr>
                        <w:rFonts w:hint="default" w:ascii="Times New Roman" w:hAnsi="Times New Roman" w:cs="Times New Roman"/>
                        <w:b/>
                        <w:bCs/>
                      </w:rPr>
                      <w:instrText xml:space="preserve"> PAGE  \* MERGEFORMAT </w:instrText>
                    </w:r>
                    <w:r>
                      <w:rPr>
                        <w:rFonts w:hint="default" w:ascii="Times New Roman" w:hAnsi="Times New Roman" w:cs="Times New Roman"/>
                        <w:b/>
                        <w:bCs/>
                      </w:rPr>
                      <w:fldChar w:fldCharType="separate"/>
                    </w:r>
                    <w:r>
                      <w:rPr>
                        <w:rFonts w:hint="default" w:ascii="Times New Roman" w:hAnsi="Times New Roman" w:cs="Times New Roman"/>
                        <w:b/>
                        <w:bCs/>
                      </w:rPr>
                      <w:t>2</w:t>
                    </w:r>
                    <w:r>
                      <w:rPr>
                        <w:rFonts w:hint="default" w:ascii="Times New Roman" w:hAnsi="Times New Roman" w:cs="Times New Roman"/>
                        <w:b/>
                        <w:bCs/>
                      </w:rPr>
                      <w:fldChar w:fldCharType="end"/>
                    </w:r>
                    <w:r>
                      <w:rPr>
                        <w:rFonts w:hint="default"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50</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2</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48</w:t>
                    </w:r>
                    <w:r>
                      <w:rPr>
                        <w:rFonts w:ascii="Times New Roman" w:hAnsi="Times New Roman" w:eastAsia="微软雅黑" w:cs="Times New Roman"/>
                        <w:b/>
                        <w:bCs/>
                      </w:rP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A8FF9AE">
    <w:pPr>
      <w:jc w:val="right"/>
      <w:rPr>
        <w:lang w:eastAsia="zh-CN"/>
      </w:rPr>
    </w:pPr>
    <w:r>
      <w:rPr>
        <w:rFonts w:hint="eastAsia" w:ascii="Times New Roman" w:hAnsi="Times New Roman" w:eastAsia="微软雅黑" w:cs="Times New Roman"/>
        <w:bCs/>
        <w:color w:val="62B541"/>
        <w:sz w:val="21"/>
        <w:szCs w:val="21"/>
        <w:lang w:eastAsia="zh-CN"/>
      </w:rPr>
      <w:t>{{ client }}</w:t>
    </w:r>
    <w:r>
      <w:rPr>
        <w:rFonts w:hint="eastAsia" w:ascii="Times New Roman" w:hAnsi="Times New Roman" w:eastAsia="微软雅黑" w:cs="Times New Roman"/>
        <w:bCs/>
        <w:color w:val="62B541"/>
        <w:sz w:val="21"/>
        <w:szCs w:val="21"/>
        <w:lang w:val="en-US" w:eastAsia="zh-CN"/>
      </w:rPr>
      <w:t xml:space="preserve"> 泛实体瘤融合基因谱{% if PDInfo %}+PD-L1{% endif %}检测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1">
    <w:nsid w:val="9CED26BD"/>
    <w:multiLevelType w:val="multilevel"/>
    <w:tmpl w:val="9CED26BD"/>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2">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3">
    <w:nsid w:val="12167FD4"/>
    <w:multiLevelType w:val="multilevel"/>
    <w:tmpl w:val="12167FD4"/>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4">
    <w:nsid w:val="219D0AF6"/>
    <w:multiLevelType w:val="singleLevel"/>
    <w:tmpl w:val="219D0AF6"/>
    <w:lvl w:ilvl="0" w:tentative="0">
      <w:start w:val="1"/>
      <w:numFmt w:val="decimal"/>
      <w:suff w:val="space"/>
      <w:lvlText w:val="%1."/>
      <w:lvlJc w:val="left"/>
    </w:lvl>
  </w:abstractNum>
  <w:abstractNum w:abstractNumId="5">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6">
    <w:nsid w:val="3267C012"/>
    <w:multiLevelType w:val="singleLevel"/>
    <w:tmpl w:val="3267C012"/>
    <w:lvl w:ilvl="0" w:tentative="0">
      <w:start w:val="1"/>
      <w:numFmt w:val="decimal"/>
      <w:lvlText w:val="%1."/>
      <w:lvlJc w:val="left"/>
      <w:pPr>
        <w:tabs>
          <w:tab w:val="left" w:pos="312"/>
        </w:tabs>
      </w:pPr>
    </w:lvl>
  </w:abstractNum>
  <w:abstractNum w:abstractNumId="7">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8">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9">
    <w:nsid w:val="4727A939"/>
    <w:multiLevelType w:val="singleLevel"/>
    <w:tmpl w:val="4727A939"/>
    <w:lvl w:ilvl="0" w:tentative="0">
      <w:start w:val="1"/>
      <w:numFmt w:val="decimal"/>
      <w:lvlText w:val="%1."/>
      <w:lvlJc w:val="left"/>
      <w:pPr>
        <w:tabs>
          <w:tab w:val="left" w:pos="312"/>
        </w:tabs>
      </w:pPr>
    </w:lvl>
  </w:abstractNum>
  <w:abstractNum w:abstractNumId="10">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1">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13">
    <w:nsid w:val="7ED03DCE"/>
    <w:multiLevelType w:val="multilevel"/>
    <w:tmpl w:val="7ED03DCE"/>
    <w:lvl w:ilvl="0" w:tentative="0">
      <w:start w:val="1"/>
      <w:numFmt w:val="bullet"/>
      <w:lvlText w:val="?"/>
      <w:lvlJc w:val="left"/>
      <w:pPr>
        <w:tabs>
          <w:tab w:val="left" w:pos="0"/>
        </w:tabs>
        <w:ind w:left="840" w:hanging="420"/>
      </w:pPr>
      <w:rPr>
        <w:rFonts w:hint="default" w:ascii="Wingdings" w:hAnsi="Wingdings"/>
        <w:color w:val="00B050"/>
      </w:rPr>
    </w:lvl>
    <w:lvl w:ilvl="1" w:tentative="0">
      <w:start w:val="1"/>
      <w:numFmt w:val="bullet"/>
      <w:lvlText w:val="?"/>
      <w:lvlJc w:val="left"/>
      <w:pPr>
        <w:tabs>
          <w:tab w:val="left" w:pos="0"/>
        </w:tabs>
        <w:ind w:left="1260" w:hanging="420"/>
      </w:pPr>
      <w:rPr>
        <w:rFonts w:hint="default" w:ascii="Bookshelf Symbol 7" w:hAnsi="Bookshelf Symbol 7"/>
      </w:rPr>
    </w:lvl>
    <w:lvl w:ilvl="2" w:tentative="0">
      <w:start w:val="1"/>
      <w:numFmt w:val="bullet"/>
      <w:lvlText w:val="?"/>
      <w:lvlJc w:val="left"/>
      <w:pPr>
        <w:tabs>
          <w:tab w:val="left" w:pos="0"/>
        </w:tabs>
        <w:ind w:left="1680" w:hanging="420"/>
      </w:pPr>
      <w:rPr>
        <w:rFonts w:hint="default" w:ascii="Bookshelf Symbol 7" w:hAnsi="Bookshelf Symbol 7"/>
      </w:rPr>
    </w:lvl>
    <w:lvl w:ilvl="3" w:tentative="0">
      <w:start w:val="1"/>
      <w:numFmt w:val="bullet"/>
      <w:lvlText w:val="?"/>
      <w:lvlJc w:val="left"/>
      <w:pPr>
        <w:tabs>
          <w:tab w:val="left" w:pos="0"/>
        </w:tabs>
        <w:ind w:left="2100" w:hanging="420"/>
      </w:pPr>
      <w:rPr>
        <w:rFonts w:hint="default" w:ascii="Bookshelf Symbol 7" w:hAnsi="Bookshelf Symbol 7"/>
      </w:rPr>
    </w:lvl>
    <w:lvl w:ilvl="4" w:tentative="0">
      <w:start w:val="1"/>
      <w:numFmt w:val="bullet"/>
      <w:lvlText w:val="?"/>
      <w:lvlJc w:val="left"/>
      <w:pPr>
        <w:tabs>
          <w:tab w:val="left" w:pos="0"/>
        </w:tabs>
        <w:ind w:left="2520" w:hanging="420"/>
      </w:pPr>
      <w:rPr>
        <w:rFonts w:hint="default" w:ascii="Bookshelf Symbol 7" w:hAnsi="Bookshelf Symbol 7"/>
      </w:rPr>
    </w:lvl>
    <w:lvl w:ilvl="5" w:tentative="0">
      <w:start w:val="1"/>
      <w:numFmt w:val="bullet"/>
      <w:lvlText w:val="?"/>
      <w:lvlJc w:val="left"/>
      <w:pPr>
        <w:tabs>
          <w:tab w:val="left" w:pos="0"/>
        </w:tabs>
        <w:ind w:left="2940" w:hanging="420"/>
      </w:pPr>
      <w:rPr>
        <w:rFonts w:hint="default" w:ascii="Bookshelf Symbol 7" w:hAnsi="Bookshelf Symbol 7"/>
      </w:rPr>
    </w:lvl>
    <w:lvl w:ilvl="6" w:tentative="0">
      <w:start w:val="1"/>
      <w:numFmt w:val="bullet"/>
      <w:lvlText w:val="?"/>
      <w:lvlJc w:val="left"/>
      <w:pPr>
        <w:tabs>
          <w:tab w:val="left" w:pos="0"/>
        </w:tabs>
        <w:ind w:left="3360" w:hanging="420"/>
      </w:pPr>
      <w:rPr>
        <w:rFonts w:hint="default" w:ascii="Bookshelf Symbol 7" w:hAnsi="Bookshelf Symbol 7"/>
      </w:rPr>
    </w:lvl>
    <w:lvl w:ilvl="7" w:tentative="0">
      <w:start w:val="1"/>
      <w:numFmt w:val="bullet"/>
      <w:lvlText w:val="?"/>
      <w:lvlJc w:val="left"/>
      <w:pPr>
        <w:tabs>
          <w:tab w:val="left" w:pos="0"/>
        </w:tabs>
        <w:ind w:left="3780" w:hanging="420"/>
      </w:pPr>
      <w:rPr>
        <w:rFonts w:hint="default" w:ascii="Bookshelf Symbol 7" w:hAnsi="Bookshelf Symbol 7"/>
      </w:rPr>
    </w:lvl>
    <w:lvl w:ilvl="8" w:tentative="0">
      <w:start w:val="1"/>
      <w:numFmt w:val="bullet"/>
      <w:lvlText w:val="?"/>
      <w:lvlJc w:val="left"/>
      <w:pPr>
        <w:tabs>
          <w:tab w:val="left" w:pos="0"/>
        </w:tabs>
        <w:ind w:left="4200" w:hanging="420"/>
      </w:pPr>
      <w:rPr>
        <w:rFonts w:hint="default" w:ascii="Bookshelf Symbol 7" w:hAnsi="Bookshelf Symbol 7"/>
      </w:rPr>
    </w:lvl>
  </w:abstractNum>
  <w:num w:numId="1">
    <w:abstractNumId w:val="10"/>
  </w:num>
  <w:num w:numId="2">
    <w:abstractNumId w:val="12"/>
  </w:num>
  <w:num w:numId="3">
    <w:abstractNumId w:val="11"/>
  </w:num>
  <w:num w:numId="4">
    <w:abstractNumId w:val="5"/>
  </w:num>
  <w:num w:numId="5">
    <w:abstractNumId w:val="7"/>
  </w:num>
  <w:num w:numId="6">
    <w:abstractNumId w:val="13"/>
  </w:num>
  <w:num w:numId="7">
    <w:abstractNumId w:val="3"/>
  </w:num>
  <w:num w:numId="8">
    <w:abstractNumId w:val="1"/>
  </w:num>
  <w:num w:numId="9">
    <w:abstractNumId w:val="8"/>
  </w:num>
  <w:num w:numId="10">
    <w:abstractNumId w:val="4"/>
  </w:num>
  <w:num w:numId="11">
    <w:abstractNumId w:val="0"/>
  </w:num>
  <w:num w:numId="12">
    <w:abstractNumId w:val="9"/>
  </w:num>
  <w:num w:numId="13">
    <w:abstractNumId w:val="6"/>
  </w:num>
  <w:num w:numId="1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0"/>
  <w:bordersDoNotSurroundHeader w:val="0"/>
  <w:bordersDoNotSurroundFooter w:val="0"/>
  <w:hideSpellingErrors/>
  <w:documentProtection w:enforcement="0"/>
  <w:defaultTabStop w:val="420"/>
  <w:drawingGridHorizontalSpacing w:val="220"/>
  <w:drawingGridVerticalSpacing w:val="-7946"/>
  <w:displayHorizontalDrawingGridEvery w:val="1"/>
  <w:displayVerticalDrawingGridEvery w:val="1"/>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001C1"/>
    <w:rsid w:val="00001694"/>
    <w:rsid w:val="00033509"/>
    <w:rsid w:val="0005498B"/>
    <w:rsid w:val="00081920"/>
    <w:rsid w:val="000828AC"/>
    <w:rsid w:val="000A7060"/>
    <w:rsid w:val="000B5B79"/>
    <w:rsid w:val="000B6DCF"/>
    <w:rsid w:val="000F1926"/>
    <w:rsid w:val="00107E39"/>
    <w:rsid w:val="001270E6"/>
    <w:rsid w:val="00154460"/>
    <w:rsid w:val="00172A27"/>
    <w:rsid w:val="00184059"/>
    <w:rsid w:val="00192B96"/>
    <w:rsid w:val="00195F33"/>
    <w:rsid w:val="001C358C"/>
    <w:rsid w:val="001F265E"/>
    <w:rsid w:val="001F4429"/>
    <w:rsid w:val="001F5C37"/>
    <w:rsid w:val="001F6B65"/>
    <w:rsid w:val="002079E9"/>
    <w:rsid w:val="002558A2"/>
    <w:rsid w:val="002570D8"/>
    <w:rsid w:val="00276CD5"/>
    <w:rsid w:val="00286D54"/>
    <w:rsid w:val="00287F02"/>
    <w:rsid w:val="00294AB0"/>
    <w:rsid w:val="002E3CD6"/>
    <w:rsid w:val="002E7BF1"/>
    <w:rsid w:val="00302818"/>
    <w:rsid w:val="00314279"/>
    <w:rsid w:val="00347920"/>
    <w:rsid w:val="00351BFB"/>
    <w:rsid w:val="00370A25"/>
    <w:rsid w:val="003769F2"/>
    <w:rsid w:val="00391615"/>
    <w:rsid w:val="003B57DA"/>
    <w:rsid w:val="003D2994"/>
    <w:rsid w:val="003D6E2F"/>
    <w:rsid w:val="00404B24"/>
    <w:rsid w:val="00404F19"/>
    <w:rsid w:val="00431C42"/>
    <w:rsid w:val="00440C0E"/>
    <w:rsid w:val="004512CF"/>
    <w:rsid w:val="00460E44"/>
    <w:rsid w:val="004716C5"/>
    <w:rsid w:val="004D1395"/>
    <w:rsid w:val="004F34A2"/>
    <w:rsid w:val="005130C6"/>
    <w:rsid w:val="0052321F"/>
    <w:rsid w:val="00565986"/>
    <w:rsid w:val="005746B2"/>
    <w:rsid w:val="005A46FA"/>
    <w:rsid w:val="005C4908"/>
    <w:rsid w:val="005E26B2"/>
    <w:rsid w:val="00604E02"/>
    <w:rsid w:val="00635CB1"/>
    <w:rsid w:val="006A31A2"/>
    <w:rsid w:val="006A479C"/>
    <w:rsid w:val="006D0EFE"/>
    <w:rsid w:val="006F49BB"/>
    <w:rsid w:val="007139FD"/>
    <w:rsid w:val="00723F9A"/>
    <w:rsid w:val="00737E1E"/>
    <w:rsid w:val="007442EF"/>
    <w:rsid w:val="007600EB"/>
    <w:rsid w:val="00772573"/>
    <w:rsid w:val="007834F9"/>
    <w:rsid w:val="007856DE"/>
    <w:rsid w:val="00797E76"/>
    <w:rsid w:val="007E782E"/>
    <w:rsid w:val="007F0C3F"/>
    <w:rsid w:val="007F160A"/>
    <w:rsid w:val="008010E0"/>
    <w:rsid w:val="00812090"/>
    <w:rsid w:val="008357FF"/>
    <w:rsid w:val="00853A18"/>
    <w:rsid w:val="008559CF"/>
    <w:rsid w:val="00875C74"/>
    <w:rsid w:val="00877130"/>
    <w:rsid w:val="008B1AB4"/>
    <w:rsid w:val="008B2982"/>
    <w:rsid w:val="008B61B8"/>
    <w:rsid w:val="008C3032"/>
    <w:rsid w:val="008D037F"/>
    <w:rsid w:val="008E4FDA"/>
    <w:rsid w:val="008F211E"/>
    <w:rsid w:val="008F3463"/>
    <w:rsid w:val="008F5DB3"/>
    <w:rsid w:val="00907638"/>
    <w:rsid w:val="0091666E"/>
    <w:rsid w:val="00A0169B"/>
    <w:rsid w:val="00A15B0F"/>
    <w:rsid w:val="00A60242"/>
    <w:rsid w:val="00A843FC"/>
    <w:rsid w:val="00A92DCD"/>
    <w:rsid w:val="00AE4577"/>
    <w:rsid w:val="00AE4D38"/>
    <w:rsid w:val="00AE5DB4"/>
    <w:rsid w:val="00B01B75"/>
    <w:rsid w:val="00B15932"/>
    <w:rsid w:val="00B16E7E"/>
    <w:rsid w:val="00B35012"/>
    <w:rsid w:val="00B41DAE"/>
    <w:rsid w:val="00B42173"/>
    <w:rsid w:val="00B42F3E"/>
    <w:rsid w:val="00B72288"/>
    <w:rsid w:val="00B76730"/>
    <w:rsid w:val="00B85740"/>
    <w:rsid w:val="00BE10E2"/>
    <w:rsid w:val="00C01969"/>
    <w:rsid w:val="00C24228"/>
    <w:rsid w:val="00C348E7"/>
    <w:rsid w:val="00C779A7"/>
    <w:rsid w:val="00D02008"/>
    <w:rsid w:val="00D045C6"/>
    <w:rsid w:val="00D05604"/>
    <w:rsid w:val="00D065CB"/>
    <w:rsid w:val="00D15FD5"/>
    <w:rsid w:val="00D2107B"/>
    <w:rsid w:val="00D22BB0"/>
    <w:rsid w:val="00D2723E"/>
    <w:rsid w:val="00D40855"/>
    <w:rsid w:val="00D43F0A"/>
    <w:rsid w:val="00D730DF"/>
    <w:rsid w:val="00DA2F2F"/>
    <w:rsid w:val="00DB0016"/>
    <w:rsid w:val="00E31BA8"/>
    <w:rsid w:val="00E421E5"/>
    <w:rsid w:val="00E451FC"/>
    <w:rsid w:val="00E548FF"/>
    <w:rsid w:val="00F16E7E"/>
    <w:rsid w:val="00F23A93"/>
    <w:rsid w:val="00F25C1E"/>
    <w:rsid w:val="00F3295E"/>
    <w:rsid w:val="00F8668E"/>
    <w:rsid w:val="00FA4DD8"/>
    <w:rsid w:val="00FA7354"/>
    <w:rsid w:val="00FD0E69"/>
    <w:rsid w:val="00FF7146"/>
    <w:rsid w:val="00FF7BB1"/>
    <w:rsid w:val="011A030A"/>
    <w:rsid w:val="011A0D8B"/>
    <w:rsid w:val="015B68E3"/>
    <w:rsid w:val="0171268E"/>
    <w:rsid w:val="01A0337A"/>
    <w:rsid w:val="01B7144F"/>
    <w:rsid w:val="02235929"/>
    <w:rsid w:val="025117B2"/>
    <w:rsid w:val="027A5940"/>
    <w:rsid w:val="027C61F4"/>
    <w:rsid w:val="02B44A06"/>
    <w:rsid w:val="02CA5230"/>
    <w:rsid w:val="02F96864"/>
    <w:rsid w:val="030338CF"/>
    <w:rsid w:val="031B6FF1"/>
    <w:rsid w:val="0345216A"/>
    <w:rsid w:val="038726D8"/>
    <w:rsid w:val="039B4330"/>
    <w:rsid w:val="03AC1B29"/>
    <w:rsid w:val="03C81F92"/>
    <w:rsid w:val="03E921F1"/>
    <w:rsid w:val="04791D69"/>
    <w:rsid w:val="04820ADC"/>
    <w:rsid w:val="04871837"/>
    <w:rsid w:val="04A167FA"/>
    <w:rsid w:val="04C17114"/>
    <w:rsid w:val="04D24A99"/>
    <w:rsid w:val="051F43D2"/>
    <w:rsid w:val="05476D0D"/>
    <w:rsid w:val="05815BFE"/>
    <w:rsid w:val="05887898"/>
    <w:rsid w:val="05980479"/>
    <w:rsid w:val="05C86C09"/>
    <w:rsid w:val="05CC64B2"/>
    <w:rsid w:val="05D63B33"/>
    <w:rsid w:val="066833E1"/>
    <w:rsid w:val="0696420E"/>
    <w:rsid w:val="06A61E8D"/>
    <w:rsid w:val="06C726BC"/>
    <w:rsid w:val="06E36A2C"/>
    <w:rsid w:val="06EB7F4D"/>
    <w:rsid w:val="074043CC"/>
    <w:rsid w:val="074450F8"/>
    <w:rsid w:val="074468B9"/>
    <w:rsid w:val="077559CB"/>
    <w:rsid w:val="07AB34E7"/>
    <w:rsid w:val="07D36A00"/>
    <w:rsid w:val="07DB59EB"/>
    <w:rsid w:val="07F338EC"/>
    <w:rsid w:val="082B1C77"/>
    <w:rsid w:val="083F50A2"/>
    <w:rsid w:val="08521695"/>
    <w:rsid w:val="088D7FF0"/>
    <w:rsid w:val="08B07D5B"/>
    <w:rsid w:val="08BD53C7"/>
    <w:rsid w:val="08C413EB"/>
    <w:rsid w:val="09705B33"/>
    <w:rsid w:val="0974059C"/>
    <w:rsid w:val="09A9662A"/>
    <w:rsid w:val="09AC1BC1"/>
    <w:rsid w:val="09BC6232"/>
    <w:rsid w:val="0A043ABA"/>
    <w:rsid w:val="0A164154"/>
    <w:rsid w:val="0A360DE8"/>
    <w:rsid w:val="0A4A3E4A"/>
    <w:rsid w:val="0A4F2135"/>
    <w:rsid w:val="0A757891"/>
    <w:rsid w:val="0ADA7F11"/>
    <w:rsid w:val="0AEC09F3"/>
    <w:rsid w:val="0AF224C0"/>
    <w:rsid w:val="0B2C5085"/>
    <w:rsid w:val="0B3C2E84"/>
    <w:rsid w:val="0B7E7D58"/>
    <w:rsid w:val="0B9E14CB"/>
    <w:rsid w:val="0B9E4213"/>
    <w:rsid w:val="0BD32ECA"/>
    <w:rsid w:val="0BE77026"/>
    <w:rsid w:val="0C1768CC"/>
    <w:rsid w:val="0C2310C3"/>
    <w:rsid w:val="0C3A0C95"/>
    <w:rsid w:val="0C3E5385"/>
    <w:rsid w:val="0C423702"/>
    <w:rsid w:val="0C96240B"/>
    <w:rsid w:val="0CA25C70"/>
    <w:rsid w:val="0CC26BD0"/>
    <w:rsid w:val="0CCF21C8"/>
    <w:rsid w:val="0CFC3F9F"/>
    <w:rsid w:val="0D055CE8"/>
    <w:rsid w:val="0D0F4ED6"/>
    <w:rsid w:val="0D9819F1"/>
    <w:rsid w:val="0DAB0FFB"/>
    <w:rsid w:val="0DE0692F"/>
    <w:rsid w:val="0DEF3DA1"/>
    <w:rsid w:val="0E11445D"/>
    <w:rsid w:val="0E542351"/>
    <w:rsid w:val="0E632099"/>
    <w:rsid w:val="0EBF2A43"/>
    <w:rsid w:val="0EC91129"/>
    <w:rsid w:val="0ED843CC"/>
    <w:rsid w:val="0EDA08E0"/>
    <w:rsid w:val="0F221391"/>
    <w:rsid w:val="0F890797"/>
    <w:rsid w:val="0F8E6586"/>
    <w:rsid w:val="0FB9297A"/>
    <w:rsid w:val="0FC40D7D"/>
    <w:rsid w:val="0FCC6C3F"/>
    <w:rsid w:val="0FD33020"/>
    <w:rsid w:val="0FE820CC"/>
    <w:rsid w:val="0FEF6595"/>
    <w:rsid w:val="102D3EDB"/>
    <w:rsid w:val="103534AE"/>
    <w:rsid w:val="10393EFC"/>
    <w:rsid w:val="105635DE"/>
    <w:rsid w:val="10A519AE"/>
    <w:rsid w:val="10FD358E"/>
    <w:rsid w:val="110D3F98"/>
    <w:rsid w:val="114E32AC"/>
    <w:rsid w:val="117B0EEB"/>
    <w:rsid w:val="11A5284D"/>
    <w:rsid w:val="1212349F"/>
    <w:rsid w:val="12224D50"/>
    <w:rsid w:val="126971EB"/>
    <w:rsid w:val="12850E64"/>
    <w:rsid w:val="12963DA1"/>
    <w:rsid w:val="12984F1A"/>
    <w:rsid w:val="12AC6FD4"/>
    <w:rsid w:val="12E61DB3"/>
    <w:rsid w:val="12F372F0"/>
    <w:rsid w:val="13250E31"/>
    <w:rsid w:val="132612E4"/>
    <w:rsid w:val="135250D0"/>
    <w:rsid w:val="13772741"/>
    <w:rsid w:val="137F27FC"/>
    <w:rsid w:val="13897526"/>
    <w:rsid w:val="13AB527B"/>
    <w:rsid w:val="13EC27A3"/>
    <w:rsid w:val="14520ED9"/>
    <w:rsid w:val="1464050D"/>
    <w:rsid w:val="14872247"/>
    <w:rsid w:val="148972D9"/>
    <w:rsid w:val="149B7751"/>
    <w:rsid w:val="14A4287F"/>
    <w:rsid w:val="14C82A00"/>
    <w:rsid w:val="14E50274"/>
    <w:rsid w:val="150E31A1"/>
    <w:rsid w:val="15196B67"/>
    <w:rsid w:val="15237799"/>
    <w:rsid w:val="1524470F"/>
    <w:rsid w:val="152E3223"/>
    <w:rsid w:val="153F7D0D"/>
    <w:rsid w:val="155B77B8"/>
    <w:rsid w:val="156F1ACB"/>
    <w:rsid w:val="15D73C77"/>
    <w:rsid w:val="165063E4"/>
    <w:rsid w:val="16924078"/>
    <w:rsid w:val="16A76961"/>
    <w:rsid w:val="16BC00B5"/>
    <w:rsid w:val="16BD5BE8"/>
    <w:rsid w:val="16D03ECB"/>
    <w:rsid w:val="16E633BC"/>
    <w:rsid w:val="16E67B0D"/>
    <w:rsid w:val="17547636"/>
    <w:rsid w:val="179E5A16"/>
    <w:rsid w:val="17A631D1"/>
    <w:rsid w:val="17EC02EE"/>
    <w:rsid w:val="17EF172D"/>
    <w:rsid w:val="18043F40"/>
    <w:rsid w:val="18064B2E"/>
    <w:rsid w:val="184975D8"/>
    <w:rsid w:val="184F5A03"/>
    <w:rsid w:val="18553367"/>
    <w:rsid w:val="188B1EE6"/>
    <w:rsid w:val="188E10A8"/>
    <w:rsid w:val="18A73199"/>
    <w:rsid w:val="190E72BC"/>
    <w:rsid w:val="19246981"/>
    <w:rsid w:val="19437087"/>
    <w:rsid w:val="198744F7"/>
    <w:rsid w:val="198E1BE8"/>
    <w:rsid w:val="199369D8"/>
    <w:rsid w:val="1A03103B"/>
    <w:rsid w:val="1A071D61"/>
    <w:rsid w:val="1A7144F7"/>
    <w:rsid w:val="1A882AFB"/>
    <w:rsid w:val="1A8A011D"/>
    <w:rsid w:val="1AC27555"/>
    <w:rsid w:val="1AFB664C"/>
    <w:rsid w:val="1B1C0795"/>
    <w:rsid w:val="1B28649B"/>
    <w:rsid w:val="1B447D2D"/>
    <w:rsid w:val="1B574618"/>
    <w:rsid w:val="1B954E3D"/>
    <w:rsid w:val="1BA36B7F"/>
    <w:rsid w:val="1BAD3E87"/>
    <w:rsid w:val="1C052BBE"/>
    <w:rsid w:val="1C085913"/>
    <w:rsid w:val="1C7A05D0"/>
    <w:rsid w:val="1C896BF7"/>
    <w:rsid w:val="1C8A6328"/>
    <w:rsid w:val="1C98707F"/>
    <w:rsid w:val="1CA438BF"/>
    <w:rsid w:val="1CCD19AC"/>
    <w:rsid w:val="1CFB3D7D"/>
    <w:rsid w:val="1D0B7646"/>
    <w:rsid w:val="1D103BE7"/>
    <w:rsid w:val="1D76528B"/>
    <w:rsid w:val="1D855A32"/>
    <w:rsid w:val="1DB12F23"/>
    <w:rsid w:val="1DDA5C93"/>
    <w:rsid w:val="1E4E1501"/>
    <w:rsid w:val="1EA13888"/>
    <w:rsid w:val="1EAB0C6A"/>
    <w:rsid w:val="1EAF2912"/>
    <w:rsid w:val="1EB41ABE"/>
    <w:rsid w:val="1ED80F44"/>
    <w:rsid w:val="1EEB2832"/>
    <w:rsid w:val="1EF75EC5"/>
    <w:rsid w:val="1F0761CC"/>
    <w:rsid w:val="1F2B7CAE"/>
    <w:rsid w:val="1FA57A62"/>
    <w:rsid w:val="1FB7220A"/>
    <w:rsid w:val="1FEC44A1"/>
    <w:rsid w:val="20160A2B"/>
    <w:rsid w:val="20205A20"/>
    <w:rsid w:val="20617863"/>
    <w:rsid w:val="20635A0A"/>
    <w:rsid w:val="20740297"/>
    <w:rsid w:val="20855B55"/>
    <w:rsid w:val="208C320E"/>
    <w:rsid w:val="209432E5"/>
    <w:rsid w:val="20AC4ABE"/>
    <w:rsid w:val="20C205EB"/>
    <w:rsid w:val="20E701EC"/>
    <w:rsid w:val="213D29A6"/>
    <w:rsid w:val="216F18A9"/>
    <w:rsid w:val="21D55A39"/>
    <w:rsid w:val="22180203"/>
    <w:rsid w:val="22C97FF1"/>
    <w:rsid w:val="22F90B63"/>
    <w:rsid w:val="23007D7C"/>
    <w:rsid w:val="2322058C"/>
    <w:rsid w:val="235C2C2A"/>
    <w:rsid w:val="23DC4798"/>
    <w:rsid w:val="23DE28B4"/>
    <w:rsid w:val="23FF1819"/>
    <w:rsid w:val="240318F0"/>
    <w:rsid w:val="24072BAB"/>
    <w:rsid w:val="240A1E65"/>
    <w:rsid w:val="245142FB"/>
    <w:rsid w:val="24D35DD8"/>
    <w:rsid w:val="25037400"/>
    <w:rsid w:val="253036C5"/>
    <w:rsid w:val="253E4460"/>
    <w:rsid w:val="256C4478"/>
    <w:rsid w:val="25726076"/>
    <w:rsid w:val="258869DA"/>
    <w:rsid w:val="259979FD"/>
    <w:rsid w:val="25C6273E"/>
    <w:rsid w:val="25FD2582"/>
    <w:rsid w:val="260C7C1F"/>
    <w:rsid w:val="26137398"/>
    <w:rsid w:val="268C673B"/>
    <w:rsid w:val="26976104"/>
    <w:rsid w:val="271A3FF4"/>
    <w:rsid w:val="271C165B"/>
    <w:rsid w:val="273F083F"/>
    <w:rsid w:val="27870460"/>
    <w:rsid w:val="27DD40F7"/>
    <w:rsid w:val="27E3036D"/>
    <w:rsid w:val="280B1FC0"/>
    <w:rsid w:val="28135739"/>
    <w:rsid w:val="281C757A"/>
    <w:rsid w:val="284978CD"/>
    <w:rsid w:val="286F2FA1"/>
    <w:rsid w:val="287B12EA"/>
    <w:rsid w:val="2891291A"/>
    <w:rsid w:val="28B74238"/>
    <w:rsid w:val="28B83CA7"/>
    <w:rsid w:val="28BA2819"/>
    <w:rsid w:val="28CF73DA"/>
    <w:rsid w:val="28E502F9"/>
    <w:rsid w:val="29363F06"/>
    <w:rsid w:val="294921DF"/>
    <w:rsid w:val="296C36E3"/>
    <w:rsid w:val="296F5B95"/>
    <w:rsid w:val="29700F5B"/>
    <w:rsid w:val="29DE0525"/>
    <w:rsid w:val="29EF70C8"/>
    <w:rsid w:val="2A221D03"/>
    <w:rsid w:val="2A3716AB"/>
    <w:rsid w:val="2A7C3C18"/>
    <w:rsid w:val="2A8D72E7"/>
    <w:rsid w:val="2ABF25BE"/>
    <w:rsid w:val="2ADE2A02"/>
    <w:rsid w:val="2B243DEB"/>
    <w:rsid w:val="2B302D87"/>
    <w:rsid w:val="2B485DBB"/>
    <w:rsid w:val="2B692B05"/>
    <w:rsid w:val="2B8C0A94"/>
    <w:rsid w:val="2BB67139"/>
    <w:rsid w:val="2BDD6E53"/>
    <w:rsid w:val="2BDE1876"/>
    <w:rsid w:val="2BF64087"/>
    <w:rsid w:val="2C165FD1"/>
    <w:rsid w:val="2C427C83"/>
    <w:rsid w:val="2CC51381"/>
    <w:rsid w:val="2CFB5534"/>
    <w:rsid w:val="2D0D0130"/>
    <w:rsid w:val="2D2A3BDD"/>
    <w:rsid w:val="2D532F56"/>
    <w:rsid w:val="2D6F4BEE"/>
    <w:rsid w:val="2DAD2E9F"/>
    <w:rsid w:val="2DB046D4"/>
    <w:rsid w:val="2E0C0EE9"/>
    <w:rsid w:val="2E162111"/>
    <w:rsid w:val="2E3D6CA4"/>
    <w:rsid w:val="2E50390C"/>
    <w:rsid w:val="2E7C271A"/>
    <w:rsid w:val="2E7C3545"/>
    <w:rsid w:val="2EA73960"/>
    <w:rsid w:val="2EAF6A86"/>
    <w:rsid w:val="2EB35A8A"/>
    <w:rsid w:val="2ECC0B8E"/>
    <w:rsid w:val="2ED4504C"/>
    <w:rsid w:val="2F28730D"/>
    <w:rsid w:val="2F47605F"/>
    <w:rsid w:val="2F7554CE"/>
    <w:rsid w:val="301C551E"/>
    <w:rsid w:val="30396056"/>
    <w:rsid w:val="304862D7"/>
    <w:rsid w:val="30C51137"/>
    <w:rsid w:val="30CB109B"/>
    <w:rsid w:val="30CF7407"/>
    <w:rsid w:val="30DA24F1"/>
    <w:rsid w:val="30E81B43"/>
    <w:rsid w:val="30F65B02"/>
    <w:rsid w:val="3109019E"/>
    <w:rsid w:val="310959FE"/>
    <w:rsid w:val="3109732A"/>
    <w:rsid w:val="312E53DA"/>
    <w:rsid w:val="314C232E"/>
    <w:rsid w:val="315E5833"/>
    <w:rsid w:val="31840F63"/>
    <w:rsid w:val="319764DC"/>
    <w:rsid w:val="31DF35CD"/>
    <w:rsid w:val="32080EDC"/>
    <w:rsid w:val="32AB7EAB"/>
    <w:rsid w:val="32B71D27"/>
    <w:rsid w:val="32DE07F1"/>
    <w:rsid w:val="32F7059A"/>
    <w:rsid w:val="331534C4"/>
    <w:rsid w:val="33187C85"/>
    <w:rsid w:val="331D3C4A"/>
    <w:rsid w:val="33323300"/>
    <w:rsid w:val="335666F8"/>
    <w:rsid w:val="336439F5"/>
    <w:rsid w:val="338527AA"/>
    <w:rsid w:val="338C0DA0"/>
    <w:rsid w:val="339415E0"/>
    <w:rsid w:val="33AD7188"/>
    <w:rsid w:val="33AE0711"/>
    <w:rsid w:val="34067A65"/>
    <w:rsid w:val="343B507D"/>
    <w:rsid w:val="343F3919"/>
    <w:rsid w:val="344304E0"/>
    <w:rsid w:val="34476E90"/>
    <w:rsid w:val="34777EA9"/>
    <w:rsid w:val="34825981"/>
    <w:rsid w:val="348573AD"/>
    <w:rsid w:val="34AC4555"/>
    <w:rsid w:val="34F36D08"/>
    <w:rsid w:val="3519707B"/>
    <w:rsid w:val="35485482"/>
    <w:rsid w:val="357E5409"/>
    <w:rsid w:val="35945D5F"/>
    <w:rsid w:val="35B3556B"/>
    <w:rsid w:val="35BC7D52"/>
    <w:rsid w:val="35F5325E"/>
    <w:rsid w:val="360630CA"/>
    <w:rsid w:val="360A76FC"/>
    <w:rsid w:val="361231BE"/>
    <w:rsid w:val="36123FBF"/>
    <w:rsid w:val="366A08A1"/>
    <w:rsid w:val="36801FC3"/>
    <w:rsid w:val="36A92AAB"/>
    <w:rsid w:val="36C80B47"/>
    <w:rsid w:val="36CB703E"/>
    <w:rsid w:val="36EF163D"/>
    <w:rsid w:val="371E73E3"/>
    <w:rsid w:val="37334B21"/>
    <w:rsid w:val="374351D0"/>
    <w:rsid w:val="376A3DBD"/>
    <w:rsid w:val="37E81DE8"/>
    <w:rsid w:val="38127AB9"/>
    <w:rsid w:val="3848012E"/>
    <w:rsid w:val="387F6B81"/>
    <w:rsid w:val="38A11AEB"/>
    <w:rsid w:val="38C924A0"/>
    <w:rsid w:val="38F86950"/>
    <w:rsid w:val="390163DD"/>
    <w:rsid w:val="390F75B2"/>
    <w:rsid w:val="39117F66"/>
    <w:rsid w:val="39525C52"/>
    <w:rsid w:val="3956425B"/>
    <w:rsid w:val="396D50DB"/>
    <w:rsid w:val="39A22AAB"/>
    <w:rsid w:val="39A64D30"/>
    <w:rsid w:val="39BB523D"/>
    <w:rsid w:val="39C6291A"/>
    <w:rsid w:val="3A0C3554"/>
    <w:rsid w:val="3A202424"/>
    <w:rsid w:val="3A804354"/>
    <w:rsid w:val="3A8349F8"/>
    <w:rsid w:val="3ACE068F"/>
    <w:rsid w:val="3AD22BFA"/>
    <w:rsid w:val="3ADA55AC"/>
    <w:rsid w:val="3AF12A22"/>
    <w:rsid w:val="3AF460F5"/>
    <w:rsid w:val="3B0F7D65"/>
    <w:rsid w:val="3B261813"/>
    <w:rsid w:val="3B2748BB"/>
    <w:rsid w:val="3B721C7C"/>
    <w:rsid w:val="3BEA5380"/>
    <w:rsid w:val="3BF655CF"/>
    <w:rsid w:val="3BFF70BC"/>
    <w:rsid w:val="3C365B20"/>
    <w:rsid w:val="3C3F24CA"/>
    <w:rsid w:val="3C545137"/>
    <w:rsid w:val="3C5D7709"/>
    <w:rsid w:val="3C5D7D9D"/>
    <w:rsid w:val="3CA93488"/>
    <w:rsid w:val="3D1C54C3"/>
    <w:rsid w:val="3D23046C"/>
    <w:rsid w:val="3D333B35"/>
    <w:rsid w:val="3D6C60E9"/>
    <w:rsid w:val="3D855C98"/>
    <w:rsid w:val="3D996300"/>
    <w:rsid w:val="3DAE03CA"/>
    <w:rsid w:val="3DC72F9A"/>
    <w:rsid w:val="3EA66B99"/>
    <w:rsid w:val="3EA86ADD"/>
    <w:rsid w:val="3EB6778E"/>
    <w:rsid w:val="3EC949BD"/>
    <w:rsid w:val="3EEC20B5"/>
    <w:rsid w:val="3F1D1FAD"/>
    <w:rsid w:val="3F453F96"/>
    <w:rsid w:val="3F4A5777"/>
    <w:rsid w:val="3F547FD3"/>
    <w:rsid w:val="3F5A2EDA"/>
    <w:rsid w:val="3F6A7478"/>
    <w:rsid w:val="3F7F04C5"/>
    <w:rsid w:val="3FBA151A"/>
    <w:rsid w:val="3FCB42E0"/>
    <w:rsid w:val="3FCD0245"/>
    <w:rsid w:val="3FF2193A"/>
    <w:rsid w:val="402D0DF8"/>
    <w:rsid w:val="405979F4"/>
    <w:rsid w:val="405E0973"/>
    <w:rsid w:val="40667949"/>
    <w:rsid w:val="407A48B6"/>
    <w:rsid w:val="408706D4"/>
    <w:rsid w:val="40895D14"/>
    <w:rsid w:val="40BA2B58"/>
    <w:rsid w:val="40F91152"/>
    <w:rsid w:val="4123696B"/>
    <w:rsid w:val="412C4767"/>
    <w:rsid w:val="414D51AD"/>
    <w:rsid w:val="41541293"/>
    <w:rsid w:val="41544514"/>
    <w:rsid w:val="416A65A4"/>
    <w:rsid w:val="41C73588"/>
    <w:rsid w:val="41C8041D"/>
    <w:rsid w:val="41EC43CC"/>
    <w:rsid w:val="41FA16D6"/>
    <w:rsid w:val="41FB3136"/>
    <w:rsid w:val="41FF695D"/>
    <w:rsid w:val="42193403"/>
    <w:rsid w:val="42350DEA"/>
    <w:rsid w:val="42431596"/>
    <w:rsid w:val="42657ECE"/>
    <w:rsid w:val="42967F6B"/>
    <w:rsid w:val="42A10252"/>
    <w:rsid w:val="42AE237F"/>
    <w:rsid w:val="42D665BD"/>
    <w:rsid w:val="42E12561"/>
    <w:rsid w:val="4306667C"/>
    <w:rsid w:val="432B281E"/>
    <w:rsid w:val="43821027"/>
    <w:rsid w:val="43EE04C7"/>
    <w:rsid w:val="43F80311"/>
    <w:rsid w:val="44165A49"/>
    <w:rsid w:val="44190360"/>
    <w:rsid w:val="44395BA8"/>
    <w:rsid w:val="447F6FC8"/>
    <w:rsid w:val="4489635E"/>
    <w:rsid w:val="449874DC"/>
    <w:rsid w:val="44E01002"/>
    <w:rsid w:val="452112A4"/>
    <w:rsid w:val="454A2BAB"/>
    <w:rsid w:val="459308E1"/>
    <w:rsid w:val="45A93012"/>
    <w:rsid w:val="45D4644E"/>
    <w:rsid w:val="45DB483E"/>
    <w:rsid w:val="46386C71"/>
    <w:rsid w:val="46647CCF"/>
    <w:rsid w:val="46752E4C"/>
    <w:rsid w:val="468834C8"/>
    <w:rsid w:val="46B72EB2"/>
    <w:rsid w:val="46F92781"/>
    <w:rsid w:val="474002CC"/>
    <w:rsid w:val="47523EC7"/>
    <w:rsid w:val="47B53BAA"/>
    <w:rsid w:val="47CB6AB5"/>
    <w:rsid w:val="47DA2811"/>
    <w:rsid w:val="481C2D4F"/>
    <w:rsid w:val="486620A5"/>
    <w:rsid w:val="48941E44"/>
    <w:rsid w:val="48D90393"/>
    <w:rsid w:val="48F33103"/>
    <w:rsid w:val="49350E43"/>
    <w:rsid w:val="49544909"/>
    <w:rsid w:val="49692174"/>
    <w:rsid w:val="499E6F1D"/>
    <w:rsid w:val="49C56F37"/>
    <w:rsid w:val="49C822B9"/>
    <w:rsid w:val="49E2373B"/>
    <w:rsid w:val="4A1A1AFC"/>
    <w:rsid w:val="4A1A6A4D"/>
    <w:rsid w:val="4A1C7F69"/>
    <w:rsid w:val="4A3D2296"/>
    <w:rsid w:val="4A4A7BE5"/>
    <w:rsid w:val="4A693618"/>
    <w:rsid w:val="4A7E299A"/>
    <w:rsid w:val="4A83553B"/>
    <w:rsid w:val="4AB72EFA"/>
    <w:rsid w:val="4AC24D5B"/>
    <w:rsid w:val="4B315A79"/>
    <w:rsid w:val="4B64462A"/>
    <w:rsid w:val="4B996FB5"/>
    <w:rsid w:val="4B9A68A7"/>
    <w:rsid w:val="4BC14EAA"/>
    <w:rsid w:val="4BF977CF"/>
    <w:rsid w:val="4BFE0015"/>
    <w:rsid w:val="4C050246"/>
    <w:rsid w:val="4C0664BF"/>
    <w:rsid w:val="4C0F23A4"/>
    <w:rsid w:val="4C120763"/>
    <w:rsid w:val="4C150E22"/>
    <w:rsid w:val="4C4C20D1"/>
    <w:rsid w:val="4C6263AC"/>
    <w:rsid w:val="4CA920D2"/>
    <w:rsid w:val="4CAD5597"/>
    <w:rsid w:val="4CC53F3F"/>
    <w:rsid w:val="4CCC0113"/>
    <w:rsid w:val="4CEB1FF1"/>
    <w:rsid w:val="4D265BFE"/>
    <w:rsid w:val="4D443EBC"/>
    <w:rsid w:val="4D6A309D"/>
    <w:rsid w:val="4D9E31C3"/>
    <w:rsid w:val="4D9E333C"/>
    <w:rsid w:val="4DB6655A"/>
    <w:rsid w:val="4DC108F4"/>
    <w:rsid w:val="4DC67DC5"/>
    <w:rsid w:val="4DCE3A17"/>
    <w:rsid w:val="4E0176F5"/>
    <w:rsid w:val="4E0C0474"/>
    <w:rsid w:val="4E2F60B4"/>
    <w:rsid w:val="4E41374F"/>
    <w:rsid w:val="4E414BB2"/>
    <w:rsid w:val="4E482BE2"/>
    <w:rsid w:val="4E7E4296"/>
    <w:rsid w:val="4EC92B5C"/>
    <w:rsid w:val="4ED24E8A"/>
    <w:rsid w:val="4ED50D56"/>
    <w:rsid w:val="4ED75229"/>
    <w:rsid w:val="4EE2753C"/>
    <w:rsid w:val="4F0D5F85"/>
    <w:rsid w:val="4F206F52"/>
    <w:rsid w:val="4F2C4F1E"/>
    <w:rsid w:val="4F300D96"/>
    <w:rsid w:val="4F3351A1"/>
    <w:rsid w:val="4F4B4EC8"/>
    <w:rsid w:val="4F4C02F9"/>
    <w:rsid w:val="4F546E7B"/>
    <w:rsid w:val="4F5624CB"/>
    <w:rsid w:val="4F774B1B"/>
    <w:rsid w:val="4FB467F9"/>
    <w:rsid w:val="4FD02F65"/>
    <w:rsid w:val="4FF77627"/>
    <w:rsid w:val="50440CF8"/>
    <w:rsid w:val="50CA6717"/>
    <w:rsid w:val="510D07DF"/>
    <w:rsid w:val="514F1235"/>
    <w:rsid w:val="51895F8F"/>
    <w:rsid w:val="519B28E7"/>
    <w:rsid w:val="51A84DBE"/>
    <w:rsid w:val="51BA3724"/>
    <w:rsid w:val="51EA52E6"/>
    <w:rsid w:val="524D7E04"/>
    <w:rsid w:val="52832C8D"/>
    <w:rsid w:val="52DB3A4A"/>
    <w:rsid w:val="52E57CC3"/>
    <w:rsid w:val="5312550A"/>
    <w:rsid w:val="534A1349"/>
    <w:rsid w:val="5359222A"/>
    <w:rsid w:val="5394125E"/>
    <w:rsid w:val="539F16B1"/>
    <w:rsid w:val="53B347B9"/>
    <w:rsid w:val="53DE69BF"/>
    <w:rsid w:val="53F046E7"/>
    <w:rsid w:val="53F65A75"/>
    <w:rsid w:val="53F7012F"/>
    <w:rsid w:val="541E45C6"/>
    <w:rsid w:val="54562E9A"/>
    <w:rsid w:val="54814F3D"/>
    <w:rsid w:val="54B75204"/>
    <w:rsid w:val="54D264E2"/>
    <w:rsid w:val="54D723E8"/>
    <w:rsid w:val="55043940"/>
    <w:rsid w:val="550721D5"/>
    <w:rsid w:val="552D03A4"/>
    <w:rsid w:val="55387C0D"/>
    <w:rsid w:val="554B10D3"/>
    <w:rsid w:val="555278C4"/>
    <w:rsid w:val="557347D9"/>
    <w:rsid w:val="558D4CD1"/>
    <w:rsid w:val="55A31786"/>
    <w:rsid w:val="55A47060"/>
    <w:rsid w:val="55AC636A"/>
    <w:rsid w:val="55C15CC7"/>
    <w:rsid w:val="56072347"/>
    <w:rsid w:val="56084A61"/>
    <w:rsid w:val="563648E8"/>
    <w:rsid w:val="569605B1"/>
    <w:rsid w:val="56A650A5"/>
    <w:rsid w:val="56B967C0"/>
    <w:rsid w:val="56BE67A9"/>
    <w:rsid w:val="56EE7782"/>
    <w:rsid w:val="57550496"/>
    <w:rsid w:val="576B0D91"/>
    <w:rsid w:val="57830686"/>
    <w:rsid w:val="57A9177C"/>
    <w:rsid w:val="57C96345"/>
    <w:rsid w:val="57D17697"/>
    <w:rsid w:val="57D92384"/>
    <w:rsid w:val="57E04F41"/>
    <w:rsid w:val="58020827"/>
    <w:rsid w:val="581808D2"/>
    <w:rsid w:val="5878114F"/>
    <w:rsid w:val="588E3A11"/>
    <w:rsid w:val="58941028"/>
    <w:rsid w:val="58980CA8"/>
    <w:rsid w:val="58A44110"/>
    <w:rsid w:val="58B42629"/>
    <w:rsid w:val="58D5714F"/>
    <w:rsid w:val="58DE21CC"/>
    <w:rsid w:val="5927169E"/>
    <w:rsid w:val="59302495"/>
    <w:rsid w:val="594B4BEF"/>
    <w:rsid w:val="59AF294E"/>
    <w:rsid w:val="5A442CE0"/>
    <w:rsid w:val="5A5F1744"/>
    <w:rsid w:val="5A782B46"/>
    <w:rsid w:val="5A853AE0"/>
    <w:rsid w:val="5B2616E5"/>
    <w:rsid w:val="5B3A4C3E"/>
    <w:rsid w:val="5B474BD0"/>
    <w:rsid w:val="5B884B96"/>
    <w:rsid w:val="5BF93517"/>
    <w:rsid w:val="5C435D6C"/>
    <w:rsid w:val="5D090FC9"/>
    <w:rsid w:val="5D0B0832"/>
    <w:rsid w:val="5D0F0AB2"/>
    <w:rsid w:val="5D7217AC"/>
    <w:rsid w:val="5DAD34DD"/>
    <w:rsid w:val="5DB10733"/>
    <w:rsid w:val="5E070ED0"/>
    <w:rsid w:val="5E0B0A29"/>
    <w:rsid w:val="5E510750"/>
    <w:rsid w:val="5ED206DD"/>
    <w:rsid w:val="5F2F4877"/>
    <w:rsid w:val="5F45345B"/>
    <w:rsid w:val="5F5D6E5A"/>
    <w:rsid w:val="5FA2526B"/>
    <w:rsid w:val="5FA40847"/>
    <w:rsid w:val="5FAA3C47"/>
    <w:rsid w:val="5FCB432F"/>
    <w:rsid w:val="5FD448AC"/>
    <w:rsid w:val="5FF61953"/>
    <w:rsid w:val="5FFD6499"/>
    <w:rsid w:val="5FFE462F"/>
    <w:rsid w:val="600E54F4"/>
    <w:rsid w:val="60365B77"/>
    <w:rsid w:val="604157B4"/>
    <w:rsid w:val="607B75C7"/>
    <w:rsid w:val="608E3AB9"/>
    <w:rsid w:val="60A827A3"/>
    <w:rsid w:val="60D51A59"/>
    <w:rsid w:val="60E344FF"/>
    <w:rsid w:val="60E82224"/>
    <w:rsid w:val="60EF0A8D"/>
    <w:rsid w:val="60F12BA5"/>
    <w:rsid w:val="60F575C1"/>
    <w:rsid w:val="60F6689E"/>
    <w:rsid w:val="61147D5F"/>
    <w:rsid w:val="61461C93"/>
    <w:rsid w:val="61B17DFE"/>
    <w:rsid w:val="61CA13D9"/>
    <w:rsid w:val="61ED1E4C"/>
    <w:rsid w:val="61FC42CB"/>
    <w:rsid w:val="62261C1B"/>
    <w:rsid w:val="622E2E60"/>
    <w:rsid w:val="6260477F"/>
    <w:rsid w:val="62847EA7"/>
    <w:rsid w:val="62852ABE"/>
    <w:rsid w:val="62A615B2"/>
    <w:rsid w:val="62A974C8"/>
    <w:rsid w:val="62DB637F"/>
    <w:rsid w:val="62E00223"/>
    <w:rsid w:val="62FA10BA"/>
    <w:rsid w:val="62FD5017"/>
    <w:rsid w:val="63296CF6"/>
    <w:rsid w:val="63532130"/>
    <w:rsid w:val="63780255"/>
    <w:rsid w:val="637A23E2"/>
    <w:rsid w:val="63972103"/>
    <w:rsid w:val="63D615FE"/>
    <w:rsid w:val="64027326"/>
    <w:rsid w:val="640B7333"/>
    <w:rsid w:val="6469117D"/>
    <w:rsid w:val="64871562"/>
    <w:rsid w:val="64D52890"/>
    <w:rsid w:val="64D605E3"/>
    <w:rsid w:val="64EA7FB1"/>
    <w:rsid w:val="64EC6C5A"/>
    <w:rsid w:val="65211E78"/>
    <w:rsid w:val="653528A1"/>
    <w:rsid w:val="653D7AF3"/>
    <w:rsid w:val="6570487D"/>
    <w:rsid w:val="65771892"/>
    <w:rsid w:val="65B119A5"/>
    <w:rsid w:val="65BB38BC"/>
    <w:rsid w:val="65E25E59"/>
    <w:rsid w:val="65E652DD"/>
    <w:rsid w:val="65E83D85"/>
    <w:rsid w:val="65F916BF"/>
    <w:rsid w:val="661C2A65"/>
    <w:rsid w:val="6622535F"/>
    <w:rsid w:val="66346CA6"/>
    <w:rsid w:val="66565CBE"/>
    <w:rsid w:val="66602909"/>
    <w:rsid w:val="66E50CF7"/>
    <w:rsid w:val="66E8781C"/>
    <w:rsid w:val="66F823CA"/>
    <w:rsid w:val="670E76D1"/>
    <w:rsid w:val="67574E33"/>
    <w:rsid w:val="679B2764"/>
    <w:rsid w:val="67A35142"/>
    <w:rsid w:val="67CC71F3"/>
    <w:rsid w:val="67D77C44"/>
    <w:rsid w:val="68156FD0"/>
    <w:rsid w:val="686052D7"/>
    <w:rsid w:val="68645048"/>
    <w:rsid w:val="68752125"/>
    <w:rsid w:val="690459DC"/>
    <w:rsid w:val="690B7AFD"/>
    <w:rsid w:val="692A385D"/>
    <w:rsid w:val="69543567"/>
    <w:rsid w:val="698F0E71"/>
    <w:rsid w:val="699A6C05"/>
    <w:rsid w:val="6A6D318E"/>
    <w:rsid w:val="6A90444F"/>
    <w:rsid w:val="6A930078"/>
    <w:rsid w:val="6AB30BF9"/>
    <w:rsid w:val="6AE61DAD"/>
    <w:rsid w:val="6AEE31E1"/>
    <w:rsid w:val="6AF53AB4"/>
    <w:rsid w:val="6AFC4C50"/>
    <w:rsid w:val="6AFF6DD9"/>
    <w:rsid w:val="6B2031BA"/>
    <w:rsid w:val="6B3034CF"/>
    <w:rsid w:val="6B6721F6"/>
    <w:rsid w:val="6B713444"/>
    <w:rsid w:val="6B7A60D6"/>
    <w:rsid w:val="6B956E9A"/>
    <w:rsid w:val="6B983A82"/>
    <w:rsid w:val="6B9F6D44"/>
    <w:rsid w:val="6BB81397"/>
    <w:rsid w:val="6C203A9A"/>
    <w:rsid w:val="6C2A3FED"/>
    <w:rsid w:val="6C385BB0"/>
    <w:rsid w:val="6C6118DE"/>
    <w:rsid w:val="6CA21E49"/>
    <w:rsid w:val="6CA6506C"/>
    <w:rsid w:val="6CAD0466"/>
    <w:rsid w:val="6CB75CCD"/>
    <w:rsid w:val="6CBA18DE"/>
    <w:rsid w:val="6CCC3634"/>
    <w:rsid w:val="6CF450EA"/>
    <w:rsid w:val="6CF52602"/>
    <w:rsid w:val="6D2D26D4"/>
    <w:rsid w:val="6D2F4A11"/>
    <w:rsid w:val="6D3F691A"/>
    <w:rsid w:val="6D6F7597"/>
    <w:rsid w:val="6D8C0517"/>
    <w:rsid w:val="6DC02322"/>
    <w:rsid w:val="6DE5023A"/>
    <w:rsid w:val="6E8B1784"/>
    <w:rsid w:val="6E9303C1"/>
    <w:rsid w:val="6ECF03D4"/>
    <w:rsid w:val="6EEA4B30"/>
    <w:rsid w:val="6EEB1850"/>
    <w:rsid w:val="6F1D62F1"/>
    <w:rsid w:val="6F215C44"/>
    <w:rsid w:val="6F617B7A"/>
    <w:rsid w:val="6F71329B"/>
    <w:rsid w:val="6F7A3C37"/>
    <w:rsid w:val="6F7C514E"/>
    <w:rsid w:val="6F9B5E43"/>
    <w:rsid w:val="6FA474C8"/>
    <w:rsid w:val="6FC02C16"/>
    <w:rsid w:val="6FE836DF"/>
    <w:rsid w:val="6FF6475E"/>
    <w:rsid w:val="70184EA3"/>
    <w:rsid w:val="70321B8C"/>
    <w:rsid w:val="704269AA"/>
    <w:rsid w:val="7065127C"/>
    <w:rsid w:val="70683582"/>
    <w:rsid w:val="707053C2"/>
    <w:rsid w:val="70733926"/>
    <w:rsid w:val="7084049C"/>
    <w:rsid w:val="709A3A39"/>
    <w:rsid w:val="70A237D7"/>
    <w:rsid w:val="70C01024"/>
    <w:rsid w:val="70CB53E1"/>
    <w:rsid w:val="70E45041"/>
    <w:rsid w:val="71056F4E"/>
    <w:rsid w:val="714E12CF"/>
    <w:rsid w:val="71707E34"/>
    <w:rsid w:val="71CE5989"/>
    <w:rsid w:val="7209016D"/>
    <w:rsid w:val="72462B16"/>
    <w:rsid w:val="724D78E7"/>
    <w:rsid w:val="7259341C"/>
    <w:rsid w:val="728B00C1"/>
    <w:rsid w:val="72B40135"/>
    <w:rsid w:val="72BD2D00"/>
    <w:rsid w:val="72E74435"/>
    <w:rsid w:val="72FA299D"/>
    <w:rsid w:val="734446DC"/>
    <w:rsid w:val="734521A8"/>
    <w:rsid w:val="73486236"/>
    <w:rsid w:val="73707E67"/>
    <w:rsid w:val="7382217D"/>
    <w:rsid w:val="73AA3A2F"/>
    <w:rsid w:val="73BA58EC"/>
    <w:rsid w:val="73BB65D5"/>
    <w:rsid w:val="73CA7D44"/>
    <w:rsid w:val="73F538C3"/>
    <w:rsid w:val="741F0C23"/>
    <w:rsid w:val="74277859"/>
    <w:rsid w:val="743439CA"/>
    <w:rsid w:val="743B5D79"/>
    <w:rsid w:val="745E5DE3"/>
    <w:rsid w:val="748F3308"/>
    <w:rsid w:val="74BC7F66"/>
    <w:rsid w:val="74DD127A"/>
    <w:rsid w:val="75686B98"/>
    <w:rsid w:val="75CA1C7B"/>
    <w:rsid w:val="76446146"/>
    <w:rsid w:val="765E04EA"/>
    <w:rsid w:val="765F3D46"/>
    <w:rsid w:val="7677072C"/>
    <w:rsid w:val="76A00464"/>
    <w:rsid w:val="76A021B3"/>
    <w:rsid w:val="76B20F7F"/>
    <w:rsid w:val="76B664D7"/>
    <w:rsid w:val="76CC5FFF"/>
    <w:rsid w:val="76E33575"/>
    <w:rsid w:val="76EB2B73"/>
    <w:rsid w:val="770B0914"/>
    <w:rsid w:val="775B260D"/>
    <w:rsid w:val="77735805"/>
    <w:rsid w:val="77813724"/>
    <w:rsid w:val="77996CC0"/>
    <w:rsid w:val="779A64DA"/>
    <w:rsid w:val="77A33591"/>
    <w:rsid w:val="77B01315"/>
    <w:rsid w:val="77D16924"/>
    <w:rsid w:val="77DC2E5C"/>
    <w:rsid w:val="78047EB1"/>
    <w:rsid w:val="78063F96"/>
    <w:rsid w:val="782C2784"/>
    <w:rsid w:val="78326601"/>
    <w:rsid w:val="783976E2"/>
    <w:rsid w:val="784946D9"/>
    <w:rsid w:val="785C5998"/>
    <w:rsid w:val="78912C2B"/>
    <w:rsid w:val="78B6451A"/>
    <w:rsid w:val="78FB211C"/>
    <w:rsid w:val="790147C9"/>
    <w:rsid w:val="7919798C"/>
    <w:rsid w:val="792A6F66"/>
    <w:rsid w:val="795269EF"/>
    <w:rsid w:val="796D7AA9"/>
    <w:rsid w:val="797C23F5"/>
    <w:rsid w:val="797F7147"/>
    <w:rsid w:val="79BE2A91"/>
    <w:rsid w:val="7A3A5831"/>
    <w:rsid w:val="7A992CC0"/>
    <w:rsid w:val="7AD5704D"/>
    <w:rsid w:val="7AF95CC7"/>
    <w:rsid w:val="7B041FA2"/>
    <w:rsid w:val="7B1F37B5"/>
    <w:rsid w:val="7B3A50B0"/>
    <w:rsid w:val="7B867A45"/>
    <w:rsid w:val="7B8B2C1D"/>
    <w:rsid w:val="7BCA3B47"/>
    <w:rsid w:val="7BD020E4"/>
    <w:rsid w:val="7BD10626"/>
    <w:rsid w:val="7C01614C"/>
    <w:rsid w:val="7C3403C9"/>
    <w:rsid w:val="7C423C8F"/>
    <w:rsid w:val="7C89639D"/>
    <w:rsid w:val="7CD3004A"/>
    <w:rsid w:val="7CEF7382"/>
    <w:rsid w:val="7D062C5B"/>
    <w:rsid w:val="7D4E0A33"/>
    <w:rsid w:val="7D4E0C16"/>
    <w:rsid w:val="7D793C28"/>
    <w:rsid w:val="7D8C0F6F"/>
    <w:rsid w:val="7DA32B71"/>
    <w:rsid w:val="7DA909AA"/>
    <w:rsid w:val="7DBC1642"/>
    <w:rsid w:val="7E171363"/>
    <w:rsid w:val="7E5D1143"/>
    <w:rsid w:val="7EEE51D4"/>
    <w:rsid w:val="7EFC2718"/>
    <w:rsid w:val="7F4C5AD9"/>
    <w:rsid w:val="7F6A5445"/>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38"/>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link w:val="36"/>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4"/>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unhideWhenUsed/>
    <w:qFormat/>
    <w:uiPriority w:val="39"/>
  </w:style>
  <w:style w:type="paragraph" w:styleId="12">
    <w:name w:val="toc 2"/>
    <w:basedOn w:val="1"/>
    <w:next w:val="1"/>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sz w:val="24"/>
    </w:rPr>
  </w:style>
  <w:style w:type="table" w:styleId="16">
    <w:name w:val="Table Grid"/>
    <w:basedOn w:val="15"/>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8">
    <w:name w:val="Strong"/>
    <w:basedOn w:val="17"/>
    <w:qFormat/>
    <w:uiPriority w:val="0"/>
    <w:rPr>
      <w:b/>
    </w:rPr>
  </w:style>
  <w:style w:type="character" w:styleId="19">
    <w:name w:val="Hyperlink"/>
    <w:basedOn w:val="17"/>
    <w:unhideWhenUsed/>
    <w:qFormat/>
    <w:uiPriority w:val="99"/>
    <w:rPr>
      <w:color w:val="0563C1" w:themeColor="hyperlink"/>
      <w:u w:val="single"/>
      <w14:textFill>
        <w14:solidFill>
          <w14:schemeClr w14:val="hlink"/>
        </w14:solidFill>
      </w14:textFill>
    </w:rPr>
  </w:style>
  <w:style w:type="character" w:styleId="20">
    <w:name w:val="annotation reference"/>
    <w:basedOn w:val="17"/>
    <w:qFormat/>
    <w:uiPriority w:val="0"/>
    <w:rPr>
      <w:sz w:val="21"/>
      <w:szCs w:val="21"/>
    </w:rPr>
  </w:style>
  <w:style w:type="paragraph" w:customStyle="1" w:styleId="21">
    <w:name w:val="Table Paragraph"/>
    <w:basedOn w:val="1"/>
    <w:qFormat/>
    <w:uiPriority w:val="1"/>
  </w:style>
  <w:style w:type="table" w:customStyle="1" w:styleId="22">
    <w:name w:val="Table Normal1"/>
    <w:unhideWhenUsed/>
    <w:qFormat/>
    <w:uiPriority w:val="2"/>
    <w:tblPr>
      <w:tblCellMar>
        <w:top w:w="0" w:type="dxa"/>
        <w:left w:w="0" w:type="dxa"/>
        <w:bottom w:w="0" w:type="dxa"/>
        <w:right w:w="0" w:type="dxa"/>
      </w:tblCellMar>
    </w:tblPr>
  </w:style>
  <w:style w:type="paragraph" w:customStyle="1" w:styleId="23">
    <w:name w:val="List Paragraph1"/>
    <w:basedOn w:val="1"/>
    <w:qFormat/>
    <w:uiPriority w:val="34"/>
    <w:rPr>
      <w:rFonts w:asciiTheme="minorHAnsi" w:hAnsiTheme="minorHAnsi" w:eastAsiaTheme="minorEastAsia" w:cstheme="minorBidi"/>
    </w:rPr>
  </w:style>
  <w:style w:type="paragraph" w:customStyle="1" w:styleId="24">
    <w:name w:val="标题1-1"/>
    <w:basedOn w:val="2"/>
    <w:next w:val="1"/>
    <w:qFormat/>
    <w:uiPriority w:val="1"/>
    <w:pPr>
      <w:numPr>
        <w:numId w:val="3"/>
      </w:numPr>
    </w:pPr>
    <w:rPr>
      <w:rFonts w:cs="Times New Roman"/>
      <w:bCs w:val="0"/>
      <w:color w:val="45A3A7"/>
    </w:rPr>
  </w:style>
  <w:style w:type="paragraph" w:customStyle="1" w:styleId="25">
    <w:name w:val="标题2-1"/>
    <w:basedOn w:val="3"/>
    <w:next w:val="1"/>
    <w:qFormat/>
    <w:uiPriority w:val="1"/>
    <w:pPr>
      <w:numPr>
        <w:numId w:val="4"/>
      </w:numPr>
      <w:spacing w:line="276" w:lineRule="auto"/>
    </w:pPr>
    <w:rPr>
      <w:rFonts w:cs="Times New Roman"/>
      <w:color w:val="45A3A7"/>
      <w:szCs w:val="24"/>
      <w:lang w:eastAsia="zh-CN"/>
    </w:rPr>
  </w:style>
  <w:style w:type="paragraph" w:customStyle="1" w:styleId="26">
    <w:name w:val="样式1"/>
    <w:basedOn w:val="6"/>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qFormat/>
    <w:uiPriority w:val="1"/>
    <w:pPr>
      <w:numPr>
        <w:numId w:val="5"/>
      </w:numPr>
    </w:pPr>
    <w:rPr>
      <w:rFonts w:cs="Times New Roman"/>
      <w:color w:val="416AAB"/>
      <w:szCs w:val="32"/>
    </w:rPr>
  </w:style>
  <w:style w:type="paragraph" w:customStyle="1" w:styleId="28">
    <w:name w:val="标题2-3"/>
    <w:basedOn w:val="3"/>
    <w:next w:val="1"/>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qFormat/>
    <w:uiPriority w:val="0"/>
    <w:rPr>
      <w:rFonts w:asciiTheme="minorHAnsi" w:hAnsiTheme="minorHAnsi" w:eastAsiaTheme="minorHAnsi" w:cstheme="minorBidi"/>
      <w:lang w:val="en-US" w:eastAsia="zh-CN" w:bidi="ar-SA"/>
    </w:rPr>
  </w:style>
  <w:style w:type="paragraph" w:customStyle="1" w:styleId="30">
    <w:name w:val="WPSOffice手动目录 2"/>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unhideWhenUsed/>
    <w:qFormat/>
    <w:uiPriority w:val="34"/>
    <w:pPr>
      <w:spacing w:before="42"/>
      <w:ind w:left="1699" w:hanging="380"/>
    </w:pPr>
    <w:rPr>
      <w:sz w:val="24"/>
    </w:rPr>
  </w:style>
  <w:style w:type="paragraph" w:styleId="32">
    <w:name w:val="List Paragraph"/>
    <w:basedOn w:val="1"/>
    <w:qFormat/>
    <w:uiPriority w:val="99"/>
    <w:pPr>
      <w:ind w:firstLine="420" w:firstLineChars="200"/>
    </w:pPr>
  </w:style>
  <w:style w:type="paragraph" w:customStyle="1" w:styleId="33">
    <w:name w:val="msolistparagraph"/>
    <w:basedOn w:val="1"/>
    <w:qFormat/>
    <w:uiPriority w:val="0"/>
    <w:pPr>
      <w:ind w:firstLine="420" w:firstLineChars="200"/>
    </w:pPr>
    <w:rPr>
      <w:rFonts w:hint="eastAsia" w:cs="Times New Roman"/>
      <w:lang w:eastAsia="zh-CN"/>
    </w:rPr>
  </w:style>
  <w:style w:type="character" w:customStyle="1" w:styleId="34">
    <w:name w:val="批注框文本 字符"/>
    <w:basedOn w:val="17"/>
    <w:link w:val="8"/>
    <w:qFormat/>
    <w:uiPriority w:val="0"/>
    <w:rPr>
      <w:rFonts w:ascii="宋体" w:hAnsi="宋体" w:cs="宋体"/>
      <w:sz w:val="18"/>
      <w:szCs w:val="18"/>
      <w:lang w:eastAsia="en-US"/>
    </w:rPr>
  </w:style>
  <w:style w:type="paragraph" w:customStyle="1" w:styleId="35">
    <w:name w:val="列表段落2"/>
    <w:basedOn w:val="1"/>
    <w:qFormat/>
    <w:uiPriority w:val="0"/>
    <w:pPr>
      <w:ind w:firstLine="420" w:firstLineChars="200"/>
    </w:pPr>
    <w:rPr>
      <w:rFonts w:ascii="Calibri" w:hAnsi="Calibri" w:cs="Times New Roman"/>
    </w:rPr>
  </w:style>
  <w:style w:type="character" w:customStyle="1" w:styleId="36">
    <w:name w:val="正文文本 字符"/>
    <w:basedOn w:val="17"/>
    <w:link w:val="6"/>
    <w:qFormat/>
    <w:uiPriority w:val="1"/>
    <w:rPr>
      <w:rFonts w:ascii="宋体" w:hAnsi="宋体" w:cs="宋体"/>
      <w:sz w:val="18"/>
      <w:szCs w:val="18"/>
      <w:lang w:eastAsia="en-US"/>
    </w:rPr>
  </w:style>
  <w:style w:type="table" w:customStyle="1" w:styleId="37">
    <w:name w:val="Table Normal"/>
    <w:qFormat/>
    <w:uiPriority w:val="0"/>
    <w:tblPr>
      <w:tblCellMar>
        <w:top w:w="0" w:type="dxa"/>
        <w:left w:w="0" w:type="dxa"/>
        <w:bottom w:w="0" w:type="dxa"/>
        <w:right w:w="0" w:type="dxa"/>
      </w:tblCellMar>
    </w:tblPr>
  </w:style>
  <w:style w:type="character" w:customStyle="1" w:styleId="38">
    <w:name w:val="标题 1 字符"/>
    <w:link w:val="2"/>
    <w:qFormat/>
    <w:uiPriority w:val="1"/>
    <w:rPr>
      <w:rFonts w:ascii="Times New Roman" w:hAnsi="Times New Roman" w:eastAsia="微软雅黑" w:cs="黑体"/>
      <w:b/>
      <w:bCs/>
      <w:color w:val="00B050"/>
      <w:sz w:val="28"/>
      <w:szCs w:val="36"/>
      <w:lang w:eastAsia="zh-CN"/>
    </w:rPr>
  </w:style>
  <w:style w:type="paragraph" w:customStyle="1" w:styleId="39">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40">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41">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2">
    <w:name w:val="font11"/>
    <w:autoRedefine/>
    <w:qFormat/>
    <w:uiPriority w:val="0"/>
    <w:rPr>
      <w:rFonts w:hint="eastAsia" w:ascii="微软雅黑" w:hAnsi="微软雅黑" w:eastAsia="微软雅黑" w:cs="微软雅黑"/>
      <w:b/>
      <w:bCs/>
      <w:color w:val="FFFFFF"/>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image" Target="media/image3.jpeg"/><Relationship Id="rId8" Type="http://schemas.openxmlformats.org/officeDocument/2006/relationships/image" Target="media/image2.png"/><Relationship Id="rId7" Type="http://schemas.openxmlformats.org/officeDocument/2006/relationships/image" Target="media/image1.jpeg"/><Relationship Id="rId6" Type="http://schemas.openxmlformats.org/officeDocument/2006/relationships/theme" Target="theme/theme1.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customXml" Target="../customXml/item2.xml"/><Relationship Id="rId11" Type="http://schemas.openxmlformats.org/officeDocument/2006/relationships/numbering" Target="numbering.xml"/><Relationship Id="rId10" Type="http://schemas.openxmlformats.org/officeDocument/2006/relationships/customXml" Target="../customXml/item1.xml"/><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6.jpeg"/><Relationship Id="rId2" Type="http://schemas.openxmlformats.org/officeDocument/2006/relationships/image" Target="media/image5.jpeg"/><Relationship Id="rId1" Type="http://schemas.openxmlformats.org/officeDocument/2006/relationships/image" Target="media/image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AF0FCD33-2FD2-40CF-9CDF-F2193CE32997}">
  <ds:schemaRefs/>
</ds:datastoreItem>
</file>

<file path=docProps/app.xml><?xml version="1.0" encoding="utf-8"?>
<Properties xmlns="http://schemas.openxmlformats.org/officeDocument/2006/extended-properties" xmlns:vt="http://schemas.openxmlformats.org/officeDocument/2006/docPropsVTypes">
  <Template>Normal</Template>
  <Pages>33</Pages>
  <Words>2774</Words>
  <Characters>5376</Characters>
  <Lines>1</Lines>
  <Paragraphs>1</Paragraphs>
  <TotalTime>0</TotalTime>
  <ScaleCrop>false</ScaleCrop>
  <LinksUpToDate>false</LinksUpToDate>
  <CharactersWithSpaces>5837</CharactersWithSpaces>
  <Application>WPS Office_12.1.0.23542_F1E327BC-269C-435d-A152-05C5408002CA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tassles-L</cp:lastModifiedBy>
  <dcterms:modified xsi:type="dcterms:W3CDTF">2025-11-28T02:16:58Z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2052-12.1.0.23542</vt:lpwstr>
  </property>
  <property fmtid="{D5CDD505-2E9C-101B-9397-08002B2CF9AE}" pid="3" name="ICV">
    <vt:lpwstr>1B179D56F2ED414CB226BBBCB8243AC0_13</vt:lpwstr>
  </property>
  <property fmtid="{D5CDD505-2E9C-101B-9397-08002B2CF9AE}" pid="4" name="KSOTemplateDocerSaveRecord">
    <vt:lpwstr>eyJoZGlkIjoiY2Y2NjU5MGIzZGFmM2M5NTIxMmI2NjdmNGQ0NDdjMDUiLCJ1c2VySWQiOiI2MjE3NDUxNTQifQ==</vt:lpwstr>
  </property>
</Properties>
</file>