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48E1BCC">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3" name="图片 3"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CYJ的LOGO-1 拷贝"/>
                    <pic:cNvPicPr>
                      <a:picLocks noChangeAspect="1"/>
                    </pic:cNvPicPr>
                  </pic:nvPicPr>
                  <pic:blipFill>
                    <a:blip r:embed="rId10"/>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1"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2" descr="5"/>
                    <pic:cNvPicPr>
                      <a:picLocks noChangeAspect="1"/>
                    </pic:cNvPicPr>
                  </pic:nvPicPr>
                  <pic:blipFill>
                    <a:blip r:embed="rId11"/>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7910C63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3189376D">
      <w:pPr>
        <w:snapToGrid w:val="0"/>
        <w:ind w:firstLine="1575" w:firstLineChars="750"/>
        <w:rPr>
          <w:i/>
          <w:color w:val="008080"/>
          <w:sz w:val="21"/>
          <w:szCs w:val="21"/>
        </w:rPr>
      </w:pPr>
      <w:r>
        <w:rPr>
          <w:i/>
          <w:color w:val="008080"/>
          <w:sz w:val="21"/>
          <w:szCs w:val="21"/>
        </w:rPr>
        <w:t>Molecular Medical Laboratory, Chongqing Medical University</w:t>
      </w:r>
    </w:p>
    <w:p w14:paraId="4CE98645">
      <w:pPr>
        <w:rPr>
          <w:sz w:val="20"/>
        </w:rPr>
      </w:pPr>
    </w:p>
    <w:p w14:paraId="49BD66A0">
      <w:pPr>
        <w:rPr>
          <w:sz w:val="20"/>
        </w:rPr>
      </w:pPr>
    </w:p>
    <w:p w14:paraId="7E95B3AC">
      <w:pPr>
        <w:rPr>
          <w:sz w:val="20"/>
        </w:rPr>
      </w:pPr>
    </w:p>
    <w:p w14:paraId="195B9B70">
      <w:pPr>
        <w:rPr>
          <w:sz w:val="20"/>
        </w:rPr>
      </w:pPr>
    </w:p>
    <w:p w14:paraId="104D5365">
      <w:pPr>
        <w:rPr>
          <w:sz w:val="20"/>
        </w:rPr>
      </w:pPr>
    </w:p>
    <w:p w14:paraId="1B413F5C"/>
    <w:p w14:paraId="3E9C2792"/>
    <w:p w14:paraId="61DAB5E5"/>
    <w:p w14:paraId="10279C0C">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 if PDInfo == undefined %}中国人群BRCA1/2基因分子分型</w:t>
      </w:r>
      <w:r>
        <w:rPr>
          <w:rFonts w:hint="eastAsia" w:ascii="微软雅黑" w:eastAsia="微软雅黑" w:cs="宋体"/>
          <w:b/>
          <w:sz w:val="48"/>
          <w:szCs w:val="48"/>
          <w:lang w:val="en-US" w:eastAsia="zh-CN" w:bidi="ar-SA"/>
        </w:rPr>
        <w:t>报告</w:t>
      </w:r>
      <w:r>
        <w:rPr>
          <w:rFonts w:hint="eastAsia" w:ascii="微软雅黑" w:hAnsi="宋体" w:eastAsia="微软雅黑" w:cs="宋体"/>
          <w:b/>
          <w:sz w:val="48"/>
          <w:szCs w:val="48"/>
          <w:lang w:val="en-US" w:eastAsia="zh-CN" w:bidi="ar-SA"/>
        </w:rPr>
        <w:t>{% else %}</w:t>
      </w:r>
    </w:p>
    <w:p w14:paraId="05CA820B">
      <w:pPr>
        <w:jc w:val="center"/>
        <w:rPr>
          <w:rFonts w:hint="eastAsia" w:ascii="微软雅黑" w:hAnsi="宋体" w:eastAsia="微软雅黑" w:cs="宋体"/>
          <w:b/>
          <w:sz w:val="48"/>
          <w:szCs w:val="48"/>
          <w:lang w:val="en-US" w:eastAsia="zh-CN" w:bidi="ar-SA"/>
        </w:rPr>
      </w:pPr>
      <w:r>
        <w:rPr>
          <w:rFonts w:hint="eastAsia" w:ascii="微软雅黑" w:hAnsi="宋体" w:eastAsia="微软雅黑" w:cs="宋体"/>
          <w:b/>
          <w:sz w:val="48"/>
          <w:szCs w:val="48"/>
          <w:lang w:val="en-US" w:eastAsia="zh-CN" w:bidi="ar-SA"/>
        </w:rPr>
        <w:t>中国人群BRCA1/2基因分子分型+PD-L1检测报告{% endif %}</w:t>
      </w:r>
    </w:p>
    <w:p w14:paraId="3F08A26F">
      <w:pPr>
        <w:pStyle w:val="6"/>
        <w:rPr>
          <w:rFonts w:ascii="黑体"/>
          <w:sz w:val="48"/>
          <w:lang w:eastAsia="zh-CN"/>
        </w:rPr>
      </w:pPr>
    </w:p>
    <w:tbl>
      <w:tblPr>
        <w:tblStyle w:val="15"/>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5ADD4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57E505A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1E1EA79">
            <w:pPr>
              <w:pStyle w:val="6"/>
              <w:jc w:val="center"/>
              <w:rPr>
                <w:rFonts w:ascii="黑体"/>
                <w:sz w:val="48"/>
                <w:lang w:eastAsia="zh-CN"/>
              </w:rPr>
            </w:pPr>
            <w:r>
              <w:rPr>
                <w:rFonts w:hint="eastAsia" w:ascii="微软雅黑" w:eastAsia="微软雅黑"/>
                <w:sz w:val="30"/>
                <w:lang w:eastAsia="zh-CN"/>
              </w:rPr>
              <w:t>{{ client }}</w:t>
            </w:r>
          </w:p>
        </w:tc>
      </w:tr>
      <w:tr w14:paraId="44A95B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1BD20D21">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6F56DC2">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subbarcode }}</w:t>
            </w:r>
          </w:p>
        </w:tc>
      </w:tr>
      <w:tr w14:paraId="4B1F39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69E6114D">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59DEE8AD">
            <w:pPr>
              <w:pStyle w:val="6"/>
              <w:jc w:val="center"/>
              <w:rPr>
                <w:rFonts w:hint="default" w:ascii="Times New Roman" w:hAnsi="Times New Roman" w:cs="Times New Roman"/>
                <w:sz w:val="48"/>
                <w:lang w:eastAsia="zh-CN"/>
              </w:rPr>
            </w:pPr>
            <w:r>
              <w:rPr>
                <w:rFonts w:hint="default" w:ascii="Times New Roman" w:hAnsi="Times New Roman" w:eastAsia="微软雅黑" w:cs="Times New Roman"/>
                <w:sz w:val="30"/>
                <w:lang w:eastAsia="zh-CN"/>
              </w:rPr>
              <w:t>{{ reportdate }}</w:t>
            </w:r>
          </w:p>
        </w:tc>
      </w:tr>
    </w:tbl>
    <w:p w14:paraId="78296FE8">
      <w:pPr>
        <w:pStyle w:val="6"/>
        <w:rPr>
          <w:rFonts w:ascii="黑体"/>
          <w:sz w:val="48"/>
          <w:lang w:eastAsia="zh-CN"/>
        </w:rPr>
      </w:pPr>
    </w:p>
    <w:p w14:paraId="7372F74D">
      <w:pPr>
        <w:pStyle w:val="6"/>
        <w:rPr>
          <w:rFonts w:ascii="Times New Roman" w:hAnsi="Times New Roman" w:eastAsia="微软雅黑" w:cs="Times New Roman"/>
          <w:sz w:val="30"/>
          <w:szCs w:val="30"/>
          <w:lang w:eastAsia="zh-CN"/>
        </w:rPr>
      </w:pPr>
    </w:p>
    <w:p w14:paraId="7AE14589">
      <w:pPr>
        <w:tabs>
          <w:tab w:val="left" w:pos="6082"/>
          <w:tab w:val="left" w:pos="6324"/>
          <w:tab w:val="left" w:pos="9183"/>
        </w:tabs>
        <w:spacing w:before="411" w:line="308" w:lineRule="auto"/>
        <w:ind w:right="2699"/>
        <w:jc w:val="both"/>
        <w:rPr>
          <w:sz w:val="30"/>
          <w:u w:val="single"/>
          <w:lang w:eastAsia="zh-CN"/>
        </w:rPr>
        <w:sectPr>
          <w:headerReference r:id="rId3" w:type="default"/>
          <w:headerReference r:id="rId4" w:type="even"/>
          <w:pgSz w:w="11905" w:h="16838"/>
          <w:pgMar w:top="1037" w:right="1020" w:bottom="981" w:left="1020" w:header="850" w:footer="992" w:gutter="0"/>
          <w:pgBorders>
            <w:top w:val="none" w:sz="0" w:space="0"/>
            <w:left w:val="none" w:sz="0" w:space="0"/>
            <w:bottom w:val="none" w:sz="0" w:space="0"/>
            <w:right w:val="none" w:sz="0" w:space="0"/>
          </w:pgBorders>
          <w:pgNumType w:start="1"/>
          <w:cols w:space="0" w:num="1"/>
          <w:rtlGutter w:val="0"/>
          <w:docGrid w:linePitch="0" w:charSpace="0"/>
        </w:sectPr>
      </w:pPr>
    </w:p>
    <w:p w14:paraId="509A3D2E">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FD6843A">
      <w:pPr>
        <w:jc w:val="center"/>
        <w:rPr>
          <w:sz w:val="24"/>
          <w:szCs w:val="24"/>
          <w:lang w:eastAsia="zh-CN"/>
        </w:rPr>
      </w:pPr>
      <w:r>
        <w:rPr>
          <w:rFonts w:hint="eastAsia" w:ascii="Times New Roman" w:hAnsi="Times New Roman" w:eastAsia="微软雅黑"/>
          <w:sz w:val="36"/>
          <w:szCs w:val="36"/>
          <w:lang w:eastAsia="zh-CN"/>
        </w:rPr>
        <w:t>Content</w:t>
      </w:r>
    </w:p>
    <w:sdt>
      <w:sdtPr>
        <w:rPr>
          <w:sz w:val="21"/>
        </w:rPr>
        <w:id w:val="147459360"/>
        <w15:color w:val="DBDBDB"/>
        <w:docPartObj>
          <w:docPartGallery w:val="Table of Contents"/>
          <w:docPartUnique/>
        </w:docPartObj>
      </w:sdtPr>
      <w:sdtEndPr>
        <w:rPr>
          <w:b/>
          <w:sz w:val="22"/>
          <w:lang w:eastAsia="zh-CN"/>
        </w:rPr>
      </w:sdtEndPr>
      <w:sdtContent>
        <w:p w14:paraId="358CCD94">
          <w:pPr>
            <w:jc w:val="center"/>
          </w:pPr>
        </w:p>
        <w:p w14:paraId="2FE4E9A4">
          <w:pPr>
            <w:pStyle w:val="11"/>
            <w:tabs>
              <w:tab w:val="right" w:leader="dot" w:pos="9861"/>
            </w:tabs>
            <w:rPr>
              <w:rFonts w:hint="eastAsia" w:ascii="Times New Roman" w:hAnsi="Times New Roman" w:eastAsia="微软雅黑"/>
              <w:b/>
              <w:color w:val="62B541"/>
              <w:sz w:val="32"/>
              <w:lang w:eastAsia="zh-CN"/>
            </w:rPr>
          </w:pPr>
          <w:r>
            <w:rPr>
              <w:lang w:eastAsia="zh-CN"/>
            </w:rPr>
            <w:fldChar w:fldCharType="begin"/>
          </w:r>
          <w:r>
            <w:rPr>
              <w:lang w:eastAsia="zh-CN"/>
            </w:rPr>
            <w:instrText xml:space="preserve">TOC \o "1-2" \h \u </w:instrText>
          </w:r>
          <w:r>
            <w:rPr>
              <w:lang w:eastAsia="zh-CN"/>
            </w:rPr>
            <w:fldChar w:fldCharType="separate"/>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_Toc22057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样本信息</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_Toc22057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13AC14D">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_Toc4338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检测项目</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_Toc4338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03D66D6A">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_Toc5594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检测结果总览</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_Toc5594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CFDE84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_Toc455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检测结果小结</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_Toc455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52706D87">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_Toc16066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检测结果及用药提示</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_Toc16066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2</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40BDA9D2">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_Toc29563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体细胞变异分级提示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_Toc29563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3B9A6A0A">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_Toc2185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胚系变异结果提示</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_Toc2185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xml:space="preserve">{%if </w:t>
          </w:r>
          <w:r>
            <w:rPr>
              <w:rFonts w:ascii="Times New Roman" w:hAnsi="Times New Roman" w:eastAsia="微软雅黑"/>
              <w:sz w:val="24"/>
              <w:szCs w:val="24"/>
              <w:lang w:eastAsia="zh-CN"/>
            </w:rPr>
            <w:t>PDInfo</w:t>
          </w:r>
          <w:r>
            <w:rPr>
              <w:rFonts w:hint="eastAsia" w:ascii="Times New Roman" w:hAnsi="Times New Roman" w:eastAsia="微软雅黑"/>
              <w:sz w:val="24"/>
              <w:szCs w:val="24"/>
              <w:lang w:eastAsia="zh-CN"/>
            </w:rPr>
            <w:t xml:space="preserve"> != </w:t>
          </w:r>
          <w:r>
            <w:rPr>
              <w:rFonts w:ascii="Times New Roman" w:hAnsi="Times New Roman" w:eastAsia="微软雅黑"/>
              <w:sz w:val="24"/>
              <w:szCs w:val="24"/>
              <w:lang w:eastAsia="zh-CN"/>
            </w:rPr>
            <w:t>undefined</w:t>
          </w:r>
          <w:r>
            <w:rPr>
              <w:rFonts w:hint="eastAsia" w:ascii="Times New Roman" w:hAnsi="Times New Roman" w:eastAsia="微软雅黑"/>
              <w:sz w:val="24"/>
              <w:szCs w:val="24"/>
              <w:lang w:eastAsia="zh-CN"/>
            </w:rPr>
            <w:t xml:space="preserve"> %}</w:t>
          </w:r>
        </w:p>
        <w:p w14:paraId="1E4078AD">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_Toc3365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PD-L1检测结果</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_Toc3365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BodyDrugDrugDetectionStr or unknownVarAnalysisStr or geneticCancerRis</w:t>
          </w:r>
          <w:r>
            <w:rPr>
              <w:rFonts w:hint="eastAsia" w:ascii="Times New Roman" w:hAnsi="Times New Roman" w:eastAsia="微软雅黑" w:cs="Times New Roman"/>
              <w:sz w:val="24"/>
              <w:szCs w:val="24"/>
              <w:lang w:eastAsia="zh-CN"/>
            </w:rPr>
            <w:t>kInfo %}</w:t>
          </w:r>
        </w:p>
        <w:p w14:paraId="55BAFB7E">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_Toc23470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基因检测结果解析</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_Toc23470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10</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24"/>
              <w:szCs w:val="24"/>
              <w:lang w:eastAsia="zh-CN"/>
            </w:rPr>
            <w:t>{%if BodyDrugDrugDetectionStr or unknownVarAnalysisStr %}</w:t>
          </w:r>
        </w:p>
        <w:p w14:paraId="3381912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_Toc9194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体细胞变异结果解析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_Toc9194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10</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%}{%if geneticCancerRiskInfo %}</w:t>
          </w:r>
        </w:p>
        <w:p w14:paraId="371B630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_Toc5343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胚系变异结果解析</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_Toc5343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13</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r>
            <w:rPr>
              <w:rFonts w:hint="eastAsia" w:ascii="Times New Roman" w:hAnsi="Times New Roman" w:eastAsia="微软雅黑"/>
              <w:sz w:val="24"/>
              <w:szCs w:val="24"/>
              <w:lang w:eastAsia="zh-CN"/>
            </w:rPr>
            <w:t>{% endif %}{% endif %}</w:t>
          </w:r>
        </w:p>
        <w:p w14:paraId="04D8F7B2">
          <w:pPr>
            <w:pStyle w:val="11"/>
            <w:tabs>
              <w:tab w:val="right" w:leader="dot" w:pos="9861"/>
            </w:tabs>
            <w:rPr>
              <w:rFonts w:hint="eastAsia" w:ascii="Times New Roman" w:hAnsi="Times New Roman" w:eastAsia="微软雅黑"/>
              <w:b/>
              <w:color w:val="62B541"/>
              <w:sz w:val="32"/>
              <w:lang w:eastAsia="zh-CN"/>
            </w:rPr>
          </w:pP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HYPERLINK \l _Toc30069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附录</w:t>
          </w:r>
          <w:r>
            <w:rPr>
              <w:rFonts w:hint="eastAsia" w:ascii="Times New Roman" w:hAnsi="Times New Roman" w:eastAsia="微软雅黑"/>
              <w:b/>
              <w:color w:val="62B541"/>
              <w:sz w:val="32"/>
              <w:lang w:eastAsia="zh-CN"/>
            </w:rPr>
            <w:tab/>
          </w:r>
          <w:r>
            <w:rPr>
              <w:rFonts w:hint="eastAsia" w:ascii="Times New Roman" w:hAnsi="Times New Roman" w:eastAsia="微软雅黑"/>
              <w:b/>
              <w:color w:val="62B541"/>
              <w:sz w:val="32"/>
              <w:lang w:eastAsia="zh-CN"/>
            </w:rPr>
            <w:fldChar w:fldCharType="begin"/>
          </w:r>
          <w:r>
            <w:rPr>
              <w:rFonts w:hint="eastAsia" w:ascii="Times New Roman" w:hAnsi="Times New Roman" w:eastAsia="微软雅黑"/>
              <w:b/>
              <w:color w:val="62B541"/>
              <w:sz w:val="32"/>
              <w:lang w:eastAsia="zh-CN"/>
            </w:rPr>
            <w:instrText xml:space="preserve"> PAGEREF _Toc30069 \h </w:instrText>
          </w:r>
          <w:r>
            <w:rPr>
              <w:rFonts w:hint="eastAsia" w:ascii="Times New Roman" w:hAnsi="Times New Roman" w:eastAsia="微软雅黑"/>
              <w:b/>
              <w:color w:val="62B541"/>
              <w:sz w:val="32"/>
              <w:lang w:eastAsia="zh-CN"/>
            </w:rPr>
            <w:fldChar w:fldCharType="separate"/>
          </w:r>
          <w:r>
            <w:rPr>
              <w:rFonts w:hint="eastAsia" w:ascii="Times New Roman" w:hAnsi="Times New Roman" w:eastAsia="微软雅黑"/>
              <w:b/>
              <w:color w:val="62B541"/>
              <w:sz w:val="32"/>
              <w:lang w:eastAsia="zh-CN"/>
            </w:rPr>
            <w:t>15</w:t>
          </w:r>
          <w:r>
            <w:rPr>
              <w:rFonts w:hint="eastAsia" w:ascii="Times New Roman" w:hAnsi="Times New Roman" w:eastAsia="微软雅黑"/>
              <w:b/>
              <w:color w:val="62B541"/>
              <w:sz w:val="32"/>
              <w:lang w:eastAsia="zh-CN"/>
            </w:rPr>
            <w:fldChar w:fldCharType="end"/>
          </w:r>
          <w:r>
            <w:rPr>
              <w:rFonts w:hint="eastAsia" w:ascii="Times New Roman" w:hAnsi="Times New Roman" w:eastAsia="微软雅黑"/>
              <w:b/>
              <w:color w:val="62B541"/>
              <w:sz w:val="32"/>
              <w:lang w:eastAsia="zh-CN"/>
            </w:rPr>
            <w:fldChar w:fldCharType="end"/>
          </w:r>
        </w:p>
        <w:p w14:paraId="18635706">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_Toc18439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样本质控情况</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_Toc18439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15</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768B44F">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_Toc1861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变异位点检测列表</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_Toc1861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16</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B87D79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_Toc10464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BRCA1&amp;BRCA2基因背景介绍</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_Toc10464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18</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C3E7A71">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_Toc22908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易感人群特征</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_Toc22908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19</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02AEAF29">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_Toc11535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检测方法与局限性</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_Toc11535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21</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65684BA7">
          <w:pPr>
            <w:pStyle w:val="12"/>
            <w:tabs>
              <w:tab w:val="right" w:leader="dot" w:pos="9870"/>
            </w:tabs>
            <w:ind w:left="440"/>
            <w:rPr>
              <w:rFonts w:hint="eastAsia" w:ascii="Times New Roman" w:hAnsi="Times New Roman" w:eastAsia="微软雅黑"/>
              <w:sz w:val="28"/>
              <w:lang w:eastAsia="zh-CN"/>
            </w:rPr>
          </w:pP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HYPERLINK \l _Toc20752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参考文献</w:t>
          </w:r>
          <w:r>
            <w:rPr>
              <w:rFonts w:hint="eastAsia" w:ascii="Times New Roman" w:hAnsi="Times New Roman" w:eastAsia="微软雅黑"/>
              <w:sz w:val="28"/>
              <w:lang w:eastAsia="zh-CN"/>
            </w:rPr>
            <w:tab/>
          </w:r>
          <w:r>
            <w:rPr>
              <w:rFonts w:hint="eastAsia" w:ascii="Times New Roman" w:hAnsi="Times New Roman" w:eastAsia="微软雅黑"/>
              <w:sz w:val="28"/>
              <w:lang w:eastAsia="zh-CN"/>
            </w:rPr>
            <w:fldChar w:fldCharType="begin"/>
          </w:r>
          <w:r>
            <w:rPr>
              <w:rFonts w:hint="eastAsia" w:ascii="Times New Roman" w:hAnsi="Times New Roman" w:eastAsia="微软雅黑"/>
              <w:sz w:val="28"/>
              <w:lang w:eastAsia="zh-CN"/>
            </w:rPr>
            <w:instrText xml:space="preserve"> PAGEREF _Toc20752 \h </w:instrText>
          </w:r>
          <w:r>
            <w:rPr>
              <w:rFonts w:hint="eastAsia" w:ascii="Times New Roman" w:hAnsi="Times New Roman" w:eastAsia="微软雅黑"/>
              <w:sz w:val="28"/>
              <w:lang w:eastAsia="zh-CN"/>
            </w:rPr>
            <w:fldChar w:fldCharType="separate"/>
          </w:r>
          <w:r>
            <w:rPr>
              <w:rFonts w:hint="eastAsia" w:ascii="Times New Roman" w:hAnsi="Times New Roman" w:eastAsia="微软雅黑"/>
              <w:sz w:val="28"/>
              <w:lang w:eastAsia="zh-CN"/>
            </w:rPr>
            <w:t>22</w:t>
          </w:r>
          <w:r>
            <w:rPr>
              <w:rFonts w:hint="eastAsia" w:ascii="Times New Roman" w:hAnsi="Times New Roman" w:eastAsia="微软雅黑"/>
              <w:sz w:val="28"/>
              <w:lang w:eastAsia="zh-CN"/>
            </w:rPr>
            <w:fldChar w:fldCharType="end"/>
          </w:r>
          <w:r>
            <w:rPr>
              <w:rFonts w:hint="eastAsia" w:ascii="Times New Roman" w:hAnsi="Times New Roman" w:eastAsia="微软雅黑"/>
              <w:sz w:val="28"/>
              <w:lang w:eastAsia="zh-CN"/>
            </w:rPr>
            <w:fldChar w:fldCharType="end"/>
          </w:r>
        </w:p>
        <w:p w14:paraId="453705C7">
          <w:pPr>
            <w:pStyle w:val="12"/>
            <w:tabs>
              <w:tab w:val="right" w:leader="dot" w:pos="9860"/>
            </w:tabs>
            <w:spacing w:line="360" w:lineRule="auto"/>
            <w:ind w:left="440"/>
            <w:sectPr>
              <w:headerReference r:id="rId5" w:type="default"/>
              <w:footerReference r:id="rId6" w:type="default"/>
              <w:pgSz w:w="11911" w:h="16838"/>
              <w:pgMar w:top="1037" w:right="1020" w:bottom="981" w:left="1020" w:header="567" w:footer="992" w:gutter="0"/>
              <w:pgNumType w:start="1"/>
              <w:cols w:space="0" w:num="1"/>
              <w:docGrid w:linePitch="299" w:charSpace="0"/>
            </w:sectPr>
          </w:pPr>
          <w:r>
            <w:rPr>
              <w:lang w:eastAsia="zh-CN"/>
            </w:rPr>
            <w:fldChar w:fldCharType="end"/>
          </w:r>
          <w:bookmarkStart w:id="0" w:name="_Toc30143_WPSOffice_Level1"/>
          <w:bookmarkStart w:id="1" w:name="_Toc21669"/>
          <w:bookmarkStart w:id="2" w:name="_Toc24178_WPSOffice_Level1"/>
          <w:bookmarkStart w:id="3" w:name="_Toc13806"/>
          <w:bookmarkStart w:id="4" w:name="_Toc21009_WPSOffice_Level1"/>
        </w:p>
      </w:sdtContent>
    </w:sdt>
    <w:p w14:paraId="7D8EBAE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5" w:name="_Toc22057"/>
      <w:bookmarkStart w:id="6" w:name="_Toc262"/>
      <w:r>
        <w:rPr>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p>
    <w:tbl>
      <w:tblPr>
        <w:tblStyle w:val="14"/>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2E0FBE35">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13E6BAF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4137AF9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07FF16C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7F4FCF90">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F13168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7D1EA63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7E11C14">
            <w:pPr>
              <w:jc w:val="both"/>
              <w:rPr>
                <w:rFonts w:ascii="Times New Roman" w:hAnsi="Times New Roman" w:eastAsia="微软雅黑" w:cs="Times New Roman"/>
                <w:bCs/>
                <w:color w:val="000000"/>
                <w:sz w:val="21"/>
                <w:szCs w:val="21"/>
                <w:highlight w:val="none"/>
                <w:lang w:eastAsia="zh-CN"/>
              </w:rPr>
            </w:pPr>
            <w:r>
              <w:rPr>
                <w:rFonts w:ascii="Times New Roman" w:hAnsi="Times New Roman" w:eastAsia="微软雅黑" w:cs="Times New Roman"/>
                <w:color w:val="000000"/>
                <w:sz w:val="21"/>
                <w:szCs w:val="21"/>
                <w:highlight w:val="none"/>
                <w:lang w:eastAsia="zh-CN"/>
              </w:rPr>
              <w:t>标本类型：</w:t>
            </w:r>
            <w:r>
              <w:rPr>
                <w:rFonts w:hint="eastAsia" w:ascii="Times New Roman" w:hAnsi="Times New Roman" w:eastAsia="微软雅黑" w:cs="黑体"/>
                <w:sz w:val="21"/>
                <w:highlight w:val="none"/>
                <w:lang w:eastAsia="zh-CN"/>
              </w:rPr>
              <w:t xml:space="preserve">{% if summaryOfRresults.type == </w:t>
            </w:r>
            <w:r>
              <w:rPr>
                <w:rFonts w:ascii="Times New Roman" w:hAnsi="Times New Roman" w:eastAsia="微软雅黑" w:cs="黑体"/>
                <w:sz w:val="21"/>
                <w:highlight w:val="none"/>
                <w:lang w:eastAsia="zh-CN"/>
              </w:rPr>
              <w:t>“tissue”</w:t>
            </w:r>
            <w:r>
              <w:rPr>
                <w:rFonts w:hint="eastAsia" w:ascii="Times New Roman" w:hAnsi="Times New Roman" w:eastAsia="微软雅黑" w:cs="黑体"/>
                <w:sz w:val="21"/>
                <w:highlight w:val="none"/>
                <w:lang w:eastAsia="zh-CN"/>
              </w:rPr>
              <w:t xml:space="preserve"> %}石蜡样本{% else %}</w:t>
            </w:r>
            <w:r>
              <w:rPr>
                <w:rFonts w:hint="eastAsia" w:ascii="微软雅黑" w:hAnsi="微软雅黑" w:eastAsia="微软雅黑" w:cs="微软雅黑"/>
                <w:sz w:val="21"/>
                <w:szCs w:val="21"/>
                <w:highlight w:val="none"/>
                <w:lang w:val="en-US" w:eastAsia="zh-CN" w:bidi="ar"/>
              </w:rPr>
              <w:t>血液</w:t>
            </w:r>
            <w:r>
              <w:rPr>
                <w:rFonts w:hint="eastAsia" w:ascii="Times New Roman" w:hAnsi="Times New Roman" w:eastAsia="微软雅黑" w:cs="黑体"/>
                <w:sz w:val="21"/>
                <w:highlight w:val="none"/>
                <w:lang w:eastAsia="zh-CN"/>
              </w:rPr>
              <w:t>{% endif %}</w:t>
            </w:r>
          </w:p>
        </w:tc>
      </w:tr>
      <w:tr w14:paraId="186D0479">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C54506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6469CF79">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14A856C3">
            <w:pPr>
              <w:jc w:val="both"/>
              <w:rPr>
                <w:rFonts w:hint="default" w:ascii="Times New Roman" w:hAnsi="Times New Roman" w:eastAsia="微软雅黑" w:cs="Times New Roman"/>
                <w:bCs/>
                <w:color w:val="000000"/>
                <w:sz w:val="21"/>
                <w:szCs w:val="21"/>
                <w:highlight w:val="none"/>
                <w:lang w:val="en-US" w:eastAsia="zh-CN"/>
              </w:rPr>
            </w:pPr>
            <w:r>
              <w:rPr>
                <w:rFonts w:hint="eastAsia" w:ascii="Times New Roman" w:hAnsi="Times New Roman" w:eastAsia="微软雅黑" w:cs="Times New Roman"/>
                <w:bCs/>
                <w:color w:val="000000"/>
                <w:sz w:val="21"/>
                <w:szCs w:val="21"/>
                <w:highlight w:val="none"/>
                <w:lang w:val="en-US" w:eastAsia="zh-CN"/>
              </w:rPr>
              <w:t>病理编号：{{ patientid }}</w:t>
            </w:r>
          </w:p>
        </w:tc>
      </w:tr>
      <w:tr w14:paraId="1013853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13B9BEF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7408492E">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66E1384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21CE9A88">
      <w:pPr>
        <w:rPr>
          <w:rFonts w:ascii="Times New Roman" w:hAnsi="Times New Roman" w:eastAsia="微软雅黑" w:cs="Times New Roman"/>
          <w:b/>
          <w:color w:val="00B050"/>
          <w:sz w:val="28"/>
          <w:szCs w:val="28"/>
          <w:lang w:eastAsia="zh-CN"/>
        </w:rPr>
      </w:pPr>
    </w:p>
    <w:p w14:paraId="1E34E736">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7" w:name="_Toc4338"/>
      <w:bookmarkStart w:id="8" w:name="_Toc7021_WPSOffice_Level1"/>
      <w:bookmarkStart w:id="9" w:name="_Toc17451"/>
      <w:bookmarkStart w:id="10" w:name="_Toc11015_WPSOffice_Level1"/>
      <w:bookmarkStart w:id="11" w:name="_Toc30875"/>
      <w:bookmarkStart w:id="12" w:name="_Toc18062_WPSOffice_Level1"/>
      <w:bookmarkStart w:id="13" w:name="_Toc3823"/>
      <w:r>
        <w:rPr>
          <w:color w:val="62B541"/>
          <w:sz w:val="32"/>
          <w14:shadow w14:blurRad="50800" w14:dist="38100" w14:dir="10800000" w14:sx="100000" w14:sy="100000" w14:kx="0" w14:ky="0" w14:algn="r">
            <w14:srgbClr w14:val="62B541">
              <w14:alpha w14:val="60000"/>
            </w14:srgbClr>
          </w14:shadow>
        </w:rPr>
        <w:t>检测项目</w:t>
      </w:r>
      <w:bookmarkEnd w:id="7"/>
      <w:bookmarkEnd w:id="8"/>
      <w:bookmarkEnd w:id="9"/>
      <w:bookmarkEnd w:id="10"/>
      <w:bookmarkEnd w:id="11"/>
      <w:bookmarkEnd w:id="12"/>
    </w:p>
    <w:p w14:paraId="1255156A">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对</w:t>
      </w:r>
      <w:r>
        <w:rPr>
          <w:rFonts w:ascii="Times New Roman" w:hAnsi="Times New Roman" w:eastAsia="微软雅黑" w:cs="Times New Roman"/>
          <w:bCs/>
          <w:sz w:val="21"/>
          <w:szCs w:val="21"/>
          <w:lang w:eastAsia="zh-CN"/>
        </w:rPr>
        <w:t>BRCA1/2基因全外显子±20 bp内含子区域进行</w:t>
      </w:r>
      <w:r>
        <w:rPr>
          <w:rFonts w:hint="eastAsia" w:ascii="Times New Roman" w:hAnsi="Times New Roman" w:eastAsia="微软雅黑" w:cs="Times New Roman"/>
          <w:bCs/>
          <w:sz w:val="21"/>
          <w:szCs w:val="21"/>
          <w:lang w:eastAsia="zh-CN"/>
        </w:rPr>
        <w:t>脱氧核糖核酸</w:t>
      </w:r>
      <w:r>
        <w:rPr>
          <w:rFonts w:ascii="Times New Roman" w:hAnsi="Times New Roman" w:eastAsia="微软雅黑" w:cs="Times New Roman"/>
          <w:bCs/>
          <w:sz w:val="21"/>
          <w:szCs w:val="21"/>
          <w:lang w:eastAsia="zh-CN"/>
        </w:rPr>
        <w:t>测序，检测BRCA1/2基因的靶向用药信息和遗传风险，适用于乳腺癌、卵巢癌、宫颈癌、子宫内膜癌、前列腺癌及胰腺癌等癌种。检测突变形式为点突变（SNV）、小片段插入缺失（INDEL）。</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623E3CF4">
      <w:pPr>
        <w:spacing w:line="276" w:lineRule="auto"/>
        <w:ind w:firstLine="420" w:firstLineChars="200"/>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本报告分析基因变异与靶向药物及遗传风险的相关性，给出靶向药物（</w:t>
      </w:r>
      <w:r>
        <w:rPr>
          <w:rFonts w:ascii="Times New Roman" w:hAnsi="Times New Roman" w:eastAsia="微软雅黑" w:cs="Times New Roman"/>
          <w:bCs/>
          <w:sz w:val="21"/>
          <w:szCs w:val="21"/>
          <w:lang w:eastAsia="zh-CN"/>
        </w:rPr>
        <w:t>FDA/NMPA批准药物、临床试验药物等）用药提示信息，从而为临床制定治疗方案提供参考信息。</w:t>
      </w:r>
    </w:p>
    <w:p w14:paraId="1F99ACC1">
      <w:pPr>
        <w:ind w:firstLine="420" w:firstLineChars="200"/>
        <w:rPr>
          <w:rFonts w:ascii="Times New Roman" w:hAnsi="Times New Roman" w:eastAsia="微软雅黑" w:cs="Times New Roman"/>
          <w:bCs/>
          <w:sz w:val="21"/>
          <w:szCs w:val="21"/>
          <w:lang w:eastAsia="zh-CN"/>
        </w:rPr>
      </w:pPr>
    </w:p>
    <w:p w14:paraId="1C7DE590">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4" w:name="_Toc18058"/>
      <w:bookmarkStart w:id="15" w:name="_Toc6221_WPSOffice_Level1"/>
      <w:bookmarkStart w:id="16" w:name="_Toc23369_WPSOffice_Level1"/>
      <w:bookmarkStart w:id="17" w:name="_Toc25920"/>
      <w:bookmarkStart w:id="18" w:name="_Toc5594"/>
      <w:bookmarkStart w:id="19" w:name="_Toc9759"/>
      <w:bookmarkStart w:id="20" w:name="_Toc534807930"/>
      <w:r>
        <w:rPr>
          <w:rFonts w:hint="eastAsia"/>
          <w:color w:val="62B541"/>
          <w:sz w:val="32"/>
          <w14:shadow w14:blurRad="50800" w14:dist="38100" w14:dir="10800000" w14:sx="100000" w14:sy="100000" w14:kx="0" w14:ky="0" w14:algn="r">
            <w14:srgbClr w14:val="62B541">
              <w14:alpha w14:val="60000"/>
            </w14:srgbClr>
          </w14:shadow>
        </w:rPr>
        <w:t>检测结果</w:t>
      </w:r>
      <w:bookmarkEnd w:id="14"/>
      <w:bookmarkEnd w:id="15"/>
      <w:bookmarkEnd w:id="16"/>
      <w:bookmarkEnd w:id="17"/>
      <w:r>
        <w:rPr>
          <w:rFonts w:hint="eastAsia"/>
          <w:color w:val="62B541"/>
          <w:sz w:val="32"/>
          <w14:shadow w14:blurRad="50800" w14:dist="38100" w14:dir="10800000" w14:sx="100000" w14:sy="100000" w14:kx="0" w14:ky="0" w14:algn="r">
            <w14:srgbClr w14:val="62B541">
              <w14:alpha w14:val="60000"/>
            </w14:srgbClr>
          </w14:shadow>
        </w:rPr>
        <w:t>总览</w:t>
      </w:r>
      <w:bookmarkEnd w:id="18"/>
      <w:bookmarkEnd w:id="19"/>
    </w:p>
    <w:p w14:paraId="36E2D746">
      <w:pPr>
        <w:pStyle w:val="3"/>
        <w:keepNext w:val="0"/>
        <w:keepLines w:val="0"/>
        <w:pageBreakBefore w:val="0"/>
        <w:widowControl w:val="0"/>
        <w:numPr>
          <w:ilvl w:val="255"/>
          <w:numId w:val="0"/>
        </w:numPr>
        <w:kinsoku/>
        <w:wordWrap/>
        <w:overflowPunct/>
        <w:topLinePunct w:val="0"/>
        <w:autoSpaceDE/>
        <w:autoSpaceDN/>
        <w:bidi w:val="0"/>
        <w:adjustRightInd/>
        <w:snapToGrid/>
        <w:spacing w:afterAutospacing="0"/>
        <w:jc w:val="left"/>
        <w:textAlignment w:val="auto"/>
        <w:rPr>
          <w:lang w:eastAsia="zh-CN"/>
        </w:rPr>
      </w:pPr>
      <w:bookmarkStart w:id="21" w:name="_Toc455"/>
      <w:bookmarkStart w:id="22" w:name="_Toc149837254"/>
      <w:bookmarkStart w:id="23" w:name="_Toc31543"/>
      <w:r>
        <w:rPr>
          <w:rFonts w:hint="eastAsia"/>
          <w:color w:val="auto"/>
          <w:sz w:val="30"/>
          <w:lang w:eastAsia="zh-CN"/>
        </w:rPr>
        <w:t>检测结果小结</w:t>
      </w:r>
      <w:bookmarkEnd w:id="21"/>
      <w:bookmarkEnd w:id="22"/>
      <w:bookmarkEnd w:id="23"/>
    </w:p>
    <w:tbl>
      <w:tblPr>
        <w:tblStyle w:val="14"/>
        <w:tblpPr w:leftFromText="181" w:rightFromText="181" w:vertAnchor="text" w:horzAnchor="page" w:tblpXSpec="center" w:tblpY="114"/>
        <w:tblOverlap w:val="never"/>
        <w:tblW w:w="9841"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928"/>
        <w:gridCol w:w="5913"/>
      </w:tblGrid>
      <w:tr w14:paraId="5639F6F5">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928" w:type="dxa"/>
            <w:tcBorders>
              <w:top w:val="nil"/>
              <w:left w:val="nil"/>
              <w:bottom w:val="nil"/>
              <w:right w:val="single" w:color="FFFFFF" w:sz="18" w:space="0"/>
            </w:tcBorders>
            <w:shd w:val="clear" w:color="auto" w:fill="62B541"/>
            <w:vAlign w:val="center"/>
          </w:tcPr>
          <w:p w14:paraId="5FC19CDD">
            <w:pPr>
              <w:jc w:val="center"/>
              <w:rPr>
                <w:rFonts w:ascii="Times New Roman" w:hAnsi="Times New Roman" w:eastAsia="微软雅黑" w:cs="Times New Roman"/>
                <w:b/>
                <w:sz w:val="24"/>
                <w:szCs w:val="24"/>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5913" w:type="dxa"/>
            <w:tcBorders>
              <w:top w:val="nil"/>
              <w:left w:val="single" w:color="FFFFFF" w:sz="18" w:space="0"/>
              <w:bottom w:val="nil"/>
              <w:right w:val="nil"/>
            </w:tcBorders>
            <w:shd w:val="clear" w:color="auto" w:fill="62B541"/>
            <w:vAlign w:val="center"/>
          </w:tcPr>
          <w:p w14:paraId="7D1D6FED">
            <w:pPr>
              <w:jc w:val="center"/>
              <w:rPr>
                <w:rFonts w:ascii="Times New Roman" w:hAnsi="Times New Roman" w:eastAsia="微软雅黑" w:cs="Times New Roman"/>
                <w:b/>
                <w:sz w:val="24"/>
                <w:szCs w:val="24"/>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0510B97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nil"/>
              <w:left w:val="nil"/>
              <w:bottom w:val="single" w:color="A4A4A4" w:sz="4" w:space="0"/>
              <w:right w:val="single" w:color="A4A4A4" w:sz="4" w:space="0"/>
            </w:tcBorders>
            <w:shd w:val="clear" w:color="auto" w:fill="auto"/>
            <w:vAlign w:val="center"/>
          </w:tcPr>
          <w:p w14:paraId="2229573F">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靶向用药指导</w:t>
            </w:r>
          </w:p>
        </w:tc>
        <w:tc>
          <w:tcPr>
            <w:tcW w:w="5913" w:type="dxa"/>
            <w:tcBorders>
              <w:top w:val="nil"/>
              <w:left w:val="single" w:color="A4A4A4" w:sz="4" w:space="0"/>
              <w:bottom w:val="single" w:color="A4A4A4" w:sz="4" w:space="0"/>
              <w:right w:val="nil"/>
            </w:tcBorders>
            <w:shd w:val="clear" w:color="auto" w:fill="auto"/>
            <w:vAlign w:val="center"/>
          </w:tcPr>
          <w:p w14:paraId="60121CF7">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1D7A865A">
            <w:pPr>
              <w:pStyle w:val="20"/>
              <w:spacing w:before="100" w:line="187" w:lineRule="auto"/>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33E6E8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1C40D05">
            <w:pPr>
              <w:pStyle w:val="20"/>
              <w:ind w:left="119"/>
              <w:rPr>
                <w:rFonts w:ascii="Times New Roman" w:hAnsi="Times New Roman" w:eastAsia="微软雅黑" w:cs="Times New Roman"/>
                <w:b/>
                <w:bCs/>
                <w:sz w:val="21"/>
              </w:rPr>
            </w:pPr>
            <w:r>
              <w:rPr>
                <w:rFonts w:ascii="Times New Roman" w:hAnsi="Times New Roman" w:eastAsia="微软雅黑" w:cs="Times New Roman"/>
                <w:b/>
                <w:bCs/>
                <w:sz w:val="21"/>
                <w:szCs w:val="21"/>
              </w:rPr>
              <w:t>肿瘤遗传风险检测</w:t>
            </w:r>
          </w:p>
        </w:tc>
        <w:tc>
          <w:tcPr>
            <w:tcW w:w="5913" w:type="dxa"/>
            <w:tcBorders>
              <w:top w:val="single" w:color="A4A4A4" w:sz="4" w:space="0"/>
              <w:left w:val="single" w:color="A4A4A4" w:sz="4" w:space="0"/>
              <w:bottom w:val="single" w:color="A4A4A4" w:sz="4" w:space="0"/>
              <w:right w:val="nil"/>
            </w:tcBorders>
            <w:shd w:val="clear" w:color="auto" w:fill="auto"/>
          </w:tcPr>
          <w:p w14:paraId="15B30FCA">
            <w:pPr>
              <w:pStyle w:val="20"/>
              <w:spacing w:before="77"/>
              <w:ind w:left="119" w:right="119"/>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04F0771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662399C9">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18759668">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52815214">
            <w:pPr>
              <w:pStyle w:val="20"/>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7272610B">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0AF4D16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9841" w:type="dxa"/>
            <w:gridSpan w:val="2"/>
            <w:tcBorders>
              <w:top w:val="single" w:color="A4A4A4" w:sz="4" w:space="0"/>
              <w:left w:val="nil"/>
              <w:bottom w:val="single" w:color="A4A4A4" w:sz="4" w:space="0"/>
              <w:right w:val="nil"/>
            </w:tcBorders>
            <w:shd w:val="clear" w:color="auto" w:fill="auto"/>
            <w:vAlign w:val="center"/>
          </w:tcPr>
          <w:p w14:paraId="1C24B7DA">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7E96B4C">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397" w:hRule="atLeast"/>
          <w:jc w:val="center"/>
        </w:trPr>
        <w:tc>
          <w:tcPr>
            <w:tcW w:w="3928" w:type="dxa"/>
            <w:tcBorders>
              <w:top w:val="single" w:color="A4A4A4" w:sz="4" w:space="0"/>
              <w:left w:val="nil"/>
              <w:bottom w:val="single" w:color="A4A4A4" w:sz="4" w:space="0"/>
              <w:right w:val="single" w:color="A4A4A4" w:sz="4" w:space="0"/>
            </w:tcBorders>
            <w:shd w:val="clear" w:color="auto" w:fill="auto"/>
            <w:vAlign w:val="center"/>
          </w:tcPr>
          <w:p w14:paraId="775CA91B">
            <w:pPr>
              <w:pStyle w:val="20"/>
              <w:spacing w:before="77"/>
              <w:ind w:left="119"/>
              <w:jc w:val="both"/>
              <w:rPr>
                <w:rFonts w:ascii="Times New Roman" w:hAnsi="Times New Roman" w:eastAsia="微软雅黑" w:cs="Times New Roman"/>
                <w:b/>
                <w:bCs/>
                <w:sz w:val="21"/>
              </w:rPr>
            </w:pPr>
            <w:r>
              <w:rPr>
                <w:rFonts w:ascii="Times New Roman" w:hAnsi="Times New Roman" w:eastAsia="微软雅黑" w:cs="Times New Roman"/>
                <w:b/>
                <w:bCs/>
                <w:sz w:val="21"/>
              </w:rPr>
              <w:t>样品总体质量评估</w:t>
            </w:r>
          </w:p>
        </w:tc>
        <w:tc>
          <w:tcPr>
            <w:tcW w:w="5913" w:type="dxa"/>
            <w:tcBorders>
              <w:top w:val="single" w:color="A4A4A4" w:sz="4" w:space="0"/>
              <w:left w:val="single" w:color="A4A4A4" w:sz="4" w:space="0"/>
              <w:bottom w:val="single" w:color="A4A4A4" w:sz="4" w:space="0"/>
              <w:right w:val="nil"/>
            </w:tcBorders>
            <w:shd w:val="clear" w:color="auto" w:fill="auto"/>
            <w:vAlign w:val="center"/>
          </w:tcPr>
          <w:p w14:paraId="50EF5F03">
            <w:pPr>
              <w:pStyle w:val="20"/>
              <w:ind w:left="119"/>
              <w:jc w:val="both"/>
              <w:rPr>
                <w:rFonts w:ascii="Times New Roman" w:hAnsi="Times New Roman" w:eastAsia="微软雅黑" w:cs="Times New Roman"/>
                <w:sz w:val="21"/>
              </w:rPr>
            </w:pPr>
            <w:r>
              <w:rPr>
                <w:rFonts w:ascii="Times New Roman" w:hAnsi="Times New Roman" w:eastAsia="微软雅黑" w:cs="黑体"/>
                <w:sz w:val="21"/>
                <w:lang w:eastAsia="zh-CN"/>
              </w:rPr>
              <w:t>{{ overall_quality_assessment }}</w:t>
            </w:r>
          </w:p>
        </w:tc>
      </w:tr>
    </w:tbl>
    <w:tbl>
      <w:tblPr>
        <w:tblStyle w:val="14"/>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4" name="图片 4"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36E4EFAE">
      <w:pPr>
        <w:keepNext w:val="0"/>
        <w:keepLines w:val="0"/>
        <w:pageBreakBefore w:val="0"/>
        <w:widowControl w:val="0"/>
        <w:numPr>
          <w:ilvl w:val="0"/>
          <w:numId w:val="0"/>
        </w:numPr>
        <w:kinsoku/>
        <w:wordWrap/>
        <w:overflowPunct/>
        <w:topLinePunct w:val="0"/>
        <w:autoSpaceDE/>
        <w:autoSpaceDN/>
        <w:bidi w:val="0"/>
        <w:adjustRightInd/>
        <w:snapToGrid/>
        <w:spacing w:line="216" w:lineRule="auto"/>
        <w:ind w:left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br w:type="page"/>
      </w:r>
    </w:p>
    <w:p w14:paraId="32CDEC78">
      <w:pPr>
        <w:pStyle w:val="2"/>
        <w:numPr>
          <w:ilvl w:val="0"/>
          <w:numId w:val="0"/>
        </w:numPr>
        <w:jc w:val="both"/>
        <w:rPr>
          <w:rStyle w:val="41"/>
          <w:b/>
          <w:bCs/>
          <w:color w:val="62B541"/>
          <w:sz w:val="32"/>
          <w:szCs w:val="40"/>
          <w14:shadow w14:blurRad="50800" w14:dist="38100" w14:dir="10800000" w14:sx="100000" w14:sy="100000" w14:kx="0" w14:ky="0" w14:algn="r">
            <w14:srgbClr w14:val="62B541">
              <w14:alpha w14:val="60000"/>
            </w14:srgbClr>
          </w14:shadow>
        </w:rPr>
      </w:pPr>
      <w:bookmarkStart w:id="24" w:name="_Toc22132"/>
      <w:bookmarkStart w:id="25" w:name="_Toc2781"/>
      <w:bookmarkStart w:id="26" w:name="_Toc19898_WPSOffice_Level1"/>
      <w:bookmarkStart w:id="27" w:name="_Toc16066"/>
      <w:bookmarkStart w:id="28" w:name="_Toc21428"/>
      <w:bookmarkStart w:id="29" w:name="_Toc20136_WPSOffice_Level1"/>
      <w:r>
        <w:rPr>
          <w:rStyle w:val="41"/>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24"/>
      <w:bookmarkEnd w:id="25"/>
      <w:bookmarkEnd w:id="26"/>
      <w:bookmarkEnd w:id="27"/>
      <w:bookmarkEnd w:id="28"/>
      <w:bookmarkEnd w:id="29"/>
    </w:p>
    <w:bookmarkEnd w:id="13"/>
    <w:p w14:paraId="7175056B">
      <w:pPr>
        <w:pStyle w:val="3"/>
        <w:numPr>
          <w:ilvl w:val="255"/>
          <w:numId w:val="0"/>
        </w:numPr>
        <w:jc w:val="left"/>
        <w:rPr>
          <w:color w:val="auto"/>
          <w:sz w:val="30"/>
          <w:lang w:eastAsia="zh-CN"/>
        </w:rPr>
      </w:pPr>
      <w:bookmarkStart w:id="30" w:name="_Toc12516"/>
      <w:bookmarkStart w:id="31" w:name="_Toc29563"/>
      <w:bookmarkStart w:id="32" w:name="_Toc149837258"/>
      <w:bookmarkStart w:id="33" w:name="_Toc23846_WPSOffice_Level1"/>
      <w:bookmarkStart w:id="34" w:name="_Toc32443_WPSOffice_Level1"/>
      <w:bookmarkStart w:id="35" w:name="_Toc4331_WPSOffice_Level1"/>
      <w:bookmarkStart w:id="36" w:name="_Toc25727"/>
      <w:bookmarkStart w:id="37" w:name="_Toc23903"/>
      <w:r>
        <w:rPr>
          <w:rFonts w:hint="eastAsia"/>
          <w:color w:val="auto"/>
          <w:sz w:val="30"/>
          <w:lang w:eastAsia="zh-CN"/>
        </w:rPr>
        <w:t>体细胞变异分级提示</w:t>
      </w:r>
      <w:bookmarkEnd w:id="30"/>
      <w:bookmarkEnd w:id="31"/>
      <w:bookmarkEnd w:id="32"/>
    </w:p>
    <w:p w14:paraId="546EC199">
      <w:pPr>
        <w:spacing w:after="240"/>
        <w:ind w:firstLine="420" w:firstLineChars="200"/>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1"/>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2"/>
        <w:gridCol w:w="1077"/>
        <w:gridCol w:w="1527"/>
        <w:gridCol w:w="964"/>
        <w:gridCol w:w="1077"/>
        <w:gridCol w:w="2252"/>
        <w:gridCol w:w="2262"/>
      </w:tblGrid>
      <w:tr w14:paraId="4D1FC6E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3F4117B3">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07211954">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759" w:type="pct"/>
            <w:tcBorders>
              <w:top w:val="nil"/>
              <w:left w:val="single" w:color="FFFFFF" w:sz="18" w:space="0"/>
              <w:bottom w:val="nil"/>
              <w:right w:val="single" w:color="FFFFFF" w:sz="18" w:space="0"/>
            </w:tcBorders>
            <w:shd w:val="clear" w:color="auto" w:fill="62B541"/>
            <w:vAlign w:val="center"/>
          </w:tcPr>
          <w:p w14:paraId="2F823F68">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40984804">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1975F4A9">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p>
        </w:tc>
        <w:tc>
          <w:tcPr>
            <w:tcW w:w="1119" w:type="pct"/>
            <w:tcBorders>
              <w:top w:val="nil"/>
              <w:left w:val="single" w:color="FFFFFF" w:sz="18" w:space="0"/>
              <w:bottom w:val="nil"/>
              <w:right w:val="single" w:color="FFFFFF" w:sz="18" w:space="0"/>
            </w:tcBorders>
            <w:shd w:val="clear" w:color="auto" w:fill="62B541"/>
            <w:vAlign w:val="center"/>
          </w:tcPr>
          <w:p w14:paraId="47FF7EB1">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AE15EBD">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5EAE3A4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47E5118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79956D8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BAA655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 %}</w:t>
            </w:r>
          </w:p>
        </w:tc>
      </w:tr>
      <w:tr w14:paraId="1E7169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710341A">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D23AD1">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BF3E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2909F6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ADDA9B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413CF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9B995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04D146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6FEAAE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B449A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AB608C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9094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DCEC1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55DE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BECD31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B82B69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5E1BE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CF39C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1FC9795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A94079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A33A9A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B0F57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03C2E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42EAC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3BF9C0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D57827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7CD9C3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D49E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23B39B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395695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90742B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0DFA2D9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F1CD8E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07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B2F488">
            <w:pPr>
              <w:ind w:left="162" w:leftChars="0" w:right="163" w:rightChars="0"/>
              <w:jc w:val="center"/>
              <w:rPr>
                <w:rFonts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w:t>
            </w:r>
            <w:r>
              <w:rPr>
                <w:rFonts w:hint="eastAsia" w:ascii="Times New Roman" w:hAnsi="Times New Roman" w:eastAsia="微软雅黑" w:cs="Times New Roman"/>
                <w:b/>
                <w:sz w:val="21"/>
                <w:szCs w:val="21"/>
                <w:lang w:val="en-US" w:eastAsia="zh-CN"/>
              </w:rPr>
              <w:t>1</w:t>
            </w:r>
            <w:r>
              <w:rPr>
                <w:rFonts w:hint="default" w:ascii="Times New Roman" w:hAnsi="Times New Roman" w:eastAsia="微软雅黑" w:cs="Times New Roman"/>
                <w:b/>
                <w:sz w:val="21"/>
                <w:szCs w:val="21"/>
                <w:lang w:eastAsia="zh-CN"/>
              </w:rPr>
              <w:t xml:space="preserve"> }}</w:t>
            </w:r>
          </w:p>
        </w:tc>
        <w:tc>
          <w:tcPr>
            <w:tcW w:w="1527" w:type="dxa"/>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11F3DD2">
            <w:pPr>
              <w:spacing w:before="2"/>
              <w:ind w:left="116" w:leftChars="0" w:right="116" w:rightChars="0"/>
              <w:jc w:val="center"/>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tip.comutation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B3A5A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8C8E46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1445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D096C9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C54EA3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2ABB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36A6C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4346005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08E53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0871A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16B544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3646C6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46E05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71A30A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4E83757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0D8D6A1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6071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40B860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46B57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D0FBD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3ABD37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00905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7FF2A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C23080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F49918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83011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8CE7F5C">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23300CBC">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3EA57006">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117BB26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54224CF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C27D470">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64E21B1">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443BFDA">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629CEE6F">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72B9CA1D">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r>
        <w:rPr>
          <w:rFonts w:hint="eastAsia" w:ascii="Times New Roman" w:hAnsi="Times New Roman" w:eastAsia="微软雅黑" w:cs="Times New Roman"/>
          <w:lang w:eastAsia="zh-CN"/>
        </w:rPr>
        <w:t>{% if readsFlag == True %}</w:t>
      </w:r>
    </w:p>
    <w:p w14:paraId="3E1A342E">
      <w:pPr>
        <w:pStyle w:val="6"/>
        <w:numPr>
          <w:ilvl w:val="0"/>
          <w:numId w:val="7"/>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B4DC216">
      <w:pPr>
        <w:pStyle w:val="6"/>
        <w:numPr>
          <w:ilvl w:val="0"/>
          <w:numId w:val="7"/>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6840E6BE">
      <w:pPr>
        <w:pStyle w:val="6"/>
        <w:numPr>
          <w:ilvl w:val="0"/>
          <w:numId w:val="7"/>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2095D489">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4F7579E5">
      <w:pPr>
        <w:pStyle w:val="3"/>
        <w:numPr>
          <w:ilvl w:val="255"/>
          <w:numId w:val="0"/>
        </w:numPr>
        <w:jc w:val="left"/>
      </w:pPr>
      <w:bookmarkStart w:id="38" w:name="_Toc2185"/>
      <w:bookmarkStart w:id="39" w:name="_Toc149837259"/>
      <w:bookmarkStart w:id="40" w:name="_Toc23435"/>
      <w:r>
        <w:rPr>
          <w:rFonts w:hint="eastAsia"/>
          <w:color w:val="auto"/>
          <w:sz w:val="30"/>
          <w:lang w:eastAsia="zh-CN"/>
        </w:rPr>
        <w:t>胚系变异结果提示</w:t>
      </w:r>
      <w:bookmarkEnd w:id="38"/>
      <w:bookmarkEnd w:id="39"/>
      <w:bookmarkEnd w:id="40"/>
    </w:p>
    <w:p w14:paraId="194914F5">
      <w:pPr>
        <w:spacing w:before="240" w:beforeLines="100" w:after="24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肿瘤遗传风险检测</w:t>
      </w:r>
    </w:p>
    <w:p w14:paraId="702CCEC8">
      <w:pPr>
        <w:spacing w:before="240" w:beforeLines="100" w:after="240"/>
        <w:ind w:firstLine="420" w:firstLineChars="200"/>
        <w:rPr>
          <w:rFonts w:ascii="Times New Roman" w:hAnsi="Times New Roman" w:eastAsia="微软雅黑" w:cs="黑体"/>
          <w:b/>
          <w:bCs/>
          <w:sz w:val="21"/>
          <w:szCs w:val="21"/>
          <w:highlight w:val="yellow"/>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{%if geneticCancerRiskInfo %}</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具体信息见“基因检测结果解析”。{% endif %}如果您有家族遗传史，可联系我们做进一步的检测。</w:t>
      </w:r>
    </w:p>
    <w:tbl>
      <w:tblPr>
        <w:tblStyle w:val="21"/>
        <w:tblW w:w="9844"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AE532E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exact"/>
          <w:jc w:val="center"/>
        </w:trPr>
        <w:tc>
          <w:tcPr>
            <w:tcW w:w="1255" w:type="dxa"/>
            <w:tcBorders>
              <w:top w:val="nil"/>
              <w:left w:val="nil"/>
              <w:bottom w:val="nil"/>
              <w:right w:val="single" w:color="FFFFFF" w:themeColor="background1" w:sz="18" w:space="0"/>
            </w:tcBorders>
            <w:shd w:val="clear" w:color="auto" w:fill="62B541"/>
            <w:vAlign w:val="center"/>
          </w:tcPr>
          <w:p w14:paraId="40A075AA">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4B42FDD3">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themeColor="background1" w:sz="18" w:space="0"/>
              <w:bottom w:val="nil"/>
              <w:right w:val="single" w:color="FFFFFF" w:themeColor="background1" w:sz="18" w:space="0"/>
            </w:tcBorders>
            <w:shd w:val="clear" w:color="auto" w:fill="62B541"/>
            <w:vAlign w:val="center"/>
          </w:tcPr>
          <w:p w14:paraId="16D68486">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themeColor="background1" w:sz="18" w:space="0"/>
              <w:bottom w:val="nil"/>
              <w:right w:val="single" w:color="FFFFFF" w:themeColor="background1" w:sz="18" w:space="0"/>
            </w:tcBorders>
            <w:shd w:val="clear" w:color="auto" w:fill="62B541"/>
            <w:vAlign w:val="center"/>
          </w:tcPr>
          <w:p w14:paraId="22CF910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themeColor="background1" w:sz="18" w:space="0"/>
              <w:bottom w:val="nil"/>
              <w:right w:val="single" w:color="FFFFFF" w:themeColor="background1" w:sz="18" w:space="0"/>
            </w:tcBorders>
            <w:shd w:val="clear" w:color="auto" w:fill="62B541"/>
            <w:vAlign w:val="center"/>
          </w:tcPr>
          <w:p w14:paraId="21EDC94C">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5E6F3F78">
            <w:pPr>
              <w:pStyle w:val="20"/>
              <w:jc w:val="center"/>
              <w:rPr>
                <w:rFonts w:ascii="Times New Roman" w:hAnsi="Times New Roman" w:eastAsia="微软雅黑" w:cs="Times New Roman"/>
                <w:b/>
                <w:bCs/>
                <w:color w:val="FFFFFF" w:themeColor="background1"/>
                <w:spacing w:val="-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themeColor="background1" w:sz="18" w:space="0"/>
              <w:bottom w:val="nil"/>
              <w:right w:val="single" w:color="FFFFFF" w:themeColor="background1" w:sz="18" w:space="0"/>
            </w:tcBorders>
            <w:shd w:val="clear" w:color="auto" w:fill="62B541"/>
            <w:vAlign w:val="center"/>
          </w:tcPr>
          <w:p w14:paraId="00AC92E1">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themeColor="background1" w:sz="18" w:space="0"/>
              <w:bottom w:val="nil"/>
              <w:right w:val="single" w:color="FFFFFF" w:themeColor="background1" w:sz="18" w:space="0"/>
            </w:tcBorders>
            <w:shd w:val="clear" w:color="auto" w:fill="62B541"/>
            <w:vAlign w:val="center"/>
          </w:tcPr>
          <w:p w14:paraId="7A6A17ED">
            <w:pPr>
              <w:pStyle w:val="2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themeColor="background1" w:sz="18" w:space="0"/>
              <w:bottom w:val="nil"/>
              <w:right w:val="nil"/>
            </w:tcBorders>
            <w:shd w:val="clear" w:color="auto" w:fill="62B541"/>
            <w:vAlign w:val="center"/>
          </w:tcPr>
          <w:p w14:paraId="3AAAC31F">
            <w:pPr>
              <w:pStyle w:val="20"/>
              <w:spacing w:before="24" w:beforeLines="10"/>
              <w:jc w:val="center"/>
              <w:rPr>
                <w:rFonts w:ascii="Times New Roman" w:hAnsi="Times New Roman" w:eastAsia="微软雅黑" w:cs="Times New Roman"/>
                <w:color w:val="FFFFFF" w:themeColor="background1"/>
                <w:sz w:val="21"/>
                <w:szCs w:val="21"/>
                <w14:textFill>
                  <w14:solidFill>
                    <w14:schemeClr w14:val="bg1"/>
                  </w14:solidFill>
                </w14:textFill>
              </w:rPr>
            </w:pPr>
            <w:r>
              <w:rPr>
                <w:rFonts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2B2B60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3BA1A0F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5FFC029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sz="4" w:space="0"/>
              <w:right w:val="nil"/>
            </w:tcBorders>
            <w:shd w:val="clear" w:color="auto" w:fill="auto"/>
            <w:vAlign w:val="center"/>
          </w:tcPr>
          <w:p w14:paraId="68C95D9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6601F40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nil"/>
              <w:right w:val="nil"/>
            </w:tcBorders>
            <w:shd w:val="clear" w:color="auto" w:fill="auto"/>
            <w:vAlign w:val="center"/>
          </w:tcPr>
          <w:p w14:paraId="0C38331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{%tr if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or cr.Clinical_significance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可能致病性变异</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p>
        </w:tc>
      </w:tr>
      <w:tr w14:paraId="07460C4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07EBA9C">
            <w:pPr>
              <w:spacing w:before="20"/>
              <w:jc w:val="center"/>
              <w:rPr>
                <w:rFonts w:ascii="Times New Roman" w:hAnsi="Times New Roman" w:eastAsia="微软雅黑" w:cs="Times New Roman"/>
                <w:b/>
                <w:bCs/>
                <w:color w:val="FF0000"/>
                <w:sz w:val="21"/>
                <w:szCs w:val="21"/>
                <w:lang w:eastAsia="zh-CN"/>
              </w:rPr>
            </w:pPr>
            <w:r>
              <w:rPr>
                <w:rFonts w:hint="eastAsia" w:ascii="Times New Roman" w:hAnsi="Times New Roman" w:eastAsia="微软雅黑" w:cs="Times New Roman"/>
                <w:color w:val="FF0000"/>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6BD560">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26151B6">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w:t>
            </w:r>
            <w:r>
              <w:rPr>
                <w:rFonts w:ascii="Times New Roman" w:hAnsi="Times New Roman" w:eastAsia="微软雅黑" w:cs="Times New Roman"/>
                <w:color w:val="FF0000"/>
                <w:sz w:val="21"/>
                <w:szCs w:val="21"/>
                <w:lang w:eastAsia="zh-CN"/>
              </w:rPr>
              <w:t>exon</w:t>
            </w:r>
            <w:r>
              <w:rPr>
                <w:rFonts w:hint="eastAsia" w:ascii="Times New Roman" w:hAnsi="Times New Roman" w:eastAsia="微软雅黑" w:cs="Times New Roman"/>
                <w:color w:val="FF0000"/>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67507FB">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073BB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21DE8E9">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5D19E20E">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55DA092">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39470105">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color w:val="FF0000"/>
                <w:sz w:val="21"/>
                <w:szCs w:val="21"/>
                <w:lang w:eastAsia="zh-CN"/>
              </w:rPr>
              <w:t>{{ cr.Clinical_significance }}</w:t>
            </w:r>
          </w:p>
        </w:tc>
      </w:tr>
      <w:tr w14:paraId="0DE992F8">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nil"/>
              <w:left w:val="nil"/>
              <w:bottom w:val="single" w:color="A4A4A4" w:themeColor="background1" w:themeShade="A5" w:sz="4" w:space="0"/>
              <w:right w:val="nil"/>
            </w:tcBorders>
            <w:shd w:val="clear" w:color="auto" w:fill="auto"/>
            <w:vAlign w:val="center"/>
          </w:tcPr>
          <w:p w14:paraId="646F3D51">
            <w:pPr>
              <w:spacing w:before="20"/>
              <w:jc w:val="center"/>
              <w:rPr>
                <w:rFonts w:ascii="Times New Roman" w:hAnsi="Times New Roman" w:eastAsia="微软雅黑" w:cs="Times New Roman"/>
                <w:color w:val="FF0000"/>
                <w:sz w:val="21"/>
                <w:szCs w:val="21"/>
                <w:lang w:eastAsia="zh-CN"/>
              </w:rPr>
            </w:pPr>
            <w:r>
              <w:rPr>
                <w:rFonts w:hint="eastAsia" w:ascii="Times New Roman" w:hAnsi="Times New Roman" w:eastAsia="微软雅黑" w:cs="Times New Roman"/>
                <w:sz w:val="21"/>
                <w:szCs w:val="21"/>
                <w:lang w:eastAsia="zh-CN"/>
              </w:rPr>
              <w:t>{%tr else %}</w:t>
            </w:r>
          </w:p>
        </w:tc>
      </w:tr>
      <w:tr w14:paraId="5EA693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themeColor="background1" w:themeShade="A5" w:sz="4" w:space="0"/>
              <w:right w:val="single" w:color="A4A4A4" w:sz="4" w:space="0"/>
            </w:tcBorders>
            <w:shd w:val="clear" w:color="auto" w:fill="auto"/>
            <w:vAlign w:val="center"/>
          </w:tcPr>
          <w:p w14:paraId="0C930DA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cr.Gene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FB29E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3300D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4676715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2DB7297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0EE20E9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7334CA8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op w:val="nil"/>
              <w:left w:val="single" w:color="A4A4A4" w:sz="4" w:space="0"/>
              <w:bottom w:val="single" w:color="A4A4A4" w:themeColor="background1" w:themeShade="A5" w:sz="4" w:space="0"/>
              <w:right w:val="single" w:color="A4A4A4" w:sz="4" w:space="0"/>
            </w:tcBorders>
            <w:shd w:val="clear" w:color="auto" w:fill="auto"/>
            <w:vAlign w:val="center"/>
          </w:tcPr>
          <w:p w14:paraId="644E2B1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op w:val="nil"/>
              <w:left w:val="single" w:color="A4A4A4" w:sz="4" w:space="0"/>
              <w:bottom w:val="single" w:color="A4A4A4" w:themeColor="background1" w:themeShade="A5" w:sz="4" w:space="0"/>
              <w:right w:val="nil"/>
            </w:tcBorders>
            <w:shd w:val="clear" w:color="auto" w:fill="auto"/>
            <w:vAlign w:val="center"/>
          </w:tcPr>
          <w:p w14:paraId="6418707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7FD4D35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5DDDB9C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0C95C99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themeColor="background1" w:themeShade="A5" w:sz="4" w:space="0"/>
              <w:left w:val="nil"/>
              <w:bottom w:val="single" w:color="A4A4A4" w:sz="4" w:space="0"/>
              <w:right w:val="nil"/>
            </w:tcBorders>
            <w:shd w:val="clear" w:color="auto" w:fill="auto"/>
            <w:vAlign w:val="center"/>
          </w:tcPr>
          <w:p w14:paraId="1423BF5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63EB5DB">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nil"/>
              <w:right w:val="nil"/>
            </w:tcBorders>
            <w:shd w:val="clear" w:color="auto" w:fill="auto"/>
            <w:vAlign w:val="center"/>
          </w:tcPr>
          <w:p w14:paraId="771DD2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6BD9D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1255" w:type="dxa"/>
            <w:tcBorders>
              <w:top w:val="nil"/>
              <w:left w:val="nil"/>
              <w:bottom w:val="single" w:color="A4A4A4" w:sz="4" w:space="0"/>
              <w:right w:val="single" w:color="A4A4A4" w:themeColor="background1" w:themeShade="A5" w:sz="4" w:space="0"/>
            </w:tcBorders>
            <w:shd w:val="clear" w:color="auto" w:fill="auto"/>
            <w:vAlign w:val="center"/>
          </w:tcPr>
          <w:p w14:paraId="52D8A2F5">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3D49A5C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09B576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B4D4BB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F65F1A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6066539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200C98B9">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op w:val="nil"/>
              <w:left w:val="single" w:color="A4A4A4" w:themeColor="background1" w:themeShade="A5" w:sz="4" w:space="0"/>
              <w:bottom w:val="single" w:color="A4A4A4" w:sz="4" w:space="0"/>
              <w:right w:val="single" w:color="A4A4A4" w:themeColor="background1" w:themeShade="A5" w:sz="4" w:space="0"/>
            </w:tcBorders>
            <w:shd w:val="clear" w:color="auto" w:fill="auto"/>
            <w:vAlign w:val="center"/>
          </w:tcPr>
          <w:p w14:paraId="1A3FAE4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op w:val="nil"/>
              <w:left w:val="single" w:color="A4A4A4" w:themeColor="background1" w:themeShade="A5" w:sz="4" w:space="0"/>
              <w:bottom w:val="single" w:color="A4A4A4" w:sz="4" w:space="0"/>
              <w:right w:val="nil"/>
            </w:tcBorders>
            <w:shd w:val="clear" w:color="auto" w:fill="auto"/>
            <w:vAlign w:val="center"/>
          </w:tcPr>
          <w:p w14:paraId="437C412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3D93CE6F">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510" w:hRule="atLeast"/>
          <w:jc w:val="center"/>
        </w:trPr>
        <w:tc>
          <w:tcPr>
            <w:tcW w:w="9844" w:type="dxa"/>
            <w:gridSpan w:val="9"/>
            <w:tcBorders>
              <w:top w:val="single" w:color="A4A4A4" w:sz="4" w:space="0"/>
              <w:left w:val="nil"/>
              <w:bottom w:val="single" w:color="A4A4A4" w:sz="4" w:space="0"/>
              <w:right w:val="nil"/>
            </w:tcBorders>
            <w:shd w:val="clear" w:color="auto" w:fill="auto"/>
            <w:vAlign w:val="center"/>
          </w:tcPr>
          <w:p w14:paraId="5D30790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6EBF526">
      <w:pPr>
        <w:rPr>
          <w:rFonts w:ascii="Times New Roman" w:hAnsi="Times New Roman" w:eastAsia="微软雅黑" w:cs="Times New Roman"/>
          <w:sz w:val="24"/>
          <w:szCs w:val="24"/>
          <w:lang w:eastAsia="zh-CN"/>
        </w:rPr>
      </w:pPr>
    </w:p>
    <w:p w14:paraId="38CF68EE">
      <w:pPr>
        <w:spacing w:before="120" w:beforeLines="50" w:after="192" w:afterLines="80"/>
        <w:rPr>
          <w:rFonts w:ascii="Times New Roman" w:hAnsi="Times New Roman" w:eastAsia="微软雅黑" w:cs="黑体"/>
          <w:b/>
          <w:bCs/>
          <w:sz w:val="24"/>
          <w:szCs w:val="24"/>
          <w:lang w:eastAsia="zh-CN"/>
        </w:rPr>
      </w:pPr>
      <w:r>
        <w:rPr>
          <w:rFonts w:hint="eastAsia" w:ascii="Times New Roman" w:hAnsi="Times New Roman" w:eastAsia="微软雅黑" w:cs="Times New Roman"/>
          <w:b/>
          <w:sz w:val="24"/>
          <w:szCs w:val="24"/>
          <w:lang w:eastAsia="zh-CN"/>
        </w:rPr>
        <w:t>胚系变异用药提示</w:t>
      </w:r>
    </w:p>
    <w:tbl>
      <w:tblPr>
        <w:tblStyle w:val="21"/>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9"/>
        <w:gridCol w:w="1292"/>
        <w:gridCol w:w="1076"/>
        <w:gridCol w:w="2252"/>
        <w:gridCol w:w="2256"/>
      </w:tblGrid>
      <w:tr w14:paraId="5D68EF4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77C04A31">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检测</w:t>
            </w:r>
            <w:r>
              <w:rPr>
                <w:rFonts w:ascii="Times New Roman" w:hAnsi="Times New Roman" w:eastAsia="微软雅黑" w:cs="Times New Roman"/>
                <w:b/>
                <w:color w:val="FFFFFF" w:themeColor="background1"/>
                <w:sz w:val="21"/>
                <w:szCs w:val="21"/>
                <w14:textFill>
                  <w14:solidFill>
                    <w14:schemeClr w14:val="bg1"/>
                  </w14:solidFill>
                </w14:textFill>
              </w:rPr>
              <w:t>基因</w:t>
            </w:r>
          </w:p>
        </w:tc>
        <w:tc>
          <w:tcPr>
            <w:tcW w:w="895" w:type="pct"/>
            <w:tcBorders>
              <w:top w:val="nil"/>
              <w:left w:val="single" w:color="FFFFFF" w:sz="18" w:space="0"/>
              <w:bottom w:val="nil"/>
              <w:right w:val="single" w:color="FFFFFF" w:sz="18" w:space="0"/>
            </w:tcBorders>
            <w:shd w:val="clear" w:color="auto" w:fill="62B541"/>
            <w:vAlign w:val="center"/>
          </w:tcPr>
          <w:p w14:paraId="15CBB85B">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7E3639E5">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279EBBD0">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747F767C">
            <w:pPr>
              <w:pStyle w:val="20"/>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6E9D7FC9">
            <w:pPr>
              <w:pStyle w:val="2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3E2D70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533E30D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1087AE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3DA1B09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469DF7B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6F0E6A3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6A51C87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50362616">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65588892">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58B1DD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2C11A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89353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7ED729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8ECEC8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op w:val="nil"/>
              <w:bottom w:val="single" w:color="A4A4A4" w:themeColor="background1" w:themeShade="A5" w:sz="4" w:space="0"/>
              <w:right w:val="nil"/>
            </w:tcBorders>
            <w:shd w:val="clear" w:color="auto" w:fill="auto"/>
            <w:vAlign w:val="center"/>
          </w:tcPr>
          <w:p w14:paraId="323D472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FD3D44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FC0D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C9F47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1F54AC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79EE2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8EB11A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372333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F285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640EDE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493E16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64CCFB6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774CE23">
            <w:pPr>
              <w:spacing w:before="20"/>
              <w:jc w:val="center"/>
              <w:rPr>
                <w:rFonts w:ascii="Times New Roman" w:hAnsi="Times New Roman" w:eastAsia="微软雅黑" w:cs="Times New Roman"/>
                <w:sz w:val="21"/>
                <w:szCs w:val="21"/>
                <w:highlight w:val="none"/>
                <w:lang w:eastAsia="zh-CN"/>
              </w:rPr>
            </w:pPr>
            <w:r>
              <w:rPr>
                <w:rFonts w:hint="eastAsia" w:ascii="Times New Roman" w:hAnsi="Times New Roman" w:eastAsia="微软雅黑" w:cs="Times New Roman"/>
                <w:sz w:val="21"/>
                <w:szCs w:val="21"/>
                <w:highlight w:val="none"/>
                <w:lang w:eastAsia="zh-CN"/>
              </w:rPr>
              <w:t>{%tr endif %}</w:t>
            </w:r>
          </w:p>
        </w:tc>
      </w:tr>
    </w:tbl>
    <w:p w14:paraId="64115E69">
      <w:pPr>
        <w:spacing w:before="47"/>
        <w:rPr>
          <w:rFonts w:ascii="Times New Roman" w:hAnsi="Times New Roman" w:eastAsia="微软雅黑" w:cs="Times New Roman"/>
          <w:b/>
          <w:bCs/>
          <w:sz w:val="18"/>
          <w:szCs w:val="18"/>
          <w:highlight w:val="none"/>
          <w:lang w:eastAsia="zh-CN"/>
        </w:rPr>
      </w:pPr>
      <w:r>
        <w:rPr>
          <w:rFonts w:ascii="Times New Roman" w:hAnsi="Times New Roman" w:eastAsia="微软雅黑" w:cs="Times New Roman"/>
          <w:b/>
          <w:bCs/>
          <w:sz w:val="18"/>
          <w:szCs w:val="18"/>
          <w:highlight w:val="none"/>
          <w:lang w:eastAsia="zh-CN"/>
        </w:rPr>
        <w:t>注：</w:t>
      </w:r>
    </w:p>
    <w:p w14:paraId="0FA41F6B">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本报告只给出千人频率均在2%以下的胚系非同义突变。</w:t>
      </w:r>
    </w:p>
    <w:p w14:paraId="20C48129">
      <w:pPr>
        <w:pStyle w:val="22"/>
        <w:numPr>
          <w:ilvl w:val="0"/>
          <w:numId w:val="9"/>
        </w:numPr>
        <w:spacing w:before="47"/>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根据美国医学遗传医师学会（ACMG）指导意见，个体携带的变异，分为5个大类：</w:t>
      </w:r>
    </w:p>
    <w:p w14:paraId="788C07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致病性变异：有大量证据表明这种变异是高风险的致病性变异。</w:t>
      </w:r>
    </w:p>
    <w:p w14:paraId="325B1620">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可能致病性变异：有一些证据表明这种变异是高风险的致病性变异。</w:t>
      </w:r>
    </w:p>
    <w:p w14:paraId="008CD44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val="zh-CN" w:eastAsia="zh-CN"/>
        </w:rPr>
        <w:t>不确定性变异：没有足够的证据，将变异分类到其他四类中。</w:t>
      </w:r>
    </w:p>
    <w:p w14:paraId="5FF95A24">
      <w:pPr>
        <w:ind w:firstLine="360" w:firstLineChars="200"/>
        <w:rPr>
          <w:rFonts w:ascii="Times New Roman" w:hAnsi="Times New Roman" w:eastAsia="微软雅黑" w:cs="Times New Roman"/>
          <w:sz w:val="18"/>
          <w:szCs w:val="18"/>
          <w:highlight w:val="none"/>
          <w:lang w:val="zh-CN"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可能良性</w:t>
      </w:r>
      <w:r>
        <w:rPr>
          <w:rFonts w:ascii="Times New Roman" w:hAnsi="Times New Roman" w:eastAsia="微软雅黑" w:cs="Times New Roman"/>
          <w:sz w:val="18"/>
          <w:szCs w:val="18"/>
          <w:highlight w:val="none"/>
          <w:lang w:val="zh-CN" w:eastAsia="zh-CN"/>
        </w:rPr>
        <w:t>变异：有一些证据表明这种变异不是高风险的致病变异。</w:t>
      </w:r>
    </w:p>
    <w:p w14:paraId="3216F758">
      <w:pPr>
        <w:ind w:firstLine="360" w:firstLineChars="200"/>
        <w:rPr>
          <w:rFonts w:ascii="Times New Roman" w:hAnsi="Times New Roman" w:eastAsia="微软雅黑" w:cs="Times New Roman"/>
          <w:sz w:val="18"/>
          <w:szCs w:val="18"/>
          <w:highlight w:val="none"/>
          <w:lang w:eastAsia="zh-CN"/>
        </w:rPr>
      </w:pPr>
      <w:r>
        <w:rPr>
          <w:rFonts w:hint="eastAsia" w:ascii="微软雅黑" w:hAnsi="微软雅黑" w:eastAsia="微软雅黑" w:cs="微软雅黑"/>
          <w:sz w:val="18"/>
          <w:szCs w:val="18"/>
          <w:highlight w:val="none"/>
          <w:lang w:val="zh-CN" w:eastAsia="zh-CN"/>
        </w:rPr>
        <w:t>●</w:t>
      </w:r>
      <w:r>
        <w:rPr>
          <w:rFonts w:ascii="Times New Roman" w:hAnsi="Times New Roman" w:eastAsia="微软雅黑" w:cs="Times New Roman"/>
          <w:sz w:val="18"/>
          <w:szCs w:val="18"/>
          <w:highlight w:val="none"/>
          <w:lang w:eastAsia="zh-CN"/>
        </w:rPr>
        <w:t>良性</w:t>
      </w:r>
      <w:r>
        <w:rPr>
          <w:rFonts w:ascii="Times New Roman" w:hAnsi="Times New Roman" w:eastAsia="微软雅黑" w:cs="Times New Roman"/>
          <w:sz w:val="18"/>
          <w:szCs w:val="18"/>
          <w:highlight w:val="none"/>
          <w:lang w:val="zh-CN" w:eastAsia="zh-CN"/>
        </w:rPr>
        <w:t>变异：有大量证据表明这种变异不是高风险的致病变异。</w:t>
      </w:r>
    </w:p>
    <w:p w14:paraId="451F4083">
      <w:pPr>
        <w:numPr>
          <w:ilvl w:val="0"/>
          <w:numId w:val="9"/>
        </w:numPr>
        <w:rPr>
          <w:rFonts w:ascii="Times New Roman" w:hAnsi="Times New Roman" w:eastAsia="微软雅黑" w:cs="Times New Roman"/>
          <w:sz w:val="18"/>
          <w:szCs w:val="18"/>
          <w:highlight w:val="none"/>
          <w:lang w:eastAsia="zh-CN"/>
        </w:rPr>
      </w:pPr>
      <w:r>
        <w:rPr>
          <w:rFonts w:ascii="Times New Roman" w:hAnsi="Times New Roman" w:eastAsia="微软雅黑" w:cs="Times New Roman"/>
          <w:sz w:val="18"/>
          <w:szCs w:val="18"/>
          <w:highlight w:val="none"/>
          <w:lang w:eastAsia="zh-CN"/>
        </w:rPr>
        <w:t>基因变异临床意义等级来源于ACMG指南及Clinvar等公共数据库，随着相关指南、数据库不断完善以及临床数据的更新，变异分级可能发生变化。</w:t>
      </w:r>
    </w:p>
    <w:p w14:paraId="52DBC321">
      <w:pPr>
        <w:numPr>
          <w:ilvl w:val="0"/>
          <w:numId w:val="9"/>
        </w:numPr>
        <w:rPr>
          <w:rFonts w:ascii="Times New Roman" w:hAnsi="Times New Roman" w:eastAsia="微软雅黑" w:cs="Times New Roman"/>
          <w:sz w:val="18"/>
          <w:szCs w:val="18"/>
          <w:highlight w:val="none"/>
          <w:lang w:eastAsia="zh-CN"/>
        </w:rPr>
      </w:pPr>
      <w:r>
        <w:rPr>
          <w:rFonts w:hint="eastAsia" w:ascii="Times New Roman" w:hAnsi="Times New Roman" w:eastAsia="微软雅黑" w:cs="Times New Roman"/>
          <w:sz w:val="18"/>
          <w:szCs w:val="18"/>
          <w:highlight w:val="none"/>
          <w:lang w:eastAsia="zh-CN"/>
        </w:rPr>
        <w:t>良性变异和可能良性变异不在报告中展示。</w:t>
      </w:r>
    </w:p>
    <w:p w14:paraId="329CB4E0">
      <w:pPr>
        <w:rPr>
          <w:rFonts w:ascii="Times New Roman" w:hAnsi="Times New Roman" w:eastAsia="微软雅黑" w:cs="黑体"/>
          <w:b/>
          <w:bCs/>
          <w:sz w:val="30"/>
          <w:szCs w:val="30"/>
          <w:highlight w:val="none"/>
          <w:lang w:eastAsia="zh-CN"/>
        </w:rPr>
      </w:pPr>
      <w:r>
        <w:rPr>
          <w:rFonts w:hint="eastAsia" w:ascii="Times New Roman" w:hAnsi="Times New Roman" w:eastAsia="微软雅黑" w:cs="黑体"/>
          <w:b/>
          <w:bCs/>
          <w:sz w:val="30"/>
          <w:szCs w:val="30"/>
          <w:highlight w:val="none"/>
          <w:lang w:eastAsia="zh-CN"/>
        </w:rPr>
        <w:br w:type="page"/>
      </w:r>
    </w:p>
    <w:p w14:paraId="263043C2">
      <w:p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A7A6D0D">
      <w:pPr>
        <w:pStyle w:val="3"/>
        <w:numPr>
          <w:ilvl w:val="255"/>
          <w:numId w:val="0"/>
        </w:numPr>
        <w:jc w:val="left"/>
        <w:rPr>
          <w:color w:val="auto"/>
          <w:sz w:val="30"/>
          <w:lang w:eastAsia="zh-CN"/>
        </w:rPr>
      </w:pPr>
      <w:bookmarkStart w:id="41" w:name="_Toc106719764"/>
      <w:bookmarkStart w:id="42" w:name="_Toc10223"/>
      <w:bookmarkStart w:id="43" w:name="_Toc7657"/>
      <w:bookmarkStart w:id="44" w:name="_Toc3365"/>
      <w:bookmarkStart w:id="45" w:name="_Toc29277"/>
      <w:bookmarkStart w:id="46" w:name="_Toc20034"/>
      <w:r>
        <w:rPr>
          <w:rFonts w:hint="eastAsia"/>
          <w:color w:val="auto"/>
          <w:sz w:val="30"/>
          <w:lang w:eastAsia="zh-CN"/>
        </w:rPr>
        <w:t>PD-L1检测结果</w:t>
      </w:r>
      <w:bookmarkEnd w:id="41"/>
      <w:bookmarkEnd w:id="42"/>
      <w:bookmarkEnd w:id="43"/>
      <w:bookmarkEnd w:id="44"/>
      <w:bookmarkEnd w:id="45"/>
      <w:bookmarkEnd w:id="46"/>
    </w:p>
    <w:p w14:paraId="0FBE3EBA">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5"/>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4344DC1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1B06E445">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704CABD7">
            <w:pPr>
              <w:pStyle w:val="42"/>
            </w:pPr>
            <w:r>
              <w:rPr>
                <w:rFonts w:hint="eastAsia"/>
              </w:rPr>
              <w:t>{{</w:t>
            </w:r>
            <w:r>
              <w:t xml:space="preserve"> PDInfo</w:t>
            </w:r>
            <w:r>
              <w:rPr>
                <w:rFonts w:hint="eastAsia"/>
              </w:rPr>
              <w:t>.</w:t>
            </w:r>
            <w:r>
              <w:t>Tumor_cell_count</w:t>
            </w:r>
            <w:r>
              <w:rPr>
                <w:rFonts w:hint="eastAsia"/>
              </w:rPr>
              <w:t xml:space="preserve"> }}</w:t>
            </w:r>
          </w:p>
        </w:tc>
      </w:tr>
      <w:tr w14:paraId="6315C4A8">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E01E927">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067C4AD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823259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6FF277E3">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72B4AFF0">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4"/>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07161E0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2E7CC86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FA4D82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7F705E7D">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1AF4F2AB">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72442C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3A10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0DE1C15">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4DA2ADF3">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5BCF962F">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42932A36">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006E5117">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4A85E52A">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66893236">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167A77D">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78551EBF">
      <w:pPr>
        <w:spacing w:line="276" w:lineRule="auto"/>
        <w:ind w:right="449" w:rightChars="204"/>
        <w:rPr>
          <w:rFonts w:ascii="微软雅黑" w:hAnsi="微软雅黑" w:eastAsia="微软雅黑" w:cs="微软雅黑"/>
          <w:b/>
          <w:color w:val="000000"/>
          <w:sz w:val="18"/>
          <w:szCs w:val="18"/>
        </w:rPr>
      </w:pPr>
    </w:p>
    <w:p w14:paraId="73F8082C">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0721ED8C">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7ABB2BB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5CBCAF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DBE85AA">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2BAB0E8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7D05EE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4A329745">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C796021">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75C32940">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C182299">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5AF29A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62F64E1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20F9732">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4145BE16">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ED5B98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27BDDEFC">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3AF2D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8846BA5">
            <w:pPr>
              <w:spacing w:line="276" w:lineRule="auto"/>
              <w:jc w:val="left"/>
              <w:rPr>
                <w:rFonts w:ascii="Times New Roman" w:hAnsi="Times New Roman" w:eastAsia="微软雅黑" w:cs="Times New Roman"/>
                <w:sz w:val="18"/>
                <w:szCs w:val="18"/>
                <w:shd w:val="clear" w:color="auto" w:fill="FFFFFF"/>
                <w:lang w:eastAsia="zh-CN"/>
              </w:rPr>
            </w:pPr>
          </w:p>
        </w:tc>
      </w:tr>
      <w:tr w14:paraId="0E3D1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9BB2749">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75FA08EF">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25D5EC5A">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21DEFE9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AD9B14">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51F4B86">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69F53E5">
            <w:pPr>
              <w:spacing w:line="276" w:lineRule="auto"/>
              <w:jc w:val="left"/>
              <w:rPr>
                <w:rFonts w:ascii="Times New Roman" w:hAnsi="Times New Roman" w:eastAsia="微软雅黑" w:cs="Times New Roman"/>
                <w:sz w:val="18"/>
                <w:szCs w:val="18"/>
                <w:shd w:val="clear" w:color="auto" w:fill="FFFFFF"/>
                <w:lang w:eastAsia="zh-CN"/>
              </w:rPr>
            </w:pPr>
          </w:p>
        </w:tc>
      </w:tr>
    </w:tbl>
    <w:p w14:paraId="76189BEC">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561C42E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06ABAEE4">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228AFA1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6CFFB253">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7C1B1725">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041EBE71">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45ED73F0">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6C617FBF">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03345FF1">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C678595">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6CC57BD8">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744D3412">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5E99E887">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270FDCB8">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2A6372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58B12CA">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4291C3B6">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649185A5">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3CC51D39">
      <w:pPr>
        <w:numPr>
          <w:ilvl w:val="255"/>
          <w:numId w:val="0"/>
        </w:num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or geneticCancerRiskInfo %}</w:t>
      </w:r>
    </w:p>
    <w:p w14:paraId="68C57578">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7" w:name="_Toc4421"/>
      <w:bookmarkStart w:id="48" w:name="_Toc23470"/>
      <w:r>
        <w:rPr>
          <w:color w:val="62B541"/>
          <w:sz w:val="32"/>
          <w14:shadow w14:blurRad="50800" w14:dist="38100" w14:dir="10800000" w14:sx="100000" w14:sy="100000" w14:kx="0" w14:ky="0" w14:algn="r">
            <w14:srgbClr w14:val="62B541">
              <w14:alpha w14:val="60000"/>
            </w14:srgbClr>
          </w14:shadow>
        </w:rPr>
        <w:t>基因检测结果解析</w:t>
      </w:r>
      <w:bookmarkEnd w:id="33"/>
      <w:bookmarkEnd w:id="34"/>
      <w:bookmarkEnd w:id="35"/>
      <w:bookmarkEnd w:id="36"/>
      <w:bookmarkEnd w:id="37"/>
      <w:bookmarkEnd w:id="47"/>
      <w:bookmarkEnd w:id="48"/>
    </w:p>
    <w:p w14:paraId="0F7ED569">
      <w:pPr>
        <w:rPr>
          <w:rFonts w:ascii="Times New Roman" w:hAnsi="Times New Roman" w:eastAsia="微软雅黑" w:cs="Times New Roman"/>
          <w:b/>
          <w:sz w:val="24"/>
          <w:szCs w:val="24"/>
          <w:lang w:eastAsia="zh-CN"/>
        </w:rPr>
      </w:pPr>
      <w:bookmarkStart w:id="49" w:name="_Toc27302"/>
      <w:bookmarkStart w:id="50" w:name="_Toc21764_WPSOffice_Level1"/>
      <w:bookmarkStart w:id="51" w:name="_Toc13196_WPSOffice_Level1"/>
      <w:bookmarkStart w:id="52" w:name="_Toc28240"/>
      <w:bookmarkStart w:id="53" w:name="_Toc1707_WPSOffice_Level1"/>
      <w:r>
        <w:rPr>
          <w:rFonts w:hint="eastAsia" w:ascii="Times New Roman" w:hAnsi="Times New Roman" w:eastAsia="微软雅黑" w:cs="Times New Roman"/>
          <w:b/>
          <w:sz w:val="24"/>
          <w:szCs w:val="24"/>
          <w:lang w:eastAsia="zh-CN"/>
        </w:rPr>
        <w:t>{%if BodyDrugDrugDetectionStr or unknownVarAnalysisStr %}</w:t>
      </w:r>
    </w:p>
    <w:p w14:paraId="4F71BCFB">
      <w:pPr>
        <w:pStyle w:val="3"/>
        <w:numPr>
          <w:ilvl w:val="255"/>
          <w:numId w:val="0"/>
        </w:numPr>
        <w:jc w:val="left"/>
        <w:rPr>
          <w:color w:val="auto"/>
          <w:sz w:val="30"/>
          <w:lang w:eastAsia="zh-CN"/>
        </w:rPr>
      </w:pPr>
      <w:bookmarkStart w:id="54" w:name="_Toc4331_WPSOffice_Level2"/>
      <w:bookmarkStart w:id="55" w:name="_Toc23606"/>
      <w:bookmarkStart w:id="56" w:name="_Toc32443_WPSOffice_Level2"/>
      <w:bookmarkStart w:id="57" w:name="_Toc32302"/>
      <w:bookmarkStart w:id="58" w:name="_Toc9194"/>
      <w:bookmarkStart w:id="59" w:name="_Toc21349"/>
      <w:bookmarkStart w:id="60" w:name="_Toc149837264"/>
      <w:r>
        <w:rPr>
          <w:rFonts w:hint="eastAsia"/>
          <w:color w:val="auto"/>
          <w:sz w:val="30"/>
          <w:lang w:eastAsia="zh-CN"/>
        </w:rPr>
        <w:t>体细胞变异结果解析</w:t>
      </w:r>
      <w:bookmarkEnd w:id="54"/>
      <w:bookmarkEnd w:id="55"/>
      <w:bookmarkEnd w:id="56"/>
      <w:bookmarkEnd w:id="57"/>
      <w:bookmarkEnd w:id="58"/>
    </w:p>
    <w:p w14:paraId="787861B7">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BodyDrugNoComplexStr %}</w:t>
      </w:r>
      <w:bookmarkEnd w:id="59"/>
      <w:bookmarkEnd w:id="60"/>
    </w:p>
    <w:p w14:paraId="7A7090CB">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1CC1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6A3170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7DA42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302A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22421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bookmarkStart w:id="61" w:name="OLE_LINK4"/>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bookmarkEnd w:id="61"/>
          </w:p>
        </w:tc>
        <w:tc>
          <w:tcPr>
            <w:tcW w:w="8247" w:type="dxa"/>
            <w:tcBorders>
              <w:top w:val="single" w:color="A4A4A4" w:sz="4" w:space="0"/>
              <w:left w:val="nil"/>
              <w:bottom w:val="single" w:color="A4A4A4" w:sz="4" w:space="0"/>
              <w:right w:val="nil"/>
            </w:tcBorders>
            <w:vAlign w:val="center"/>
          </w:tcPr>
          <w:p w14:paraId="102481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749510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5A8D7FA">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30BC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38C8CE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179CD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31AE23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31FD1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0B214B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B4C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3B50AB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E80A67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D082C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0DE2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43E1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D32B8F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0756553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4622E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2A09A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6F656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CE4DE7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983A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972A31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4F4A4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9D1055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6BBBD1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CB5D71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A25B26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00BBCE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FA2FA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E41EC1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8676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95E49D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15B9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025334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4F5363D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0081FF0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9E76A4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128FACD0">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9D7EF5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21E451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188D8D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456B6F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0DE048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DA6C28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0445A4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85445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C7BE02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FACEFE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129AF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0A86B1C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BBEBE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E72ACB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E89158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DE3116E">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7F7958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265AB64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9A3213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E37476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4F838C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FCFB9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A9FA34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34BBB21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911C2DF">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0415F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840E79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04F542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39DD84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073357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7BEF4FA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16A8AE8">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580D5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405938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4A3DD19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419D3A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2FEE6FB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3813668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71B593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ECF0E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181EE34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4D06A4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1C7E1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147D6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8DD45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5CE60C3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03C00A3">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A5CD37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345402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22D3D7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2FA25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8A9A49B">
      <w:pPr>
        <w:pStyle w:val="25"/>
        <w:rPr>
          <w:color w:val="auto"/>
        </w:rPr>
      </w:pPr>
      <w:r>
        <w:rPr>
          <w:rFonts w:hint="eastAsia"/>
          <w:color w:val="auto"/>
        </w:rPr>
        <w:t>{% endif %}{% endfor %}{% for vus in unknownVarAnalysisStr %}</w:t>
      </w:r>
    </w:p>
    <w:p w14:paraId="527F010D">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26E81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4DBD1FCA">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2C0B1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AD81A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4B37378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0292E6C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3A4124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EF2F1C">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2F3076DB">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EE7694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 %}</w:t>
      </w:r>
    </w:p>
    <w:p w14:paraId="36BD2BB8">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w:t>
      </w:r>
      <w:r>
        <w:rPr>
          <w:rFonts w:hint="eastAsia" w:ascii="Times New Roman" w:hAnsi="Times New Roman" w:eastAsia="微软雅黑" w:cs="Times New Roman"/>
          <w:b/>
          <w:sz w:val="24"/>
          <w:szCs w:val="24"/>
          <w:lang w:val="en-US" w:eastAsia="zh-CN"/>
        </w:rPr>
        <w:t>1</w:t>
      </w:r>
      <w:bookmarkStart w:id="120" w:name="_GoBack"/>
      <w:bookmarkEnd w:id="120"/>
      <w:r>
        <w:rPr>
          <w:rFonts w:hint="eastAsia" w:ascii="Times New Roman" w:hAnsi="Times New Roman" w:eastAsia="微软雅黑" w:cs="Times New Roman"/>
          <w:b/>
          <w:sz w:val="24"/>
          <w:szCs w:val="24"/>
          <w:lang w:eastAsia="zh-CN"/>
        </w:rPr>
        <w:t xml:space="preserv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A7E33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043CD9E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9D1152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{{tdd.comutation}}</w:t>
            </w:r>
          </w:p>
        </w:tc>
      </w:tr>
      <w:tr w14:paraId="7A593C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62ED473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5F40C0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B98FED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187CF57">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FE3854">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429B9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B4E0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D03A14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F6F67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3FE292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C8A40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919886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4771BC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D9E86D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DB6AF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6CEB0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543475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904396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4773C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F3E7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E8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0C531A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AB0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478F4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8CCB9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65B41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AB7FA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456AC5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9043B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A0267E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4881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0D4D8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949130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3742A04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09D599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22AA8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0ED1D9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B3C9A6B">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75094AB">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1BF24B7">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6EF1B9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68C524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2AA3A9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E66089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1BCFC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180D1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8EE543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A46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CB8DC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9C992A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6AF6BFD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C43AF9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A629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CB9C24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107322">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E8A31A1">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FCFF5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0278AD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7CF42C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51298FD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4D04A1B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76D800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4CD746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B6F09C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0AA214D">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42BC4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0034B4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C0E2E4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300800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3AC1C14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B3BD63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A88CAD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607F13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AF4C4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FB42E3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51E845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C57FE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3A1E1A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51969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03BEFA5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F0F05B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96E43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D0B78D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C7A35D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B7D64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5E6145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57A30B8B">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2F33E8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22CF55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60C54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6975BC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6794EC6">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bookmarkStart w:id="62" w:name="OLE_LINK1"/>
      <w:r>
        <w:rPr>
          <w:rFonts w:hint="eastAsia" w:ascii="Times New Roman" w:hAnsi="Times New Roman" w:eastAsia="微软雅黑" w:cs="Times New Roman"/>
          <w:b/>
          <w:sz w:val="24"/>
          <w:szCs w:val="24"/>
          <w:lang w:eastAsia="zh-CN"/>
        </w:rPr>
        <w:t>{%if geneticCancerRiskInfo %}</w:t>
      </w:r>
      <w:bookmarkEnd w:id="62"/>
    </w:p>
    <w:p w14:paraId="5E75701F">
      <w:pPr>
        <w:pStyle w:val="3"/>
        <w:numPr>
          <w:ilvl w:val="255"/>
          <w:numId w:val="0"/>
        </w:numPr>
        <w:jc w:val="left"/>
        <w:rPr>
          <w:color w:val="auto"/>
          <w:sz w:val="30"/>
          <w:lang w:eastAsia="zh-CN"/>
        </w:rPr>
      </w:pPr>
      <w:bookmarkStart w:id="63" w:name="_Toc5343"/>
      <w:bookmarkStart w:id="64" w:name="_Toc5550"/>
      <w:bookmarkStart w:id="65" w:name="_Toc149837265"/>
      <w:r>
        <w:rPr>
          <w:rFonts w:hint="eastAsia"/>
          <w:color w:val="auto"/>
          <w:sz w:val="30"/>
          <w:lang w:eastAsia="zh-CN"/>
        </w:rPr>
        <w:t>胚系变异结果解析</w:t>
      </w:r>
      <w:bookmarkEnd w:id="63"/>
    </w:p>
    <w:p w14:paraId="6989F364">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geneticCancerRiskInfo %}</w:t>
      </w:r>
      <w:bookmarkEnd w:id="64"/>
      <w:bookmarkEnd w:id="65"/>
    </w:p>
    <w:p w14:paraId="105E2A94">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4BFEB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D04D7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42BAA0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480881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BAE8AF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56E6CFD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EBABB8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336AAC">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08FAA7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35F67A8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F60AE2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D3982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E5178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BB57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AA1FA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8CD8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6A95A2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23E6F4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A913C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F61D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9191E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9FB70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68AA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5B5421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4496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7795B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F4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4933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2AD723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62F9F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68E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AB216F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EB4B19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7F346D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50E43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5AF5A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E4C9C0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5E85ED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A6B4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829B0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42E456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793DD5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D054C2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746EF7E5">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CDDD3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F85776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075F8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7F952BE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1741B53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C36B0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D3375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3094C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7823D9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AF4227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487E10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149E016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0A7F64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561AC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BC48838">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45C8A18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EF540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FA20B58">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DD9F86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08FFA0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5D3FFD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59BFD9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7B2E6E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715A9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DD1608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116B94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3B29857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096FB5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4DC7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1E0830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0C08705">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493510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1FC82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98D0F8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30ED3AD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E1B5B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3040127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587304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0559F8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24E48D7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513698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6733BB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EF3DF5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35C3FB98">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546F29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892DB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737EC74C">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5A03745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4DAE4F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09CBD1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AD653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26F9B13F">
      <w:r>
        <w:rPr>
          <w:rFonts w:hint="eastAsia" w:ascii="Times New Roman" w:hAnsi="Times New Roman" w:eastAsia="微软雅黑" w:cs="Times New Roman"/>
          <w:b/>
          <w:sz w:val="24"/>
          <w:szCs w:val="24"/>
          <w:lang w:eastAsia="zh-CN"/>
        </w:rPr>
        <w:t>{% endif %}{% endfor %}</w:t>
      </w:r>
      <w:r>
        <w:rPr>
          <w:sz w:val="16"/>
        </w:rPr>
        <w:br w:type="page"/>
      </w:r>
      <w:r>
        <w:rPr>
          <w:rFonts w:hint="eastAsia" w:ascii="Times New Roman" w:hAnsi="Times New Roman" w:eastAsia="微软雅黑" w:cs="Times New Roman"/>
          <w:sz w:val="24"/>
          <w:szCs w:val="24"/>
          <w:lang w:eastAsia="zh-CN"/>
        </w:rPr>
        <w:t>{% endif %}{% endif %}</w:t>
      </w:r>
    </w:p>
    <w:p w14:paraId="4CD9DB27">
      <w:pPr>
        <w:numPr>
          <w:ilvl w:val="255"/>
          <w:numId w:val="0"/>
        </w:numPr>
        <w:jc w:val="both"/>
        <w:rPr>
          <w:rStyle w:val="41"/>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66" w:name="_Toc17734"/>
      <w:bookmarkStart w:id="67" w:name="_Toc30069"/>
      <w:r>
        <w:rPr>
          <w:rStyle w:val="41"/>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49"/>
      <w:bookmarkEnd w:id="50"/>
      <w:bookmarkEnd w:id="51"/>
      <w:bookmarkEnd w:id="52"/>
      <w:bookmarkEnd w:id="53"/>
    </w:p>
    <w:bookmarkEnd w:id="66"/>
    <w:bookmarkEnd w:id="67"/>
    <w:p w14:paraId="47C18062">
      <w:pPr>
        <w:pStyle w:val="3"/>
        <w:numPr>
          <w:ilvl w:val="255"/>
          <w:numId w:val="0"/>
        </w:numPr>
        <w:jc w:val="left"/>
        <w:rPr>
          <w:color w:val="auto"/>
          <w:sz w:val="30"/>
          <w:lang w:eastAsia="zh-CN"/>
        </w:rPr>
      </w:pPr>
      <w:bookmarkStart w:id="68" w:name="_Toc15840_WPSOffice_Level1"/>
      <w:bookmarkStart w:id="69" w:name="_Toc14255_WPSOffice_Level1"/>
      <w:bookmarkStart w:id="70" w:name="_Toc24085_WPSOffice_Level1"/>
      <w:bookmarkStart w:id="71" w:name="_Toc18439"/>
      <w:bookmarkStart w:id="72" w:name="_Toc3674"/>
      <w:bookmarkStart w:id="73" w:name="_Toc25043"/>
      <w:bookmarkStart w:id="74" w:name="_Toc9066"/>
      <w:bookmarkStart w:id="75" w:name="_Hlk33190413"/>
      <w:bookmarkStart w:id="76" w:name="_Toc18699"/>
      <w:bookmarkStart w:id="77" w:name="_Toc28810_WPSOffice_Level1"/>
      <w:bookmarkStart w:id="78" w:name="_Toc11896_WPSOffice_Level1"/>
      <w:bookmarkStart w:id="79" w:name="_Toc11193_WPSOffice_Level1"/>
      <w:r>
        <w:rPr>
          <w:rFonts w:hint="eastAsia"/>
          <w:color w:val="auto"/>
          <w:sz w:val="30"/>
          <w:lang w:eastAsia="zh-CN"/>
        </w:rPr>
        <w:t>样本质控情况</w:t>
      </w:r>
      <w:bookmarkEnd w:id="68"/>
      <w:bookmarkEnd w:id="69"/>
      <w:bookmarkEnd w:id="70"/>
      <w:bookmarkEnd w:id="71"/>
      <w:bookmarkEnd w:id="72"/>
      <w:bookmarkEnd w:id="73"/>
      <w:bookmarkEnd w:id="74"/>
    </w:p>
    <w:p w14:paraId="259D4F5F">
      <w:pPr>
        <w:pStyle w:val="6"/>
        <w:rPr>
          <w:b/>
          <w:sz w:val="6"/>
        </w:rPr>
      </w:pPr>
    </w:p>
    <w:tbl>
      <w:tblPr>
        <w:tblStyle w:val="14"/>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4"/>
        <w:gridCol w:w="2717"/>
        <w:gridCol w:w="2378"/>
        <w:gridCol w:w="2712"/>
        <w:gridCol w:w="19"/>
      </w:tblGrid>
      <w:tr w14:paraId="1F6D139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5B79865B">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1EA8CEAF">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1CF84671">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19ADBF2">
            <w:pPr>
              <w:autoSpaceDE w:val="0"/>
              <w:ind w:left="110" w:leftChars="50"/>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微软雅黑" w:hAnsi="微软雅黑" w:eastAsia="微软雅黑" w:cs="微软雅黑"/>
                <w:b/>
                <w:color w:val="FFFFFF" w:themeColor="background1"/>
                <w:sz w:val="21"/>
                <w:szCs w:val="21"/>
                <w:lang w:eastAsia="zh-CN" w:bidi="ar"/>
                <w14:textFill>
                  <w14:solidFill>
                    <w14:schemeClr w14:val="bg1"/>
                  </w14:solidFill>
                </w14:textFill>
              </w:rPr>
              <w:t>质控标准</w:t>
            </w:r>
          </w:p>
        </w:tc>
      </w:tr>
      <w:tr w14:paraId="5063E53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tcBorders>
              <w:top w:val="nil"/>
              <w:left w:val="nil"/>
            </w:tcBorders>
            <w:shd w:val="clear" w:color="auto" w:fill="auto"/>
            <w:vAlign w:val="center"/>
          </w:tcPr>
          <w:p w14:paraId="6485963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病理评估</w:t>
            </w:r>
          </w:p>
        </w:tc>
        <w:tc>
          <w:tcPr>
            <w:tcW w:w="2717" w:type="dxa"/>
            <w:tcBorders>
              <w:top w:val="nil"/>
            </w:tcBorders>
            <w:shd w:val="clear" w:color="auto" w:fill="auto"/>
            <w:vAlign w:val="center"/>
          </w:tcPr>
          <w:p w14:paraId="223883D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tcBorders>
              <w:top w:val="nil"/>
            </w:tcBorders>
            <w:shd w:val="clear" w:color="auto" w:fill="auto"/>
            <w:vAlign w:val="center"/>
          </w:tcPr>
          <w:p w14:paraId="0ED71F6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top w:val="nil"/>
              <w:right w:val="nil"/>
            </w:tcBorders>
            <w:shd w:val="clear" w:color="auto" w:fill="auto"/>
            <w:vAlign w:val="center"/>
          </w:tcPr>
          <w:p w14:paraId="3865C10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val="en-US" w:eastAsia="zh-CN" w:bidi="ar"/>
              </w:rPr>
              <w:t>2</w:t>
            </w:r>
            <w:r>
              <w:rPr>
                <w:rFonts w:ascii="Times New Roman" w:hAnsi="Times New Roman" w:eastAsia="微软雅黑" w:cs="Times New Roman"/>
                <w:sz w:val="21"/>
                <w:szCs w:val="21"/>
                <w:lang w:eastAsia="zh-CN" w:bidi="ar"/>
              </w:rPr>
              <w:t>0%</w:t>
            </w:r>
          </w:p>
        </w:tc>
      </w:tr>
      <w:tr w14:paraId="19FC649D">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0DD70AE">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核酸质量评估</w:t>
            </w:r>
          </w:p>
        </w:tc>
        <w:tc>
          <w:tcPr>
            <w:tcW w:w="2717" w:type="dxa"/>
            <w:shd w:val="clear" w:color="auto" w:fill="auto"/>
            <w:vAlign w:val="center"/>
          </w:tcPr>
          <w:p w14:paraId="1A84A8A3">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5D3AED5D">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A903028">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52DB278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79EEFFAF">
            <w:pPr>
              <w:rPr>
                <w:rFonts w:ascii="Times New Roman" w:hAnsi="Times New Roman" w:cs="Times New Roman"/>
                <w:b/>
                <w:bCs/>
                <w:sz w:val="20"/>
                <w:szCs w:val="20"/>
              </w:rPr>
            </w:pPr>
          </w:p>
        </w:tc>
        <w:tc>
          <w:tcPr>
            <w:tcW w:w="2717" w:type="dxa"/>
            <w:shd w:val="clear" w:color="auto" w:fill="auto"/>
            <w:vAlign w:val="center"/>
          </w:tcPr>
          <w:p w14:paraId="67F8600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6537BEB1">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58DD28E5">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12A9EAC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FABD3C9">
            <w:pPr>
              <w:rPr>
                <w:rFonts w:ascii="Times New Roman" w:hAnsi="Times New Roman" w:cs="Times New Roman"/>
                <w:b/>
                <w:bCs/>
                <w:sz w:val="20"/>
                <w:szCs w:val="20"/>
              </w:rPr>
            </w:pPr>
          </w:p>
        </w:tc>
        <w:tc>
          <w:tcPr>
            <w:tcW w:w="2717" w:type="dxa"/>
            <w:shd w:val="clear" w:color="auto" w:fill="auto"/>
            <w:vAlign w:val="center"/>
          </w:tcPr>
          <w:p w14:paraId="6484B9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38B2124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0687E925">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14BFADA3">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3193F512">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测序质量评估</w:t>
            </w:r>
          </w:p>
        </w:tc>
        <w:tc>
          <w:tcPr>
            <w:tcW w:w="2717" w:type="dxa"/>
            <w:shd w:val="clear" w:color="auto" w:fill="auto"/>
            <w:vAlign w:val="center"/>
          </w:tcPr>
          <w:p w14:paraId="7FDE94A8">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70A7557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B350A2C">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2C65DBF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3791070B">
            <w:pPr>
              <w:rPr>
                <w:rFonts w:ascii="Times New Roman" w:hAnsi="Times New Roman" w:cs="Times New Roman"/>
                <w:b/>
                <w:bCs/>
                <w:sz w:val="20"/>
                <w:szCs w:val="20"/>
              </w:rPr>
            </w:pPr>
          </w:p>
        </w:tc>
        <w:tc>
          <w:tcPr>
            <w:tcW w:w="2717" w:type="dxa"/>
            <w:shd w:val="clear" w:color="auto" w:fill="auto"/>
            <w:vAlign w:val="center"/>
          </w:tcPr>
          <w:p w14:paraId="59FA7BA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67A0E4EF">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4A3863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1A327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205DCD54">
            <w:pPr>
              <w:rPr>
                <w:rFonts w:ascii="Times New Roman" w:hAnsi="Times New Roman" w:cs="Times New Roman"/>
                <w:b/>
                <w:bCs/>
                <w:sz w:val="20"/>
                <w:szCs w:val="20"/>
              </w:rPr>
            </w:pPr>
          </w:p>
        </w:tc>
        <w:tc>
          <w:tcPr>
            <w:tcW w:w="2717" w:type="dxa"/>
            <w:shd w:val="clear" w:color="auto" w:fill="auto"/>
            <w:vAlign w:val="center"/>
          </w:tcPr>
          <w:p w14:paraId="26BA3D8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7843454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4F39F2A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222E16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0604025">
            <w:pPr>
              <w:rPr>
                <w:rFonts w:ascii="Times New Roman" w:hAnsi="Times New Roman" w:cs="Times New Roman"/>
                <w:b/>
                <w:bCs/>
                <w:sz w:val="20"/>
                <w:szCs w:val="20"/>
              </w:rPr>
            </w:pPr>
          </w:p>
        </w:tc>
        <w:tc>
          <w:tcPr>
            <w:tcW w:w="2717" w:type="dxa"/>
            <w:shd w:val="clear" w:color="auto" w:fill="auto"/>
            <w:vAlign w:val="center"/>
          </w:tcPr>
          <w:p w14:paraId="4B6817D1">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6608FADA">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D63664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7F2BF51">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tcBorders>
            <w:shd w:val="clear" w:color="auto" w:fill="F1F1F1"/>
            <w:vAlign w:val="center"/>
          </w:tcPr>
          <w:p w14:paraId="305AB691">
            <w:pPr>
              <w:autoSpaceDE w:val="0"/>
              <w:ind w:left="110" w:leftChars="50"/>
              <w:jc w:val="center"/>
              <w:rPr>
                <w:rFonts w:ascii="Times New Roman" w:hAnsi="Times New Roman" w:eastAsia="微软雅黑" w:cs="Times New Roman"/>
                <w:b/>
                <w:bCs/>
                <w:sz w:val="21"/>
                <w:szCs w:val="21"/>
              </w:rPr>
            </w:pPr>
            <w:r>
              <w:rPr>
                <w:rFonts w:hint="eastAsia" w:ascii="微软雅黑" w:hAnsi="微软雅黑" w:eastAsia="微软雅黑" w:cs="微软雅黑"/>
                <w:b/>
                <w:bCs/>
                <w:sz w:val="21"/>
                <w:szCs w:val="21"/>
                <w:lang w:eastAsia="zh-CN" w:bidi="ar"/>
              </w:rPr>
              <w:t>总体质量评估</w:t>
            </w:r>
          </w:p>
        </w:tc>
        <w:tc>
          <w:tcPr>
            <w:tcW w:w="7807" w:type="dxa"/>
            <w:gridSpan w:val="3"/>
            <w:tcBorders>
              <w:right w:val="nil"/>
            </w:tcBorders>
            <w:shd w:val="clear" w:color="auto" w:fill="F1F1F1"/>
            <w:vAlign w:val="center"/>
          </w:tcPr>
          <w:p w14:paraId="2A48E917">
            <w:pPr>
              <w:autoSpaceDE w:val="0"/>
              <w:ind w:left="110" w:leftChars="50"/>
              <w:jc w:val="center"/>
              <w:rPr>
                <w:rFonts w:ascii="Times New Roman" w:hAnsi="Times New Roman" w:eastAsia="微软雅黑" w:cs="Times New Roman"/>
                <w:sz w:val="21"/>
                <w:szCs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86BE9B5">
      <w:pPr>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eastAsia="zh-CN" w:bidi="ar"/>
        </w:rPr>
        <w:t>注：</w:t>
      </w:r>
    </w:p>
    <w:p w14:paraId="74769BFF">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CD24DF5">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1A9331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5F3FC24E">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243FB565">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721274B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499BDAD7">
      <w:pPr>
        <w:numPr>
          <w:ilvl w:val="0"/>
          <w:numId w:val="11"/>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376DD3D">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3A4AD59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FFD7694">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653C2F9E">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E969EA1">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094B1857">
      <w:pPr>
        <w:numPr>
          <w:ilvl w:val="0"/>
          <w:numId w:val="10"/>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1B180DB7">
      <w:pPr>
        <w:rPr>
          <w:rFonts w:ascii="Times New Roman" w:hAnsi="Times New Roman" w:eastAsia="微软雅黑" w:cs="Times New Roman"/>
          <w:lang w:eastAsia="zh-CN"/>
        </w:rPr>
      </w:pPr>
      <w:r>
        <w:rPr>
          <w:rFonts w:ascii="Times New Roman" w:hAnsi="Times New Roman" w:eastAsia="微软雅黑" w:cs="Times New Roman"/>
          <w:lang w:eastAsia="zh-CN"/>
        </w:rPr>
        <w:br w:type="page"/>
      </w:r>
    </w:p>
    <w:p w14:paraId="092FD41F">
      <w:pPr>
        <w:pStyle w:val="3"/>
        <w:numPr>
          <w:ilvl w:val="255"/>
          <w:numId w:val="0"/>
        </w:numPr>
        <w:jc w:val="left"/>
        <w:rPr>
          <w:rFonts w:hint="eastAsia"/>
          <w:color w:val="auto"/>
          <w:sz w:val="30"/>
          <w:lang w:eastAsia="zh-CN"/>
        </w:rPr>
      </w:pPr>
      <w:bookmarkStart w:id="80" w:name="_Toc1861"/>
      <w:bookmarkStart w:id="81" w:name="_Toc7713"/>
      <w:r>
        <w:rPr>
          <w:rFonts w:hint="eastAsia"/>
          <w:color w:val="auto"/>
          <w:sz w:val="30"/>
          <w:lang w:eastAsia="zh-CN"/>
        </w:rPr>
        <w:t>变异位点检测列表</w:t>
      </w:r>
      <w:bookmarkEnd w:id="80"/>
    </w:p>
    <w:p w14:paraId="75E03A05">
      <w:pPr>
        <w:rPr>
          <w:rFonts w:hint="eastAsia"/>
          <w:lang w:eastAsia="zh-CN"/>
        </w:rPr>
      </w:pPr>
      <w:r>
        <w:rPr>
          <w:rFonts w:ascii="Times New Roman" w:hAnsi="Times New Roman" w:eastAsia="微软雅黑" w:cs="Times New Roman"/>
          <w:bCs/>
          <w:sz w:val="21"/>
          <w:szCs w:val="21"/>
          <w:lang w:eastAsia="zh-CN"/>
        </w:rPr>
        <w:t>本次检测包含但不限于以下重要位点</w:t>
      </w:r>
    </w:p>
    <w:tbl>
      <w:tblPr>
        <w:tblStyle w:val="14"/>
        <w:tblW w:w="4998" w:type="pct"/>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fixed"/>
        <w:tblCellMar>
          <w:top w:w="0" w:type="dxa"/>
          <w:left w:w="108" w:type="dxa"/>
          <w:bottom w:w="0" w:type="dxa"/>
          <w:right w:w="108" w:type="dxa"/>
        </w:tblCellMar>
      </w:tblPr>
      <w:tblGrid>
        <w:gridCol w:w="1357"/>
        <w:gridCol w:w="1598"/>
        <w:gridCol w:w="3373"/>
        <w:gridCol w:w="3755"/>
      </w:tblGrid>
      <w:tr w14:paraId="4F0E36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l2br w:val="nil"/>
            </w:tcBorders>
            <w:shd w:val="clear" w:color="auto" w:fill="FFFFFF"/>
            <w:vAlign w:val="center"/>
          </w:tcPr>
          <w:p w14:paraId="23BDCB4C">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基因名称</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4B7BCF5">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Fonts w:ascii="宋体" w:hAnsi="宋体" w:eastAsia="宋体" w:cs="宋体"/>
                <w:b/>
                <w:bCs w:val="0"/>
                <w:i w:val="0"/>
                <w:iCs w:val="0"/>
                <w:color w:val="000000"/>
                <w:kern w:val="0"/>
                <w:sz w:val="20"/>
                <w:szCs w:val="20"/>
                <w:u w:val="none"/>
                <w:lang w:val="en-US" w:eastAsia="zh-CN" w:bidi="ar"/>
              </w:rPr>
              <w:t>外显子</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B83664">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碱基变化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融合类型</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D48628">
            <w:pPr>
              <w:keepNext w:val="0"/>
              <w:keepLines w:val="0"/>
              <w:widowControl/>
              <w:suppressLineNumbers w:val="0"/>
              <w:jc w:val="left"/>
              <w:textAlignment w:val="center"/>
              <w:rPr>
                <w:rFonts w:ascii="宋体" w:hAnsi="宋体" w:eastAsia="宋体" w:cs="宋体"/>
                <w:b/>
                <w:bCs w:val="0"/>
                <w:i w:val="0"/>
                <w:iCs w:val="0"/>
                <w:color w:val="000000"/>
                <w:sz w:val="20"/>
                <w:szCs w:val="20"/>
                <w:u w:val="none"/>
              </w:rPr>
            </w:pPr>
            <w:r>
              <w:rPr>
                <w:rStyle w:val="45"/>
                <w:b/>
                <w:bCs w:val="0"/>
                <w:color w:val="000000"/>
                <w:lang w:val="en-US" w:eastAsia="zh-CN" w:bidi="ar"/>
              </w:rPr>
              <w:t>氨基酸变化</w:t>
            </w:r>
            <w:r>
              <w:rPr>
                <w:rFonts w:hint="default" w:ascii="Times New Roman" w:hAnsi="Times New Roman" w:eastAsia="宋体" w:cs="Times New Roman"/>
                <w:b/>
                <w:bCs w:val="0"/>
                <w:i w:val="0"/>
                <w:iCs w:val="0"/>
                <w:color w:val="000000"/>
                <w:kern w:val="0"/>
                <w:sz w:val="20"/>
                <w:szCs w:val="20"/>
                <w:u w:val="none"/>
                <w:lang w:val="en-US" w:eastAsia="zh-CN" w:bidi="ar"/>
              </w:rPr>
              <w:t>/</w:t>
            </w:r>
            <w:r>
              <w:rPr>
                <w:rStyle w:val="45"/>
                <w:b/>
                <w:bCs w:val="0"/>
                <w:color w:val="000000"/>
                <w:lang w:val="en-US" w:eastAsia="zh-CN" w:bidi="ar"/>
              </w:rPr>
              <w:t>融合形式</w:t>
            </w:r>
          </w:p>
        </w:tc>
      </w:tr>
      <w:tr w14:paraId="71CF6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8A77E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FF31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96503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c.5558A&gt;C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660C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"https://www.ncbi.nlm.nih.gov/clinvar/variation/865016/" \o "865016"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t>1853</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18060E4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FACC3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351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CD98F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c.5527G&gt;C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19E49F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"https://www.ncbi.nlm.nih.gov/clinvar/variation/55614/" \o "55614"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1843</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7B8DB5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A912A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8FDB1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0A597A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c.5467G&gt;A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3FDC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"https://www.ncbi.nlm.nih.gov/clinvar/variation/55588/" \o "55588"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t>1823</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62E42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C8FC8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AABD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0AEE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c.5434C&gt;G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2FBA9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"https://www.ncbi.nlm.nih.gov/clinvar/variation/37670/" \o "37670"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1812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B74C0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D599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8A180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740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c.5075A&gt;C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4722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"https://www.ncbi.nlm.nih.gov/clinvar/variation/254641/" \o "254641"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D</w:t>
            </w:r>
            <w:r>
              <w:rPr>
                <w:rFonts w:hint="default" w:ascii="Times New Roman" w:hAnsi="Times New Roman" w:eastAsia="宋体" w:cs="Times New Roman"/>
                <w:b w:val="0"/>
                <w:bCs w:val="0"/>
                <w:i w:val="0"/>
                <w:iCs w:val="0"/>
                <w:color w:val="000000"/>
                <w:kern w:val="0"/>
                <w:sz w:val="20"/>
                <w:szCs w:val="20"/>
                <w:u w:val="none"/>
                <w:lang w:val="en-US" w:eastAsia="zh-CN" w:bidi="ar"/>
              </w:rPr>
              <w:t>1692</w:t>
            </w:r>
            <w:r>
              <w:rPr>
                <w:rFonts w:hint="eastAsia" w:ascii="Times New Roman" w:hAnsi="Times New Roman" w:eastAsia="宋体" w:cs="Times New Roman"/>
                <w:b w:val="0"/>
                <w:bCs w:val="0"/>
                <w:i w:val="0"/>
                <w:iCs w:val="0"/>
                <w:color w:val="000000"/>
                <w:kern w:val="0"/>
                <w:sz w:val="20"/>
                <w:szCs w:val="20"/>
                <w:u w:val="none"/>
                <w:lang w:val="en-US" w:eastAsia="zh-CN" w:bidi="ar"/>
              </w:rPr>
              <w: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743D15A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380E7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3CC94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8BA73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c.5054C&gt;T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4E4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"https://www.ncbi.nlm.nih.gov/clinvar/variation/55365/" \o "55365"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w:t>
            </w:r>
            <w:r>
              <w:rPr>
                <w:rFonts w:hint="default" w:ascii="Times New Roman" w:hAnsi="Times New Roman" w:eastAsia="宋体" w:cs="Times New Roman"/>
                <w:b w:val="0"/>
                <w:bCs w:val="0"/>
                <w:i w:val="0"/>
                <w:iCs w:val="0"/>
                <w:color w:val="000000"/>
                <w:kern w:val="0"/>
                <w:sz w:val="20"/>
                <w:szCs w:val="20"/>
                <w:u w:val="none"/>
                <w:lang w:val="en-US" w:eastAsia="zh-CN" w:bidi="ar"/>
              </w:rPr>
              <w:t>1685</w:t>
            </w:r>
            <w:r>
              <w:rPr>
                <w:rFonts w:hint="eastAsia" w:ascii="Times New Roman" w:hAnsi="Times New Roman" w:eastAsia="宋体" w:cs="Times New Roman"/>
                <w:b w:val="0"/>
                <w:bCs w:val="0"/>
                <w:i w:val="0"/>
                <w:iCs w:val="0"/>
                <w:color w:val="000000"/>
                <w:kern w:val="0"/>
                <w:sz w:val="20"/>
                <w:szCs w:val="20"/>
                <w:u w:val="none"/>
                <w:lang w:val="en-US" w:eastAsia="zh-CN" w:bidi="ar"/>
              </w:rPr>
              <w:t>I</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4A8D2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8B2EFE4">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BD654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B53166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c.4675G&gt;C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BC013B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"https://www.ncbi.nlm.nih.gov/clinvar/variation/37605/" \o "37605"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w:t>
            </w:r>
            <w:r>
              <w:rPr>
                <w:rFonts w:hint="default" w:ascii="Times New Roman" w:hAnsi="Times New Roman" w:eastAsia="宋体" w:cs="Times New Roman"/>
                <w:b w:val="0"/>
                <w:bCs w:val="0"/>
                <w:i w:val="0"/>
                <w:iCs w:val="0"/>
                <w:color w:val="000000"/>
                <w:kern w:val="0"/>
                <w:sz w:val="20"/>
                <w:szCs w:val="20"/>
                <w:u w:val="none"/>
                <w:lang w:val="en-US" w:eastAsia="zh-CN" w:bidi="ar"/>
              </w:rPr>
              <w:t>1559</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07F185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E3A47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2041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4EF33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c.4224G&gt;C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2716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"https://www.ncbi.nlm.nih.gov/clinvar/variation/694279/" \o "694279"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w:t>
            </w:r>
            <w:r>
              <w:rPr>
                <w:rFonts w:hint="default" w:ascii="Times New Roman" w:hAnsi="Times New Roman" w:eastAsia="宋体" w:cs="Times New Roman"/>
                <w:b w:val="0"/>
                <w:bCs w:val="0"/>
                <w:i w:val="0"/>
                <w:iCs w:val="0"/>
                <w:color w:val="000000"/>
                <w:kern w:val="0"/>
                <w:sz w:val="20"/>
                <w:szCs w:val="20"/>
                <w:u w:val="none"/>
                <w:lang w:val="en-US" w:eastAsia="zh-CN" w:bidi="ar"/>
              </w:rPr>
              <w:t>1408</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28FA0E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9B144A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C044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A352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c.191G&gt;A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1731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"https://www.ncbi.nlm.nih.gov/clinvar/variation/54400/" \o "54400"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Y</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9323C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FAAF95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278BBF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E8D8A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c.190T&gt;A</w:t>
            </w:r>
            <w:r>
              <w:rPr>
                <w:rFonts w:hint="eastAsia" w:ascii="Times New Roman" w:hAnsi="Times New Roman" w:eastAsia="宋体" w:cs="Times New Roman"/>
                <w:b w:val="0"/>
                <w:bCs w:val="0"/>
                <w:i w:val="0"/>
                <w:iCs w:val="0"/>
                <w:color w:val="000000"/>
                <w:kern w:val="0"/>
                <w:sz w:val="20"/>
                <w:szCs w:val="20"/>
                <w:u w:val="none"/>
                <w:lang w:val="en-US" w:eastAsia="zh-CN" w:bidi="ar"/>
              </w:rPr>
              <w:t xml:space="preserve">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AC67C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"https://www.ncbi.nlm.nih.gov/clinvar/variation/867317/" \o "867317"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64</w:t>
            </w:r>
            <w:r>
              <w:rPr>
                <w:rFonts w:hint="eastAsia" w:ascii="Times New Roman" w:hAnsi="Times New Roman" w:eastAsia="宋体" w:cs="Times New Roman"/>
                <w:b w:val="0"/>
                <w:bCs w:val="0"/>
                <w:i w:val="0"/>
                <w:iCs w:val="0"/>
                <w:color w:val="000000"/>
                <w:kern w:val="0"/>
                <w:sz w:val="20"/>
                <w:szCs w:val="20"/>
                <w:u w:val="none"/>
                <w:lang w:val="en-US" w:eastAsia="zh-CN" w:bidi="ar"/>
              </w:rPr>
              <w:t>S</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r>
      <w:tr w14:paraId="501B02B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FA8948D">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0B35C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F301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"https://www.ncbi.nlm.nih.gov/clinvar/variation/54246/" \o "54246"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c.140G&gt;A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E043D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47</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6D9B97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956E3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5E831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E3559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"https://www.ncbi.nlm.nih.gov/clinvar/variation/54199/" \o "54199"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c.131G&gt;A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17E2F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c</w:t>
            </w:r>
            <w:r>
              <w:rPr>
                <w:rFonts w:hint="default" w:ascii="Times New Roman" w:hAnsi="Times New Roman" w:eastAsia="宋体" w:cs="Times New Roman"/>
                <w:b w:val="0"/>
                <w:bCs w:val="0"/>
                <w:i w:val="0"/>
                <w:iCs w:val="0"/>
                <w:color w:val="000000"/>
                <w:kern w:val="0"/>
                <w:sz w:val="20"/>
                <w:szCs w:val="20"/>
                <w:u w:val="none"/>
                <w:lang w:val="en-US" w:eastAsia="zh-CN" w:bidi="ar"/>
              </w:rPr>
              <w:t>44</w:t>
            </w:r>
            <w:r>
              <w:rPr>
                <w:rFonts w:hint="eastAsia" w:ascii="Times New Roman" w:hAnsi="Times New Roman" w:eastAsia="宋体" w:cs="Times New Roman"/>
                <w:b w:val="0"/>
                <w:bCs w:val="0"/>
                <w:i w:val="0"/>
                <w:iCs w:val="0"/>
                <w:color w:val="000000"/>
                <w:kern w:val="0"/>
                <w:sz w:val="20"/>
                <w:szCs w:val="20"/>
                <w:u w:val="none"/>
                <w:lang w:val="en-US" w:eastAsia="zh-CN" w:bidi="ar"/>
              </w:rPr>
              <w:t>Y</w:t>
            </w:r>
          </w:p>
        </w:tc>
      </w:tr>
      <w:tr w14:paraId="17DD8C7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8C5F62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5BF2A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CD9856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"https://www.ncbi.nlm.nih.gov/clinvar/variation/54166/" \o "54166"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c.122A&gt;G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3FC5C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04588C4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04A4C7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FF97A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924F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"https://www.ncbi.nlm.nih.gov/clinvar/variation/230862/" \o "230862"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c.122A&gt;T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3EC27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H</w:t>
            </w:r>
            <w:r>
              <w:rPr>
                <w:rFonts w:hint="default" w:ascii="Times New Roman" w:hAnsi="Times New Roman" w:eastAsia="宋体" w:cs="Times New Roman"/>
                <w:b w:val="0"/>
                <w:bCs w:val="0"/>
                <w:i w:val="0"/>
                <w:iCs w:val="0"/>
                <w:color w:val="000000"/>
                <w:kern w:val="0"/>
                <w:sz w:val="20"/>
                <w:szCs w:val="20"/>
                <w:u w:val="none"/>
                <w:lang w:val="en-US" w:eastAsia="zh-CN" w:bidi="ar"/>
              </w:rPr>
              <w:t>41</w:t>
            </w:r>
            <w:r>
              <w:rPr>
                <w:rFonts w:hint="eastAsia" w:ascii="Times New Roman" w:hAnsi="Times New Roman" w:eastAsia="宋体" w:cs="Times New Roman"/>
                <w:b w:val="0"/>
                <w:bCs w:val="0"/>
                <w:i w:val="0"/>
                <w:iCs w:val="0"/>
                <w:color w:val="000000"/>
                <w:kern w:val="0"/>
                <w:sz w:val="20"/>
                <w:szCs w:val="20"/>
                <w:u w:val="none"/>
                <w:lang w:val="en-US" w:eastAsia="zh-CN" w:bidi="ar"/>
              </w:rPr>
              <w:t>L</w:t>
            </w:r>
          </w:p>
        </w:tc>
      </w:tr>
      <w:tr w14:paraId="374556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5DDA58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41BA2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260DE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"https://www.ncbi.nlm.nih.gov/clinvar/variation/867486/" \o "867486"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c.101C&gt;G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AC1A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P</w:t>
            </w:r>
            <w:r>
              <w:rPr>
                <w:rFonts w:hint="default" w:ascii="Times New Roman" w:hAnsi="Times New Roman" w:eastAsia="宋体" w:cs="Times New Roman"/>
                <w:b w:val="0"/>
                <w:bCs w:val="0"/>
                <w:i w:val="0"/>
                <w:iCs w:val="0"/>
                <w:color w:val="000000"/>
                <w:kern w:val="0"/>
                <w:sz w:val="20"/>
                <w:szCs w:val="20"/>
                <w:u w:val="none"/>
                <w:lang w:val="en-US" w:eastAsia="zh-CN" w:bidi="ar"/>
              </w:rPr>
              <w:t>34</w:t>
            </w:r>
            <w:r>
              <w:rPr>
                <w:rFonts w:hint="eastAsia" w:ascii="Times New Roman" w:hAnsi="Times New Roman" w:eastAsia="宋体" w:cs="Times New Roman"/>
                <w:b w:val="0"/>
                <w:bCs w:val="0"/>
                <w:i w:val="0"/>
                <w:iCs w:val="0"/>
                <w:color w:val="000000"/>
                <w:kern w:val="0"/>
                <w:sz w:val="20"/>
                <w:szCs w:val="20"/>
                <w:u w:val="none"/>
                <w:lang w:val="en-US" w:eastAsia="zh-CN" w:bidi="ar"/>
              </w:rPr>
              <w:t>R</w:t>
            </w:r>
          </w:p>
        </w:tc>
      </w:tr>
      <w:tr w14:paraId="27E1205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9940AD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91AF7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5F1E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"https://www.ncbi.nlm.nih.gov/clinvar/variation/54131/" \o "54131"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c.110C&gt;A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1730E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p.T37K</w:t>
            </w:r>
          </w:p>
        </w:tc>
      </w:tr>
      <w:tr w14:paraId="75DE3116">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911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CB49FE0">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82187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"https://www.ncbi.nlm.nih.gov/clinvar/variation/252890/" \o "252890"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 xml:space="preserve">c.77T&gt;A </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458A35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p.I26N</w:t>
            </w:r>
          </w:p>
        </w:tc>
      </w:tr>
      <w:tr w14:paraId="6B5CF16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CABC83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83A95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533A9A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"https://www.ncbi.nlm.nih.gov/clinvar/variation/55678/" \o "55678"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AA49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p.C24Y</w:t>
            </w:r>
          </w:p>
        </w:tc>
      </w:tr>
      <w:tr w14:paraId="1AD2C6D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86D10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28FA76">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C9A0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"https://www.ncbi.nlm.nih.gov/clinvar/variation/55656/" \o "55656"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c.65T&gt;C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68E7C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p.L22S</w:t>
            </w:r>
          </w:p>
        </w:tc>
      </w:tr>
      <w:tr w14:paraId="5D71382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7B6B7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A642D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A773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"https://www.ncbi.nlm.nih.gov/clinvar/variation/267523/" \o "267523"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407A1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p.M1I</w:t>
            </w:r>
          </w:p>
        </w:tc>
      </w:tr>
      <w:tr w14:paraId="2885FA5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FA87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B935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AC82D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c.2029G&gt;T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185583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p.G677*</w:t>
            </w:r>
          </w:p>
        </w:tc>
      </w:tr>
      <w:tr w14:paraId="2600210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9E410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E2BE2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10</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4BA2F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c.3442del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7A12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p.E1148Rfs*7</w:t>
            </w:r>
          </w:p>
        </w:tc>
      </w:tr>
      <w:tr w14:paraId="6CF316E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E20F2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BRCA1</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EFB5B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8CE7E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c.4327C&gt;T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9B22E6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p.R1443*</w:t>
            </w:r>
          </w:p>
        </w:tc>
      </w:tr>
      <w:tr w14:paraId="0A91DE2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95CE0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EB6F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4C6D73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c.2588dup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52C12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p.N863Kfs*18</w:t>
            </w:r>
          </w:p>
        </w:tc>
      </w:tr>
      <w:tr w14:paraId="20F9016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07D3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57FE8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75ADA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c.3109C&gt;T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124FA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p.Q1037*</w:t>
            </w:r>
          </w:p>
        </w:tc>
      </w:tr>
      <w:tr w14:paraId="018072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1227C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384D51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6348D4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c.5073del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5EAE7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p.K1691Nfs*15</w:t>
            </w:r>
          </w:p>
        </w:tc>
      </w:tr>
      <w:tr w14:paraId="645ECE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6C32B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87221E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376DF9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c.5351del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68C63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p.N1784Tfs*7</w:t>
            </w:r>
          </w:p>
        </w:tc>
      </w:tr>
      <w:tr w14:paraId="59FACE9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A9B64C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EE4C55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25D054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c.7322del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0CBCE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p.G2441Afs*26</w:t>
            </w:r>
          </w:p>
        </w:tc>
      </w:tr>
      <w:tr w14:paraId="28BDCCE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1727F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A337FF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BF2172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c.8021dup</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DC319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p.I2675Dfs*6</w:t>
            </w:r>
          </w:p>
        </w:tc>
      </w:tr>
      <w:tr w14:paraId="05D1408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BE1F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07E6BC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226A17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c.9523G&gt;T</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C19C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p.E3175*</w:t>
            </w:r>
          </w:p>
        </w:tc>
      </w:tr>
      <w:tr w14:paraId="3F52623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5DDF9A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7D337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A12C1">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c.9814del</w:t>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30F3F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p.D3272Ifs*3</w:t>
            </w:r>
          </w:p>
        </w:tc>
      </w:tr>
      <w:tr w14:paraId="298E6F0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78D6CD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5CEC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6</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08085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"https://www.ncbi.nlm.nih.gov/clinvar/variation/441345/" \o "441345"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c.516G&gt;T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5ADBA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p.K172N</w:t>
            </w:r>
          </w:p>
        </w:tc>
      </w:tr>
      <w:tr w14:paraId="4C67BC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AB04A4E">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4F5E7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E2BFD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"https://www.ncbi.nlm.nih.gov/clinvar/variation/52058/" \o "52058"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c.631G&gt;A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E836B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p.V211I</w:t>
            </w:r>
          </w:p>
        </w:tc>
      </w:tr>
      <w:tr w14:paraId="2191816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9A5194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31ADC5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D4C105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"https://www.ncbi.nlm.nih.gov/clinvar/variation/1070335/" \o "1070335"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c.3472G&gt;T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352B0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p.E1158*</w:t>
            </w:r>
          </w:p>
        </w:tc>
      </w:tr>
      <w:tr w14:paraId="253619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3E691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2AF1AF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D12434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"https://www.ncbi.nlm.nih.gov/clinvar/variation/37889/" \o "37889"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c.4222C&gt;T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BE6689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p.Q1408*</w:t>
            </w:r>
          </w:p>
        </w:tc>
      </w:tr>
      <w:tr w14:paraId="34CC62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13C39E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A1074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BA37F5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"https://www.ncbi.nlm.nih.gov/clinvar/variation/91826/" \o "91826"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c.4847T&gt;G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60422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p.L1616*</w:t>
            </w:r>
          </w:p>
        </w:tc>
      </w:tr>
      <w:tr w14:paraId="0FCD7E8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EDEB79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D28435C">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60C537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"https://www.ncbi.nlm.nih.gov/clinvar/variation/254543/" \o "254543"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c.4936G&gt;T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B88D5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p.E1646*</w:t>
            </w:r>
          </w:p>
        </w:tc>
      </w:tr>
      <w:tr w14:paraId="03393F9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5CF4BC">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1680BE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151F7D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"https://www.ncbi.nlm.nih.gov/clinvar/variation/431311/" \o "431311"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c.5087G&gt;T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82708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p.G1696V</w:t>
            </w:r>
          </w:p>
        </w:tc>
      </w:tr>
      <w:tr w14:paraId="45D3DFB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6A9FDD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E659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C8D0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"https://www.ncbi.nlm.nih.gov/clinvar/variation/254554/" \o "254554"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c.5200G&gt;T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4517D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p.E1734*</w:t>
            </w:r>
          </w:p>
        </w:tc>
      </w:tr>
      <w:tr w14:paraId="78627F1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06103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E078753">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EEB37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"https://www.ncbi.nlm.nih.gov/clinvar/variation/928833/" \o "928833"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c.5279C&gt;A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E26B74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p.S1760*</w:t>
            </w:r>
          </w:p>
        </w:tc>
      </w:tr>
      <w:tr w14:paraId="131C71D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4F0918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6B121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8B2F43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"https://www.ncbi.nlm.nih.gov/clinvar/variation/51894/" \o "51894"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c.5626G&gt;T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0EE6FF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p.E1876*</w:t>
            </w:r>
          </w:p>
        </w:tc>
      </w:tr>
      <w:tr w14:paraId="2CCB33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C7E1511">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9FDAD4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44759A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"https://www.ncbi.nlm.nih.gov/clinvar/variation/51939/" \o "51939"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c.5791C&gt;T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D0A9A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p.Q1931*</w:t>
            </w:r>
          </w:p>
        </w:tc>
      </w:tr>
      <w:tr w14:paraId="5B08D59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2FA344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B60B86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13733E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"https://www.ncbi.nlm.nih.gov/clinvar/variation/52112/" \o "52112"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c.6469C&gt;T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FC747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p.Q2157*</w:t>
            </w:r>
          </w:p>
        </w:tc>
      </w:tr>
      <w:tr w14:paraId="7C6F8B0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DC2CF62">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34E62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11</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E35E2B">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"https://www.ncbi.nlm.nih.gov/clinvar/variation/619645/" \o "619645"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c.6800C&gt;G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BCD369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p.S2267*</w:t>
            </w:r>
          </w:p>
        </w:tc>
      </w:tr>
      <w:tr w14:paraId="18B7653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A2E91E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F1CD59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13</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83588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"https://www.ncbi.nlm.nih.gov/clinvar/variation/38077/" \o "38077"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c.7007G&gt;A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94385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p.R2336H</w:t>
            </w:r>
          </w:p>
        </w:tc>
      </w:tr>
      <w:tr w14:paraId="0FE98B9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07EE85A">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D3DE7F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14</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3A3B6B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"https://www.ncbi.nlm.nih.gov/clinvar/variation/843456/" \o "843456"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c.7433T&gt;G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BBDD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p.L2478*</w:t>
            </w:r>
          </w:p>
        </w:tc>
      </w:tr>
      <w:tr w14:paraId="4965AE2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0A6AB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538A5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072040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"https://www.ncbi.nlm.nih.gov/clinvar/variation/232537/" \o "232537"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c.7826G&gt;T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3E815A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p.G2609V</w:t>
            </w:r>
          </w:p>
        </w:tc>
      </w:tr>
      <w:tr w14:paraId="0039AFD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23175">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778AEFA">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7DFB5E8">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"https://www.ncbi.nlm.nih.gov/clinvar/variation/52430/" \o "52430"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c.7879A&gt;T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5BB6F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p.I2627F</w:t>
            </w:r>
          </w:p>
        </w:tc>
      </w:tr>
      <w:tr w14:paraId="587C80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3CE9988">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AFDDE67">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17</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D714D8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fldChar w:fldCharType="begin"/>
            </w:r>
            <w:r>
              <w:rPr>
                <w:rFonts w:hint="default"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"https://www.ncbi.nlm.nih.gov/clinvar/variation/52455/" \o "52455" </w:instrTex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c.7976G&gt;C</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A3A7B1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p.R2659T</w:t>
            </w:r>
          </w:p>
        </w:tc>
      </w:tr>
      <w:tr w14:paraId="27ADD19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EB73139">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920063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E1945BD">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"https://www.ncbi.nlm.nih.gov/clinvar/variation/491343/" \o "491343"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c.8029G&gt;T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3A722B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E2677*</w:t>
            </w:r>
          </w:p>
        </w:tc>
      </w:tr>
      <w:tr w14:paraId="070343A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F4BAEAF">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3E220CE4">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28AF760">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"https://www.ncbi.nlm.nih.gov/clinvar/variation/9340/" \o "9340"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c.8165C&gt;G</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073E6E2F">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T2722R</w:t>
            </w:r>
          </w:p>
        </w:tc>
      </w:tr>
      <w:tr w14:paraId="37480DC5">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7679A39B">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A01982">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18</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A84FA25">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"https://www.ncbi.nlm.nih.gov/clinvar/variation/431343/" \o "431343"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c.8245C&gt;T</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4CC481CE">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Q2749*</w:t>
            </w:r>
          </w:p>
        </w:tc>
      </w:tr>
      <w:tr w14:paraId="34E6AB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40" w:hRule="atLeast"/>
        </w:trPr>
        <w:tc>
          <w:tcPr>
            <w:tcW w:w="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1D1325C3">
            <w:pPr>
              <w:keepNext w:val="0"/>
              <w:keepLines w:val="0"/>
              <w:widowControl/>
              <w:suppressLineNumbers w:val="0"/>
              <w:jc w:val="left"/>
              <w:textAlignment w:val="center"/>
              <w:rPr>
                <w:rFonts w:hint="eastAsia"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BRCA2</w:t>
            </w:r>
          </w:p>
        </w:tc>
        <w:tc>
          <w:tcPr>
            <w:tcW w:w="79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57674F1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t>22</w:t>
            </w:r>
          </w:p>
        </w:tc>
        <w:tc>
          <w:tcPr>
            <w:tcW w:w="167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656EC9C9">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begin"/>
            </w:r>
            <w:r>
              <w:rPr>
                <w:rFonts w:hint="eastAsia" w:ascii="Times New Roman" w:hAnsi="Times New Roman" w:eastAsia="宋体" w:cs="Times New Roman"/>
                <w:b w:val="0"/>
                <w:bCs w:val="0"/>
                <w:i w:val="0"/>
                <w:iCs w:val="0"/>
                <w:color w:val="000000"/>
                <w:kern w:val="0"/>
                <w:sz w:val="20"/>
                <w:szCs w:val="20"/>
                <w:u w:val="none"/>
                <w:lang w:val="en-US" w:eastAsia="zh-CN" w:bidi="ar"/>
              </w:rPr>
              <w:instrText xml:space="preserve"> HYPERLINK "https://www.ncbi.nlm.nih.gov/clinvar/variation/267123/" \o "267123" </w:instrText>
            </w:r>
            <w:r>
              <w:rPr>
                <w:rFonts w:hint="eastAsia" w:ascii="Times New Roman" w:hAnsi="Times New Roman" w:eastAsia="宋体" w:cs="Times New Roman"/>
                <w:b w:val="0"/>
                <w:bCs w:val="0"/>
                <w:i w:val="0"/>
                <w:iCs w:val="0"/>
                <w:color w:val="000000"/>
                <w:kern w:val="0"/>
                <w:sz w:val="20"/>
                <w:szCs w:val="20"/>
                <w:u w:val="none"/>
                <w:lang w:val="en-US" w:eastAsia="zh-CN" w:bidi="ar"/>
              </w:rPr>
              <w:fldChar w:fldCharType="separate"/>
            </w:r>
            <w:r>
              <w:rPr>
                <w:rFonts w:hint="default" w:ascii="Times New Roman" w:hAnsi="Times New Roman" w:eastAsia="宋体" w:cs="Times New Roman"/>
                <w:b w:val="0"/>
                <w:bCs w:val="0"/>
                <w:i w:val="0"/>
                <w:iCs w:val="0"/>
                <w:color w:val="000000"/>
                <w:kern w:val="0"/>
                <w:sz w:val="20"/>
                <w:szCs w:val="20"/>
                <w:u w:val="none"/>
                <w:lang w:val="en-US" w:eastAsia="zh-CN" w:bidi="ar"/>
              </w:rPr>
              <w:t>c.8951C&gt;A</w:t>
            </w:r>
            <w:r>
              <w:rPr>
                <w:rFonts w:hint="default" w:ascii="Times New Roman" w:hAnsi="Times New Roman" w:eastAsia="宋体" w:cs="Times New Roman"/>
                <w:b w:val="0"/>
                <w:bCs w:val="0"/>
                <w:i w:val="0"/>
                <w:iCs w:val="0"/>
                <w:color w:val="000000"/>
                <w:kern w:val="0"/>
                <w:sz w:val="20"/>
                <w:szCs w:val="20"/>
                <w:u w:val="none"/>
                <w:lang w:val="en-US" w:eastAsia="zh-CN" w:bidi="ar"/>
              </w:rPr>
              <w:fldChar w:fldCharType="end"/>
            </w:r>
          </w:p>
        </w:tc>
        <w:tc>
          <w:tcPr>
            <w:tcW w:w="1862" w:type="pct"/>
            <w:tcBorders>
              <w:top w:val="single" w:color="000000" w:sz="4" w:space="0"/>
              <w:left w:val="single" w:color="000000" w:sz="4" w:space="0"/>
              <w:bottom w:val="single" w:color="000000" w:sz="4" w:space="0"/>
              <w:right w:val="single" w:color="000000" w:sz="4" w:space="0"/>
            </w:tcBorders>
            <w:shd w:val="clear" w:color="auto" w:fill="FFFFFF"/>
            <w:vAlign w:val="center"/>
          </w:tcPr>
          <w:p w14:paraId="27CF9E96">
            <w:pPr>
              <w:keepNext w:val="0"/>
              <w:keepLines w:val="0"/>
              <w:widowControl/>
              <w:suppressLineNumbers w:val="0"/>
              <w:jc w:val="left"/>
              <w:textAlignment w:val="center"/>
              <w:rPr>
                <w:rFonts w:hint="default" w:ascii="Times New Roman" w:hAnsi="Times New Roman" w:eastAsia="宋体" w:cs="Times New Roman"/>
                <w:b w:val="0"/>
                <w:bCs w:val="0"/>
                <w:i w:val="0"/>
                <w:iCs w:val="0"/>
                <w:color w:val="000000"/>
                <w:kern w:val="0"/>
                <w:sz w:val="20"/>
                <w:szCs w:val="20"/>
                <w:u w:val="none"/>
                <w:lang w:val="en-US" w:eastAsia="zh-CN" w:bidi="ar"/>
              </w:rPr>
            </w:pPr>
            <w:r>
              <w:rPr>
                <w:rFonts w:hint="default" w:ascii="Times New Roman" w:hAnsi="Times New Roman" w:eastAsia="宋体" w:cs="Times New Roman"/>
                <w:b w:val="0"/>
                <w:bCs w:val="0"/>
                <w:i w:val="0"/>
                <w:iCs w:val="0"/>
                <w:color w:val="000000"/>
                <w:kern w:val="0"/>
                <w:sz w:val="20"/>
                <w:szCs w:val="20"/>
                <w:u w:val="none"/>
                <w:lang w:val="en-US" w:eastAsia="zh-CN" w:bidi="ar"/>
              </w:rPr>
              <w:t>p.</w:t>
            </w:r>
            <w:r>
              <w:rPr>
                <w:rFonts w:hint="eastAsia" w:ascii="Times New Roman" w:hAnsi="Times New Roman" w:eastAsia="宋体" w:cs="Times New Roman"/>
                <w:b w:val="0"/>
                <w:bCs w:val="0"/>
                <w:i w:val="0"/>
                <w:iCs w:val="0"/>
                <w:color w:val="000000"/>
                <w:kern w:val="0"/>
                <w:sz w:val="20"/>
                <w:szCs w:val="20"/>
                <w:u w:val="none"/>
                <w:lang w:val="en-US" w:eastAsia="zh-CN" w:bidi="ar"/>
              </w:rPr>
              <w:t>S2984*</w:t>
            </w:r>
          </w:p>
        </w:tc>
      </w:tr>
    </w:tbl>
    <w:p w14:paraId="0A4470BB">
      <w:pPr>
        <w:rPr>
          <w:rFonts w:hint="eastAsia" w:ascii="Times New Roman" w:hAnsi="Times New Roman"/>
          <w:color w:val="auto"/>
          <w:sz w:val="30"/>
          <w:highlight w:val="none"/>
          <w:lang w:eastAsia="zh-CN"/>
        </w:rPr>
      </w:pPr>
      <w:r>
        <w:rPr>
          <w:rFonts w:hint="eastAsia" w:ascii="Times New Roman" w:hAnsi="Times New Roman"/>
          <w:color w:val="auto"/>
          <w:sz w:val="30"/>
          <w:highlight w:val="none"/>
          <w:lang w:eastAsia="zh-CN"/>
        </w:rPr>
        <w:br w:type="page"/>
      </w:r>
    </w:p>
    <w:p w14:paraId="1ACD3348">
      <w:pPr>
        <w:pStyle w:val="3"/>
        <w:numPr>
          <w:ilvl w:val="255"/>
          <w:numId w:val="0"/>
        </w:numPr>
        <w:jc w:val="left"/>
        <w:rPr>
          <w:color w:val="auto"/>
          <w:sz w:val="30"/>
          <w:lang w:eastAsia="zh-CN"/>
        </w:rPr>
      </w:pPr>
      <w:bookmarkStart w:id="82" w:name="_Toc10464"/>
      <w:r>
        <w:rPr>
          <w:rFonts w:hint="eastAsia"/>
          <w:color w:val="auto"/>
          <w:sz w:val="30"/>
          <w:lang w:eastAsia="zh-CN"/>
        </w:rPr>
        <w:t>BRCA1&amp;BRCA2</w:t>
      </w:r>
      <w:bookmarkEnd w:id="75"/>
      <w:r>
        <w:rPr>
          <w:rFonts w:hint="eastAsia"/>
          <w:color w:val="auto"/>
          <w:sz w:val="30"/>
          <w:lang w:eastAsia="zh-CN"/>
        </w:rPr>
        <w:t>基因背景介绍</w:t>
      </w:r>
      <w:bookmarkEnd w:id="76"/>
      <w:bookmarkEnd w:id="81"/>
      <w:bookmarkEnd w:id="82"/>
    </w:p>
    <w:p w14:paraId="1A4E645C">
      <w:pPr>
        <w:spacing w:before="26"/>
        <w:jc w:val="both"/>
        <w:rPr>
          <w:rFonts w:ascii="Times New Roman" w:hAnsi="Times New Roman" w:eastAsia="微软雅黑" w:cs="Times New Roman"/>
          <w:sz w:val="8"/>
          <w:lang w:eastAsia="zh-CN"/>
        </w:rPr>
      </w:pPr>
      <w:r>
        <w:rPr>
          <w:rFonts w:ascii="Times New Roman" w:hAnsi="Times New Roman" w:eastAsia="微软雅黑" w:cs="Times New Roman"/>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vertAlign w:val="superscript"/>
          <w:lang w:eastAsia="zh-CN"/>
        </w:rPr>
        <w:t>a</w:t>
      </w:r>
      <w:r>
        <w:rPr>
          <w:rFonts w:ascii="Times New Roman" w:hAnsi="Times New Roman" w:eastAsia="微软雅黑" w:cs="Times New Roman"/>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364991D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668DB93E">
      <w:pPr>
        <w:spacing w:before="26"/>
        <w:rPr>
          <w:rFonts w:ascii="Times New Roman" w:hAnsi="Times New Roman" w:eastAsia="微软雅黑" w:cs="Times New Roman"/>
          <w:b/>
          <w:bCs/>
          <w:sz w:val="24"/>
          <w:szCs w:val="24"/>
          <w:lang w:eastAsia="zh-CN"/>
        </w:rPr>
      </w:pPr>
      <w:bookmarkStart w:id="83" w:name="_Toc26220"/>
      <w:r>
        <w:rPr>
          <w:rFonts w:ascii="Times New Roman" w:hAnsi="Times New Roman" w:eastAsia="微软雅黑" w:cs="Times New Roman"/>
          <w:b/>
          <w:bCs/>
          <w:sz w:val="24"/>
          <w:szCs w:val="24"/>
          <w:lang w:eastAsia="zh-CN"/>
        </w:rPr>
        <w:t>BRCA1&amp;BRCA2基因说明及用药提示</w:t>
      </w:r>
      <w:bookmarkStart w:id="84" w:name="_Hlk33179213"/>
    </w:p>
    <w:tbl>
      <w:tblPr>
        <w:tblStyle w:val="14"/>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820"/>
        <w:gridCol w:w="2129"/>
        <w:gridCol w:w="2549"/>
      </w:tblGrid>
      <w:tr w14:paraId="4C000C6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541"/>
            <w:vAlign w:val="center"/>
          </w:tcPr>
          <w:p w14:paraId="5ECFB4BE">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820" w:type="dxa"/>
            <w:tcBorders>
              <w:top w:val="nil"/>
              <w:left w:val="single" w:color="FFFFFF" w:sz="18" w:space="0"/>
              <w:bottom w:val="nil"/>
              <w:right w:val="single" w:color="FFFFFF" w:sz="18" w:space="0"/>
            </w:tcBorders>
            <w:shd w:val="clear" w:color="auto" w:fill="62B541"/>
            <w:vAlign w:val="center"/>
          </w:tcPr>
          <w:p w14:paraId="20B3D1CD">
            <w:pPr>
              <w:pStyle w:val="20"/>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129" w:type="dxa"/>
            <w:tcBorders>
              <w:top w:val="nil"/>
              <w:left w:val="single" w:color="FFFFFF" w:sz="18" w:space="0"/>
              <w:bottom w:val="nil"/>
              <w:right w:val="single" w:color="FFFFFF" w:sz="18" w:space="0"/>
            </w:tcBorders>
            <w:shd w:val="clear" w:color="auto" w:fill="62B541"/>
            <w:vAlign w:val="center"/>
          </w:tcPr>
          <w:p w14:paraId="3DFAAF27">
            <w:pPr>
              <w:pStyle w:val="20"/>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541"/>
            <w:vAlign w:val="center"/>
          </w:tcPr>
          <w:p w14:paraId="5CD575AE">
            <w:pPr>
              <w:pStyle w:val="20"/>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0883F69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tcBorders>
              <w:top w:val="nil"/>
            </w:tcBorders>
            <w:vAlign w:val="center"/>
          </w:tcPr>
          <w:p w14:paraId="516C3AA3">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1E8FA6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709" w:type="dxa"/>
            <w:vAlign w:val="center"/>
          </w:tcPr>
          <w:p w14:paraId="64F63F09">
            <w:pPr>
              <w:pStyle w:val="20"/>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820" w:type="dxa"/>
            <w:vAlign w:val="center"/>
          </w:tcPr>
          <w:p w14:paraId="29F17771">
            <w:pPr>
              <w:pStyle w:val="20"/>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129" w:type="dxa"/>
            <w:vAlign w:val="center"/>
          </w:tcPr>
          <w:p w14:paraId="6A126DE4">
            <w:pPr>
              <w:pStyle w:val="20"/>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7138DEDE">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p w14:paraId="1588E30F">
            <w:pPr>
              <w:pStyle w:val="20"/>
              <w:spacing w:before="35" w:line="319" w:lineRule="auto"/>
              <w:ind w:left="110" w:leftChars="50"/>
              <w:jc w:val="both"/>
              <w:rPr>
                <w:rFonts w:ascii="Times New Roman" w:hAnsi="Times New Roman" w:eastAsia="微软雅黑" w:cs="Times New Roman"/>
                <w:sz w:val="18"/>
                <w:szCs w:val="18"/>
              </w:rPr>
            </w:pPr>
          </w:p>
        </w:tc>
        <w:tc>
          <w:tcPr>
            <w:tcW w:w="2549" w:type="dxa"/>
            <w:vAlign w:val="center"/>
          </w:tcPr>
          <w:p w14:paraId="6B15BEA5">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095C7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0207" w:type="dxa"/>
            <w:gridSpan w:val="4"/>
            <w:vAlign w:val="center"/>
          </w:tcPr>
          <w:p w14:paraId="68933B54">
            <w:pPr>
              <w:pStyle w:val="20"/>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bookmarkEnd w:id="84"/>
    </w:tbl>
    <w:p w14:paraId="74AACC4C">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65267261">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1</w:t>
      </w:r>
      <w:r>
        <w:rPr>
          <w:rFonts w:hint="eastAsia" w:ascii="Times New Roman" w:hAnsi="Times New Roman" w:eastAsia="微软雅黑"/>
          <w:sz w:val="18"/>
          <w:szCs w:val="18"/>
          <w:lang w:eastAsia="zh-CN"/>
        </w:rPr>
        <w:t>表示</w:t>
      </w:r>
      <w:r>
        <w:rPr>
          <w:rFonts w:ascii="Times New Roman" w:hAnsi="Times New Roman" w:eastAsia="微软雅黑"/>
          <w:sz w:val="18"/>
          <w:szCs w:val="18"/>
          <w:lang w:eastAsia="zh-CN"/>
        </w:rPr>
        <w:t>FDA</w:t>
      </w:r>
      <w:r>
        <w:rPr>
          <w:rFonts w:hint="eastAsia" w:ascii="Times New Roman" w:hAnsi="Times New Roman" w:eastAsia="微软雅黑"/>
          <w:sz w:val="18"/>
          <w:szCs w:val="18"/>
          <w:lang w:eastAsia="zh-CN"/>
        </w:rPr>
        <w:t>获批</w:t>
      </w:r>
      <w:r>
        <w:rPr>
          <w:rFonts w:ascii="Times New Roman" w:hAnsi="Times New Roman" w:eastAsia="微软雅黑"/>
          <w:sz w:val="18"/>
          <w:szCs w:val="18"/>
          <w:lang w:eastAsia="zh-CN"/>
        </w:rPr>
        <w:t>药物</w:t>
      </w:r>
      <w:r>
        <w:rPr>
          <w:rFonts w:hint="eastAsia" w:ascii="Times New Roman" w:hAnsi="Times New Roman" w:eastAsia="微软雅黑"/>
          <w:sz w:val="18"/>
          <w:szCs w:val="18"/>
          <w:lang w:eastAsia="zh-CN"/>
        </w:rPr>
        <w:t>；</w:t>
      </w:r>
    </w:p>
    <w:p w14:paraId="37F47A07">
      <w:pPr>
        <w:pStyle w:val="39"/>
        <w:numPr>
          <w:ilvl w:val="0"/>
          <w:numId w:val="12"/>
        </w:numPr>
        <w:autoSpaceDE w:val="0"/>
        <w:autoSpaceDN w:val="0"/>
        <w:ind w:firstLineChars="0"/>
        <w:rPr>
          <w:rFonts w:ascii="Times New Roman" w:hAnsi="Times New Roman" w:eastAsia="微软雅黑"/>
          <w:sz w:val="18"/>
          <w:szCs w:val="18"/>
          <w:lang w:eastAsia="zh-CN"/>
        </w:rPr>
      </w:pPr>
      <w:r>
        <w:rPr>
          <w:rFonts w:hint="eastAsia" w:ascii="Times New Roman" w:hAnsi="Times New Roman" w:eastAsia="微软雅黑"/>
          <w:sz w:val="18"/>
          <w:szCs w:val="18"/>
          <w:lang w:eastAsia="zh-CN"/>
        </w:rPr>
        <w:t>数字</w:t>
      </w:r>
      <w:r>
        <w:rPr>
          <w:rFonts w:ascii="Times New Roman" w:hAnsi="Times New Roman" w:eastAsia="微软雅黑"/>
          <w:sz w:val="18"/>
          <w:szCs w:val="18"/>
          <w:lang w:eastAsia="zh-CN"/>
        </w:rPr>
        <w:t>2</w:t>
      </w:r>
      <w:r>
        <w:rPr>
          <w:rFonts w:hint="eastAsia" w:ascii="Times New Roman" w:hAnsi="Times New Roman" w:eastAsia="微软雅黑"/>
          <w:sz w:val="18"/>
          <w:szCs w:val="18"/>
          <w:lang w:eastAsia="zh-CN"/>
        </w:rPr>
        <w:t>表示临床试验的药物；</w:t>
      </w:r>
    </w:p>
    <w:p w14:paraId="00FA2AE1">
      <w:pPr>
        <w:pStyle w:val="39"/>
        <w:numPr>
          <w:ilvl w:val="0"/>
          <w:numId w:val="1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*表示NMPA获批药物。</w:t>
      </w:r>
      <w:r>
        <w:rPr>
          <w:rFonts w:hint="eastAsia" w:ascii="Times New Roman" w:hAnsi="Times New Roman" w:eastAsia="微软雅黑"/>
          <w:sz w:val="18"/>
          <w:szCs w:val="18"/>
          <w:lang w:eastAsia="zh-CN"/>
        </w:rPr>
        <w:br w:type="page"/>
      </w:r>
    </w:p>
    <w:p w14:paraId="62EB6DE5">
      <w:pPr>
        <w:pStyle w:val="3"/>
        <w:numPr>
          <w:ilvl w:val="255"/>
          <w:numId w:val="0"/>
        </w:numPr>
        <w:jc w:val="left"/>
        <w:rPr>
          <w:color w:val="auto"/>
          <w:sz w:val="30"/>
          <w:lang w:eastAsia="zh-CN"/>
        </w:rPr>
      </w:pPr>
      <w:bookmarkStart w:id="85" w:name="_Toc22908"/>
      <w:bookmarkStart w:id="86" w:name="_Toc14221"/>
      <w:r>
        <w:rPr>
          <w:rFonts w:hint="eastAsia"/>
          <w:color w:val="auto"/>
          <w:sz w:val="30"/>
          <w:lang w:eastAsia="zh-CN"/>
        </w:rPr>
        <w:t>易感人群特征</w:t>
      </w:r>
      <w:bookmarkEnd w:id="83"/>
      <w:bookmarkEnd w:id="85"/>
      <w:bookmarkEnd w:id="86"/>
    </w:p>
    <w:p w14:paraId="23F18FD4">
      <w:pPr>
        <w:spacing w:before="26"/>
        <w:rPr>
          <w:rFonts w:ascii="Times New Roman" w:hAnsi="Times New Roman" w:eastAsia="微软雅黑" w:cs="Times New Roman"/>
          <w:b/>
          <w:bCs/>
          <w:color w:val="416AAB"/>
          <w:sz w:val="24"/>
          <w:szCs w:val="24"/>
          <w:lang w:eastAsia="zh-CN"/>
        </w:rPr>
      </w:pPr>
    </w:p>
    <w:p w14:paraId="054681EB">
      <w:pPr>
        <w:spacing w:before="26"/>
        <w:rPr>
          <w:rFonts w:ascii="Times New Roman" w:hAnsi="Times New Roman" w:eastAsia="微软雅黑" w:cs="Times New Roman"/>
          <w:b/>
          <w:sz w:val="6"/>
          <w:lang w:eastAsia="zh-CN"/>
        </w:rPr>
      </w:pPr>
      <w:r>
        <w:rPr>
          <w:rFonts w:hint="eastAsia" w:ascii="Times New Roman" w:hAnsi="Times New Roman" w:eastAsia="微软雅黑" w:cs="Times New Roman"/>
          <w:b/>
          <w:bCs/>
          <w:sz w:val="24"/>
          <w:szCs w:val="24"/>
          <w:lang w:eastAsia="zh-CN"/>
        </w:rPr>
        <w:t>乳腺癌、卵巢癌易感人群特征</w:t>
      </w:r>
    </w:p>
    <w:p w14:paraId="2F692D76">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患者发病年龄≤45岁；</w:t>
      </w:r>
    </w:p>
    <w:p w14:paraId="1D3A436F">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2 患者发病年龄46</w:t>
      </w:r>
      <w:r>
        <w:rPr>
          <w:rFonts w:hint="eastAsia" w:ascii="Times New Roman" w:hAnsi="Times New Roman" w:eastAsia="微软雅黑" w:cs="Times New Roman"/>
          <w:lang w:eastAsia="zh-CN"/>
        </w:rPr>
        <w:t>~</w:t>
      </w:r>
      <w:r>
        <w:rPr>
          <w:rFonts w:ascii="Times New Roman" w:hAnsi="Times New Roman" w:eastAsia="微软雅黑" w:cs="Times New Roman"/>
          <w:lang w:eastAsia="zh-CN"/>
        </w:rPr>
        <w:t>50岁发病，同时伴有：</w:t>
      </w:r>
    </w:p>
    <w:p w14:paraId="78C28360">
      <w:pPr>
        <w:widowControl/>
        <w:numPr>
          <w:ilvl w:val="0"/>
          <w:numId w:val="13"/>
        </w:numPr>
        <w:spacing w:before="26"/>
        <w:ind w:firstLine="220" w:firstLineChars="100"/>
        <w:rPr>
          <w:rFonts w:ascii="Times New Roman" w:hAnsi="Times New Roman" w:eastAsia="微软雅黑" w:cs="Times New Roman"/>
        </w:rPr>
      </w:pPr>
      <w:r>
        <w:rPr>
          <w:rFonts w:ascii="Times New Roman" w:hAnsi="Times New Roman" w:eastAsia="微软雅黑" w:cs="Times New Roman"/>
        </w:rPr>
        <w:t>第二原发性乳腺癌；</w:t>
      </w:r>
    </w:p>
    <w:p w14:paraId="1AC0F081">
      <w:pPr>
        <w:spacing w:before="26"/>
        <w:ind w:firstLine="220" w:firstLineChars="100"/>
        <w:rPr>
          <w:rFonts w:ascii="Times New Roman" w:hAnsi="Times New Roman" w:eastAsia="微软雅黑" w:cs="Times New Roman"/>
          <w:lang w:eastAsia="zh-CN"/>
        </w:rPr>
      </w:pPr>
      <w:r>
        <w:rPr>
          <w:rFonts w:ascii="Times New Roman" w:hAnsi="Times New Roman" w:eastAsia="微软雅黑" w:cs="Times New Roman"/>
          <w:lang w:eastAsia="zh-CN"/>
        </w:rPr>
        <w:t>(2) 满足≥1项以下家族史标准：</w:t>
      </w:r>
    </w:p>
    <w:p w14:paraId="41DBFF93">
      <w:pPr>
        <w:spacing w:before="26"/>
        <w:ind w:left="880" w:leftChars="300" w:hanging="220" w:hangingChars="1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≥1血缘近亲有任何年龄发病的乳腺癌史、卵巢癌史、胰腺癌史、前列腺癌史（Gleason评分≥7）或导管内前列腺癌；</w:t>
      </w:r>
    </w:p>
    <w:p w14:paraId="6517C73D">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未知或有限的家族史；</w:t>
      </w:r>
    </w:p>
    <w:p w14:paraId="60DE2691">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患者发病年龄≤60岁发病，同时伴有：三阴性乳腺癌；</w:t>
      </w:r>
    </w:p>
    <w:p w14:paraId="719DE9BD">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所有男性乳腺癌患者；</w:t>
      </w:r>
    </w:p>
    <w:p w14:paraId="6B96D412">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5 任何年龄发病，同时满足≥1项以下家族史标准：</w:t>
      </w:r>
    </w:p>
    <w:p w14:paraId="2ABA555A">
      <w:pPr>
        <w:spacing w:before="26"/>
        <w:ind w:firstLine="660" w:firstLineChars="300"/>
        <w:rPr>
          <w:rFonts w:ascii="Times New Roman" w:hAnsi="Times New Roman" w:eastAsia="微软雅黑" w:cs="Times New Roman"/>
          <w:lang w:eastAsia="zh-CN"/>
        </w:rPr>
      </w:pPr>
      <w:r>
        <w:rPr>
          <w:rFonts w:hint="eastAsia"/>
          <w:lang w:eastAsia="zh-CN"/>
        </w:rPr>
        <w:t>①</w:t>
      </w:r>
      <w:r>
        <w:rPr>
          <w:rFonts w:ascii="Times New Roman" w:hAnsi="Times New Roman" w:eastAsia="微软雅黑" w:cs="Times New Roman"/>
          <w:lang w:eastAsia="zh-CN"/>
        </w:rPr>
        <w:t xml:space="preserve"> ≥1血缘近亲有≤50岁发病的乳腺癌史；</w:t>
      </w:r>
    </w:p>
    <w:p w14:paraId="50FEF107">
      <w:pPr>
        <w:spacing w:before="26"/>
        <w:ind w:firstLine="660" w:firstLineChars="300"/>
        <w:rPr>
          <w:rFonts w:ascii="Times New Roman" w:hAnsi="Times New Roman" w:eastAsia="微软雅黑" w:cs="Times New Roman"/>
          <w:lang w:eastAsia="zh-CN"/>
        </w:rPr>
      </w:pPr>
      <w:r>
        <w:rPr>
          <w:rFonts w:hint="eastAsia"/>
          <w:lang w:eastAsia="zh-CN"/>
        </w:rPr>
        <w:t>②</w:t>
      </w:r>
      <w:r>
        <w:rPr>
          <w:rFonts w:ascii="Times New Roman" w:hAnsi="Times New Roman" w:eastAsia="微软雅黑" w:cs="Times New Roman"/>
          <w:lang w:eastAsia="zh-CN"/>
        </w:rPr>
        <w:t xml:space="preserve"> 在任何年龄被诊断患有卵巢癌、胰腺癌或转移性前列腺癌或导管内前列腺癌；</w:t>
      </w:r>
    </w:p>
    <w:p w14:paraId="4236345D">
      <w:pPr>
        <w:spacing w:before="26"/>
        <w:ind w:firstLine="660" w:firstLineChars="300"/>
        <w:rPr>
          <w:rFonts w:ascii="Times New Roman" w:hAnsi="Times New Roman" w:eastAsia="微软雅黑" w:cs="Times New Roman"/>
          <w:lang w:eastAsia="zh-CN"/>
        </w:rPr>
      </w:pPr>
      <w:r>
        <w:rPr>
          <w:rFonts w:hint="eastAsia"/>
          <w:lang w:eastAsia="zh-CN"/>
        </w:rPr>
        <w:t>③</w:t>
      </w:r>
      <w:r>
        <w:rPr>
          <w:rFonts w:ascii="Times New Roman" w:hAnsi="Times New Roman" w:eastAsia="微软雅黑" w:cs="Times New Roman"/>
          <w:lang w:eastAsia="zh-CN"/>
        </w:rPr>
        <w:t xml:space="preserve"> ≥2血缘近亲有任何年龄发病的乳腺癌或前列腺癌（任何级别）；</w:t>
      </w:r>
    </w:p>
    <w:p w14:paraId="32A1D401">
      <w:pPr>
        <w:spacing w:before="26"/>
        <w:ind w:left="880" w:leftChars="300" w:hanging="220" w:hangingChars="10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有三级亲属患有乳腺癌和（或）卵巢癌，同时其有≥2血缘近亲患有乳腺癌（其中至少有1例≤50岁）和（或）卵巢癌；</w:t>
      </w:r>
    </w:p>
    <w:p w14:paraId="3D39D585">
      <w:pPr>
        <w:spacing w:before="26"/>
        <w:ind w:firstLine="660" w:firstLineChars="300"/>
        <w:rPr>
          <w:rFonts w:ascii="Times New Roman" w:hAnsi="Times New Roman" w:eastAsia="微软雅黑" w:cs="Times New Roman"/>
          <w:lang w:eastAsia="zh-CN"/>
        </w:rPr>
      </w:pPr>
      <w:r>
        <w:rPr>
          <w:rFonts w:hint="eastAsia"/>
          <w:lang w:eastAsia="zh-CN"/>
        </w:rPr>
        <w:t>⑤</w:t>
      </w:r>
      <w:r>
        <w:rPr>
          <w:rFonts w:ascii="Times New Roman" w:hAnsi="Times New Roman" w:eastAsia="微软雅黑" w:cs="Times New Roman"/>
          <w:lang w:eastAsia="zh-CN"/>
        </w:rPr>
        <w:t xml:space="preserve"> 血缘近亲有男性乳腺癌家族史；</w:t>
      </w:r>
    </w:p>
    <w:p w14:paraId="543E02EF">
      <w:pPr>
        <w:spacing w:before="26"/>
        <w:ind w:firstLine="660" w:firstLineChars="300"/>
        <w:rPr>
          <w:rFonts w:ascii="Times New Roman" w:hAnsi="Times New Roman" w:eastAsia="微软雅黑" w:cs="Times New Roman"/>
          <w:lang w:eastAsia="zh-CN"/>
        </w:rPr>
      </w:pPr>
      <w:r>
        <w:rPr>
          <w:rFonts w:hint="eastAsia"/>
          <w:lang w:eastAsia="zh-CN"/>
        </w:rPr>
        <w:t>⑥</w:t>
      </w:r>
      <w:r>
        <w:rPr>
          <w:lang w:eastAsia="zh-CN"/>
        </w:rPr>
        <w:t xml:space="preserve"> </w:t>
      </w:r>
      <w:r>
        <w:rPr>
          <w:rFonts w:ascii="Times New Roman" w:hAnsi="Times New Roman" w:eastAsia="微软雅黑" w:cs="Times New Roman"/>
          <w:lang w:eastAsia="zh-CN"/>
        </w:rPr>
        <w:t>有已知的家族型致病性BRCA1/2基因突变。</w:t>
      </w:r>
    </w:p>
    <w:p w14:paraId="31C6949C">
      <w:pPr>
        <w:spacing w:before="26"/>
        <w:ind w:firstLine="660" w:firstLineChars="300"/>
        <w:rPr>
          <w:rFonts w:ascii="Times New Roman" w:hAnsi="Times New Roman" w:eastAsia="微软雅黑" w:cs="Times New Roman"/>
          <w:lang w:eastAsia="zh-CN"/>
        </w:rPr>
      </w:pPr>
    </w:p>
    <w:p w14:paraId="4B172B50">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1C1176F5">
      <w:pPr>
        <w:rPr>
          <w:rFonts w:ascii="Times New Roman" w:hAnsi="Times New Roman" w:eastAsia="微软雅黑" w:cs="Times New Roman"/>
          <w:b/>
          <w:bCs/>
          <w:color w:val="416AAB"/>
          <w:sz w:val="24"/>
          <w:szCs w:val="24"/>
          <w:lang w:eastAsia="zh-CN"/>
        </w:rPr>
      </w:pPr>
      <w:r>
        <w:rPr>
          <w:rFonts w:ascii="Times New Roman" w:hAnsi="Times New Roman" w:eastAsia="微软雅黑" w:cs="Times New Roman"/>
          <w:b/>
          <w:bCs/>
          <w:color w:val="416AAB"/>
          <w:sz w:val="24"/>
          <w:szCs w:val="24"/>
          <w:lang w:eastAsia="zh-CN"/>
        </w:rPr>
        <w:br w:type="page"/>
      </w:r>
    </w:p>
    <w:p w14:paraId="4D8638BD">
      <w:pPr>
        <w:spacing w:before="26"/>
        <w:rPr>
          <w:rFonts w:ascii="Times New Roman" w:hAnsi="Times New Roman" w:eastAsia="微软雅黑" w:cs="Times New Roman"/>
          <w:b/>
          <w:sz w:val="4"/>
          <w:szCs w:val="21"/>
          <w:lang w:eastAsia="zh-CN"/>
        </w:rPr>
      </w:pPr>
      <w:r>
        <w:rPr>
          <w:rFonts w:hint="eastAsia" w:ascii="Times New Roman" w:hAnsi="Times New Roman" w:eastAsia="微软雅黑" w:cs="Times New Roman"/>
          <w:b/>
          <w:bCs/>
          <w:sz w:val="24"/>
          <w:szCs w:val="24"/>
          <w:lang w:eastAsia="zh-CN"/>
        </w:rPr>
        <w:t>前列腺癌易感人群特征</w:t>
      </w:r>
    </w:p>
    <w:p w14:paraId="6D6A3BAC">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1 &gt;50岁的男性；</w:t>
      </w:r>
    </w:p>
    <w:p w14:paraId="40111217">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 xml:space="preserve">2 </w:t>
      </w:r>
      <w:r>
        <w:rPr>
          <w:rFonts w:hint="eastAsia" w:ascii="Times New Roman" w:hAnsi="Times New Roman" w:eastAsia="微软雅黑" w:cs="Times New Roman"/>
          <w:lang w:eastAsia="zh-CN"/>
        </w:rPr>
        <w:t>患者个人有男性乳腺癌或胰腺癌病史；</w:t>
      </w:r>
    </w:p>
    <w:p w14:paraId="0D5D0D1B">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3 &gt;40岁且前列腺特异性抗原（PSA）&gt;1μg/L；</w:t>
      </w:r>
    </w:p>
    <w:p w14:paraId="67A015EE">
      <w:pPr>
        <w:spacing w:before="26"/>
        <w:rPr>
          <w:rFonts w:ascii="Times New Roman" w:hAnsi="Times New Roman" w:eastAsia="微软雅黑" w:cs="Times New Roman"/>
          <w:lang w:eastAsia="zh-CN"/>
        </w:rPr>
      </w:pPr>
      <w:r>
        <w:rPr>
          <w:rFonts w:ascii="Times New Roman" w:hAnsi="Times New Roman" w:eastAsia="微软雅黑" w:cs="Times New Roman"/>
          <w:lang w:eastAsia="zh-CN"/>
        </w:rPr>
        <w:t>4 &gt;45岁，同时满足≥1项一下家族史：</w:t>
      </w:r>
    </w:p>
    <w:p w14:paraId="259F1776">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有</w:t>
      </w:r>
      <w:r>
        <w:rPr>
          <w:rFonts w:hint="eastAsia" w:ascii="Times New Roman" w:hAnsi="Times New Roman" w:eastAsia="微软雅黑" w:cs="Times New Roman"/>
          <w:lang w:eastAsia="zh-CN"/>
        </w:rPr>
        <w:t>兄弟、父亲或其他家族成员在60岁前诊断为前列腺癌或因前列腺癌死亡；</w:t>
      </w:r>
    </w:p>
    <w:p w14:paraId="77B33589">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同系家属中具有多名包括胆管癌、乳腺癌、胰腺癌、前列腺癌、卵巢癌、结直肠癌、子宫内膜癌、胃癌、肾癌、黑色素瘤、小肠癌以及尿路上皮癌患者，特别是其确诊年龄≤50岁；</w:t>
      </w:r>
    </w:p>
    <w:p w14:paraId="22D9DC19">
      <w:pPr>
        <w:spacing w:before="26"/>
        <w:ind w:left="218" w:leftChars="99" w:firstLine="110" w:firstLine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已知家族携带相关胚系致病基因</w:t>
      </w:r>
      <w:r>
        <w:rPr>
          <w:rFonts w:ascii="Times New Roman" w:hAnsi="Times New Roman" w:eastAsia="微软雅黑" w:cs="Times New Roman"/>
          <w:lang w:eastAsia="zh-CN"/>
        </w:rPr>
        <w:t>（BRCA1/BRCA2等）</w:t>
      </w:r>
      <w:r>
        <w:rPr>
          <w:rFonts w:hint="eastAsia" w:ascii="Times New Roman" w:hAnsi="Times New Roman" w:eastAsia="微软雅黑" w:cs="Times New Roman"/>
          <w:lang w:eastAsia="zh-CN"/>
        </w:rPr>
        <w:t>突变。</w:t>
      </w:r>
    </w:p>
    <w:p w14:paraId="20B6AED0">
      <w:pPr>
        <w:spacing w:before="26"/>
        <w:ind w:left="218" w:leftChars="99" w:firstLine="2"/>
        <w:rPr>
          <w:rFonts w:ascii="Times New Roman" w:hAnsi="Times New Roman" w:eastAsia="微软雅黑" w:cs="Times New Roman"/>
          <w:lang w:eastAsia="zh-CN"/>
        </w:rPr>
      </w:pPr>
    </w:p>
    <w:p w14:paraId="2D0D69EA">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4F5F3A9B">
      <w:pPr>
        <w:spacing w:before="26"/>
        <w:rPr>
          <w:rFonts w:ascii="Times New Roman" w:hAnsi="Times New Roman" w:eastAsia="微软雅黑" w:cs="Times New Roman"/>
          <w:b/>
          <w:bCs/>
          <w:sz w:val="24"/>
          <w:szCs w:val="24"/>
          <w:lang w:eastAsia="zh-CN"/>
        </w:rPr>
      </w:pPr>
    </w:p>
    <w:p w14:paraId="2DF47480">
      <w:pPr>
        <w:spacing w:before="26"/>
        <w:rPr>
          <w:lang w:eastAsia="zh-CN"/>
        </w:rPr>
      </w:pPr>
      <w:r>
        <w:rPr>
          <w:rFonts w:hint="eastAsia" w:ascii="Times New Roman" w:hAnsi="Times New Roman" w:eastAsia="微软雅黑" w:cs="Times New Roman"/>
          <w:b/>
          <w:bCs/>
          <w:sz w:val="24"/>
          <w:szCs w:val="24"/>
          <w:lang w:eastAsia="zh-CN"/>
        </w:rPr>
        <w:t>胰腺癌易感人群特征</w:t>
      </w:r>
    </w:p>
    <w:p w14:paraId="0232B4A1">
      <w:pPr>
        <w:pStyle w:val="27"/>
        <w:outlineLvl w:val="9"/>
        <w:rPr>
          <w:b w:val="0"/>
          <w:bCs w:val="0"/>
          <w:color w:val="auto"/>
          <w:sz w:val="22"/>
          <w:szCs w:val="22"/>
        </w:rPr>
      </w:pPr>
      <w:bookmarkStart w:id="87" w:name="_Toc29484"/>
      <w:bookmarkStart w:id="88" w:name="_Toc32060"/>
      <w:bookmarkStart w:id="89" w:name="_Toc4680"/>
      <w:bookmarkStart w:id="90" w:name="_Toc27291"/>
      <w:bookmarkStart w:id="91" w:name="_Toc5400"/>
      <w:bookmarkStart w:id="92" w:name="_Toc13238"/>
      <w:bookmarkStart w:id="93" w:name="_Toc3846"/>
      <w:bookmarkStart w:id="94" w:name="_Toc5114"/>
      <w:bookmarkStart w:id="95" w:name="_Toc29283"/>
      <w:r>
        <w:rPr>
          <w:b w:val="0"/>
          <w:bCs w:val="0"/>
          <w:color w:val="auto"/>
          <w:sz w:val="22"/>
          <w:szCs w:val="22"/>
        </w:rPr>
        <w:t>1 40岁以上，同时伴有≥1项下述者</w:t>
      </w:r>
      <w:bookmarkEnd w:id="87"/>
      <w:bookmarkEnd w:id="88"/>
      <w:bookmarkEnd w:id="89"/>
      <w:bookmarkEnd w:id="90"/>
      <w:bookmarkEnd w:id="91"/>
      <w:bookmarkEnd w:id="92"/>
      <w:bookmarkEnd w:id="93"/>
      <w:bookmarkEnd w:id="94"/>
      <w:bookmarkEnd w:id="95"/>
    </w:p>
    <w:p w14:paraId="4693E890">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ascii="Times New Roman" w:hAnsi="Times New Roman" w:eastAsia="微软雅黑" w:cs="Times New Roman"/>
          <w:lang w:eastAsia="zh-CN"/>
        </w:rPr>
        <w:t>无家族遗传史的新近突发糖尿病患者；</w:t>
      </w:r>
    </w:p>
    <w:p w14:paraId="79B76273">
      <w:pPr>
        <w:spacing w:before="26"/>
        <w:ind w:left="218" w:leftChars="99" w:firstLine="110" w:firstLineChars="50"/>
        <w:rPr>
          <w:rFonts w:ascii="Times New Roman" w:hAnsi="Times New Roman" w:eastAsia="微软雅黑" w:cs="Times New Roman"/>
          <w:lang w:eastAsia="zh-CN"/>
        </w:rPr>
      </w:pPr>
      <w:r>
        <w:rPr>
          <w:rFonts w:hint="eastAsia"/>
          <w:lang w:eastAsia="zh-CN"/>
        </w:rPr>
        <w:t>②</w:t>
      </w:r>
      <w:r>
        <w:rPr>
          <w:lang w:eastAsia="zh-CN"/>
        </w:rPr>
        <w:t xml:space="preserve"> </w:t>
      </w:r>
      <w:r>
        <w:rPr>
          <w:rFonts w:ascii="Times New Roman" w:hAnsi="Times New Roman" w:eastAsia="微软雅黑" w:cs="Times New Roman"/>
          <w:lang w:eastAsia="zh-CN"/>
        </w:rPr>
        <w:t>有长期吸烟、饮酒、高脂肪和高蛋白饮食史；</w:t>
      </w:r>
    </w:p>
    <w:p w14:paraId="7848C418">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ascii="Times New Roman" w:hAnsi="Times New Roman" w:eastAsia="微软雅黑" w:cs="Times New Roman"/>
          <w:lang w:eastAsia="zh-CN"/>
        </w:rPr>
        <w:t>慢性胰腺炎反复发作者，尤其合并胰管结石的慢性胰腺炎；</w:t>
      </w:r>
      <w:r>
        <w:rPr>
          <w:rFonts w:hint="eastAsia" w:ascii="Times New Roman" w:hAnsi="Times New Roman" w:eastAsia="微软雅黑" w:cs="Times New Roman"/>
          <w:lang w:eastAsia="zh-CN"/>
        </w:rPr>
        <w:t>在胰腺炎发病后20年或在40岁时（选较早者）进行胰腺癌筛查</w:t>
      </w:r>
      <w:r>
        <w:rPr>
          <w:rFonts w:ascii="Times New Roman" w:hAnsi="Times New Roman" w:eastAsia="微软雅黑" w:cs="Times New Roman"/>
          <w:lang w:eastAsia="zh-CN"/>
        </w:rPr>
        <w:t>；</w:t>
      </w:r>
    </w:p>
    <w:p w14:paraId="608D39F9">
      <w:pPr>
        <w:spacing w:before="26"/>
        <w:ind w:left="218" w:leftChars="99" w:firstLine="110" w:firstLineChars="50"/>
        <w:rPr>
          <w:rFonts w:ascii="Times New Roman" w:hAnsi="Times New Roman" w:eastAsia="微软雅黑" w:cs="Times New Roman"/>
          <w:lang w:eastAsia="zh-CN"/>
        </w:rPr>
      </w:pPr>
      <w:r>
        <w:rPr>
          <w:rFonts w:hint="eastAsia"/>
          <w:lang w:eastAsia="zh-CN"/>
        </w:rPr>
        <w:t>④</w:t>
      </w:r>
      <w:r>
        <w:rPr>
          <w:lang w:eastAsia="zh-CN"/>
        </w:rPr>
        <w:t xml:space="preserve"> </w:t>
      </w:r>
      <w:r>
        <w:rPr>
          <w:rFonts w:ascii="Times New Roman" w:hAnsi="Times New Roman" w:eastAsia="微软雅黑" w:cs="Times New Roman"/>
          <w:lang w:eastAsia="zh-CN"/>
        </w:rPr>
        <w:t>主胰管型粘液乳头状瘤、粘液性囊性腺瘤，突性假乳头状瘤患者，有血清CA19-9升高者；</w:t>
      </w:r>
    </w:p>
    <w:p w14:paraId="36898559">
      <w:pPr>
        <w:pStyle w:val="27"/>
        <w:outlineLvl w:val="9"/>
        <w:rPr>
          <w:b w:val="0"/>
          <w:bCs w:val="0"/>
          <w:color w:val="auto"/>
          <w:sz w:val="22"/>
          <w:szCs w:val="22"/>
        </w:rPr>
      </w:pPr>
      <w:bookmarkStart w:id="96" w:name="_Toc783"/>
      <w:bookmarkStart w:id="97" w:name="_Toc1891"/>
      <w:bookmarkStart w:id="98" w:name="_Toc2976"/>
      <w:bookmarkStart w:id="99" w:name="_Toc22196"/>
      <w:bookmarkStart w:id="100" w:name="_Toc10299"/>
      <w:bookmarkStart w:id="101" w:name="_Toc126"/>
      <w:bookmarkStart w:id="102" w:name="_Toc32349"/>
      <w:bookmarkStart w:id="103" w:name="_Toc5838"/>
      <w:bookmarkStart w:id="104" w:name="_Toc21034"/>
      <w:r>
        <w:rPr>
          <w:b w:val="0"/>
          <w:bCs w:val="0"/>
          <w:color w:val="auto"/>
          <w:sz w:val="22"/>
          <w:szCs w:val="22"/>
        </w:rPr>
        <w:t>2 有胰腺癌家族史、糖尿病史</w:t>
      </w:r>
      <w:bookmarkEnd w:id="96"/>
      <w:bookmarkEnd w:id="97"/>
      <w:bookmarkEnd w:id="98"/>
      <w:bookmarkEnd w:id="99"/>
      <w:bookmarkEnd w:id="100"/>
      <w:bookmarkEnd w:id="101"/>
      <w:bookmarkEnd w:id="102"/>
      <w:bookmarkEnd w:id="103"/>
      <w:bookmarkEnd w:id="104"/>
    </w:p>
    <w:p w14:paraId="6AA5CCB1">
      <w:pPr>
        <w:spacing w:before="26"/>
        <w:ind w:left="218" w:leftChars="99" w:firstLine="110" w:firstLineChars="50"/>
        <w:rPr>
          <w:rFonts w:ascii="Times New Roman" w:hAnsi="Times New Roman" w:eastAsia="微软雅黑" w:cs="Times New Roman"/>
          <w:lang w:eastAsia="zh-CN"/>
        </w:rPr>
      </w:pPr>
      <w:r>
        <w:rPr>
          <w:rFonts w:hint="eastAsia"/>
          <w:lang w:eastAsia="zh-CN"/>
        </w:rPr>
        <w:t>①</w:t>
      </w:r>
      <w:r>
        <w:rPr>
          <w:lang w:eastAsia="zh-CN"/>
        </w:rPr>
        <w:t xml:space="preserve"> </w:t>
      </w:r>
      <w:r>
        <w:rPr>
          <w:rFonts w:hint="eastAsia" w:ascii="Times New Roman" w:hAnsi="Times New Roman" w:eastAsia="微软雅黑" w:cs="Times New Roman"/>
          <w:lang w:eastAsia="zh-CN"/>
        </w:rPr>
        <w:t>一级亲属被确认患有胰腺外分泌癌的个体；</w:t>
      </w:r>
    </w:p>
    <w:p w14:paraId="392A6BE5">
      <w:pPr>
        <w:spacing w:before="26"/>
        <w:ind w:left="438" w:leftChars="149" w:hanging="110" w:hangingChars="50"/>
        <w:rPr>
          <w:rFonts w:ascii="Times New Roman" w:hAnsi="Times New Roman" w:eastAsia="微软雅黑" w:cs="Times New Roman"/>
          <w:lang w:eastAsia="zh-CN"/>
        </w:rPr>
      </w:pPr>
      <w:r>
        <w:rPr>
          <w:rFonts w:hint="eastAsia"/>
          <w:lang w:eastAsia="zh-CN"/>
        </w:rPr>
        <w:t>②</w:t>
      </w:r>
      <w:r>
        <w:rPr>
          <w:lang w:eastAsia="zh-CN"/>
        </w:rPr>
        <w:t xml:space="preserve"> </w:t>
      </w:r>
      <w:r>
        <w:rPr>
          <w:rFonts w:hint="eastAsia" w:ascii="Times New Roman" w:hAnsi="Times New Roman" w:eastAsia="微软雅黑" w:cs="Times New Roman"/>
          <w:lang w:eastAsia="zh-CN"/>
        </w:rPr>
        <w:t>携带已知的胰腺癌遗传易感基因的致病/疑似致病突变（包括ATM、BRCA1、BRCA2、CDKN2A等，具体可参考第一部分所列基因）和有胰腺癌家族史（血缘一级亲属或二级亲属为胰腺癌患者）的人群；</w:t>
      </w:r>
    </w:p>
    <w:p w14:paraId="7B7F6553">
      <w:pPr>
        <w:spacing w:before="26"/>
        <w:ind w:left="438" w:leftChars="149" w:hanging="110" w:hangingChars="50"/>
        <w:rPr>
          <w:rFonts w:ascii="Times New Roman" w:hAnsi="Times New Roman" w:eastAsia="微软雅黑" w:cs="Times New Roman"/>
          <w:lang w:eastAsia="zh-CN"/>
        </w:rPr>
      </w:pPr>
      <w:r>
        <w:rPr>
          <w:rFonts w:hint="eastAsia"/>
          <w:lang w:eastAsia="zh-CN"/>
        </w:rPr>
        <w:t>③</w:t>
      </w:r>
      <w:r>
        <w:rPr>
          <w:lang w:eastAsia="zh-CN"/>
        </w:rPr>
        <w:t xml:space="preserve"> </w:t>
      </w:r>
      <w:r>
        <w:rPr>
          <w:rFonts w:hint="eastAsia" w:ascii="Times New Roman" w:hAnsi="Times New Roman" w:eastAsia="微软雅黑" w:cs="Times New Roman"/>
          <w:lang w:eastAsia="zh-CN"/>
        </w:rPr>
        <w:t>家族中有≥2个同支的一级亲属确诊为胰腺外分泌癌时，即使家族中没有携带已知的胚系致病/疑似致病突变也要进行早期筛查（某些机构建议1个一级亲属和1个二级亲属患胰腺癌时也进行筛查）；</w:t>
      </w:r>
    </w:p>
    <w:p w14:paraId="2AED1C24">
      <w:pPr>
        <w:spacing w:before="26"/>
        <w:ind w:left="438" w:leftChars="149" w:hanging="110" w:hangingChars="50"/>
        <w:rPr>
          <w:rFonts w:ascii="Times New Roman" w:hAnsi="Times New Roman" w:eastAsia="微软雅黑" w:cs="Times New Roman"/>
          <w:lang w:eastAsia="zh-CN"/>
        </w:rPr>
      </w:pPr>
      <w:r>
        <w:rPr>
          <w:rFonts w:hint="eastAsia"/>
          <w:lang w:eastAsia="zh-CN"/>
        </w:rPr>
        <w:t>④</w:t>
      </w:r>
      <w:r>
        <w:rPr>
          <w:lang w:eastAsia="zh-CN"/>
        </w:rPr>
        <w:t xml:space="preserve"> </w:t>
      </w:r>
      <w:r>
        <w:rPr>
          <w:rFonts w:hint="eastAsia" w:ascii="Times New Roman" w:hAnsi="Times New Roman" w:eastAsia="微软雅黑" w:cs="Times New Roman"/>
          <w:lang w:val="en-US" w:eastAsia="zh-CN"/>
        </w:rPr>
        <w:t>家</w:t>
      </w:r>
      <w:r>
        <w:rPr>
          <w:rFonts w:hint="eastAsia" w:ascii="Times New Roman" w:hAnsi="Times New Roman" w:eastAsia="微软雅黑" w:cs="Times New Roman"/>
          <w:lang w:eastAsia="zh-CN"/>
        </w:rPr>
        <w:t>族中有≥3个同支的一级和/或二级亲属确诊为胰腺外分泌癌时，即使家族中没有携带已知的胚系致病/疑似致病突变也要进行筛查。</w:t>
      </w:r>
    </w:p>
    <w:p w14:paraId="3E7AC15A">
      <w:pPr>
        <w:spacing w:before="26"/>
        <w:rPr>
          <w:rFonts w:ascii="Times New Roman" w:hAnsi="Times New Roman" w:eastAsia="微软雅黑" w:cs="Times New Roman"/>
          <w:sz w:val="18"/>
          <w:szCs w:val="18"/>
          <w:lang w:eastAsia="zh-CN"/>
        </w:rPr>
      </w:pPr>
    </w:p>
    <w:p w14:paraId="725D53ED">
      <w:pPr>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bookmarkEnd w:id="77"/>
    <w:bookmarkEnd w:id="78"/>
    <w:bookmarkEnd w:id="79"/>
    <w:p w14:paraId="2E57141F">
      <w:pPr>
        <w:rPr>
          <w:lang w:eastAsia="zh-CN"/>
        </w:rPr>
      </w:pPr>
    </w:p>
    <w:p w14:paraId="5DD1B941">
      <w:pPr>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p w14:paraId="5FBB5626">
      <w:pPr>
        <w:pStyle w:val="3"/>
        <w:numPr>
          <w:ilvl w:val="255"/>
          <w:numId w:val="0"/>
        </w:numPr>
        <w:jc w:val="left"/>
        <w:rPr>
          <w:color w:val="auto"/>
          <w:sz w:val="30"/>
          <w:lang w:eastAsia="zh-CN"/>
        </w:rPr>
      </w:pPr>
      <w:bookmarkStart w:id="105" w:name="_Toc3409"/>
      <w:bookmarkStart w:id="106" w:name="_Toc26926"/>
      <w:bookmarkStart w:id="107" w:name="_Toc11535"/>
      <w:bookmarkStart w:id="108" w:name="_Toc28061"/>
      <w:bookmarkStart w:id="109" w:name="_Toc15114"/>
      <w:bookmarkStart w:id="110" w:name="_Toc20170_WPSOffice_Level1"/>
      <w:bookmarkStart w:id="111" w:name="_Toc26985_WPSOffice_Level1"/>
      <w:bookmarkStart w:id="112" w:name="_Toc28454_WPSOffice_Level1"/>
      <w:r>
        <w:rPr>
          <w:rFonts w:hint="eastAsia"/>
          <w:color w:val="auto"/>
          <w:sz w:val="30"/>
          <w:lang w:eastAsia="zh-CN"/>
        </w:rPr>
        <w:t>检测方法与局限性</w:t>
      </w:r>
      <w:bookmarkEnd w:id="105"/>
      <w:bookmarkEnd w:id="106"/>
      <w:bookmarkEnd w:id="107"/>
      <w:bookmarkEnd w:id="108"/>
      <w:bookmarkEnd w:id="109"/>
    </w:p>
    <w:p w14:paraId="0859CAD2">
      <w:pPr>
        <w:rPr>
          <w:highlight w:val="yellow"/>
          <w:lang w:eastAsia="zh-CN"/>
        </w:rPr>
      </w:pPr>
    </w:p>
    <w:p w14:paraId="4CE996D7">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检测方法</w:t>
      </w:r>
    </w:p>
    <w:p w14:paraId="4D81DE56">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12ED2EA1">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lang w:eastAsia="zh-CN"/>
        </w:rPr>
        <w:t>本次检测的突变类型包含单碱基变异</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小片段插入缺失，提供全面可信的检测结果。</w:t>
      </w:r>
    </w:p>
    <w:p w14:paraId="2E5023C7">
      <w:pPr>
        <w:rPr>
          <w:rFonts w:hint="eastAsia" w:ascii="Times New Roman" w:hAnsi="Times New Roman" w:eastAsia="微软雅黑" w:cs="Times New Roman"/>
          <w:bCs/>
          <w:sz w:val="21"/>
          <w:szCs w:val="21"/>
          <w:highlight w:val="none"/>
          <w:lang w:eastAsia="zh-CN"/>
        </w:rPr>
      </w:pPr>
    </w:p>
    <w:p w14:paraId="273AE7A9">
      <w:pPr>
        <w:spacing w:line="276" w:lineRule="auto"/>
        <w:ind w:right="448"/>
        <w:rPr>
          <w:rFonts w:hint="eastAsia" w:ascii="Times New Roman" w:hAnsi="Times New Roman" w:eastAsia="微软雅黑" w:cs="Times New Roman"/>
          <w:b/>
          <w:bCs/>
          <w:sz w:val="24"/>
          <w:szCs w:val="24"/>
          <w:highlight w:val="none"/>
          <w:lang w:eastAsia="zh-CN"/>
        </w:rPr>
      </w:pPr>
      <w:r>
        <w:rPr>
          <w:rFonts w:hint="eastAsia" w:ascii="Times New Roman" w:hAnsi="Times New Roman" w:eastAsia="微软雅黑" w:cs="Times New Roman"/>
          <w:b/>
          <w:bCs/>
          <w:sz w:val="24"/>
          <w:szCs w:val="24"/>
          <w:highlight w:val="none"/>
          <w:lang w:eastAsia="zh-CN"/>
        </w:rPr>
        <w:t>局限性说明</w:t>
      </w:r>
    </w:p>
    <w:p w14:paraId="445F22D2">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530C9D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62E659B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3.本检测适用于发现指定基因DNA水平的变异，不涉及DNA甲基化、RNA水平或蛋白质水平的检测。</w:t>
      </w:r>
    </w:p>
    <w:p w14:paraId="251B500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4.如未检出指定基因的变异(即阴性结果)不能排除存在低于检测下限的变异的可能性。</w:t>
      </w:r>
    </w:p>
    <w:p w14:paraId="41E246A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5.肿瘤是一种复杂的系统性疾病，评定是否为恶性肿瘤需要由临床医生综合多种检查结果进行判定。本检测不能用于确认或排除恶性肿瘤的存在。</w:t>
      </w:r>
    </w:p>
    <w:p w14:paraId="6B8E924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6.部分患者不存在明确的靶向药物对应的基因突变，所以并非所有受检者都可以找到对应靶向药物或明确耐药机制。</w:t>
      </w:r>
    </w:p>
    <w:p w14:paraId="73FA45DD">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7.检测范围外的基因变异和/或药物间相互作用等非基因变异因素均可能影响药物效果等临床表型。</w:t>
      </w:r>
    </w:p>
    <w:p w14:paraId="0B3A191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8.变异检出的敏感性受到送检样本中恶性肿瘤细胞比例的影响。{% if summaryOfRresults.type == “tissue” %}</w:t>
      </w:r>
    </w:p>
    <w:p w14:paraId="2F8DC139">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9.肿瘤发展或治疗过程中可能出现获得性基因变异，从而使癌症的突变谱发生变化，同时肿瘤也可能存在肿瘤间和肿瘤内的异质性。{% endif %}{% if summaryOfRresults.type == “</w:t>
      </w:r>
      <w:r>
        <w:rPr>
          <w:rFonts w:hint="eastAsia" w:ascii="Times New Roman" w:hAnsi="Times New Roman" w:eastAsia="微软雅黑" w:cs="Times New Roman"/>
          <w:bCs/>
          <w:sz w:val="21"/>
          <w:szCs w:val="21"/>
          <w:lang w:val="en-US" w:eastAsia="zh-CN"/>
        </w:rPr>
        <w:t>blood</w:t>
      </w:r>
      <w:r>
        <w:rPr>
          <w:rFonts w:hint="eastAsia" w:ascii="Times New Roman" w:hAnsi="Times New Roman" w:eastAsia="微软雅黑" w:cs="Times New Roman"/>
          <w:bCs/>
          <w:sz w:val="21"/>
          <w:szCs w:val="21"/>
          <w:lang w:eastAsia="zh-CN"/>
        </w:rPr>
        <w:t>” %}</w:t>
      </w:r>
    </w:p>
    <w:p w14:paraId="79D4BD85">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9.外周血游离DNA(cfDNA)主要来自于正常细胞，其中的循环肿瘤DNA(ctDNA)占比一般极低。由于ctDNA占比受到肿瘤分期、肿瘤全身负荷、转移部位及当前治疗状况等多种因素的影响，ctDNA变异丰度与组织中的变异丰度不具备直接关联性；血浆中循环 DNA 源自病灶部位细胞释放入血液，并非所有病变细胞的变异都能释放入血，因此血浆中可检测到的变异可能无法完全反映病灶部位全部细胞变异情况。</w:t>
      </w:r>
    </w:p>
    <w:p w14:paraId="6FD29768">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lang w:eastAsia="zh-CN"/>
        </w:rPr>
        <w:t>10.肿瘤发展或治疗过程中可能出现获得性基因变异，从而使癌症的突变谱发生变化，同时肿瘤也可能存在肿瘤间和肿瘤内的异质性。{% endif %}</w:t>
      </w:r>
    </w:p>
    <w:p w14:paraId="5C16FA0E">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10"/>
    <w:bookmarkEnd w:id="111"/>
    <w:bookmarkEnd w:id="112"/>
    <w:p w14:paraId="07A13C2A">
      <w:pPr>
        <w:pStyle w:val="3"/>
        <w:numPr>
          <w:ilvl w:val="255"/>
          <w:numId w:val="0"/>
        </w:numPr>
        <w:jc w:val="left"/>
        <w:rPr>
          <w:color w:val="auto"/>
          <w:sz w:val="30"/>
          <w:lang w:eastAsia="zh-CN"/>
        </w:rPr>
      </w:pPr>
      <w:bookmarkStart w:id="113" w:name="_Toc19584_WPSOffice_Level1"/>
      <w:bookmarkStart w:id="114" w:name="_Toc4605"/>
      <w:bookmarkStart w:id="115" w:name="_Toc20752"/>
      <w:bookmarkStart w:id="116" w:name="_Toc13275"/>
      <w:bookmarkStart w:id="117" w:name="_Toc22162_WPSOffice_Level1"/>
      <w:bookmarkStart w:id="118" w:name="_Toc14611_WPSOffice_Level1"/>
      <w:bookmarkStart w:id="119" w:name="_Toc22623"/>
      <w:r>
        <w:rPr>
          <w:rFonts w:hint="eastAsia"/>
          <w:color w:val="auto"/>
          <w:sz w:val="30"/>
          <w:lang w:eastAsia="zh-CN"/>
        </w:rPr>
        <w:t>参考文献</w:t>
      </w:r>
      <w:bookmarkEnd w:id="113"/>
      <w:bookmarkEnd w:id="114"/>
      <w:bookmarkEnd w:id="115"/>
      <w:bookmarkEnd w:id="116"/>
      <w:bookmarkEnd w:id="117"/>
    </w:p>
    <w:p w14:paraId="6237A4D6">
      <w:pPr>
        <w:rPr>
          <w:lang w:eastAsia="zh-CN"/>
        </w:rPr>
      </w:pPr>
    </w:p>
    <w:bookmarkEnd w:id="118"/>
    <w:bookmarkEnd w:id="119"/>
    <w:p w14:paraId="0E6E023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Nakonechny Q B, Gilks C B. Ovarian cancer in hereditary cancer susceptibility syndromes[J]. Surgical pathology clinics, 2016, 9(2): 189-199.</w:t>
      </w:r>
      <w:r>
        <w:rPr>
          <w:rFonts w:ascii="Times New Roman" w:hAnsi="Times New Roman" w:eastAsia="微软雅黑" w:cs="Times New Roman"/>
          <w:sz w:val="15"/>
          <w:szCs w:val="15"/>
          <w:shd w:val="clear" w:color="auto" w:fill="FFFFFF"/>
          <w:lang w:eastAsia="zh-CN"/>
        </w:rPr>
        <w:t xml:space="preserve"> [PMID: 27241103]</w:t>
      </w:r>
    </w:p>
    <w:p w14:paraId="1EF599E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Chui M H, Ryan P, Radigan J, et al. The histomorphology of Lynch syndrome–associated ovarian carcinomas: toward a subtype-specific screening strategy[J]. The American journal of surgical pathology, 2014, 38(9): 1173-1181.</w:t>
      </w:r>
      <w:r>
        <w:rPr>
          <w:rFonts w:ascii="Times New Roman" w:hAnsi="Times New Roman" w:eastAsia="微软雅黑" w:cs="Times New Roman"/>
          <w:sz w:val="15"/>
          <w:szCs w:val="15"/>
          <w:shd w:val="clear" w:color="auto" w:fill="FFFFFF"/>
          <w:lang w:eastAsia="zh-CN"/>
        </w:rPr>
        <w:t xml:space="preserve"> [PMID: 25025451]</w:t>
      </w:r>
    </w:p>
    <w:p w14:paraId="74107215">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Lu K H, Daniels M. Endometrial and ovarian cancer in women with Lynch syndrome: update in screening and prevention[J]. Familial cancer, 2013, 12(2): 273-277.</w:t>
      </w:r>
      <w:r>
        <w:rPr>
          <w:rFonts w:ascii="Times New Roman" w:hAnsi="Times New Roman" w:eastAsia="微软雅黑" w:cs="Times New Roman"/>
          <w:sz w:val="15"/>
          <w:szCs w:val="15"/>
          <w:shd w:val="clear" w:color="auto" w:fill="FFFFFF"/>
          <w:lang w:eastAsia="zh-CN"/>
        </w:rPr>
        <w:t xml:space="preserve"> [PMID: 23765559]</w:t>
      </w:r>
    </w:p>
    <w:p w14:paraId="29F4B2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Lancaster J M, Powell C B, Chen L, et al. Society of Gynecologic Oncology statement on risk assessment for inherited gynecologic cancer predispositions[J]. Gynecologic oncology, 2015, 136(1): 3-7.</w:t>
      </w:r>
      <w:r>
        <w:rPr>
          <w:rFonts w:ascii="Times New Roman" w:hAnsi="Times New Roman" w:eastAsia="微软雅黑" w:cs="Times New Roman"/>
          <w:sz w:val="15"/>
          <w:szCs w:val="15"/>
          <w:shd w:val="clear" w:color="auto" w:fill="FFFFFF"/>
          <w:lang w:eastAsia="zh-CN"/>
        </w:rPr>
        <w:t xml:space="preserve"> [PMID: 25238946]</w:t>
      </w:r>
    </w:p>
    <w:p w14:paraId="51E77236">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Tr R, Mitra N, Wan F, et al. Association of type and location of BRCA1 and BRCA2 mutations with risk of breast and ovarian cancer[J]. JAMA INTERNAL MEDICINE, 2015 (Aprile): 1347-1361.</w:t>
      </w:r>
      <w:r>
        <w:rPr>
          <w:rFonts w:ascii="Times New Roman" w:hAnsi="Times New Roman" w:eastAsia="微软雅黑" w:cs="Times New Roman"/>
          <w:sz w:val="15"/>
          <w:szCs w:val="15"/>
          <w:shd w:val="clear" w:color="auto" w:fill="FFFFFF"/>
          <w:lang w:eastAsia="zh-CN"/>
        </w:rPr>
        <w:t xml:space="preserve"> [PMID: 25849179]</w:t>
      </w:r>
    </w:p>
    <w:p w14:paraId="087D4B5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Daly M B, Axilbund J E, Buys S, et al. Genetic/familial high-risk assessment: breast and ovarian[J]. Journal of the National Comprehensive Cancer Network, 2010, 8(5): 562-594.</w:t>
      </w:r>
      <w:r>
        <w:rPr>
          <w:rFonts w:ascii="Times New Roman" w:hAnsi="Times New Roman" w:eastAsia="微软雅黑" w:cs="Times New Roman"/>
          <w:sz w:val="15"/>
          <w:szCs w:val="15"/>
          <w:shd w:val="clear" w:color="auto" w:fill="FFFFFF"/>
          <w:lang w:eastAsia="zh-CN"/>
        </w:rPr>
        <w:t xml:space="preserve"> [PMID: 20495085]</w:t>
      </w:r>
    </w:p>
    <w:p w14:paraId="6BC984B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Walsh C S, Blum A, Walts A, et al. Lynch syndrome among gynecologic oncology patients meeting Bethesda guidelines for screening[J]. Gynecologic oncology, 2010, 116(3): 516-521.</w:t>
      </w:r>
      <w:r>
        <w:rPr>
          <w:rFonts w:ascii="Times New Roman" w:hAnsi="Times New Roman" w:eastAsia="微软雅黑" w:cs="Times New Roman"/>
          <w:sz w:val="15"/>
          <w:szCs w:val="15"/>
          <w:shd w:val="clear" w:color="auto" w:fill="FFFFFF"/>
          <w:lang w:eastAsia="zh-CN"/>
        </w:rPr>
        <w:t xml:space="preserve"> [PMID: 20034658]</w:t>
      </w:r>
    </w:p>
    <w:p w14:paraId="3181B42A">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Shulman L P. Hereditary breast and ovarian cancer (HBOC): clinical features and counseling for BRCA1 and BRCA2, Lynch syndrome, Cowden syndrome, and Li-Fraumeni syndrome[J]. Obstetrics and Gynecology Clinics, 2010, 37(1): 109-133.</w:t>
      </w:r>
      <w:r>
        <w:rPr>
          <w:rFonts w:ascii="Times New Roman" w:hAnsi="Times New Roman" w:eastAsia="微软雅黑" w:cs="Times New Roman"/>
          <w:sz w:val="15"/>
          <w:szCs w:val="15"/>
          <w:shd w:val="clear" w:color="auto" w:fill="FFFFFF"/>
          <w:lang w:eastAsia="zh-CN"/>
        </w:rPr>
        <w:t xml:space="preserve"> [PMID: 20494261]</w:t>
      </w:r>
    </w:p>
    <w:p w14:paraId="0B524AAD">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Zhang S, Royer R, Li S, et al. Frequencies of BRCA1 and BRCA2 mutations among 1,342 unselected patients with invasive ovarian cancer[J]. Gynecologic oncology, 2011, 121(2): 353-357.</w:t>
      </w:r>
      <w:r>
        <w:rPr>
          <w:rFonts w:ascii="Times New Roman" w:hAnsi="Times New Roman" w:eastAsia="微软雅黑" w:cs="Times New Roman"/>
          <w:sz w:val="15"/>
          <w:szCs w:val="15"/>
          <w:shd w:val="clear" w:color="auto" w:fill="FFFFFF"/>
          <w:lang w:eastAsia="zh-CN"/>
        </w:rPr>
        <w:t xml:space="preserve"> [PMID: 21324516]</w:t>
      </w:r>
    </w:p>
    <w:p w14:paraId="5441DF94">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Liu G, Yang D, Sun Y, et al. Differing clinical impact of BRCA1 and BRCA2 mutations in serous ovarian cancer[J]. Pharmacogenomics, 2012, 13(13): 1523-1535.</w:t>
      </w:r>
      <w:r>
        <w:rPr>
          <w:rFonts w:ascii="Times New Roman" w:hAnsi="Times New Roman" w:eastAsia="微软雅黑" w:cs="Times New Roman"/>
          <w:sz w:val="15"/>
          <w:szCs w:val="15"/>
          <w:shd w:val="clear" w:color="auto" w:fill="FFFFFF"/>
          <w:lang w:eastAsia="zh-CN"/>
        </w:rPr>
        <w:t xml:space="preserve"> [PMID: 23057551]</w:t>
      </w:r>
    </w:p>
    <w:p w14:paraId="76E57FD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Finch A, Beiner M, Lubinski J, et al. Salpingo-oophorectomy and the risk of ovarian, fallopian tube, and peritoneal cancers in women with a BRCA1 or BRCA2 Mutation[J]. Jama, 2006, 296(2): 185-192.</w:t>
      </w:r>
      <w:r>
        <w:rPr>
          <w:rFonts w:ascii="Times New Roman" w:hAnsi="Times New Roman" w:eastAsia="微软雅黑" w:cs="Times New Roman"/>
          <w:sz w:val="15"/>
          <w:szCs w:val="15"/>
          <w:shd w:val="clear" w:color="auto" w:fill="FFFFFF"/>
          <w:lang w:eastAsia="zh-CN"/>
        </w:rPr>
        <w:t xml:space="preserve"> [PMID: 16835424]</w:t>
      </w:r>
    </w:p>
    <w:p w14:paraId="1B095E0C">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Stan D L, Shuster L T, Wick M J, et al. Challenging and complex decisions in the management of the BRCA mutation carrier[J]. Journal of Women's Health, 2013, 22(10): 825-834.</w:t>
      </w:r>
      <w:r>
        <w:rPr>
          <w:rFonts w:ascii="Times New Roman" w:hAnsi="Times New Roman" w:eastAsia="微软雅黑" w:cs="Times New Roman"/>
          <w:sz w:val="15"/>
          <w:szCs w:val="15"/>
          <w:shd w:val="clear" w:color="auto" w:fill="FFFFFF"/>
          <w:lang w:eastAsia="zh-CN"/>
        </w:rPr>
        <w:t xml:space="preserve"> [PMID: 23987739]</w:t>
      </w:r>
    </w:p>
    <w:p w14:paraId="029A45F1">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Elit L, Hirte H. Palliative systemic therapy for women with recurrent epithelial ovarian cancer: current options[J]. OncoTargets and therapy, 2013, 6: 107.</w:t>
      </w:r>
      <w:r>
        <w:rPr>
          <w:rFonts w:ascii="Times New Roman" w:hAnsi="Times New Roman" w:eastAsia="微软雅黑" w:cs="Times New Roman"/>
          <w:sz w:val="15"/>
          <w:szCs w:val="15"/>
          <w:shd w:val="clear" w:color="auto" w:fill="FFFFFF"/>
          <w:lang w:eastAsia="zh-CN"/>
        </w:rPr>
        <w:t xml:space="preserve"> [PMID: 23459506]</w:t>
      </w:r>
    </w:p>
    <w:p w14:paraId="0FDFE26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Suh D H, Lee K H, Kim K, et al. Major clinical research advances in gynecologic cancer in 2014[J]. Journal of gynecologic oncology, 2015, 26(2): 156-167.</w:t>
      </w:r>
      <w:r>
        <w:rPr>
          <w:rFonts w:ascii="Times New Roman" w:hAnsi="Times New Roman" w:eastAsia="微软雅黑" w:cs="Times New Roman"/>
          <w:sz w:val="15"/>
          <w:szCs w:val="15"/>
          <w:shd w:val="clear" w:color="auto" w:fill="FFFFFF"/>
          <w:lang w:eastAsia="zh-CN"/>
        </w:rPr>
        <w:t xml:space="preserve"> [PMID: 25872896]</w:t>
      </w:r>
    </w:p>
    <w:p w14:paraId="6FDDC867">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 Angelina Tjokrowidjaja A B, et al. Prognostic nomogram for progression-free survival in patients with BRCA mutations and platinum-sensitive recurrent ovarian cancer on maintenance olaparib therapy following response to chemotherapy[J]. European Journal of Cancer, 2021, 154:190-200. [PMID: 34293664]</w:t>
      </w:r>
    </w:p>
    <w:p w14:paraId="21410DB2">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Andrew R Clamp, Domenica Lorusso, Amit M Oza, et al. Rucaparib maintenance treatment for recurrent ovarian carcinoma: the effects of progression-free interval and prior therapies on efficacy and safety in the randomized phase III trial ARIEL3[J]. Int J Gynecol Cancer. 2021, 31(7):949-958. [PMID: 34103386]</w:t>
      </w:r>
    </w:p>
    <w:p w14:paraId="59E4E82A">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Chee Khoon Lee, Michael L Friedlander, Angelina Tjokrowidjaja, et al. Molecular and clinical predictors of improvement in progression‐free survival with maintenance PARP inhibitor therapy in women with platinum‐sensitive, recurrent ovarian cancer: A meta‐analysis[J]. Cancer, 2021. 127(14):2432-2441. [PMID: 33740262]</w:t>
      </w:r>
    </w:p>
    <w:p w14:paraId="67CDAFCC">
      <w:pPr>
        <w:widowControl/>
        <w:adjustRightInd w:val="0"/>
        <w:snapToGrid w:val="0"/>
        <w:spacing w:after="120" w:afterLines="50"/>
        <w:jc w:val="both"/>
        <w:rPr>
          <w:rFonts w:ascii="Times New Roman" w:hAnsi="Times New Roman" w:eastAsia="微软雅黑" w:cs="Times New Roman"/>
          <w:sz w:val="15"/>
          <w:szCs w:val="15"/>
          <w:shd w:val="clear" w:color="auto" w:fill="FFFFFF"/>
          <w:lang w:eastAsia="zh-CN"/>
        </w:rPr>
      </w:pPr>
      <w:r>
        <w:rPr>
          <w:rFonts w:ascii="Times New Roman" w:hAnsi="Times New Roman" w:eastAsia="微软雅黑" w:cs="Times New Roman"/>
          <w:sz w:val="15"/>
          <w:szCs w:val="15"/>
          <w:shd w:val="clear" w:color="auto" w:fill="FFFFFF"/>
          <w:lang w:eastAsia="zh-CN"/>
        </w:rPr>
        <w:t>Arnold Lee. Fuzuloparib: First Approval[J]. Drugs. 2021, 81(10):1221-1226. [PMID: 34118019]</w:t>
      </w:r>
    </w:p>
    <w:p w14:paraId="1234F29B">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fldChar w:fldCharType="begin"/>
      </w:r>
      <w:r>
        <w:instrText xml:space="preserve"> HYPERLINK "https://pubmed.ncbi.nlm.nih.gov/?sort=date&amp;term=Markham+A&amp;cauthor_id=34287805" </w:instrText>
      </w:r>
      <w:r>
        <w:fldChar w:fldCharType="separate"/>
      </w:r>
      <w:r>
        <w:rPr>
          <w:rFonts w:ascii="Times New Roman" w:hAnsi="Times New Roman" w:eastAsia="微软雅黑" w:cs="Times New Roman"/>
          <w:sz w:val="15"/>
          <w:szCs w:val="15"/>
          <w:shd w:val="clear" w:color="auto" w:fill="FFFFFF"/>
        </w:rPr>
        <w:t>Anthony Markham</w:t>
      </w:r>
      <w:r>
        <w:rPr>
          <w:rFonts w:ascii="Times New Roman" w:hAnsi="Times New Roman" w:eastAsia="微软雅黑" w:cs="Times New Roman"/>
          <w:sz w:val="15"/>
          <w:szCs w:val="15"/>
          <w:shd w:val="clear" w:color="auto" w:fill="FFFFFF"/>
        </w:rPr>
        <w:fldChar w:fldCharType="end"/>
      </w:r>
      <w:r>
        <w:rPr>
          <w:rFonts w:ascii="Times New Roman" w:hAnsi="Times New Roman" w:eastAsia="微软雅黑" w:cs="Times New Roman"/>
          <w:sz w:val="15"/>
          <w:szCs w:val="15"/>
          <w:shd w:val="clear" w:color="auto" w:fill="FFFFFF"/>
          <w:lang w:eastAsia="zh-CN"/>
        </w:rPr>
        <w:t xml:space="preserve">. Pamiparib: First Approval[J]. Drugs. </w:t>
      </w:r>
      <w:r>
        <w:rPr>
          <w:rFonts w:ascii="Times New Roman" w:hAnsi="Times New Roman" w:eastAsia="微软雅黑" w:cs="Times New Roman"/>
          <w:sz w:val="15"/>
          <w:szCs w:val="15"/>
          <w:shd w:val="clear" w:color="auto" w:fill="FFFFFF"/>
        </w:rPr>
        <w:t>2021</w:t>
      </w:r>
      <w:r>
        <w:rPr>
          <w:rFonts w:ascii="Times New Roman" w:hAnsi="Times New Roman" w:eastAsia="微软雅黑" w:cs="Times New Roman"/>
          <w:sz w:val="15"/>
          <w:szCs w:val="15"/>
          <w:shd w:val="clear" w:color="auto" w:fill="FFFFFF"/>
          <w:lang w:eastAsia="zh-CN"/>
        </w:rPr>
        <w:t>. [PMID: 34287805]</w:t>
      </w:r>
      <w:r>
        <w:rPr>
          <w:rFonts w:ascii="Times New Roman" w:hAnsi="Times New Roman" w:eastAsia="微软雅黑" w:cs="Times New Roman"/>
          <w:sz w:val="15"/>
          <w:szCs w:val="15"/>
          <w:shd w:val="clear" w:color="auto" w:fill="FFFFFF"/>
        </w:rPr>
        <w:t>Muthiah Bose, Juliane Sachsenweger, Niina Laurila</w:t>
      </w:r>
      <w:r>
        <w:rPr>
          <w:rFonts w:ascii="Times New Roman" w:hAnsi="Times New Roman" w:eastAsia="微软雅黑" w:cs="Times New Roman"/>
          <w:sz w:val="15"/>
          <w:szCs w:val="15"/>
          <w:shd w:val="clear" w:color="auto" w:fill="FFFFFF"/>
          <w:lang w:eastAsia="zh-CN"/>
        </w:rPr>
        <w:t>, et al. BRCA1 mislocalization leads to aberrant DNA damage response in heterozygous ABRAXAS1 mutation carrier cells</w:t>
      </w:r>
      <w:r>
        <w:rPr>
          <w:rFonts w:ascii="Times New Roman" w:hAnsi="Times New Roman" w:eastAsia="微软雅黑" w:cs="Times New Roman"/>
          <w:sz w:val="15"/>
          <w:szCs w:val="15"/>
          <w:shd w:val="clear" w:color="auto" w:fill="FFFFFF"/>
        </w:rPr>
        <w:t>[J]. Hum Mol Genet, 2019,28(24):4148-4160.</w:t>
      </w:r>
      <w:r>
        <w:rPr>
          <w:rFonts w:ascii="Times New Roman" w:hAnsi="Times New Roman" w:eastAsia="微软雅黑" w:cs="Times New Roman"/>
          <w:sz w:val="15"/>
          <w:szCs w:val="15"/>
          <w:shd w:val="clear" w:color="auto" w:fill="FFFFFF"/>
          <w:lang w:eastAsia="zh-CN"/>
        </w:rPr>
        <w:t xml:space="preserve"> [PMID: 31630195]</w:t>
      </w:r>
    </w:p>
    <w:p w14:paraId="023F2A3E">
      <w:pPr>
        <w:widowControl/>
        <w:adjustRightInd w:val="0"/>
        <w:snapToGrid w:val="0"/>
        <w:spacing w:after="120" w:afterLines="50"/>
        <w:jc w:val="both"/>
        <w:rPr>
          <w:rFonts w:ascii="Times New Roman" w:hAnsi="Times New Roman" w:eastAsia="微软雅黑" w:cs="Times New Roman"/>
          <w:sz w:val="15"/>
          <w:szCs w:val="15"/>
          <w:shd w:val="clear" w:color="auto" w:fill="FFFFFF"/>
        </w:rPr>
      </w:pPr>
      <w:r>
        <w:rPr>
          <w:rFonts w:ascii="Times New Roman" w:hAnsi="Times New Roman" w:eastAsia="微软雅黑" w:cs="Times New Roman"/>
          <w:sz w:val="15"/>
          <w:szCs w:val="15"/>
          <w:shd w:val="clear" w:color="auto" w:fill="FFFFFF"/>
        </w:rPr>
        <w:t>Zdenek Kleibl, Vessela N Kristensen. Women at High Risk of Breast Cancer: Molecular Characteristics, Clinical Presentation and Management[J]. Breast, 2016, 28:136-44.</w:t>
      </w:r>
      <w:r>
        <w:rPr>
          <w:rFonts w:ascii="Times New Roman" w:hAnsi="Times New Roman" w:eastAsia="微软雅黑" w:cs="Times New Roman"/>
          <w:sz w:val="15"/>
          <w:szCs w:val="15"/>
          <w:shd w:val="clear" w:color="auto" w:fill="FFFFFF"/>
          <w:lang w:eastAsia="zh-CN"/>
        </w:rPr>
        <w:t xml:space="preserve"> [PMID: 27318168]</w:t>
      </w:r>
    </w:p>
    <w:p w14:paraId="772655D3">
      <w:pPr>
        <w:pStyle w:val="13"/>
        <w:widowControl/>
        <w:rPr>
          <w:rFonts w:ascii="Times New Roman" w:hAnsi="Times New Roman" w:eastAsia="微软雅黑" w:cs="Times New Roman"/>
          <w:sz w:val="15"/>
          <w:szCs w:val="15"/>
          <w:highlight w:val="none"/>
          <w:shd w:val="clear" w:color="auto" w:fill="FFFFFF"/>
          <w:lang w:eastAsia="zh-CN"/>
        </w:rPr>
      </w:pPr>
      <w:r>
        <w:rPr>
          <w:rFonts w:ascii="Times New Roman" w:hAnsi="Times New Roman" w:eastAsia="微软雅黑" w:cs="Times New Roman"/>
          <w:sz w:val="15"/>
          <w:szCs w:val="15"/>
          <w:shd w:val="clear" w:color="auto" w:fill="FFFFFF"/>
        </w:rPr>
        <w:t>Clare Turnbull, Sarah Hines, Anthony Renwick. Mutation and Association Analysis of GEN1 in Breast Cancer Susceptibility[J], Breast Cancer Res Treat, 2010, 124(1):283-8.</w:t>
      </w:r>
      <w:r>
        <w:rPr>
          <w:rFonts w:ascii="Times New Roman" w:hAnsi="Times New Roman" w:eastAsia="微软雅黑" w:cs="Times New Roman"/>
          <w:sz w:val="15"/>
          <w:szCs w:val="15"/>
          <w:shd w:val="clear" w:color="auto" w:fill="FFFFFF"/>
          <w:lang w:eastAsia="zh-CN"/>
        </w:rPr>
        <w:t xml:space="preserve"> [PMID: 20512659]</w:t>
      </w:r>
    </w:p>
    <w:sectPr>
      <w:headerReference r:id="rId7" w:type="default"/>
      <w:footerReference r:id="rId8" w:type="default"/>
      <w:pgSz w:w="11911" w:h="16838"/>
      <w:pgMar w:top="1037" w:right="1020" w:bottom="981" w:left="1020" w:header="567" w:footer="567" w:gutter="0"/>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altName w:val="Symbol"/>
    <w:panose1 w:val="05010101010101010101"/>
    <w:charset w:val="02"/>
    <w:family w:val="auto"/>
    <w:pitch w:val="default"/>
    <w:sig w:usb0="00000000" w:usb1="00000000" w:usb2="00000000" w:usb3="00000000" w:csb0="80000000" w:csb1="00000000"/>
  </w:font>
  <w:font w:name="微软雅黑 Light">
    <w:panose1 w:val="020B0502040204020203"/>
    <w:charset w:val="86"/>
    <w:family w:val="swiss"/>
    <w:pitch w:val="default"/>
    <w:sig w:usb0="80000287" w:usb1="2ACF0010" w:usb2="00000016" w:usb3="00000000" w:csb0="0004001F" w:csb1="00000000"/>
  </w:font>
  <w:font w:name="Tahoma">
    <w:panose1 w:val="020B0604030504040204"/>
    <w:charset w:val="00"/>
    <w:family w:val="auto"/>
    <w:pitch w:val="default"/>
    <w:sig w:usb0="E1002EFF" w:usb1="C000605B" w:usb2="00000029" w:usb3="00000000" w:csb0="200101FF" w:csb1="20280000"/>
  </w:font>
  <w:font w:name="Symbol">
    <w:panose1 w:val="05050102010706020507"/>
    <w:charset w:val="00"/>
    <w:family w:val="auto"/>
    <w:pitch w:val="default"/>
    <w:sig w:usb0="00000000" w:usb1="00000000" w:usb2="00000000" w:usb3="00000000" w:csb0="8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F1FC757">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E3F44C">
    <w:pPr>
      <w:pStyle w:val="9"/>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40132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40132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31.6pt;mso-position-horizontal:center;mso-position-horizontal-relative:margin;z-index:251659264;mso-width-relative:page;mso-height-relative:page;" filled="f" stroked="f" coordsize="21600,21600" o:gfxdata="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Dt2bTa1AAAAAQBAAAPAAAAAAAAAAEAIAAAACIAAABkcnMvZG93bnJldi54bWxQSwEC&#10;FAAUAAAACACHTuJA2A9y/TECAABWBAAADgAAAAAAAAABACAAAAAjAQAAZHJzL2Uyb0RvYy54bWxQ&#10;SwUGAAAAAAYABgBZAQAAxgUAAAAA&#10;">
              <v:fill on="f" focussize="0,0"/>
              <v:stroke on="f" weight="0.5pt"/>
              <v:imagedata o:title=""/>
              <o:lock v:ext="edit" aspectratio="f"/>
              <v:textbox inset="0mm,0mm,0mm,0mm" style="mso-fit-shape-to-text:t;">
                <w:txbxContent>
                  <w:p w14:paraId="7EE80DB9">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3</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25</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23</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57DF94D">
    <w:pPr>
      <w:pStyle w:val="10"/>
      <w:pBdr>
        <w:bottom w:val="none" w:color="auto" w:sz="0" w:space="0"/>
      </w:pBd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9FEF09">
    <w:pPr>
      <w:pStyle w:val="10"/>
      <w:pBdr>
        <w:bottom w:val="none" w:color="auto" w:sz="0" w:space="0"/>
      </w:pBd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53DB513">
    <w:pPr>
      <w:pStyle w:val="10"/>
      <w:jc w:val="right"/>
      <w:rPr>
        <w:color w:val="7F7F7F"/>
        <w:sz w:val="20"/>
        <w:szCs w:val="20"/>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EB4274">
    <w:pPr>
      <w:pStyle w:val="10"/>
      <w:jc w:val="right"/>
      <w:rPr>
        <w:lang w:eastAsia="zh-CN"/>
      </w:rPr>
    </w:pPr>
    <w:r>
      <w:rPr>
        <w:rFonts w:hint="eastAsia" w:ascii="Times New Roman" w:hAnsi="Times New Roman" w:eastAsia="微软雅黑" w:cs="Times New Roman"/>
        <w:bCs/>
        <w:color w:val="62B541"/>
        <w:sz w:val="21"/>
        <w:szCs w:val="21"/>
        <w:lang w:val="en-US" w:eastAsia="zh-CN"/>
      </w:rPr>
      <w:t>{{ client }} {% if PDInfo == undefined %}中国人群BRCA1/2基因分子分型{% else %}中国人群BRCA1/2基因分子分型+PD-L1检测{% endif %}</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
    <w:nsid w:val="12167FD4"/>
    <w:multiLevelType w:val="multilevel"/>
    <w:tmpl w:val="12167FD4"/>
    <w:lvl w:ilvl="0" w:tentative="0">
      <w:start w:val="1"/>
      <w:numFmt w:val="decimal"/>
      <w:lvlText w:val="%1."/>
      <w:lvlJc w:val="left"/>
      <w:pPr>
        <w:ind w:left="420" w:hanging="420"/>
      </w:pPr>
      <w:rPr>
        <w:rFonts w:hint="default"/>
        <w:b w:val="0"/>
        <w:bCs w:val="0"/>
        <w:color w:val="auto"/>
        <w:sz w:val="20"/>
        <w:szCs w:val="20"/>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219D0AF6"/>
    <w:multiLevelType w:val="singleLevel"/>
    <w:tmpl w:val="219D0AF6"/>
    <w:lvl w:ilvl="0" w:tentative="0">
      <w:start w:val="1"/>
      <w:numFmt w:val="decimal"/>
      <w:suff w:val="space"/>
      <w:lvlText w:val="%1."/>
      <w:lvlJc w:val="left"/>
    </w:lvl>
  </w:abstractNum>
  <w:abstractNum w:abstractNumId="3">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4">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5">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6">
    <w:nsid w:val="3FE2A38E"/>
    <w:multiLevelType w:val="singleLevel"/>
    <w:tmpl w:val="3FE2A38E"/>
    <w:lvl w:ilvl="0" w:tentative="0">
      <w:start w:val="1"/>
      <w:numFmt w:val="decimal"/>
      <w:lvlText w:val="%1."/>
      <w:lvlJc w:val="left"/>
      <w:pPr>
        <w:ind w:left="425" w:hanging="425"/>
      </w:pPr>
      <w:rPr>
        <w:rFonts w:hint="default"/>
      </w:rPr>
    </w:lvl>
  </w:abstractNum>
  <w:abstractNum w:abstractNumId="7">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9">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1">
    <w:nsid w:val="6BAC6FD5"/>
    <w:multiLevelType w:val="singleLevel"/>
    <w:tmpl w:val="6BAC6FD5"/>
    <w:lvl w:ilvl="0" w:tentative="0">
      <w:start w:val="1"/>
      <w:numFmt w:val="decimal"/>
      <w:suff w:val="space"/>
      <w:lvlText w:val="(%1)"/>
      <w:lvlJc w:val="left"/>
    </w:lvl>
  </w:abstractNum>
  <w:abstractNum w:abstractNumId="12">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7"/>
  </w:num>
  <w:num w:numId="2">
    <w:abstractNumId w:val="10"/>
  </w:num>
  <w:num w:numId="3">
    <w:abstractNumId w:val="9"/>
  </w:num>
  <w:num w:numId="4">
    <w:abstractNumId w:val="3"/>
  </w:num>
  <w:num w:numId="5">
    <w:abstractNumId w:val="4"/>
  </w:num>
  <w:num w:numId="6">
    <w:abstractNumId w:val="12"/>
  </w:num>
  <w:num w:numId="7">
    <w:abstractNumId w:val="5"/>
  </w:num>
  <w:num w:numId="8">
    <w:abstractNumId w:val="1"/>
  </w:num>
  <w:num w:numId="9">
    <w:abstractNumId w:val="6"/>
  </w:num>
  <w:num w:numId="10">
    <w:abstractNumId w:val="2"/>
  </w:num>
  <w:num w:numId="11">
    <w:abstractNumId w:val="8"/>
  </w:num>
  <w:num w:numId="12">
    <w:abstractNumId w:val="0"/>
  </w:num>
  <w:num w:numId="13">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28D"/>
    <w:rsid w:val="00004024"/>
    <w:rsid w:val="00007D42"/>
    <w:rsid w:val="000222AA"/>
    <w:rsid w:val="000340DE"/>
    <w:rsid w:val="00047D10"/>
    <w:rsid w:val="0005033E"/>
    <w:rsid w:val="00075895"/>
    <w:rsid w:val="0008174D"/>
    <w:rsid w:val="000A5140"/>
    <w:rsid w:val="000A71A1"/>
    <w:rsid w:val="000B2CB2"/>
    <w:rsid w:val="000D6CF7"/>
    <w:rsid w:val="000F624E"/>
    <w:rsid w:val="0011186C"/>
    <w:rsid w:val="0013162D"/>
    <w:rsid w:val="00132164"/>
    <w:rsid w:val="00144C16"/>
    <w:rsid w:val="00162DDA"/>
    <w:rsid w:val="00172A27"/>
    <w:rsid w:val="00173999"/>
    <w:rsid w:val="00185484"/>
    <w:rsid w:val="0019000C"/>
    <w:rsid w:val="001B072A"/>
    <w:rsid w:val="001C0941"/>
    <w:rsid w:val="001C23FD"/>
    <w:rsid w:val="001D6D02"/>
    <w:rsid w:val="001D7C77"/>
    <w:rsid w:val="001F21E5"/>
    <w:rsid w:val="001F4ECE"/>
    <w:rsid w:val="00212BE9"/>
    <w:rsid w:val="00246151"/>
    <w:rsid w:val="00255961"/>
    <w:rsid w:val="0026054E"/>
    <w:rsid w:val="00290BD3"/>
    <w:rsid w:val="0029398A"/>
    <w:rsid w:val="002B0469"/>
    <w:rsid w:val="002B3360"/>
    <w:rsid w:val="002B3FE2"/>
    <w:rsid w:val="002C35E0"/>
    <w:rsid w:val="002C72A3"/>
    <w:rsid w:val="002E435B"/>
    <w:rsid w:val="002F2EA4"/>
    <w:rsid w:val="00303ECF"/>
    <w:rsid w:val="0030707C"/>
    <w:rsid w:val="003145C2"/>
    <w:rsid w:val="00327D49"/>
    <w:rsid w:val="003553CA"/>
    <w:rsid w:val="00364D8B"/>
    <w:rsid w:val="00367BD6"/>
    <w:rsid w:val="003A01C6"/>
    <w:rsid w:val="003A4E9A"/>
    <w:rsid w:val="003C623E"/>
    <w:rsid w:val="00414EEA"/>
    <w:rsid w:val="00420BDB"/>
    <w:rsid w:val="00421E3C"/>
    <w:rsid w:val="00437FD2"/>
    <w:rsid w:val="004634C4"/>
    <w:rsid w:val="00465383"/>
    <w:rsid w:val="004A7180"/>
    <w:rsid w:val="004C4C59"/>
    <w:rsid w:val="004D48D1"/>
    <w:rsid w:val="004E0147"/>
    <w:rsid w:val="00522403"/>
    <w:rsid w:val="00535580"/>
    <w:rsid w:val="00554850"/>
    <w:rsid w:val="00582032"/>
    <w:rsid w:val="00590902"/>
    <w:rsid w:val="005D358F"/>
    <w:rsid w:val="005D5884"/>
    <w:rsid w:val="005E4110"/>
    <w:rsid w:val="005E6C50"/>
    <w:rsid w:val="005F180D"/>
    <w:rsid w:val="006255B1"/>
    <w:rsid w:val="00633A35"/>
    <w:rsid w:val="00651B7C"/>
    <w:rsid w:val="00657A05"/>
    <w:rsid w:val="0068352F"/>
    <w:rsid w:val="0069280D"/>
    <w:rsid w:val="0069639B"/>
    <w:rsid w:val="006A189B"/>
    <w:rsid w:val="006A67AD"/>
    <w:rsid w:val="006B4E54"/>
    <w:rsid w:val="006B777A"/>
    <w:rsid w:val="006C6633"/>
    <w:rsid w:val="007037B1"/>
    <w:rsid w:val="00713361"/>
    <w:rsid w:val="00713431"/>
    <w:rsid w:val="007301DE"/>
    <w:rsid w:val="00745856"/>
    <w:rsid w:val="00753EF1"/>
    <w:rsid w:val="007664E3"/>
    <w:rsid w:val="007750F2"/>
    <w:rsid w:val="007D324F"/>
    <w:rsid w:val="00817A5D"/>
    <w:rsid w:val="008214CC"/>
    <w:rsid w:val="008338B5"/>
    <w:rsid w:val="008357DD"/>
    <w:rsid w:val="00852F55"/>
    <w:rsid w:val="00862331"/>
    <w:rsid w:val="008640B5"/>
    <w:rsid w:val="008654CA"/>
    <w:rsid w:val="008704D2"/>
    <w:rsid w:val="00874BAA"/>
    <w:rsid w:val="00881B49"/>
    <w:rsid w:val="008949BD"/>
    <w:rsid w:val="008B7162"/>
    <w:rsid w:val="008C00D1"/>
    <w:rsid w:val="008C0CB8"/>
    <w:rsid w:val="008C5BF7"/>
    <w:rsid w:val="008F0CF4"/>
    <w:rsid w:val="008F3AEE"/>
    <w:rsid w:val="00905D2C"/>
    <w:rsid w:val="00935E0F"/>
    <w:rsid w:val="0094199C"/>
    <w:rsid w:val="009A1545"/>
    <w:rsid w:val="009D020F"/>
    <w:rsid w:val="009D047C"/>
    <w:rsid w:val="009D6217"/>
    <w:rsid w:val="009E08EE"/>
    <w:rsid w:val="00A04BF4"/>
    <w:rsid w:val="00A04DFF"/>
    <w:rsid w:val="00A10BAB"/>
    <w:rsid w:val="00A150E8"/>
    <w:rsid w:val="00A25AD6"/>
    <w:rsid w:val="00A2747F"/>
    <w:rsid w:val="00A5524B"/>
    <w:rsid w:val="00A56AC1"/>
    <w:rsid w:val="00A80F92"/>
    <w:rsid w:val="00A93E97"/>
    <w:rsid w:val="00A94DEB"/>
    <w:rsid w:val="00AB335E"/>
    <w:rsid w:val="00AE5A22"/>
    <w:rsid w:val="00AE7986"/>
    <w:rsid w:val="00B01743"/>
    <w:rsid w:val="00B01C16"/>
    <w:rsid w:val="00B1136D"/>
    <w:rsid w:val="00B402FE"/>
    <w:rsid w:val="00B42BDB"/>
    <w:rsid w:val="00B50392"/>
    <w:rsid w:val="00B5346F"/>
    <w:rsid w:val="00B55EFA"/>
    <w:rsid w:val="00B81E2D"/>
    <w:rsid w:val="00B84ADF"/>
    <w:rsid w:val="00B87B20"/>
    <w:rsid w:val="00BA0BAB"/>
    <w:rsid w:val="00BA2111"/>
    <w:rsid w:val="00BC0E67"/>
    <w:rsid w:val="00BD3AC9"/>
    <w:rsid w:val="00BD6F6E"/>
    <w:rsid w:val="00BE223F"/>
    <w:rsid w:val="00BF293B"/>
    <w:rsid w:val="00C30DD0"/>
    <w:rsid w:val="00C54108"/>
    <w:rsid w:val="00C734E4"/>
    <w:rsid w:val="00C91831"/>
    <w:rsid w:val="00C9613C"/>
    <w:rsid w:val="00CA1420"/>
    <w:rsid w:val="00CA376A"/>
    <w:rsid w:val="00CA6144"/>
    <w:rsid w:val="00CB2EF1"/>
    <w:rsid w:val="00CB6181"/>
    <w:rsid w:val="00CE2B0E"/>
    <w:rsid w:val="00D0100A"/>
    <w:rsid w:val="00D03F39"/>
    <w:rsid w:val="00D12287"/>
    <w:rsid w:val="00D205D0"/>
    <w:rsid w:val="00D25658"/>
    <w:rsid w:val="00D3086D"/>
    <w:rsid w:val="00D310F9"/>
    <w:rsid w:val="00D358F5"/>
    <w:rsid w:val="00D61716"/>
    <w:rsid w:val="00D7527E"/>
    <w:rsid w:val="00D8225E"/>
    <w:rsid w:val="00D908BA"/>
    <w:rsid w:val="00DA2F2F"/>
    <w:rsid w:val="00DB18D1"/>
    <w:rsid w:val="00DB2FA6"/>
    <w:rsid w:val="00DE6F74"/>
    <w:rsid w:val="00DF6FE0"/>
    <w:rsid w:val="00E40EA8"/>
    <w:rsid w:val="00E47F4A"/>
    <w:rsid w:val="00E67DBA"/>
    <w:rsid w:val="00E75F82"/>
    <w:rsid w:val="00E84471"/>
    <w:rsid w:val="00E850A2"/>
    <w:rsid w:val="00E92E16"/>
    <w:rsid w:val="00E95B02"/>
    <w:rsid w:val="00EC70A7"/>
    <w:rsid w:val="00ED0DA3"/>
    <w:rsid w:val="00EE3454"/>
    <w:rsid w:val="00F11E4A"/>
    <w:rsid w:val="00F20B75"/>
    <w:rsid w:val="00F31855"/>
    <w:rsid w:val="00F4302E"/>
    <w:rsid w:val="00F515E4"/>
    <w:rsid w:val="00F53E77"/>
    <w:rsid w:val="00F71F9E"/>
    <w:rsid w:val="00F742EC"/>
    <w:rsid w:val="00F85C1C"/>
    <w:rsid w:val="00F94B48"/>
    <w:rsid w:val="00F94CC0"/>
    <w:rsid w:val="00FB2F29"/>
    <w:rsid w:val="00FB5144"/>
    <w:rsid w:val="00FB618D"/>
    <w:rsid w:val="00FF0FEA"/>
    <w:rsid w:val="00FF7BB1"/>
    <w:rsid w:val="011A0D8B"/>
    <w:rsid w:val="018F296E"/>
    <w:rsid w:val="01B51EE1"/>
    <w:rsid w:val="01B76DD0"/>
    <w:rsid w:val="020E54D7"/>
    <w:rsid w:val="02195EF8"/>
    <w:rsid w:val="02890465"/>
    <w:rsid w:val="02CA5230"/>
    <w:rsid w:val="032E1BA5"/>
    <w:rsid w:val="033A4CF6"/>
    <w:rsid w:val="04871837"/>
    <w:rsid w:val="04C17114"/>
    <w:rsid w:val="05085485"/>
    <w:rsid w:val="054059BE"/>
    <w:rsid w:val="056A6745"/>
    <w:rsid w:val="058508B5"/>
    <w:rsid w:val="067768A4"/>
    <w:rsid w:val="06A9271A"/>
    <w:rsid w:val="073D135E"/>
    <w:rsid w:val="074043CC"/>
    <w:rsid w:val="07A60EF0"/>
    <w:rsid w:val="07AE4A53"/>
    <w:rsid w:val="07B349D9"/>
    <w:rsid w:val="07DB59EB"/>
    <w:rsid w:val="08043A3B"/>
    <w:rsid w:val="08C84A7A"/>
    <w:rsid w:val="08EA64AE"/>
    <w:rsid w:val="09271818"/>
    <w:rsid w:val="09422AEA"/>
    <w:rsid w:val="0A043ABA"/>
    <w:rsid w:val="0A0D5F18"/>
    <w:rsid w:val="0A24237C"/>
    <w:rsid w:val="0A693BAF"/>
    <w:rsid w:val="0AB746A3"/>
    <w:rsid w:val="0ADB075F"/>
    <w:rsid w:val="0AEB0A8D"/>
    <w:rsid w:val="0B9E3B84"/>
    <w:rsid w:val="0BBA7D6D"/>
    <w:rsid w:val="0C3A0C95"/>
    <w:rsid w:val="0C3E5385"/>
    <w:rsid w:val="0C96240B"/>
    <w:rsid w:val="0C9C7F73"/>
    <w:rsid w:val="0CFC02D6"/>
    <w:rsid w:val="0CFD585A"/>
    <w:rsid w:val="0D0B34EB"/>
    <w:rsid w:val="0DB72312"/>
    <w:rsid w:val="0DD202D8"/>
    <w:rsid w:val="0E0A4A44"/>
    <w:rsid w:val="0E11445D"/>
    <w:rsid w:val="0E1307EF"/>
    <w:rsid w:val="0E542351"/>
    <w:rsid w:val="0EBF2A43"/>
    <w:rsid w:val="0ED843CC"/>
    <w:rsid w:val="0EE7163F"/>
    <w:rsid w:val="0FB23638"/>
    <w:rsid w:val="0FB9297A"/>
    <w:rsid w:val="0FC3726A"/>
    <w:rsid w:val="10326BAC"/>
    <w:rsid w:val="103D206B"/>
    <w:rsid w:val="1143495E"/>
    <w:rsid w:val="11661D44"/>
    <w:rsid w:val="11F83267"/>
    <w:rsid w:val="121F2419"/>
    <w:rsid w:val="12596D51"/>
    <w:rsid w:val="12963DA1"/>
    <w:rsid w:val="12A54E20"/>
    <w:rsid w:val="12AE3E17"/>
    <w:rsid w:val="12CF6142"/>
    <w:rsid w:val="12EB43FD"/>
    <w:rsid w:val="131E7C21"/>
    <w:rsid w:val="136165CC"/>
    <w:rsid w:val="13897526"/>
    <w:rsid w:val="13AA502A"/>
    <w:rsid w:val="13AB527B"/>
    <w:rsid w:val="14236AE4"/>
    <w:rsid w:val="147543DC"/>
    <w:rsid w:val="148972D9"/>
    <w:rsid w:val="149B458A"/>
    <w:rsid w:val="14B92AE9"/>
    <w:rsid w:val="14BE6CAA"/>
    <w:rsid w:val="14CE76A9"/>
    <w:rsid w:val="14F51400"/>
    <w:rsid w:val="15196B67"/>
    <w:rsid w:val="152E3223"/>
    <w:rsid w:val="153F7D0D"/>
    <w:rsid w:val="15446D6F"/>
    <w:rsid w:val="154E7616"/>
    <w:rsid w:val="15A6476A"/>
    <w:rsid w:val="15FC29DF"/>
    <w:rsid w:val="163D7B79"/>
    <w:rsid w:val="16D46F11"/>
    <w:rsid w:val="17482F1B"/>
    <w:rsid w:val="1770611E"/>
    <w:rsid w:val="17BA680D"/>
    <w:rsid w:val="17EF172D"/>
    <w:rsid w:val="18662F20"/>
    <w:rsid w:val="18AD4BD2"/>
    <w:rsid w:val="18B63CA5"/>
    <w:rsid w:val="18FC0848"/>
    <w:rsid w:val="193642D4"/>
    <w:rsid w:val="19927C08"/>
    <w:rsid w:val="19EA56F0"/>
    <w:rsid w:val="19FC7A5F"/>
    <w:rsid w:val="1A022F03"/>
    <w:rsid w:val="1ABB2E82"/>
    <w:rsid w:val="1AC426DB"/>
    <w:rsid w:val="1B28649B"/>
    <w:rsid w:val="1B765088"/>
    <w:rsid w:val="1BA10C19"/>
    <w:rsid w:val="1BA36B7F"/>
    <w:rsid w:val="1C73419E"/>
    <w:rsid w:val="1C7A05D0"/>
    <w:rsid w:val="1C893267"/>
    <w:rsid w:val="1C98707F"/>
    <w:rsid w:val="1CA30E79"/>
    <w:rsid w:val="1CD226DA"/>
    <w:rsid w:val="1CFB3D7D"/>
    <w:rsid w:val="1D19178B"/>
    <w:rsid w:val="1D3A1AFC"/>
    <w:rsid w:val="1DAE6F6E"/>
    <w:rsid w:val="1E866955"/>
    <w:rsid w:val="1EAB0C6A"/>
    <w:rsid w:val="1EDC7BC1"/>
    <w:rsid w:val="1EEB2832"/>
    <w:rsid w:val="1F4875C7"/>
    <w:rsid w:val="1F4A2536"/>
    <w:rsid w:val="1F5A0E9A"/>
    <w:rsid w:val="1F953139"/>
    <w:rsid w:val="1FA24F8D"/>
    <w:rsid w:val="1FA85BDB"/>
    <w:rsid w:val="1FD3343E"/>
    <w:rsid w:val="1FD42119"/>
    <w:rsid w:val="20205A20"/>
    <w:rsid w:val="20855B55"/>
    <w:rsid w:val="209432E5"/>
    <w:rsid w:val="20A144D8"/>
    <w:rsid w:val="20BF0A40"/>
    <w:rsid w:val="20C54A84"/>
    <w:rsid w:val="20CF286A"/>
    <w:rsid w:val="216F18A9"/>
    <w:rsid w:val="21891AD9"/>
    <w:rsid w:val="21A3516C"/>
    <w:rsid w:val="22180203"/>
    <w:rsid w:val="223959EF"/>
    <w:rsid w:val="223D0F56"/>
    <w:rsid w:val="227B3413"/>
    <w:rsid w:val="22A94685"/>
    <w:rsid w:val="22F65CE9"/>
    <w:rsid w:val="22FB1D0C"/>
    <w:rsid w:val="230D0ED9"/>
    <w:rsid w:val="23306B12"/>
    <w:rsid w:val="234166A7"/>
    <w:rsid w:val="235C2C2A"/>
    <w:rsid w:val="23774A45"/>
    <w:rsid w:val="23D91FBB"/>
    <w:rsid w:val="23DC4798"/>
    <w:rsid w:val="241E775E"/>
    <w:rsid w:val="254279B7"/>
    <w:rsid w:val="25895FB3"/>
    <w:rsid w:val="25F54CAA"/>
    <w:rsid w:val="26976104"/>
    <w:rsid w:val="26A1625C"/>
    <w:rsid w:val="26B13D03"/>
    <w:rsid w:val="26DB0DD2"/>
    <w:rsid w:val="26E8562E"/>
    <w:rsid w:val="27870460"/>
    <w:rsid w:val="27D66E1E"/>
    <w:rsid w:val="27F27066"/>
    <w:rsid w:val="28296683"/>
    <w:rsid w:val="28707737"/>
    <w:rsid w:val="28884063"/>
    <w:rsid w:val="28B74238"/>
    <w:rsid w:val="29193181"/>
    <w:rsid w:val="293B2954"/>
    <w:rsid w:val="296F5B95"/>
    <w:rsid w:val="29900BEF"/>
    <w:rsid w:val="299A2D41"/>
    <w:rsid w:val="29AF4935"/>
    <w:rsid w:val="29DE0525"/>
    <w:rsid w:val="2A105542"/>
    <w:rsid w:val="2A3716AB"/>
    <w:rsid w:val="2A7E5056"/>
    <w:rsid w:val="2A833F0F"/>
    <w:rsid w:val="2ADE2A02"/>
    <w:rsid w:val="2BBC39CE"/>
    <w:rsid w:val="2BD9617D"/>
    <w:rsid w:val="2C165FD1"/>
    <w:rsid w:val="2C427C83"/>
    <w:rsid w:val="2CCD11F0"/>
    <w:rsid w:val="2D0B14F3"/>
    <w:rsid w:val="2D110A51"/>
    <w:rsid w:val="2D281273"/>
    <w:rsid w:val="2DAC5DA3"/>
    <w:rsid w:val="2E0C0EE9"/>
    <w:rsid w:val="2EB35A8A"/>
    <w:rsid w:val="2EBE7F37"/>
    <w:rsid w:val="2F1B0E49"/>
    <w:rsid w:val="2F300935"/>
    <w:rsid w:val="2F5813F2"/>
    <w:rsid w:val="2F5C3B08"/>
    <w:rsid w:val="2F6F4612"/>
    <w:rsid w:val="2FDC3431"/>
    <w:rsid w:val="2FF422B6"/>
    <w:rsid w:val="301F6C8C"/>
    <w:rsid w:val="30564A47"/>
    <w:rsid w:val="3072512F"/>
    <w:rsid w:val="30FD530B"/>
    <w:rsid w:val="3104584B"/>
    <w:rsid w:val="3109732A"/>
    <w:rsid w:val="31B36F00"/>
    <w:rsid w:val="31B63096"/>
    <w:rsid w:val="322E3105"/>
    <w:rsid w:val="32854F89"/>
    <w:rsid w:val="32B71D27"/>
    <w:rsid w:val="32C748B9"/>
    <w:rsid w:val="32E0137F"/>
    <w:rsid w:val="330B4E2E"/>
    <w:rsid w:val="33145ED7"/>
    <w:rsid w:val="343D6BCA"/>
    <w:rsid w:val="34777EA9"/>
    <w:rsid w:val="347B6BC7"/>
    <w:rsid w:val="34AF7F00"/>
    <w:rsid w:val="34DA79F4"/>
    <w:rsid w:val="35264EF8"/>
    <w:rsid w:val="357E5409"/>
    <w:rsid w:val="35B3556B"/>
    <w:rsid w:val="35F5325E"/>
    <w:rsid w:val="36251143"/>
    <w:rsid w:val="362E0676"/>
    <w:rsid w:val="36350561"/>
    <w:rsid w:val="36870375"/>
    <w:rsid w:val="368B5D53"/>
    <w:rsid w:val="36961CA4"/>
    <w:rsid w:val="36D01D61"/>
    <w:rsid w:val="36DA6BC5"/>
    <w:rsid w:val="36EF2C35"/>
    <w:rsid w:val="370C757D"/>
    <w:rsid w:val="371E73E3"/>
    <w:rsid w:val="375E0130"/>
    <w:rsid w:val="37E81DE8"/>
    <w:rsid w:val="3848012E"/>
    <w:rsid w:val="38CD7870"/>
    <w:rsid w:val="3961721F"/>
    <w:rsid w:val="396E18E8"/>
    <w:rsid w:val="39902B51"/>
    <w:rsid w:val="39BC590A"/>
    <w:rsid w:val="3A350362"/>
    <w:rsid w:val="3AE34220"/>
    <w:rsid w:val="3BB222F8"/>
    <w:rsid w:val="3C0F1769"/>
    <w:rsid w:val="3C2F0FC5"/>
    <w:rsid w:val="3D1C54C3"/>
    <w:rsid w:val="3D1E52E4"/>
    <w:rsid w:val="3D515A29"/>
    <w:rsid w:val="3D6C60E9"/>
    <w:rsid w:val="3D855C98"/>
    <w:rsid w:val="3D9A26D3"/>
    <w:rsid w:val="3DEB33A9"/>
    <w:rsid w:val="3EC949BD"/>
    <w:rsid w:val="3EE97DE1"/>
    <w:rsid w:val="3F48268A"/>
    <w:rsid w:val="3F983C5F"/>
    <w:rsid w:val="3FBF2339"/>
    <w:rsid w:val="3FC60306"/>
    <w:rsid w:val="3FFC1C67"/>
    <w:rsid w:val="400426B3"/>
    <w:rsid w:val="405979F4"/>
    <w:rsid w:val="40B26194"/>
    <w:rsid w:val="40BA2B58"/>
    <w:rsid w:val="41012D40"/>
    <w:rsid w:val="419D3258"/>
    <w:rsid w:val="41C73588"/>
    <w:rsid w:val="42050384"/>
    <w:rsid w:val="422E5764"/>
    <w:rsid w:val="42E96B02"/>
    <w:rsid w:val="43386A55"/>
    <w:rsid w:val="443F7550"/>
    <w:rsid w:val="44466D39"/>
    <w:rsid w:val="445407E5"/>
    <w:rsid w:val="44D44046"/>
    <w:rsid w:val="45065839"/>
    <w:rsid w:val="454A2BAB"/>
    <w:rsid w:val="456766E7"/>
    <w:rsid w:val="45852028"/>
    <w:rsid w:val="45AE54E3"/>
    <w:rsid w:val="45D4644E"/>
    <w:rsid w:val="45ED32A5"/>
    <w:rsid w:val="461A4F2E"/>
    <w:rsid w:val="46643822"/>
    <w:rsid w:val="466C7B9B"/>
    <w:rsid w:val="4727135C"/>
    <w:rsid w:val="47737835"/>
    <w:rsid w:val="478438CC"/>
    <w:rsid w:val="47C42235"/>
    <w:rsid w:val="47D30B42"/>
    <w:rsid w:val="48391460"/>
    <w:rsid w:val="488C57CA"/>
    <w:rsid w:val="49004F61"/>
    <w:rsid w:val="49073B20"/>
    <w:rsid w:val="494210AF"/>
    <w:rsid w:val="49940535"/>
    <w:rsid w:val="49AD106E"/>
    <w:rsid w:val="4A30398B"/>
    <w:rsid w:val="4A4A7D68"/>
    <w:rsid w:val="4ADF1CFC"/>
    <w:rsid w:val="4AE037E4"/>
    <w:rsid w:val="4B1E1298"/>
    <w:rsid w:val="4B240BDE"/>
    <w:rsid w:val="4B315A79"/>
    <w:rsid w:val="4BF03C69"/>
    <w:rsid w:val="4C571AC7"/>
    <w:rsid w:val="4C653F54"/>
    <w:rsid w:val="4CDA15BF"/>
    <w:rsid w:val="4D0134F9"/>
    <w:rsid w:val="4D396096"/>
    <w:rsid w:val="4DB00142"/>
    <w:rsid w:val="4DC108F4"/>
    <w:rsid w:val="4DD83BC7"/>
    <w:rsid w:val="4E135FA8"/>
    <w:rsid w:val="4ED24E8A"/>
    <w:rsid w:val="4F374D1B"/>
    <w:rsid w:val="503A0EF6"/>
    <w:rsid w:val="50AB59C1"/>
    <w:rsid w:val="511416C5"/>
    <w:rsid w:val="51184C27"/>
    <w:rsid w:val="51521F59"/>
    <w:rsid w:val="51F9288A"/>
    <w:rsid w:val="520B5239"/>
    <w:rsid w:val="52546332"/>
    <w:rsid w:val="5312550A"/>
    <w:rsid w:val="537E0CD3"/>
    <w:rsid w:val="53A11B2C"/>
    <w:rsid w:val="53DE69BF"/>
    <w:rsid w:val="54C41417"/>
    <w:rsid w:val="54D723E8"/>
    <w:rsid w:val="54ED46BB"/>
    <w:rsid w:val="5572737D"/>
    <w:rsid w:val="55911EF9"/>
    <w:rsid w:val="55C15CC7"/>
    <w:rsid w:val="56BE67A9"/>
    <w:rsid w:val="573568BB"/>
    <w:rsid w:val="57445109"/>
    <w:rsid w:val="57AE4059"/>
    <w:rsid w:val="57B51456"/>
    <w:rsid w:val="57BB7D3A"/>
    <w:rsid w:val="57C733D2"/>
    <w:rsid w:val="57C96345"/>
    <w:rsid w:val="58021F7A"/>
    <w:rsid w:val="582735C7"/>
    <w:rsid w:val="5842572D"/>
    <w:rsid w:val="587A6546"/>
    <w:rsid w:val="58A44110"/>
    <w:rsid w:val="58E972C7"/>
    <w:rsid w:val="5927169E"/>
    <w:rsid w:val="59395D0B"/>
    <w:rsid w:val="595448AF"/>
    <w:rsid w:val="5A286A49"/>
    <w:rsid w:val="5A57708D"/>
    <w:rsid w:val="5B2B6B6E"/>
    <w:rsid w:val="5B2F358E"/>
    <w:rsid w:val="5BE40118"/>
    <w:rsid w:val="5C1D56F3"/>
    <w:rsid w:val="5C28702B"/>
    <w:rsid w:val="5C8C6A8B"/>
    <w:rsid w:val="5CCE20CE"/>
    <w:rsid w:val="5D090FC9"/>
    <w:rsid w:val="5D215D35"/>
    <w:rsid w:val="5D472C3A"/>
    <w:rsid w:val="5D5B3BC3"/>
    <w:rsid w:val="5D7F3641"/>
    <w:rsid w:val="5DE923B9"/>
    <w:rsid w:val="5EE43933"/>
    <w:rsid w:val="5F884FFD"/>
    <w:rsid w:val="5FA2526B"/>
    <w:rsid w:val="5FF61953"/>
    <w:rsid w:val="600E54F4"/>
    <w:rsid w:val="6014152D"/>
    <w:rsid w:val="607B75C7"/>
    <w:rsid w:val="60D51A59"/>
    <w:rsid w:val="60E465DF"/>
    <w:rsid w:val="60E82224"/>
    <w:rsid w:val="61772146"/>
    <w:rsid w:val="61B17DFE"/>
    <w:rsid w:val="61E8124E"/>
    <w:rsid w:val="620463D6"/>
    <w:rsid w:val="62592E0F"/>
    <w:rsid w:val="62DB637F"/>
    <w:rsid w:val="63453140"/>
    <w:rsid w:val="63EC6B7E"/>
    <w:rsid w:val="640B7333"/>
    <w:rsid w:val="6469117D"/>
    <w:rsid w:val="64AC5747"/>
    <w:rsid w:val="64EC6C5A"/>
    <w:rsid w:val="6517290F"/>
    <w:rsid w:val="6584207D"/>
    <w:rsid w:val="65B119A5"/>
    <w:rsid w:val="65B14162"/>
    <w:rsid w:val="65C9041E"/>
    <w:rsid w:val="65FB0593"/>
    <w:rsid w:val="6626795D"/>
    <w:rsid w:val="66286770"/>
    <w:rsid w:val="670E76D1"/>
    <w:rsid w:val="67244957"/>
    <w:rsid w:val="673152EA"/>
    <w:rsid w:val="67620161"/>
    <w:rsid w:val="679C3EC4"/>
    <w:rsid w:val="67D77C44"/>
    <w:rsid w:val="67F15F78"/>
    <w:rsid w:val="69572814"/>
    <w:rsid w:val="6A0600C8"/>
    <w:rsid w:val="6A653AC8"/>
    <w:rsid w:val="6A741A7E"/>
    <w:rsid w:val="6A90444F"/>
    <w:rsid w:val="6A9C6540"/>
    <w:rsid w:val="6B2031BA"/>
    <w:rsid w:val="6B250C53"/>
    <w:rsid w:val="6B6721F6"/>
    <w:rsid w:val="6BD43E82"/>
    <w:rsid w:val="6C385BB0"/>
    <w:rsid w:val="6C555A3F"/>
    <w:rsid w:val="6CE35108"/>
    <w:rsid w:val="6D5F2A16"/>
    <w:rsid w:val="6DA325EB"/>
    <w:rsid w:val="6DF52F94"/>
    <w:rsid w:val="6E01770E"/>
    <w:rsid w:val="6ECA61E9"/>
    <w:rsid w:val="6F73769F"/>
    <w:rsid w:val="6F8037B0"/>
    <w:rsid w:val="70184EA3"/>
    <w:rsid w:val="70CB53E1"/>
    <w:rsid w:val="712745A5"/>
    <w:rsid w:val="71B01D04"/>
    <w:rsid w:val="722C0501"/>
    <w:rsid w:val="724D2459"/>
    <w:rsid w:val="7259341C"/>
    <w:rsid w:val="72624781"/>
    <w:rsid w:val="727D0697"/>
    <w:rsid w:val="72EA5C36"/>
    <w:rsid w:val="734521A8"/>
    <w:rsid w:val="73707E67"/>
    <w:rsid w:val="73970283"/>
    <w:rsid w:val="73E30F79"/>
    <w:rsid w:val="741F0C23"/>
    <w:rsid w:val="7458797A"/>
    <w:rsid w:val="74590A9F"/>
    <w:rsid w:val="74BC7F66"/>
    <w:rsid w:val="74DF0CAA"/>
    <w:rsid w:val="74E525F7"/>
    <w:rsid w:val="7500507A"/>
    <w:rsid w:val="750632F9"/>
    <w:rsid w:val="75686B98"/>
    <w:rsid w:val="76657C67"/>
    <w:rsid w:val="76A021B3"/>
    <w:rsid w:val="76AE12DA"/>
    <w:rsid w:val="76B664D7"/>
    <w:rsid w:val="76B83EF2"/>
    <w:rsid w:val="76EB2B73"/>
    <w:rsid w:val="777F1624"/>
    <w:rsid w:val="77D16924"/>
    <w:rsid w:val="780562F7"/>
    <w:rsid w:val="781253EF"/>
    <w:rsid w:val="78326601"/>
    <w:rsid w:val="784B3661"/>
    <w:rsid w:val="78D557D5"/>
    <w:rsid w:val="78F1506D"/>
    <w:rsid w:val="79125F75"/>
    <w:rsid w:val="79DC2653"/>
    <w:rsid w:val="7A266F03"/>
    <w:rsid w:val="7A724D96"/>
    <w:rsid w:val="7A7B64EF"/>
    <w:rsid w:val="7ABA3AA8"/>
    <w:rsid w:val="7B3A50B0"/>
    <w:rsid w:val="7BCA3B47"/>
    <w:rsid w:val="7C01614C"/>
    <w:rsid w:val="7C7B71BF"/>
    <w:rsid w:val="7D365449"/>
    <w:rsid w:val="7D793C28"/>
    <w:rsid w:val="7D795A89"/>
    <w:rsid w:val="7D8C0E93"/>
    <w:rsid w:val="7DAA0961"/>
    <w:rsid w:val="7E0E55E6"/>
    <w:rsid w:val="7E3513AC"/>
    <w:rsid w:val="7ECA7756"/>
    <w:rsid w:val="7F1274B0"/>
    <w:rsid w:val="7F6A54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iPriority="39" w:semiHidden="0" w:name="toc 1"/>
    <w:lsdException w:qFormat="1" w:uiPriority="39" w:semiHidden="0" w:name="toc 2"/>
    <w:lsdException w:qFormat="1" w:unhideWhenUsed="0" w:uiPriority="0" w:semiHidden="0" w:name="toc 3"/>
    <w:lsdException w:uiPriority="0" w:name="toc 4"/>
    <w:lsdException w:uiPriority="0" w:name="toc 5"/>
    <w:lsdException w:uiPriority="0" w:name="toc 6"/>
    <w:lsdException w:uiPriority="0" w:name="toc 7"/>
    <w:lsdException w:uiPriority="0" w:name="toc 8"/>
    <w:lsdException w:uiPriority="0" w:name="toc 9"/>
    <w:lsdException w:uiPriority="0" w:name="Normal Indent"/>
    <w:lsdException w:uiPriority="0" w:name="footnote text"/>
    <w:lsdException w:qFormat="1" w:unhideWhenUsed="0" w:uiPriority="0" w:semiHidden="0" w:name="annotation text"/>
    <w:lsdException w:qFormat="1" w:unhideWhenUsed="0" w:uiPriority="0" w:semiHidden="0" w:name="header"/>
    <w:lsdException w:qFormat="1" w:uiPriority="99" w:semiHidden="0" w:name="footer"/>
    <w:lsdException w:uiPriority="0" w:name="index heading"/>
    <w:lsdException w:qFormat="1" w:uiPriority="0" w:name="caption"/>
    <w:lsdException w:uiPriority="0" w:name="table of figures"/>
    <w:lsdException w:uiPriority="0" w:name="envelope address"/>
    <w:lsdException w:uiPriority="0" w:name="envelope return"/>
    <w:lsdException w:uiPriority="0" w:name="footnote reference"/>
    <w:lsdException w:qFormat="1" w:unhideWhenUsed="0" w:uiPriority="0" w:semiHidden="0" w:name="annotation reference"/>
    <w:lsdException w:uiPriority="0" w:name="line number"/>
    <w:lsdException w:uiPriority="0" w:name="page number"/>
    <w:lsdException w:uiPriority="0" w:name="endnote reference"/>
    <w:lsdException w:uiPriority="0" w:name="endnote text"/>
    <w:lsdException w:unhideWhenUsed="0" w:uiPriority="0" w:semiHidden="0" w:name="table of authorities"/>
    <w:lsdException w:uiPriority="0" w:name="macro"/>
    <w:lsdException w:uiPriority="0" w:name="toa heading"/>
    <w:lsdException w:unhideWhenUsed="0" w:uiPriority="0" w:semiHidden="0" w:name="List"/>
    <w:lsdException w:unhideWhenUsed="0" w:uiPriority="0" w:semiHidden="0" w:name="List Bullet"/>
    <w:lsdException w:uiPriority="0" w:name="List Number"/>
    <w:lsdException w:uiPriority="0" w:name="List 2"/>
    <w:lsdException w:uiPriority="0" w:name="List 3"/>
    <w:lsdException w:uiPriority="0" w:name="List 4"/>
    <w:lsdException w:uiPriority="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1" w:semiHidden="0" w:name="Body Text"/>
    <w:lsdException w:uiPriority="0" w:name="Body Text Indent"/>
    <w:lsdException w:uiPriority="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iPriority="0" w:name="Message Header"/>
    <w:lsdException w:qFormat="1" w:unhideWhenUsed="0" w:uiPriority="0" w:semiHidden="0" w:name="Subtitle"/>
    <w:lsdException w:uiPriority="0" w:name="Salutation"/>
    <w:lsdException w:uiPriority="0" w:name="Date"/>
    <w:lsdException w:uiPriority="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nhideWhenUsed="0" w:uiPriority="0" w:semiHidden="0" w:name="Normal (Web)"/>
    <w:lsdException w:uiPriority="0" w:name="HTML Acronym"/>
    <w:lsdException w:uiPriority="0" w:name="HTML Address"/>
    <w:lsdException w:uiPriority="0" w:name="HTML Cite"/>
    <w:lsdException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1"/>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link w:val="36"/>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link w:val="37"/>
    <w:autoRedefine/>
    <w:qFormat/>
    <w:uiPriority w:val="0"/>
  </w:style>
  <w:style w:type="paragraph" w:styleId="6">
    <w:name w:val="Body Text"/>
    <w:basedOn w:val="1"/>
    <w:link w:val="38"/>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5"/>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0"/>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table" w:customStyle="1" w:styleId="31">
    <w:name w:val="ffzstable0"/>
    <w:basedOn w:val="15"/>
    <w:autoRedefine/>
    <w:qFormat/>
    <w:uiPriority w:val="0"/>
    <w:pPr>
      <w:jc w:val="center"/>
    </w:pPr>
    <w:tcPr>
      <w:tcBorders>
        <w:top w:val="single" w:color="auto" w:sz="4" w:space="0"/>
        <w:left w:val="single" w:color="auto" w:sz="4" w:space="0"/>
        <w:bottom w:val="single" w:color="auto" w:sz="4" w:space="0"/>
        <w:right w:val="single" w:color="auto" w:sz="4" w:space="0"/>
      </w:tcBorders>
      <w:vAlign w:val="center"/>
    </w:tcPr>
  </w:style>
  <w:style w:type="table" w:customStyle="1" w:styleId="32">
    <w:name w:val="ffzstable1"/>
    <w:basedOn w:val="15"/>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33">
    <w:name w:val="List Paragraph"/>
    <w:basedOn w:val="1"/>
    <w:autoRedefine/>
    <w:qFormat/>
    <w:uiPriority w:val="99"/>
    <w:pPr>
      <w:ind w:firstLine="420" w:firstLineChars="200"/>
    </w:pPr>
  </w:style>
  <w:style w:type="table" w:customStyle="1" w:styleId="34">
    <w:name w:val="Table Normal"/>
    <w:autoRedefine/>
    <w:qFormat/>
    <w:uiPriority w:val="0"/>
    <w:tblPr>
      <w:tblCellMar>
        <w:top w:w="0" w:type="dxa"/>
        <w:left w:w="0" w:type="dxa"/>
        <w:bottom w:w="0" w:type="dxa"/>
        <w:right w:w="0" w:type="dxa"/>
      </w:tblCellMar>
    </w:tblPr>
  </w:style>
  <w:style w:type="character" w:customStyle="1" w:styleId="35">
    <w:name w:val="批注框文本 字符"/>
    <w:basedOn w:val="16"/>
    <w:link w:val="8"/>
    <w:autoRedefine/>
    <w:qFormat/>
    <w:uiPriority w:val="0"/>
    <w:rPr>
      <w:rFonts w:ascii="宋体" w:hAnsi="宋体" w:cs="宋体"/>
      <w:sz w:val="18"/>
      <w:szCs w:val="18"/>
      <w:lang w:eastAsia="en-US"/>
    </w:rPr>
  </w:style>
  <w:style w:type="character" w:customStyle="1" w:styleId="36">
    <w:name w:val="标题 2 字符"/>
    <w:basedOn w:val="16"/>
    <w:link w:val="3"/>
    <w:autoRedefine/>
    <w:qFormat/>
    <w:uiPriority w:val="1"/>
    <w:rPr>
      <w:rFonts w:eastAsia="微软雅黑" w:cs="黑体"/>
      <w:b/>
      <w:bCs/>
      <w:color w:val="00B050"/>
      <w:sz w:val="24"/>
      <w:szCs w:val="30"/>
      <w:lang w:eastAsia="en-US"/>
    </w:rPr>
  </w:style>
  <w:style w:type="character" w:customStyle="1" w:styleId="37">
    <w:name w:val="批注文字 字符"/>
    <w:basedOn w:val="16"/>
    <w:link w:val="5"/>
    <w:autoRedefine/>
    <w:qFormat/>
    <w:uiPriority w:val="0"/>
    <w:rPr>
      <w:rFonts w:ascii="宋体" w:hAnsi="宋体" w:cs="宋体"/>
      <w:sz w:val="22"/>
      <w:szCs w:val="22"/>
      <w:lang w:eastAsia="en-US"/>
    </w:rPr>
  </w:style>
  <w:style w:type="character" w:customStyle="1" w:styleId="38">
    <w:name w:val="正文文本 字符"/>
    <w:basedOn w:val="16"/>
    <w:link w:val="6"/>
    <w:autoRedefine/>
    <w:qFormat/>
    <w:uiPriority w:val="1"/>
    <w:rPr>
      <w:rFonts w:ascii="宋体" w:hAnsi="宋体" w:cs="宋体"/>
      <w:sz w:val="18"/>
      <w:szCs w:val="18"/>
      <w:lang w:eastAsia="en-US"/>
    </w:rPr>
  </w:style>
  <w:style w:type="paragraph" w:customStyle="1" w:styleId="39">
    <w:name w:val="列表段落2"/>
    <w:basedOn w:val="1"/>
    <w:autoRedefine/>
    <w:qFormat/>
    <w:uiPriority w:val="0"/>
    <w:pPr>
      <w:ind w:firstLine="420" w:firstLineChars="200"/>
    </w:pPr>
    <w:rPr>
      <w:rFonts w:ascii="Calibri" w:hAnsi="Calibri" w:cs="Times New Roman"/>
    </w:rPr>
  </w:style>
  <w:style w:type="paragraph" w:customStyle="1" w:styleId="40">
    <w:name w:val="正文1"/>
    <w:autoRedefine/>
    <w:qFormat/>
    <w:uiPriority w:val="0"/>
    <w:rPr>
      <w:rFonts w:ascii="Times New Roman" w:hAnsi="Times New Roman" w:eastAsia="宋体" w:cs="Times New Roman"/>
      <w:sz w:val="24"/>
      <w:szCs w:val="24"/>
      <w:lang w:val="en-US" w:eastAsia="zh-CN" w:bidi="ar-SA"/>
    </w:rPr>
  </w:style>
  <w:style w:type="character" w:customStyle="1" w:styleId="41">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51"/>
    <w:basedOn w:val="16"/>
    <w:qFormat/>
    <w:uiPriority w:val="0"/>
    <w:rPr>
      <w:rFonts w:ascii="宋体" w:hAnsi="宋体" w:eastAsia="宋体" w:cs="宋体"/>
      <w:b/>
      <w:bCs/>
      <w:color w:val="00B050"/>
      <w:sz w:val="20"/>
      <w:szCs w:val="20"/>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4.xml"/><Relationship Id="rId6" Type="http://schemas.openxmlformats.org/officeDocument/2006/relationships/footer" Target="footer1.xml"/><Relationship Id="rId5" Type="http://schemas.openxmlformats.org/officeDocument/2006/relationships/header" Target="header3.xml"/><Relationship Id="rId4" Type="http://schemas.openxmlformats.org/officeDocument/2006/relationships/header" Target="header2.xml"/><Relationship Id="rId3" Type="http://schemas.openxmlformats.org/officeDocument/2006/relationships/header" Target="header1.xml"/><Relationship Id="rId2" Type="http://schemas.openxmlformats.org/officeDocument/2006/relationships/settings" Target="settings.xml"/><Relationship Id="rId15" Type="http://schemas.openxmlformats.org/officeDocument/2006/relationships/fontTable" Target="fontTable.xml"/><Relationship Id="rId14" Type="http://schemas.openxmlformats.org/officeDocument/2006/relationships/numbering" Target="numbering.xml"/><Relationship Id="rId13" Type="http://schemas.openxmlformats.org/officeDocument/2006/relationships/customXml" Target="../customXml/item1.xml"/><Relationship Id="rId12" Type="http://schemas.openxmlformats.org/officeDocument/2006/relationships/image" Target="media/image3.jpeg"/><Relationship Id="rId11" Type="http://schemas.openxmlformats.org/officeDocument/2006/relationships/image" Target="media/image2.png"/><Relationship Id="rId10" Type="http://schemas.openxmlformats.org/officeDocument/2006/relationships/image" Target="media/image1.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24</Pages>
  <Words>2385</Words>
  <Characters>5938</Characters>
  <Lines>195</Lines>
  <Paragraphs>54</Paragraphs>
  <TotalTime>0</TotalTime>
  <ScaleCrop>false</ScaleCrop>
  <LinksUpToDate>false</LinksUpToDate>
  <CharactersWithSpaces>6442</CharactersWithSpaces>
  <Application>WPS Office_12.1.0.24034_F1E327BC-269C-435d-A152-05C5408002CA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2020-06-30T08:37:00Z</dcterms:created>
  <dc:creator>86131</dc:creator>
  <cp:lastModifiedBy>yolo</cp:lastModifiedBy>
  <dcterms:modified xsi:type="dcterms:W3CDTF">2025-12-09T03:44:26Z</dcterms:modified>
  <cp:revision>130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2052-12.1.0.24034</vt:lpwstr>
  </property>
  <property fmtid="{D5CDD505-2E9C-101B-9397-08002B2CF9AE}" pid="3" name="ICV">
    <vt:lpwstr>CCD5FEFFE7D2476A849AA27515B512D6_13</vt:lpwstr>
  </property>
  <property fmtid="{D5CDD505-2E9C-101B-9397-08002B2CF9AE}" pid="4" name="KSOTemplateDocerSaveRecord">
    <vt:lpwstr>eyJoZGlkIjoiNzhjODRmNWJhZTVkNTI1OGI2YWZlNjVkNDIwMWYwMDkiLCJ1c2VySWQiOiIzMTAxODgzOTQifQ==</vt:lpwstr>
  </property>
</Properties>
</file>