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1" w:rightFromText="181" w:vertAnchor="text" w:horzAnchor="page" w:tblpXSpec="center" w:tblpY="284"/>
        <w:tblOverlap w:val="never"/>
        <w:tblW w:w="9640" w:type="dxa"/>
        <w:jc w:val="center"/>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Layout w:type="fixed"/>
        <w:tblCellMar>
          <w:top w:w="0" w:type="dxa"/>
          <w:left w:w="0" w:type="dxa"/>
          <w:bottom w:w="0" w:type="dxa"/>
          <w:right w:w="0" w:type="dxa"/>
        </w:tblCellMar>
      </w:tblPr>
      <w:tblGrid>
        <w:gridCol w:w="1417"/>
        <w:gridCol w:w="1781"/>
        <w:gridCol w:w="1485"/>
        <w:gridCol w:w="1550"/>
        <w:gridCol w:w="1417"/>
        <w:gridCol w:w="1990"/>
      </w:tblGrid>
      <w:tr w14:paraId="30E48A6B">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567" w:hRule="atLeast"/>
          <w:jc w:val="center"/>
        </w:trPr>
        <w:tc>
          <w:tcPr>
            <w:tcW w:w="1417" w:type="dxa"/>
            <w:vAlign w:val="center"/>
          </w:tcPr>
          <w:p w14:paraId="11CF3772">
            <w:pPr>
              <w:keepNext w:val="0"/>
              <w:keepLines w:val="0"/>
              <w:pageBreakBefore w:val="0"/>
              <w:widowControl/>
              <w:kinsoku w:val="0"/>
              <w:wordWrap/>
              <w:overflowPunct/>
              <w:topLinePunct w:val="0"/>
              <w:autoSpaceDE w:val="0"/>
              <w:autoSpaceDN w:val="0"/>
              <w:bidi w:val="0"/>
              <w:adjustRightInd w:val="0"/>
              <w:snapToGrid w:val="0"/>
              <w:spacing w:line="240" w:lineRule="auto"/>
              <w:ind w:left="112"/>
              <w:textAlignment w:val="baseline"/>
              <w:rPr>
                <w:rFonts w:hint="default" w:ascii="Times New Roman" w:hAnsi="Times New Roman" w:eastAsia="微软雅黑" w:cs="Times New Roman"/>
                <w:sz w:val="23"/>
                <w:szCs w:val="23"/>
              </w:rPr>
            </w:pPr>
            <w:r>
              <w:rPr>
                <w:rFonts w:hint="default" w:ascii="Times New Roman" w:hAnsi="Times New Roman" w:eastAsia="微软雅黑" w:cs="Times New Roman"/>
                <w:spacing w:val="3"/>
                <w:sz w:val="23"/>
                <w:szCs w:val="23"/>
                <w14:textOutline w14:w="4356" w14:cap="sq" w14:cmpd="sng" w14:algn="ctr">
                  <w14:solidFill>
                    <w14:srgbClr w14:val="000000"/>
                  </w14:solidFill>
                  <w14:prstDash w14:val="solid"/>
                  <w14:bevel/>
                </w14:textOutline>
              </w:rPr>
              <w:t>姓</w:t>
            </w:r>
            <w:r>
              <w:rPr>
                <w:rFonts w:hint="default" w:ascii="Times New Roman" w:hAnsi="Times New Roman" w:eastAsia="微软雅黑" w:cs="Times New Roman"/>
                <w:spacing w:val="2"/>
                <w:sz w:val="23"/>
                <w:szCs w:val="23"/>
              </w:rPr>
              <w:t xml:space="preserve">       </w:t>
            </w:r>
            <w:r>
              <w:rPr>
                <w:rFonts w:hint="default" w:ascii="Times New Roman" w:hAnsi="Times New Roman" w:eastAsia="微软雅黑" w:cs="Times New Roman"/>
                <w:spacing w:val="2"/>
                <w:sz w:val="23"/>
                <w:szCs w:val="23"/>
                <w14:textOutline w14:w="4356" w14:cap="sq" w14:cmpd="sng" w14:algn="ctr">
                  <w14:solidFill>
                    <w14:srgbClr w14:val="000000"/>
                  </w14:solidFill>
                  <w14:prstDash w14:val="solid"/>
                  <w14:bevel/>
                </w14:textOutline>
              </w:rPr>
              <w:t>名</w:t>
            </w:r>
          </w:p>
        </w:tc>
        <w:tc>
          <w:tcPr>
            <w:tcW w:w="1781" w:type="dxa"/>
            <w:vAlign w:val="center"/>
          </w:tcPr>
          <w:p w14:paraId="558ECC6E">
            <w:pPr>
              <w:keepNext w:val="0"/>
              <w:keepLines w:val="0"/>
              <w:pageBreakBefore w:val="0"/>
              <w:widowControl/>
              <w:kinsoku w:val="0"/>
              <w:wordWrap/>
              <w:overflowPunct/>
              <w:topLinePunct w:val="0"/>
              <w:autoSpaceDE w:val="0"/>
              <w:autoSpaceDN w:val="0"/>
              <w:bidi w:val="0"/>
              <w:adjustRightInd w:val="0"/>
              <w:snapToGrid w:val="0"/>
              <w:spacing w:line="240" w:lineRule="auto"/>
              <w:ind w:left="113"/>
              <w:jc w:val="both"/>
              <w:textAlignment w:val="baseline"/>
              <w:rPr>
                <w:rFonts w:hint="default" w:ascii="Times New Roman" w:hAnsi="Times New Roman" w:eastAsia="微软雅黑" w:cs="Times New Roman"/>
                <w:sz w:val="23"/>
                <w:szCs w:val="23"/>
              </w:rPr>
            </w:pPr>
            <w:r>
              <w:rPr>
                <w:rFonts w:hint="default" w:ascii="Times New Roman" w:hAnsi="Times New Roman" w:eastAsia="微软雅黑" w:cs="Times New Roman"/>
                <w:sz w:val="23"/>
                <w:szCs w:val="23"/>
              </w:rPr>
              <w:t>{{ client }}</w:t>
            </w:r>
          </w:p>
        </w:tc>
        <w:tc>
          <w:tcPr>
            <w:tcW w:w="1485" w:type="dxa"/>
            <w:vAlign w:val="center"/>
          </w:tcPr>
          <w:p w14:paraId="624584C1">
            <w:pPr>
              <w:keepNext w:val="0"/>
              <w:keepLines w:val="0"/>
              <w:pageBreakBefore w:val="0"/>
              <w:widowControl/>
              <w:kinsoku w:val="0"/>
              <w:wordWrap/>
              <w:overflowPunct/>
              <w:topLinePunct w:val="0"/>
              <w:autoSpaceDE w:val="0"/>
              <w:autoSpaceDN w:val="0"/>
              <w:bidi w:val="0"/>
              <w:adjustRightInd w:val="0"/>
              <w:snapToGrid w:val="0"/>
              <w:spacing w:line="240" w:lineRule="auto"/>
              <w:ind w:left="111"/>
              <w:textAlignment w:val="baseline"/>
              <w:rPr>
                <w:rFonts w:hint="default" w:ascii="Times New Roman" w:hAnsi="Times New Roman" w:eastAsia="微软雅黑" w:cs="Times New Roman"/>
                <w:sz w:val="23"/>
                <w:szCs w:val="23"/>
              </w:rPr>
            </w:pPr>
            <w:r>
              <w:rPr>
                <w:rFonts w:hint="default" w:ascii="Times New Roman" w:hAnsi="Times New Roman" w:eastAsia="微软雅黑" w:cs="Times New Roman"/>
                <w:spacing w:val="2"/>
                <w:sz w:val="23"/>
                <w:szCs w:val="23"/>
                <w14:textOutline w14:w="4356" w14:cap="sq" w14:cmpd="sng" w14:algn="ctr">
                  <w14:solidFill>
                    <w14:srgbClr w14:val="000000"/>
                  </w14:solidFill>
                  <w14:prstDash w14:val="solid"/>
                  <w14:bevel/>
                </w14:textOutline>
              </w:rPr>
              <w:t>性</w:t>
            </w:r>
            <w:r>
              <w:rPr>
                <w:rFonts w:hint="default" w:ascii="Times New Roman" w:hAnsi="Times New Roman" w:eastAsia="微软雅黑" w:cs="Times New Roman"/>
                <w:spacing w:val="2"/>
                <w:sz w:val="23"/>
                <w:szCs w:val="23"/>
              </w:rPr>
              <w:t xml:space="preserve">       </w:t>
            </w:r>
            <w:r>
              <w:rPr>
                <w:rFonts w:hint="default" w:ascii="Times New Roman" w:hAnsi="Times New Roman" w:eastAsia="微软雅黑" w:cs="Times New Roman"/>
                <w:spacing w:val="1"/>
                <w:sz w:val="23"/>
                <w:szCs w:val="23"/>
                <w14:textOutline w14:w="4356" w14:cap="sq" w14:cmpd="sng" w14:algn="ctr">
                  <w14:solidFill>
                    <w14:srgbClr w14:val="000000"/>
                  </w14:solidFill>
                  <w14:prstDash w14:val="solid"/>
                  <w14:bevel/>
                </w14:textOutline>
              </w:rPr>
              <w:t>别</w:t>
            </w:r>
          </w:p>
        </w:tc>
        <w:tc>
          <w:tcPr>
            <w:tcW w:w="1550" w:type="dxa"/>
            <w:vAlign w:val="center"/>
          </w:tcPr>
          <w:p w14:paraId="2002D66D">
            <w:pPr>
              <w:keepNext w:val="0"/>
              <w:keepLines w:val="0"/>
              <w:pageBreakBefore w:val="0"/>
              <w:widowControl/>
              <w:kinsoku w:val="0"/>
              <w:wordWrap/>
              <w:overflowPunct/>
              <w:topLinePunct w:val="0"/>
              <w:autoSpaceDE w:val="0"/>
              <w:autoSpaceDN w:val="0"/>
              <w:bidi w:val="0"/>
              <w:adjustRightInd w:val="0"/>
              <w:snapToGrid w:val="0"/>
              <w:spacing w:line="240" w:lineRule="auto"/>
              <w:ind w:left="115"/>
              <w:jc w:val="both"/>
              <w:textAlignment w:val="baseline"/>
              <w:rPr>
                <w:rFonts w:hint="default" w:ascii="Times New Roman" w:hAnsi="Times New Roman" w:eastAsia="微软雅黑" w:cs="Times New Roman"/>
                <w:sz w:val="23"/>
                <w:szCs w:val="23"/>
              </w:rPr>
            </w:pPr>
            <w:r>
              <w:rPr>
                <w:rFonts w:hint="default" w:ascii="Times New Roman" w:hAnsi="Times New Roman" w:eastAsia="微软雅黑" w:cs="Times New Roman"/>
                <w:sz w:val="23"/>
                <w:szCs w:val="23"/>
              </w:rPr>
              <w:t>{{ sex }}</w:t>
            </w:r>
          </w:p>
        </w:tc>
        <w:tc>
          <w:tcPr>
            <w:tcW w:w="1417" w:type="dxa"/>
            <w:vAlign w:val="center"/>
          </w:tcPr>
          <w:p w14:paraId="27E8E62C">
            <w:pPr>
              <w:keepNext w:val="0"/>
              <w:keepLines w:val="0"/>
              <w:pageBreakBefore w:val="0"/>
              <w:widowControl/>
              <w:kinsoku w:val="0"/>
              <w:wordWrap/>
              <w:overflowPunct/>
              <w:topLinePunct w:val="0"/>
              <w:autoSpaceDE w:val="0"/>
              <w:autoSpaceDN w:val="0"/>
              <w:bidi w:val="0"/>
              <w:adjustRightInd w:val="0"/>
              <w:snapToGrid w:val="0"/>
              <w:spacing w:line="240" w:lineRule="auto"/>
              <w:ind w:left="117"/>
              <w:textAlignment w:val="baseline"/>
              <w:rPr>
                <w:rFonts w:hint="default" w:ascii="Times New Roman" w:hAnsi="Times New Roman" w:eastAsia="微软雅黑" w:cs="Times New Roman"/>
                <w:sz w:val="23"/>
                <w:szCs w:val="23"/>
              </w:rPr>
            </w:pPr>
            <w:r>
              <w:rPr>
                <w:rFonts w:hint="default" w:ascii="Times New Roman" w:hAnsi="Times New Roman" w:eastAsia="微软雅黑" w:cs="Times New Roman"/>
                <w:spacing w:val="2"/>
                <w:sz w:val="23"/>
                <w:szCs w:val="23"/>
                <w14:textOutline w14:w="4356" w14:cap="sq" w14:cmpd="sng" w14:algn="ctr">
                  <w14:solidFill>
                    <w14:srgbClr w14:val="000000"/>
                  </w14:solidFill>
                  <w14:prstDash w14:val="solid"/>
                  <w14:bevel/>
                </w14:textOutline>
              </w:rPr>
              <w:t>年</w:t>
            </w:r>
            <w:r>
              <w:rPr>
                <w:rFonts w:hint="default" w:ascii="Times New Roman" w:hAnsi="Times New Roman" w:eastAsia="微软雅黑" w:cs="Times New Roman"/>
                <w:spacing w:val="2"/>
                <w:sz w:val="23"/>
                <w:szCs w:val="23"/>
              </w:rPr>
              <w:t xml:space="preserve">       </w:t>
            </w:r>
            <w:r>
              <w:rPr>
                <w:rFonts w:hint="default" w:ascii="Times New Roman" w:hAnsi="Times New Roman" w:eastAsia="微软雅黑" w:cs="Times New Roman"/>
                <w:sz w:val="23"/>
                <w:szCs w:val="23"/>
                <w14:textOutline w14:w="4356" w14:cap="sq" w14:cmpd="sng" w14:algn="ctr">
                  <w14:solidFill>
                    <w14:srgbClr w14:val="000000"/>
                  </w14:solidFill>
                  <w14:prstDash w14:val="solid"/>
                  <w14:bevel/>
                </w14:textOutline>
              </w:rPr>
              <w:t>龄</w:t>
            </w:r>
          </w:p>
        </w:tc>
        <w:tc>
          <w:tcPr>
            <w:tcW w:w="1990" w:type="dxa"/>
            <w:vAlign w:val="center"/>
          </w:tcPr>
          <w:p w14:paraId="2CD2DFE8">
            <w:pPr>
              <w:keepNext w:val="0"/>
              <w:keepLines w:val="0"/>
              <w:pageBreakBefore w:val="0"/>
              <w:widowControl/>
              <w:kinsoku w:val="0"/>
              <w:wordWrap/>
              <w:overflowPunct/>
              <w:topLinePunct w:val="0"/>
              <w:autoSpaceDE w:val="0"/>
              <w:autoSpaceDN w:val="0"/>
              <w:bidi w:val="0"/>
              <w:adjustRightInd w:val="0"/>
              <w:snapToGrid w:val="0"/>
              <w:spacing w:line="240" w:lineRule="auto"/>
              <w:ind w:left="115"/>
              <w:jc w:val="both"/>
              <w:textAlignment w:val="baseline"/>
              <w:rPr>
                <w:rFonts w:hint="default" w:ascii="Times New Roman" w:hAnsi="Times New Roman" w:eastAsia="Times New Roman" w:cs="Times New Roman"/>
                <w:sz w:val="23"/>
                <w:szCs w:val="23"/>
              </w:rPr>
            </w:pPr>
            <w:r>
              <w:rPr>
                <w:rFonts w:hint="default" w:ascii="Times New Roman" w:hAnsi="Times New Roman" w:eastAsia="微软雅黑" w:cs="Times New Roman"/>
                <w:sz w:val="23"/>
                <w:szCs w:val="23"/>
              </w:rPr>
              <w:t>{{ age }}</w:t>
            </w:r>
          </w:p>
        </w:tc>
      </w:tr>
      <w:tr w14:paraId="195C4A40">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567" w:hRule="atLeast"/>
          <w:jc w:val="center"/>
        </w:trPr>
        <w:tc>
          <w:tcPr>
            <w:tcW w:w="1417" w:type="dxa"/>
            <w:vAlign w:val="center"/>
          </w:tcPr>
          <w:p w14:paraId="4A9EFB1E">
            <w:pPr>
              <w:keepNext w:val="0"/>
              <w:keepLines w:val="0"/>
              <w:pageBreakBefore w:val="0"/>
              <w:widowControl/>
              <w:kinsoku w:val="0"/>
              <w:wordWrap/>
              <w:overflowPunct/>
              <w:topLinePunct w:val="0"/>
              <w:autoSpaceDE w:val="0"/>
              <w:autoSpaceDN w:val="0"/>
              <w:bidi w:val="0"/>
              <w:adjustRightInd w:val="0"/>
              <w:snapToGrid w:val="0"/>
              <w:spacing w:line="240" w:lineRule="auto"/>
              <w:ind w:left="110"/>
              <w:textAlignment w:val="baseline"/>
              <w:rPr>
                <w:rFonts w:hint="default" w:ascii="Times New Roman" w:hAnsi="Times New Roman" w:eastAsia="微软雅黑" w:cs="Times New Roman"/>
                <w:spacing w:val="12"/>
                <w:sz w:val="23"/>
                <w:szCs w:val="23"/>
                <w14:textOutline w14:w="4356" w14:cap="sq" w14:cmpd="sng" w14:algn="ctr">
                  <w14:solidFill>
                    <w14:srgbClr w14:val="000000"/>
                  </w14:solidFill>
                  <w14:prstDash w14:val="solid"/>
                  <w14:bevel/>
                </w14:textOutline>
              </w:rPr>
            </w:pPr>
            <w:r>
              <w:rPr>
                <w:rFonts w:hint="default" w:ascii="Times New Roman" w:hAnsi="Times New Roman" w:eastAsia="微软雅黑" w:cs="Times New Roman"/>
                <w:spacing w:val="12"/>
                <w:sz w:val="23"/>
                <w:szCs w:val="23"/>
                <w14:textOutline w14:w="4356" w14:cap="sq" w14:cmpd="sng" w14:algn="ctr">
                  <w14:solidFill>
                    <w14:srgbClr w14:val="000000"/>
                  </w14:solidFill>
                  <w14:prstDash w14:val="solid"/>
                  <w14:bevel/>
                </w14:textOutline>
              </w:rPr>
              <w:t>病人类型</w:t>
            </w:r>
          </w:p>
        </w:tc>
        <w:tc>
          <w:tcPr>
            <w:tcW w:w="1781" w:type="dxa"/>
            <w:vAlign w:val="center"/>
          </w:tcPr>
          <w:p w14:paraId="50149C58">
            <w:pPr>
              <w:keepNext w:val="0"/>
              <w:keepLines w:val="0"/>
              <w:pageBreakBefore w:val="0"/>
              <w:widowControl/>
              <w:kinsoku w:val="0"/>
              <w:wordWrap/>
              <w:overflowPunct/>
              <w:topLinePunct w:val="0"/>
              <w:autoSpaceDE w:val="0"/>
              <w:autoSpaceDN w:val="0"/>
              <w:bidi w:val="0"/>
              <w:adjustRightInd w:val="0"/>
              <w:snapToGrid w:val="0"/>
              <w:spacing w:line="240" w:lineRule="auto"/>
              <w:ind w:left="126"/>
              <w:jc w:val="both"/>
              <w:textAlignment w:val="baseline"/>
              <w:rPr>
                <w:rFonts w:hint="default" w:ascii="Times New Roman" w:hAnsi="Times New Roman" w:eastAsia="微软雅黑" w:cs="Times New Roman"/>
                <w:spacing w:val="12"/>
                <w:sz w:val="23"/>
                <w:szCs w:val="23"/>
                <w:lang w:val="en-US" w:eastAsia="zh-CN"/>
                <w14:textOutline w14:w="4356" w14:cap="sq" w14:cmpd="sng" w14:algn="ctr">
                  <w14:solidFill>
                    <w14:srgbClr w14:val="000000"/>
                  </w14:solidFill>
                  <w14:prstDash w14:val="solid"/>
                  <w14:bevel/>
                </w14:textOutline>
              </w:rPr>
            </w:pPr>
            <w:r>
              <w:rPr>
                <w:rFonts w:hint="eastAsia" w:ascii="Times New Roman" w:hAnsi="Times New Roman" w:eastAsia="微软雅黑" w:cs="Times New Roman"/>
                <w:bCs/>
                <w:color w:val="000000"/>
                <w:sz w:val="23"/>
                <w:szCs w:val="23"/>
                <w:lang w:eastAsia="zh-CN"/>
              </w:rPr>
              <w:t>{{ hospital }}</w:t>
            </w:r>
          </w:p>
        </w:tc>
        <w:tc>
          <w:tcPr>
            <w:tcW w:w="1485" w:type="dxa"/>
            <w:vAlign w:val="center"/>
          </w:tcPr>
          <w:p w14:paraId="41BEABC5">
            <w:pPr>
              <w:keepNext w:val="0"/>
              <w:keepLines w:val="0"/>
              <w:pageBreakBefore w:val="0"/>
              <w:widowControl/>
              <w:kinsoku w:val="0"/>
              <w:wordWrap/>
              <w:overflowPunct/>
              <w:topLinePunct w:val="0"/>
              <w:autoSpaceDE w:val="0"/>
              <w:autoSpaceDN w:val="0"/>
              <w:bidi w:val="0"/>
              <w:adjustRightInd w:val="0"/>
              <w:snapToGrid w:val="0"/>
              <w:spacing w:line="240" w:lineRule="auto"/>
              <w:ind w:left="116"/>
              <w:textAlignment w:val="baseline"/>
              <w:rPr>
                <w:rFonts w:hint="default" w:ascii="Times New Roman" w:hAnsi="Times New Roman" w:eastAsia="微软雅黑" w:cs="Times New Roman"/>
                <w:sz w:val="23"/>
                <w:szCs w:val="23"/>
              </w:rPr>
            </w:pPr>
            <w:r>
              <w:rPr>
                <w:rFonts w:hint="default" w:ascii="Times New Roman" w:hAnsi="Times New Roman" w:eastAsia="微软雅黑" w:cs="Times New Roman"/>
                <w:spacing w:val="2"/>
                <w:sz w:val="23"/>
                <w:szCs w:val="23"/>
                <w14:textOutline w14:w="4356" w14:cap="sq" w14:cmpd="sng" w14:algn="ctr">
                  <w14:solidFill>
                    <w14:srgbClr w14:val="000000"/>
                  </w14:solidFill>
                  <w14:prstDash w14:val="solid"/>
                  <w14:bevel/>
                </w14:textOutline>
              </w:rPr>
              <w:t>病       区</w:t>
            </w:r>
          </w:p>
        </w:tc>
        <w:tc>
          <w:tcPr>
            <w:tcW w:w="1550" w:type="dxa"/>
            <w:vAlign w:val="center"/>
          </w:tcPr>
          <w:p w14:paraId="4AD06933">
            <w:pPr>
              <w:keepNext w:val="0"/>
              <w:keepLines w:val="0"/>
              <w:pageBreakBefore w:val="0"/>
              <w:widowControl/>
              <w:kinsoku w:val="0"/>
              <w:wordWrap/>
              <w:overflowPunct/>
              <w:topLinePunct w:val="0"/>
              <w:autoSpaceDE w:val="0"/>
              <w:autoSpaceDN w:val="0"/>
              <w:bidi w:val="0"/>
              <w:adjustRightInd w:val="0"/>
              <w:snapToGrid w:val="0"/>
              <w:spacing w:line="240" w:lineRule="auto"/>
              <w:ind w:left="116"/>
              <w:jc w:val="both"/>
              <w:textAlignment w:val="baseline"/>
              <w:rPr>
                <w:rFonts w:hint="default" w:ascii="Times New Roman" w:hAnsi="Times New Roman" w:eastAsia="微软雅黑" w:cs="Times New Roman"/>
                <w:sz w:val="23"/>
                <w:szCs w:val="23"/>
              </w:rPr>
            </w:pPr>
            <w:r>
              <w:rPr>
                <w:rFonts w:hint="eastAsia" w:ascii="Times New Roman" w:hAnsi="Times New Roman" w:eastAsia="微软雅黑" w:cs="Times New Roman"/>
                <w:color w:val="000000"/>
                <w:sz w:val="23"/>
                <w:szCs w:val="23"/>
                <w:lang w:eastAsia="zh-CN"/>
              </w:rPr>
              <w:t>{{ locationname }}</w:t>
            </w:r>
          </w:p>
        </w:tc>
        <w:tc>
          <w:tcPr>
            <w:tcW w:w="1417" w:type="dxa"/>
            <w:vAlign w:val="center"/>
          </w:tcPr>
          <w:p w14:paraId="3860B20E">
            <w:pPr>
              <w:keepNext w:val="0"/>
              <w:keepLines w:val="0"/>
              <w:pageBreakBefore w:val="0"/>
              <w:widowControl/>
              <w:kinsoku w:val="0"/>
              <w:wordWrap/>
              <w:overflowPunct/>
              <w:topLinePunct w:val="0"/>
              <w:autoSpaceDE w:val="0"/>
              <w:autoSpaceDN w:val="0"/>
              <w:bidi w:val="0"/>
              <w:adjustRightInd w:val="0"/>
              <w:snapToGrid w:val="0"/>
              <w:spacing w:line="240" w:lineRule="auto"/>
              <w:ind w:left="118"/>
              <w:textAlignment w:val="baseline"/>
              <w:rPr>
                <w:rFonts w:hint="default" w:ascii="Times New Roman" w:hAnsi="Times New Roman" w:eastAsia="微软雅黑" w:cs="Times New Roman"/>
                <w:sz w:val="23"/>
                <w:szCs w:val="23"/>
              </w:rPr>
            </w:pPr>
            <w:r>
              <w:rPr>
                <w:rFonts w:hint="default" w:ascii="Times New Roman" w:hAnsi="Times New Roman" w:eastAsia="微软雅黑" w:cs="Times New Roman"/>
                <w:spacing w:val="2"/>
                <w:sz w:val="23"/>
                <w:szCs w:val="23"/>
                <w14:textOutline w14:w="4356" w14:cap="sq" w14:cmpd="sng" w14:algn="ctr">
                  <w14:solidFill>
                    <w14:srgbClr w14:val="000000"/>
                  </w14:solidFill>
                  <w14:prstDash w14:val="solid"/>
                  <w14:bevel/>
                </w14:textOutline>
              </w:rPr>
              <w:t>病案号</w:t>
            </w:r>
          </w:p>
        </w:tc>
        <w:tc>
          <w:tcPr>
            <w:tcW w:w="1990" w:type="dxa"/>
            <w:vAlign w:val="center"/>
          </w:tcPr>
          <w:p w14:paraId="709B8578">
            <w:pPr>
              <w:keepNext w:val="0"/>
              <w:keepLines w:val="0"/>
              <w:pageBreakBefore w:val="0"/>
              <w:widowControl/>
              <w:kinsoku w:val="0"/>
              <w:wordWrap/>
              <w:overflowPunct/>
              <w:topLinePunct w:val="0"/>
              <w:autoSpaceDE w:val="0"/>
              <w:autoSpaceDN w:val="0"/>
              <w:bidi w:val="0"/>
              <w:adjustRightInd w:val="0"/>
              <w:snapToGrid w:val="0"/>
              <w:spacing w:line="240" w:lineRule="auto"/>
              <w:ind w:left="116"/>
              <w:jc w:val="both"/>
              <w:textAlignment w:val="baseline"/>
              <w:rPr>
                <w:rFonts w:hint="default" w:ascii="Times New Roman" w:hAnsi="Times New Roman" w:eastAsia="微软雅黑" w:cs="Times New Roman"/>
                <w:sz w:val="23"/>
                <w:szCs w:val="23"/>
                <w:lang w:val="en-US" w:eastAsia="zh-CN"/>
              </w:rPr>
            </w:pPr>
            <w:r>
              <w:rPr>
                <w:rFonts w:hint="eastAsia" w:ascii="Times New Roman" w:hAnsi="Times New Roman" w:eastAsia="微软雅黑" w:cs="Times New Roman"/>
                <w:bCs/>
                <w:color w:val="000000"/>
                <w:sz w:val="23"/>
                <w:szCs w:val="23"/>
                <w:lang w:eastAsia="zh-CN"/>
              </w:rPr>
              <w:t>{{ room }}</w:t>
            </w:r>
          </w:p>
        </w:tc>
      </w:tr>
      <w:tr w14:paraId="7F3536E8">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567" w:hRule="atLeast"/>
          <w:jc w:val="center"/>
        </w:trPr>
        <w:tc>
          <w:tcPr>
            <w:tcW w:w="1417" w:type="dxa"/>
            <w:vAlign w:val="center"/>
          </w:tcPr>
          <w:p w14:paraId="04994442">
            <w:pPr>
              <w:keepNext w:val="0"/>
              <w:keepLines w:val="0"/>
              <w:pageBreakBefore w:val="0"/>
              <w:widowControl/>
              <w:kinsoku w:val="0"/>
              <w:wordWrap/>
              <w:overflowPunct/>
              <w:topLinePunct w:val="0"/>
              <w:autoSpaceDE w:val="0"/>
              <w:autoSpaceDN w:val="0"/>
              <w:bidi w:val="0"/>
              <w:adjustRightInd w:val="0"/>
              <w:snapToGrid w:val="0"/>
              <w:spacing w:line="240" w:lineRule="auto"/>
              <w:ind w:left="110"/>
              <w:textAlignment w:val="baseline"/>
              <w:rPr>
                <w:rFonts w:hint="default" w:ascii="Times New Roman" w:hAnsi="Times New Roman" w:eastAsia="微软雅黑" w:cs="Times New Roman"/>
                <w:spacing w:val="12"/>
                <w:sz w:val="23"/>
                <w:szCs w:val="23"/>
                <w14:textOutline w14:w="4356" w14:cap="sq" w14:cmpd="sng" w14:algn="ctr">
                  <w14:solidFill>
                    <w14:srgbClr w14:val="000000"/>
                  </w14:solidFill>
                  <w14:prstDash w14:val="solid"/>
                  <w14:bevel/>
                </w14:textOutline>
              </w:rPr>
            </w:pPr>
            <w:r>
              <w:rPr>
                <w:rFonts w:hint="default" w:ascii="Times New Roman" w:hAnsi="Times New Roman" w:eastAsia="微软雅黑" w:cs="Times New Roman"/>
                <w:spacing w:val="12"/>
                <w:sz w:val="23"/>
                <w:szCs w:val="23"/>
                <w14:textOutline w14:w="4356" w14:cap="sq" w14:cmpd="sng" w14:algn="ctr">
                  <w14:solidFill>
                    <w14:srgbClr w14:val="000000"/>
                  </w14:solidFill>
                  <w14:prstDash w14:val="solid"/>
                  <w14:bevel/>
                </w14:textOutline>
              </w:rPr>
              <w:t>病 理 号</w:t>
            </w:r>
          </w:p>
        </w:tc>
        <w:tc>
          <w:tcPr>
            <w:tcW w:w="1781" w:type="dxa"/>
            <w:vAlign w:val="center"/>
          </w:tcPr>
          <w:p w14:paraId="06DC44A3">
            <w:pPr>
              <w:keepNext w:val="0"/>
              <w:keepLines w:val="0"/>
              <w:pageBreakBefore w:val="0"/>
              <w:widowControl/>
              <w:kinsoku w:val="0"/>
              <w:wordWrap/>
              <w:overflowPunct/>
              <w:topLinePunct w:val="0"/>
              <w:autoSpaceDE w:val="0"/>
              <w:autoSpaceDN w:val="0"/>
              <w:bidi w:val="0"/>
              <w:adjustRightInd w:val="0"/>
              <w:snapToGrid w:val="0"/>
              <w:spacing w:line="240" w:lineRule="auto"/>
              <w:ind w:left="113" w:right="57"/>
              <w:jc w:val="both"/>
              <w:textAlignment w:val="baseline"/>
              <w:rPr>
                <w:rFonts w:hint="eastAsia" w:ascii="Times New Roman" w:hAnsi="Times New Roman" w:eastAsia="微软雅黑" w:cs="Times New Roman"/>
                <w:sz w:val="23"/>
                <w:szCs w:val="23"/>
                <w:lang w:val="en-US" w:eastAsia="zh-CN"/>
              </w:rPr>
            </w:pPr>
            <w:r>
              <w:rPr>
                <w:rFonts w:hint="eastAsia" w:ascii="Times New Roman" w:hAnsi="Times New Roman" w:eastAsia="微软雅黑" w:cs="Times New Roman"/>
                <w:sz w:val="23"/>
                <w:szCs w:val="23"/>
                <w:lang w:val="en-US" w:eastAsia="zh-CN"/>
              </w:rPr>
              <w:t>{{ specimenno }}</w:t>
            </w:r>
          </w:p>
        </w:tc>
        <w:tc>
          <w:tcPr>
            <w:tcW w:w="1485" w:type="dxa"/>
            <w:vAlign w:val="center"/>
          </w:tcPr>
          <w:p w14:paraId="4B41DE95">
            <w:pPr>
              <w:keepNext w:val="0"/>
              <w:keepLines w:val="0"/>
              <w:pageBreakBefore w:val="0"/>
              <w:widowControl/>
              <w:kinsoku w:val="0"/>
              <w:wordWrap/>
              <w:overflowPunct/>
              <w:topLinePunct w:val="0"/>
              <w:autoSpaceDE w:val="0"/>
              <w:autoSpaceDN w:val="0"/>
              <w:bidi w:val="0"/>
              <w:adjustRightInd w:val="0"/>
              <w:snapToGrid w:val="0"/>
              <w:spacing w:line="240" w:lineRule="auto"/>
              <w:ind w:left="107"/>
              <w:textAlignment w:val="baseline"/>
              <w:rPr>
                <w:rFonts w:hint="default" w:ascii="Times New Roman" w:hAnsi="Times New Roman" w:eastAsia="微软雅黑" w:cs="Times New Roman"/>
                <w:sz w:val="23"/>
                <w:szCs w:val="23"/>
              </w:rPr>
            </w:pPr>
            <w:r>
              <w:rPr>
                <w:rFonts w:hint="default" w:ascii="Times New Roman" w:hAnsi="Times New Roman" w:eastAsia="微软雅黑" w:cs="Times New Roman"/>
                <w:spacing w:val="11"/>
                <w:sz w:val="23"/>
                <w:szCs w:val="23"/>
                <w14:textOutline w14:w="4356" w14:cap="sq" w14:cmpd="sng" w14:algn="ctr">
                  <w14:solidFill>
                    <w14:srgbClr w14:val="000000"/>
                  </w14:solidFill>
                  <w14:prstDash w14:val="solid"/>
                  <w14:bevel/>
                </w14:textOutline>
              </w:rPr>
              <w:t>送</w:t>
            </w:r>
            <w:r>
              <w:rPr>
                <w:rFonts w:hint="default" w:ascii="Times New Roman" w:hAnsi="Times New Roman" w:eastAsia="微软雅黑" w:cs="Times New Roman"/>
                <w:spacing w:val="10"/>
                <w:sz w:val="23"/>
                <w:szCs w:val="23"/>
                <w14:textOutline w14:w="4356" w14:cap="sq" w14:cmpd="sng" w14:algn="ctr">
                  <w14:solidFill>
                    <w14:srgbClr w14:val="000000"/>
                  </w14:solidFill>
                  <w14:prstDash w14:val="solid"/>
                  <w14:bevel/>
                </w14:textOutline>
              </w:rPr>
              <w:t>检医师</w:t>
            </w:r>
          </w:p>
        </w:tc>
        <w:tc>
          <w:tcPr>
            <w:tcW w:w="1550" w:type="dxa"/>
            <w:vAlign w:val="center"/>
          </w:tcPr>
          <w:p w14:paraId="3904CAE7">
            <w:pPr>
              <w:keepNext w:val="0"/>
              <w:keepLines w:val="0"/>
              <w:pageBreakBefore w:val="0"/>
              <w:widowControl/>
              <w:kinsoku w:val="0"/>
              <w:wordWrap/>
              <w:overflowPunct/>
              <w:topLinePunct w:val="0"/>
              <w:autoSpaceDE w:val="0"/>
              <w:autoSpaceDN w:val="0"/>
              <w:bidi w:val="0"/>
              <w:adjustRightInd w:val="0"/>
              <w:snapToGrid w:val="0"/>
              <w:spacing w:line="240" w:lineRule="auto"/>
              <w:ind w:left="113"/>
              <w:jc w:val="both"/>
              <w:textAlignment w:val="baseline"/>
              <w:rPr>
                <w:rFonts w:hint="default" w:ascii="Times New Roman" w:hAnsi="Times New Roman" w:eastAsia="微软雅黑" w:cs="Times New Roman"/>
                <w:sz w:val="23"/>
                <w:szCs w:val="23"/>
              </w:rPr>
            </w:pPr>
            <w:r>
              <w:rPr>
                <w:rFonts w:hint="default" w:ascii="Times New Roman" w:hAnsi="Times New Roman" w:eastAsia="微软雅黑" w:cs="Times New Roman"/>
                <w:sz w:val="23"/>
                <w:szCs w:val="23"/>
              </w:rPr>
              <w:t>{{ doctorname }}</w:t>
            </w:r>
          </w:p>
        </w:tc>
        <w:tc>
          <w:tcPr>
            <w:tcW w:w="1417" w:type="dxa"/>
            <w:vAlign w:val="center"/>
          </w:tcPr>
          <w:p w14:paraId="07E8D26B">
            <w:pPr>
              <w:keepNext w:val="0"/>
              <w:keepLines w:val="0"/>
              <w:pageBreakBefore w:val="0"/>
              <w:widowControl/>
              <w:kinsoku w:val="0"/>
              <w:wordWrap/>
              <w:overflowPunct/>
              <w:topLinePunct w:val="0"/>
              <w:autoSpaceDE w:val="0"/>
              <w:autoSpaceDN w:val="0"/>
              <w:bidi w:val="0"/>
              <w:adjustRightInd w:val="0"/>
              <w:snapToGrid w:val="0"/>
              <w:spacing w:line="240" w:lineRule="auto"/>
              <w:ind w:left="126"/>
              <w:textAlignment w:val="baseline"/>
              <w:rPr>
                <w:rFonts w:hint="default" w:ascii="Times New Roman" w:hAnsi="Times New Roman" w:eastAsia="微软雅黑" w:cs="Times New Roman"/>
                <w:sz w:val="23"/>
                <w:szCs w:val="23"/>
              </w:rPr>
            </w:pPr>
            <w:r>
              <w:rPr>
                <w:rFonts w:hint="default" w:ascii="Times New Roman" w:hAnsi="Times New Roman" w:eastAsia="微软雅黑" w:cs="Times New Roman"/>
                <w:spacing w:val="8"/>
                <w:sz w:val="23"/>
                <w:szCs w:val="23"/>
                <w14:textOutline w14:w="4356" w14:cap="sq" w14:cmpd="sng" w14:algn="ctr">
                  <w14:solidFill>
                    <w14:srgbClr w14:val="000000"/>
                  </w14:solidFill>
                  <w14:prstDash w14:val="solid"/>
                  <w14:bevel/>
                </w14:textOutline>
              </w:rPr>
              <w:t>临</w:t>
            </w:r>
            <w:r>
              <w:rPr>
                <w:rFonts w:hint="default" w:ascii="Times New Roman" w:hAnsi="Times New Roman" w:eastAsia="微软雅黑" w:cs="Times New Roman"/>
                <w:spacing w:val="6"/>
                <w:sz w:val="23"/>
                <w:szCs w:val="23"/>
                <w14:textOutline w14:w="4356" w14:cap="sq" w14:cmpd="sng" w14:algn="ctr">
                  <w14:solidFill>
                    <w14:srgbClr w14:val="000000"/>
                  </w14:solidFill>
                  <w14:prstDash w14:val="solid"/>
                  <w14:bevel/>
                </w14:textOutline>
              </w:rPr>
              <w:t>床诊断</w:t>
            </w:r>
          </w:p>
        </w:tc>
        <w:tc>
          <w:tcPr>
            <w:tcW w:w="1990" w:type="dxa"/>
            <w:vAlign w:val="center"/>
          </w:tcPr>
          <w:p w14:paraId="09DD05D3">
            <w:pPr>
              <w:keepNext w:val="0"/>
              <w:keepLines w:val="0"/>
              <w:pageBreakBefore w:val="0"/>
              <w:widowControl/>
              <w:kinsoku w:val="0"/>
              <w:wordWrap/>
              <w:overflowPunct/>
              <w:topLinePunct w:val="0"/>
              <w:autoSpaceDE w:val="0"/>
              <w:autoSpaceDN w:val="0"/>
              <w:bidi w:val="0"/>
              <w:adjustRightInd w:val="0"/>
              <w:snapToGrid w:val="0"/>
              <w:spacing w:line="240" w:lineRule="auto"/>
              <w:ind w:left="110"/>
              <w:jc w:val="both"/>
              <w:textAlignment w:val="baseline"/>
              <w:rPr>
                <w:rFonts w:hint="default" w:ascii="Times New Roman" w:hAnsi="Times New Roman" w:eastAsia="微软雅黑" w:cs="Times New Roman"/>
                <w:sz w:val="23"/>
                <w:szCs w:val="23"/>
              </w:rPr>
            </w:pPr>
            <w:r>
              <w:rPr>
                <w:rFonts w:hint="default" w:ascii="Times New Roman" w:hAnsi="Times New Roman" w:eastAsia="微软雅黑" w:cs="Times New Roman"/>
                <w:sz w:val="23"/>
                <w:szCs w:val="23"/>
              </w:rPr>
              <w:t>{{ diseaseName }}</w:t>
            </w:r>
          </w:p>
        </w:tc>
      </w:tr>
      <w:tr w14:paraId="019A17A1">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567" w:hRule="atLeast"/>
          <w:jc w:val="center"/>
        </w:trPr>
        <w:tc>
          <w:tcPr>
            <w:tcW w:w="1417" w:type="dxa"/>
            <w:vAlign w:val="center"/>
          </w:tcPr>
          <w:p w14:paraId="37885885">
            <w:pPr>
              <w:keepNext w:val="0"/>
              <w:keepLines w:val="0"/>
              <w:pageBreakBefore w:val="0"/>
              <w:widowControl/>
              <w:kinsoku w:val="0"/>
              <w:wordWrap/>
              <w:overflowPunct/>
              <w:topLinePunct w:val="0"/>
              <w:autoSpaceDE w:val="0"/>
              <w:autoSpaceDN w:val="0"/>
              <w:bidi w:val="0"/>
              <w:adjustRightInd w:val="0"/>
              <w:snapToGrid w:val="0"/>
              <w:spacing w:line="240" w:lineRule="auto"/>
              <w:ind w:left="113"/>
              <w:textAlignment w:val="baseline"/>
              <w:rPr>
                <w:rFonts w:hint="default" w:ascii="Times New Roman" w:hAnsi="Times New Roman" w:eastAsia="微软雅黑" w:cs="Times New Roman"/>
                <w:sz w:val="23"/>
                <w:szCs w:val="23"/>
              </w:rPr>
            </w:pPr>
            <w:r>
              <w:rPr>
                <w:rFonts w:hint="default" w:ascii="Times New Roman" w:hAnsi="Times New Roman" w:eastAsia="微软雅黑" w:cs="Times New Roman"/>
                <w:spacing w:val="11"/>
                <w:sz w:val="23"/>
                <w:szCs w:val="23"/>
                <w14:textOutline w14:w="4356" w14:cap="sq" w14:cmpd="sng" w14:algn="ctr">
                  <w14:solidFill>
                    <w14:srgbClr w14:val="000000"/>
                  </w14:solidFill>
                  <w14:prstDash w14:val="solid"/>
                  <w14:bevel/>
                </w14:textOutline>
              </w:rPr>
              <w:t>样</w:t>
            </w:r>
            <w:r>
              <w:rPr>
                <w:rFonts w:hint="default" w:ascii="Times New Roman" w:hAnsi="Times New Roman" w:eastAsia="微软雅黑" w:cs="Times New Roman"/>
                <w:spacing w:val="9"/>
                <w:sz w:val="23"/>
                <w:szCs w:val="23"/>
                <w14:textOutline w14:w="4356" w14:cap="sq" w14:cmpd="sng" w14:algn="ctr">
                  <w14:solidFill>
                    <w14:srgbClr w14:val="000000"/>
                  </w14:solidFill>
                  <w14:prstDash w14:val="solid"/>
                  <w14:bevel/>
                </w14:textOutline>
              </w:rPr>
              <w:t>本类型</w:t>
            </w:r>
          </w:p>
        </w:tc>
        <w:tc>
          <w:tcPr>
            <w:tcW w:w="1781" w:type="dxa"/>
            <w:vAlign w:val="center"/>
          </w:tcPr>
          <w:p w14:paraId="04B8B213">
            <w:pPr>
              <w:keepNext w:val="0"/>
              <w:keepLines w:val="0"/>
              <w:pageBreakBefore w:val="0"/>
              <w:widowControl/>
              <w:kinsoku w:val="0"/>
              <w:wordWrap/>
              <w:overflowPunct/>
              <w:topLinePunct w:val="0"/>
              <w:autoSpaceDE w:val="0"/>
              <w:autoSpaceDN w:val="0"/>
              <w:bidi w:val="0"/>
              <w:adjustRightInd w:val="0"/>
              <w:snapToGrid w:val="0"/>
              <w:spacing w:line="240" w:lineRule="auto"/>
              <w:ind w:left="113" w:right="57"/>
              <w:jc w:val="both"/>
              <w:textAlignment w:val="baseline"/>
              <w:rPr>
                <w:rFonts w:hint="default" w:ascii="Times New Roman" w:hAnsi="Times New Roman" w:eastAsia="微软雅黑" w:cs="Times New Roman"/>
                <w:sz w:val="23"/>
                <w:szCs w:val="23"/>
              </w:rPr>
            </w:pPr>
            <w:r>
              <w:rPr>
                <w:rFonts w:hint="default" w:ascii="Times New Roman" w:hAnsi="Times New Roman" w:eastAsia="微软雅黑" w:cs="Times New Roman"/>
                <w:sz w:val="23"/>
                <w:szCs w:val="23"/>
              </w:rPr>
              <w:t>石蜡组织</w:t>
            </w:r>
          </w:p>
        </w:tc>
        <w:tc>
          <w:tcPr>
            <w:tcW w:w="1485" w:type="dxa"/>
            <w:vAlign w:val="center"/>
          </w:tcPr>
          <w:p w14:paraId="3C942884">
            <w:pPr>
              <w:keepNext w:val="0"/>
              <w:keepLines w:val="0"/>
              <w:pageBreakBefore w:val="0"/>
              <w:widowControl/>
              <w:kinsoku w:val="0"/>
              <w:wordWrap/>
              <w:overflowPunct/>
              <w:topLinePunct w:val="0"/>
              <w:autoSpaceDE w:val="0"/>
              <w:autoSpaceDN w:val="0"/>
              <w:bidi w:val="0"/>
              <w:adjustRightInd w:val="0"/>
              <w:snapToGrid w:val="0"/>
              <w:spacing w:line="240" w:lineRule="auto"/>
              <w:ind w:left="143"/>
              <w:textAlignment w:val="baseline"/>
              <w:rPr>
                <w:rFonts w:hint="default" w:ascii="Times New Roman" w:hAnsi="Times New Roman" w:eastAsia="微软雅黑" w:cs="Times New Roman"/>
                <w:sz w:val="23"/>
                <w:szCs w:val="23"/>
              </w:rPr>
            </w:pPr>
            <w:r>
              <w:rPr>
                <w:rFonts w:hint="default" w:ascii="Times New Roman" w:hAnsi="Times New Roman" w:eastAsia="微软雅黑" w:cs="Times New Roman"/>
                <w:spacing w:val="2"/>
                <w:sz w:val="23"/>
                <w:szCs w:val="23"/>
                <w14:textOutline w14:w="4356" w14:cap="sq" w14:cmpd="sng" w14:algn="ctr">
                  <w14:solidFill>
                    <w14:srgbClr w14:val="000000"/>
                  </w14:solidFill>
                  <w14:prstDash w14:val="solid"/>
                  <w14:bevel/>
                </w14:textOutline>
              </w:rPr>
              <w:t>申</w:t>
            </w:r>
            <w:r>
              <w:rPr>
                <w:rFonts w:hint="default" w:ascii="Times New Roman" w:hAnsi="Times New Roman" w:eastAsia="微软雅黑" w:cs="Times New Roman"/>
                <w:spacing w:val="1"/>
                <w:sz w:val="23"/>
                <w:szCs w:val="23"/>
                <w14:textOutline w14:w="4356" w14:cap="sq" w14:cmpd="sng" w14:algn="ctr">
                  <w14:solidFill>
                    <w14:srgbClr w14:val="000000"/>
                  </w14:solidFill>
                  <w14:prstDash w14:val="solid"/>
                  <w14:bevel/>
                </w14:textOutline>
              </w:rPr>
              <w:t>请日期</w:t>
            </w:r>
          </w:p>
        </w:tc>
        <w:tc>
          <w:tcPr>
            <w:tcW w:w="1550" w:type="dxa"/>
            <w:vAlign w:val="center"/>
          </w:tcPr>
          <w:p w14:paraId="1AE330D7">
            <w:pPr>
              <w:keepNext w:val="0"/>
              <w:keepLines w:val="0"/>
              <w:pageBreakBefore w:val="0"/>
              <w:widowControl/>
              <w:kinsoku w:val="0"/>
              <w:wordWrap/>
              <w:overflowPunct/>
              <w:topLinePunct w:val="0"/>
              <w:autoSpaceDE w:val="0"/>
              <w:autoSpaceDN w:val="0"/>
              <w:bidi w:val="0"/>
              <w:adjustRightInd w:val="0"/>
              <w:snapToGrid w:val="0"/>
              <w:spacing w:line="240" w:lineRule="auto"/>
              <w:ind w:left="111"/>
              <w:jc w:val="both"/>
              <w:textAlignment w:val="baseline"/>
              <w:rPr>
                <w:rFonts w:hint="default" w:ascii="Times New Roman" w:hAnsi="Times New Roman" w:eastAsia="Times New Roman" w:cs="Times New Roman"/>
                <w:sz w:val="23"/>
                <w:szCs w:val="23"/>
              </w:rPr>
            </w:pPr>
            <w:r>
              <w:rPr>
                <w:rFonts w:hint="eastAsia" w:ascii="Times New Roman" w:hAnsi="Times New Roman" w:eastAsia="微软雅黑" w:cs="Times New Roman"/>
                <w:bCs/>
                <w:color w:val="000000"/>
                <w:sz w:val="23"/>
                <w:szCs w:val="23"/>
                <w:lang w:eastAsia="zh-CN"/>
              </w:rPr>
              <w:t>{{ commission_date }}</w:t>
            </w:r>
          </w:p>
        </w:tc>
        <w:tc>
          <w:tcPr>
            <w:tcW w:w="1417" w:type="dxa"/>
            <w:vAlign w:val="center"/>
          </w:tcPr>
          <w:p w14:paraId="18D55644">
            <w:pPr>
              <w:keepNext w:val="0"/>
              <w:keepLines w:val="0"/>
              <w:pageBreakBefore w:val="0"/>
              <w:widowControl/>
              <w:kinsoku w:val="0"/>
              <w:wordWrap/>
              <w:overflowPunct/>
              <w:topLinePunct w:val="0"/>
              <w:autoSpaceDE w:val="0"/>
              <w:autoSpaceDN w:val="0"/>
              <w:bidi w:val="0"/>
              <w:adjustRightInd w:val="0"/>
              <w:snapToGrid w:val="0"/>
              <w:spacing w:line="240" w:lineRule="auto"/>
              <w:ind w:left="126"/>
              <w:textAlignment w:val="baseline"/>
              <w:rPr>
                <w:rFonts w:hint="default" w:ascii="Times New Roman" w:hAnsi="Times New Roman" w:eastAsia="微软雅黑" w:cs="Times New Roman"/>
                <w:spacing w:val="8"/>
                <w:sz w:val="23"/>
                <w:szCs w:val="23"/>
                <w14:textOutline w14:w="4356" w14:cap="sq" w14:cmpd="sng" w14:algn="ctr">
                  <w14:solidFill>
                    <w14:srgbClr w14:val="000000"/>
                  </w14:solidFill>
                  <w14:prstDash w14:val="solid"/>
                  <w14:bevel/>
                </w14:textOutline>
              </w:rPr>
            </w:pPr>
            <w:r>
              <w:rPr>
                <w:rFonts w:hint="default" w:ascii="Times New Roman" w:hAnsi="Times New Roman" w:eastAsia="微软雅黑" w:cs="Times New Roman"/>
                <w:spacing w:val="8"/>
                <w:sz w:val="23"/>
                <w:szCs w:val="23"/>
                <w14:textOutline w14:w="4356" w14:cap="sq" w14:cmpd="sng" w14:algn="ctr">
                  <w14:solidFill>
                    <w14:srgbClr w14:val="000000"/>
                  </w14:solidFill>
                  <w14:prstDash w14:val="solid"/>
                  <w14:bevel/>
                </w14:textOutline>
              </w:rPr>
              <w:t>标本号</w:t>
            </w:r>
          </w:p>
        </w:tc>
        <w:tc>
          <w:tcPr>
            <w:tcW w:w="1990" w:type="dxa"/>
            <w:vAlign w:val="center"/>
          </w:tcPr>
          <w:p w14:paraId="4B5B1DFC">
            <w:pPr>
              <w:keepNext w:val="0"/>
              <w:keepLines w:val="0"/>
              <w:pageBreakBefore w:val="0"/>
              <w:widowControl/>
              <w:kinsoku w:val="0"/>
              <w:wordWrap/>
              <w:overflowPunct/>
              <w:topLinePunct w:val="0"/>
              <w:autoSpaceDE w:val="0"/>
              <w:autoSpaceDN w:val="0"/>
              <w:bidi w:val="0"/>
              <w:adjustRightInd w:val="0"/>
              <w:snapToGrid w:val="0"/>
              <w:spacing w:line="240" w:lineRule="auto"/>
              <w:ind w:left="110"/>
              <w:jc w:val="both"/>
              <w:textAlignment w:val="baseline"/>
              <w:rPr>
                <w:rFonts w:hint="default" w:ascii="Times New Roman" w:hAnsi="Times New Roman" w:eastAsia="宋体" w:cs="Times New Roman"/>
                <w:spacing w:val="8"/>
                <w:sz w:val="23"/>
                <w:szCs w:val="23"/>
                <w:lang w:val="en-US" w:eastAsia="zh-CN"/>
                <w14:textOutline w14:w="4356" w14:cap="sq" w14:cmpd="sng" w14:algn="ctr">
                  <w14:solidFill>
                    <w14:srgbClr w14:val="000000"/>
                  </w14:solidFill>
                  <w14:prstDash w14:val="solid"/>
                  <w14:bevel/>
                </w14:textOutline>
              </w:rPr>
            </w:pPr>
            <w:r>
              <w:rPr>
                <w:rFonts w:hint="default" w:ascii="Times New Roman" w:hAnsi="Times New Roman" w:eastAsia="微软雅黑" w:cs="Times New Roman"/>
                <w:sz w:val="23"/>
                <w:szCs w:val="23"/>
              </w:rPr>
              <w:t xml:space="preserve">{{ </w:t>
            </w:r>
            <w:r>
              <w:rPr>
                <w:rFonts w:hint="eastAsia" w:ascii="Times New Roman" w:hAnsi="Times New Roman" w:eastAsia="微软雅黑" w:cs="Times New Roman"/>
                <w:sz w:val="23"/>
                <w:szCs w:val="23"/>
                <w:lang w:val="en-US" w:eastAsia="zh-CN"/>
              </w:rPr>
              <w:t xml:space="preserve">sample.FAMILYFIRST </w:t>
            </w:r>
            <w:r>
              <w:rPr>
                <w:rFonts w:hint="default" w:ascii="Times New Roman" w:hAnsi="Times New Roman" w:eastAsia="微软雅黑" w:cs="Times New Roman"/>
                <w:sz w:val="23"/>
                <w:szCs w:val="23"/>
              </w:rPr>
              <w:t>}}</w:t>
            </w:r>
          </w:p>
        </w:tc>
      </w:tr>
      <w:tr w14:paraId="0A0CA718">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567" w:hRule="atLeast"/>
          <w:jc w:val="center"/>
        </w:trPr>
        <w:tc>
          <w:tcPr>
            <w:tcW w:w="1417" w:type="dxa"/>
            <w:vAlign w:val="center"/>
          </w:tcPr>
          <w:p w14:paraId="0F892F1E">
            <w:pPr>
              <w:keepNext w:val="0"/>
              <w:keepLines w:val="0"/>
              <w:pageBreakBefore w:val="0"/>
              <w:widowControl/>
              <w:kinsoku w:val="0"/>
              <w:wordWrap/>
              <w:overflowPunct/>
              <w:topLinePunct w:val="0"/>
              <w:autoSpaceDE w:val="0"/>
              <w:autoSpaceDN w:val="0"/>
              <w:bidi w:val="0"/>
              <w:adjustRightInd w:val="0"/>
              <w:snapToGrid w:val="0"/>
              <w:spacing w:line="240" w:lineRule="auto"/>
              <w:ind w:left="114"/>
              <w:textAlignment w:val="baseline"/>
              <w:rPr>
                <w:rFonts w:hint="default" w:ascii="Times New Roman" w:hAnsi="Times New Roman" w:eastAsia="微软雅黑" w:cs="Times New Roman"/>
                <w:sz w:val="23"/>
                <w:szCs w:val="23"/>
              </w:rPr>
            </w:pPr>
            <w:r>
              <w:rPr>
                <w:rFonts w:hint="default" w:ascii="Times New Roman" w:hAnsi="Times New Roman" w:eastAsia="微软雅黑" w:cs="Times New Roman"/>
                <w:spacing w:val="10"/>
                <w:sz w:val="23"/>
                <w:szCs w:val="23"/>
                <w14:textOutline w14:w="4356" w14:cap="sq" w14:cmpd="sng" w14:algn="ctr">
                  <w14:solidFill>
                    <w14:srgbClr w14:val="000000"/>
                  </w14:solidFill>
                  <w14:prstDash w14:val="solid"/>
                  <w14:bevel/>
                </w14:textOutline>
              </w:rPr>
              <w:t>检</w:t>
            </w:r>
            <w:r>
              <w:rPr>
                <w:rFonts w:hint="default" w:ascii="Times New Roman" w:hAnsi="Times New Roman" w:eastAsia="微软雅黑" w:cs="Times New Roman"/>
                <w:spacing w:val="9"/>
                <w:sz w:val="23"/>
                <w:szCs w:val="23"/>
                <w14:textOutline w14:w="4356" w14:cap="sq" w14:cmpd="sng" w14:algn="ctr">
                  <w14:solidFill>
                    <w14:srgbClr w14:val="000000"/>
                  </w14:solidFill>
                  <w14:prstDash w14:val="solid"/>
                  <w14:bevel/>
                </w14:textOutline>
              </w:rPr>
              <w:t>测项目</w:t>
            </w:r>
          </w:p>
        </w:tc>
        <w:tc>
          <w:tcPr>
            <w:tcW w:w="8223" w:type="dxa"/>
            <w:gridSpan w:val="5"/>
            <w:vAlign w:val="center"/>
          </w:tcPr>
          <w:p w14:paraId="1CE14B26">
            <w:pPr>
              <w:keepNext w:val="0"/>
              <w:keepLines w:val="0"/>
              <w:pageBreakBefore w:val="0"/>
              <w:widowControl/>
              <w:kinsoku w:val="0"/>
              <w:wordWrap/>
              <w:overflowPunct/>
              <w:topLinePunct w:val="0"/>
              <w:autoSpaceDE w:val="0"/>
              <w:autoSpaceDN w:val="0"/>
              <w:bidi w:val="0"/>
              <w:adjustRightInd w:val="0"/>
              <w:snapToGrid w:val="0"/>
              <w:spacing w:line="240" w:lineRule="auto"/>
              <w:ind w:left="112"/>
              <w:jc w:val="both"/>
              <w:textAlignment w:val="baseline"/>
              <w:rPr>
                <w:rFonts w:hint="default" w:ascii="Times New Roman" w:hAnsi="Times New Roman" w:eastAsia="微软雅黑" w:cs="Times New Roman"/>
                <w:sz w:val="23"/>
                <w:szCs w:val="23"/>
              </w:rPr>
            </w:pPr>
            <w:r>
              <w:rPr>
                <w:rFonts w:hint="eastAsia" w:ascii="Times New Roman" w:hAnsi="Times New Roman" w:eastAsia="微软雅黑" w:cs="Times New Roman"/>
                <w:sz w:val="23"/>
                <w:szCs w:val="23"/>
                <w:highlight w:val="none"/>
                <w:lang w:val="en-US" w:eastAsia="zh-CN"/>
              </w:rPr>
              <w:t>实体瘤</w:t>
            </w:r>
            <w:r>
              <w:rPr>
                <w:rFonts w:hint="default" w:ascii="Times New Roman" w:hAnsi="Times New Roman" w:eastAsia="微软雅黑" w:cs="Times New Roman"/>
                <w:sz w:val="23"/>
                <w:szCs w:val="23"/>
              </w:rPr>
              <w:t>RNA 1166融合基因检测</w:t>
            </w:r>
          </w:p>
        </w:tc>
      </w:tr>
      <w:tr w14:paraId="504EF1D1">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567" w:hRule="atLeast"/>
          <w:jc w:val="center"/>
        </w:trPr>
        <w:tc>
          <w:tcPr>
            <w:tcW w:w="1417" w:type="dxa"/>
            <w:vAlign w:val="center"/>
          </w:tcPr>
          <w:p w14:paraId="3013344E">
            <w:pPr>
              <w:keepNext w:val="0"/>
              <w:keepLines w:val="0"/>
              <w:pageBreakBefore w:val="0"/>
              <w:widowControl/>
              <w:kinsoku w:val="0"/>
              <w:wordWrap/>
              <w:overflowPunct/>
              <w:topLinePunct w:val="0"/>
              <w:autoSpaceDE w:val="0"/>
              <w:autoSpaceDN w:val="0"/>
              <w:bidi w:val="0"/>
              <w:adjustRightInd w:val="0"/>
              <w:snapToGrid w:val="0"/>
              <w:spacing w:line="240" w:lineRule="auto"/>
              <w:ind w:left="114"/>
              <w:textAlignment w:val="baseline"/>
              <w:rPr>
                <w:rFonts w:hint="default" w:ascii="Times New Roman" w:hAnsi="Times New Roman" w:eastAsia="微软雅黑" w:cs="Times New Roman"/>
                <w:sz w:val="23"/>
                <w:szCs w:val="23"/>
              </w:rPr>
            </w:pPr>
            <w:r>
              <w:rPr>
                <w:rFonts w:hint="default" w:ascii="Times New Roman" w:hAnsi="Times New Roman" w:eastAsia="微软雅黑" w:cs="Times New Roman"/>
                <w:spacing w:val="10"/>
                <w:sz w:val="23"/>
                <w:szCs w:val="23"/>
                <w14:textOutline w14:w="4356" w14:cap="sq" w14:cmpd="sng" w14:algn="ctr">
                  <w14:solidFill>
                    <w14:srgbClr w14:val="000000"/>
                  </w14:solidFill>
                  <w14:prstDash w14:val="solid"/>
                  <w14:bevel/>
                </w14:textOutline>
              </w:rPr>
              <w:t>检</w:t>
            </w:r>
            <w:r>
              <w:rPr>
                <w:rFonts w:hint="default" w:ascii="Times New Roman" w:hAnsi="Times New Roman" w:eastAsia="微软雅黑" w:cs="Times New Roman"/>
                <w:spacing w:val="9"/>
                <w:sz w:val="23"/>
                <w:szCs w:val="23"/>
                <w14:textOutline w14:w="4356" w14:cap="sq" w14:cmpd="sng" w14:algn="ctr">
                  <w14:solidFill>
                    <w14:srgbClr w14:val="000000"/>
                  </w14:solidFill>
                  <w14:prstDash w14:val="solid"/>
                  <w14:bevel/>
                </w14:textOutline>
              </w:rPr>
              <w:t>测内容</w:t>
            </w:r>
          </w:p>
        </w:tc>
        <w:tc>
          <w:tcPr>
            <w:tcW w:w="8223" w:type="dxa"/>
            <w:gridSpan w:val="5"/>
            <w:vAlign w:val="center"/>
          </w:tcPr>
          <w:p w14:paraId="6BCA709C">
            <w:pPr>
              <w:keepNext w:val="0"/>
              <w:keepLines w:val="0"/>
              <w:pageBreakBefore w:val="0"/>
              <w:widowControl/>
              <w:kinsoku w:val="0"/>
              <w:wordWrap/>
              <w:overflowPunct/>
              <w:topLinePunct w:val="0"/>
              <w:autoSpaceDE w:val="0"/>
              <w:autoSpaceDN w:val="0"/>
              <w:bidi w:val="0"/>
              <w:adjustRightInd w:val="0"/>
              <w:snapToGrid w:val="0"/>
              <w:spacing w:before="80" w:after="80" w:line="185" w:lineRule="auto"/>
              <w:ind w:left="113" w:right="113"/>
              <w:jc w:val="both"/>
              <w:textAlignment w:val="baseline"/>
              <w:rPr>
                <w:rFonts w:hint="default" w:ascii="Times New Roman" w:hAnsi="Times New Roman" w:eastAsia="微软雅黑" w:cs="Times New Roman"/>
                <w:sz w:val="23"/>
                <w:szCs w:val="23"/>
              </w:rPr>
            </w:pPr>
            <w:r>
              <w:rPr>
                <w:rFonts w:hint="default" w:ascii="Times New Roman" w:hAnsi="Times New Roman" w:eastAsia="微软雅黑" w:cs="Times New Roman"/>
                <w:spacing w:val="8"/>
                <w:sz w:val="23"/>
                <w:szCs w:val="23"/>
                <w:lang w:val="en-US" w:eastAsia="zh-CN"/>
              </w:rPr>
              <w:t>本产品利用探针杂交捕获技术和高通量测序技术全面检测1166个基因，基于RNA水平精准检测多种重排，包括已知、未知以及复杂融合变异类型，开展{% if brainGliomaFlag or disease.Sarcoma or disease.Midline or disease.KidneyFlag %}分子分型辅助诊断和{% endif %}实体瘤靶药融合基因检测。{% if PDInfo != undefined %}通过免疫组化检测PD-L1表达。{% endif %}</w:t>
            </w:r>
          </w:p>
        </w:tc>
      </w:tr>
      <w:tr w14:paraId="4C1DD67F">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567" w:hRule="atLeast"/>
          <w:jc w:val="center"/>
        </w:trPr>
        <w:tc>
          <w:tcPr>
            <w:tcW w:w="1417" w:type="dxa"/>
            <w:vAlign w:val="center"/>
          </w:tcPr>
          <w:p w14:paraId="7F9FB8C3">
            <w:pPr>
              <w:keepNext w:val="0"/>
              <w:keepLines w:val="0"/>
              <w:pageBreakBefore w:val="0"/>
              <w:widowControl/>
              <w:kinsoku w:val="0"/>
              <w:wordWrap/>
              <w:overflowPunct/>
              <w:topLinePunct w:val="0"/>
              <w:autoSpaceDE w:val="0"/>
              <w:autoSpaceDN w:val="0"/>
              <w:bidi w:val="0"/>
              <w:adjustRightInd w:val="0"/>
              <w:snapToGrid w:val="0"/>
              <w:spacing w:line="240" w:lineRule="auto"/>
              <w:ind w:left="113"/>
              <w:textAlignment w:val="baseline"/>
              <w:rPr>
                <w:rFonts w:hint="default" w:ascii="Times New Roman" w:hAnsi="Times New Roman" w:eastAsia="微软雅黑" w:cs="Times New Roman"/>
                <w:spacing w:val="11"/>
                <w:sz w:val="23"/>
                <w:szCs w:val="23"/>
                <w14:textOutline w14:w="4356" w14:cap="sq" w14:cmpd="sng" w14:algn="ctr">
                  <w14:solidFill>
                    <w14:srgbClr w14:val="000000"/>
                  </w14:solidFill>
                  <w14:prstDash w14:val="solid"/>
                  <w14:bevel/>
                </w14:textOutline>
              </w:rPr>
            </w:pPr>
            <w:r>
              <w:rPr>
                <w:rFonts w:hint="default" w:ascii="Times New Roman" w:hAnsi="Times New Roman" w:eastAsia="微软雅黑" w:cs="Times New Roman"/>
                <w:spacing w:val="11"/>
                <w:sz w:val="23"/>
                <w:szCs w:val="23"/>
                <w14:textOutline w14:w="4356" w14:cap="sq" w14:cmpd="sng" w14:algn="ctr">
                  <w14:solidFill>
                    <w14:srgbClr w14:val="000000"/>
                  </w14:solidFill>
                  <w14:prstDash w14:val="solid"/>
                  <w14:bevel/>
                </w14:textOutline>
              </w:rPr>
              <w:t>检测方法</w:t>
            </w:r>
          </w:p>
        </w:tc>
        <w:tc>
          <w:tcPr>
            <w:tcW w:w="4816" w:type="dxa"/>
            <w:gridSpan w:val="3"/>
            <w:vAlign w:val="center"/>
          </w:tcPr>
          <w:p w14:paraId="2D8008E0">
            <w:pPr>
              <w:keepNext w:val="0"/>
              <w:keepLines w:val="0"/>
              <w:pageBreakBefore w:val="0"/>
              <w:widowControl/>
              <w:kinsoku w:val="0"/>
              <w:wordWrap/>
              <w:overflowPunct/>
              <w:topLinePunct w:val="0"/>
              <w:autoSpaceDE w:val="0"/>
              <w:autoSpaceDN w:val="0"/>
              <w:bidi w:val="0"/>
              <w:adjustRightInd w:val="0"/>
              <w:snapToGrid w:val="0"/>
              <w:spacing w:line="240" w:lineRule="auto"/>
              <w:ind w:left="113"/>
              <w:textAlignment w:val="baseline"/>
              <w:rPr>
                <w:rFonts w:hint="default" w:ascii="Times New Roman" w:hAnsi="Times New Roman" w:eastAsia="微软雅黑" w:cs="Times New Roman"/>
                <w:spacing w:val="11"/>
                <w:sz w:val="23"/>
                <w:szCs w:val="23"/>
                <w14:textOutline w14:w="4356" w14:cap="sq" w14:cmpd="sng" w14:algn="ctr">
                  <w14:solidFill>
                    <w14:srgbClr w14:val="000000"/>
                  </w14:solidFill>
                  <w14:prstDash w14:val="solid"/>
                  <w14:bevel/>
                </w14:textOutline>
              </w:rPr>
            </w:pPr>
            <w:r>
              <w:rPr>
                <w:rFonts w:hint="default" w:ascii="Times New Roman" w:hAnsi="Times New Roman" w:eastAsia="微软雅黑" w:cs="Times New Roman"/>
                <w:spacing w:val="8"/>
                <w:sz w:val="23"/>
                <w:szCs w:val="23"/>
                <w:lang w:val="en-US" w:eastAsia="zh-CN"/>
              </w:rPr>
              <w:t>高通量测序法</w:t>
            </w:r>
            <w:r>
              <w:rPr>
                <w:rFonts w:hint="default" w:ascii="Times New Roman" w:hAnsi="Times New Roman" w:eastAsia="微软雅黑" w:cs="Times New Roman"/>
                <w:spacing w:val="8"/>
                <w:sz w:val="23"/>
                <w:szCs w:val="23"/>
              </w:rPr>
              <w:t>（</w:t>
            </w:r>
            <w:r>
              <w:rPr>
                <w:rFonts w:hint="default" w:ascii="Times New Roman" w:hAnsi="Times New Roman" w:eastAsia="微软雅黑" w:cs="Times New Roman"/>
                <w:spacing w:val="8"/>
                <w:sz w:val="23"/>
                <w:szCs w:val="23"/>
                <w:lang w:val="en-US" w:eastAsia="zh-CN"/>
              </w:rPr>
              <w:t>NGS</w:t>
            </w:r>
            <w:r>
              <w:rPr>
                <w:rFonts w:hint="default" w:ascii="Times New Roman" w:hAnsi="Times New Roman" w:eastAsia="微软雅黑" w:cs="Times New Roman"/>
                <w:spacing w:val="8"/>
                <w:sz w:val="23"/>
                <w:szCs w:val="23"/>
              </w:rPr>
              <w:t>）</w:t>
            </w:r>
          </w:p>
        </w:tc>
        <w:tc>
          <w:tcPr>
            <w:tcW w:w="1417" w:type="dxa"/>
            <w:vAlign w:val="center"/>
          </w:tcPr>
          <w:p w14:paraId="23E152EB">
            <w:pPr>
              <w:keepNext w:val="0"/>
              <w:keepLines w:val="0"/>
              <w:pageBreakBefore w:val="0"/>
              <w:widowControl/>
              <w:kinsoku w:val="0"/>
              <w:wordWrap/>
              <w:overflowPunct/>
              <w:topLinePunct w:val="0"/>
              <w:autoSpaceDE w:val="0"/>
              <w:autoSpaceDN w:val="0"/>
              <w:bidi w:val="0"/>
              <w:adjustRightInd w:val="0"/>
              <w:snapToGrid w:val="0"/>
              <w:spacing w:line="240" w:lineRule="auto"/>
              <w:ind w:left="111"/>
              <w:textAlignment w:val="baseline"/>
              <w:rPr>
                <w:rFonts w:hint="default" w:ascii="Times New Roman" w:hAnsi="Times New Roman" w:eastAsia="微软雅黑" w:cs="Times New Roman"/>
                <w:sz w:val="23"/>
                <w:szCs w:val="23"/>
              </w:rPr>
            </w:pPr>
            <w:r>
              <w:rPr>
                <w:rFonts w:hint="default" w:ascii="Times New Roman" w:hAnsi="Times New Roman" w:eastAsia="微软雅黑" w:cs="Times New Roman"/>
                <w:spacing w:val="9"/>
                <w:sz w:val="23"/>
                <w:szCs w:val="23"/>
                <w14:textOutline w14:w="4356" w14:cap="sq" w14:cmpd="sng" w14:algn="ctr">
                  <w14:solidFill>
                    <w14:srgbClr w14:val="000000"/>
                  </w14:solidFill>
                  <w14:prstDash w14:val="solid"/>
                  <w14:bevel/>
                </w14:textOutline>
              </w:rPr>
              <w:t>检</w:t>
            </w:r>
            <w:r>
              <w:rPr>
                <w:rFonts w:hint="default" w:ascii="Times New Roman" w:hAnsi="Times New Roman" w:eastAsia="微软雅黑" w:cs="Times New Roman"/>
                <w:spacing w:val="8"/>
                <w:sz w:val="23"/>
                <w:szCs w:val="23"/>
                <w14:textOutline w14:w="4356" w14:cap="sq" w14:cmpd="sng" w14:algn="ctr">
                  <w14:solidFill>
                    <w14:srgbClr w14:val="000000"/>
                  </w14:solidFill>
                  <w14:prstDash w14:val="solid"/>
                  <w14:bevel/>
                </w14:textOutline>
              </w:rPr>
              <w:t>测仪器</w:t>
            </w:r>
          </w:p>
        </w:tc>
        <w:tc>
          <w:tcPr>
            <w:tcW w:w="1990" w:type="dxa"/>
            <w:vAlign w:val="center"/>
          </w:tcPr>
          <w:p w14:paraId="1636B72C">
            <w:pPr>
              <w:keepNext w:val="0"/>
              <w:keepLines w:val="0"/>
              <w:pageBreakBefore w:val="0"/>
              <w:widowControl/>
              <w:kinsoku w:val="0"/>
              <w:wordWrap/>
              <w:overflowPunct/>
              <w:topLinePunct w:val="0"/>
              <w:autoSpaceDE w:val="0"/>
              <w:autoSpaceDN w:val="0"/>
              <w:bidi w:val="0"/>
              <w:adjustRightInd w:val="0"/>
              <w:snapToGrid w:val="0"/>
              <w:spacing w:line="240" w:lineRule="auto"/>
              <w:ind w:left="113"/>
              <w:textAlignment w:val="baseline"/>
              <w:rPr>
                <w:rFonts w:hint="default" w:ascii="Times New Roman" w:hAnsi="Times New Roman" w:eastAsia="微软雅黑" w:cs="Times New Roman"/>
                <w:sz w:val="23"/>
                <w:szCs w:val="23"/>
                <w:lang w:eastAsia="zh-CN"/>
              </w:rPr>
            </w:pPr>
            <w:r>
              <w:rPr>
                <w:rFonts w:hint="default" w:ascii="Times New Roman" w:hAnsi="Times New Roman" w:eastAsia="微软雅黑" w:cs="Times New Roman"/>
                <w:spacing w:val="8"/>
                <w:sz w:val="23"/>
                <w:szCs w:val="23"/>
                <w:lang w:val="en-US" w:eastAsia="zh-CN"/>
              </w:rPr>
              <w:t>DNBSEQ-T7</w:t>
            </w:r>
          </w:p>
        </w:tc>
      </w:tr>
    </w:tbl>
    <w:p w14:paraId="23A10220">
      <w:pPr>
        <w:spacing w:line="98" w:lineRule="auto"/>
        <w:rPr>
          <w:sz w:val="2"/>
        </w:rPr>
      </w:pPr>
    </w:p>
    <w:p w14:paraId="72DB574B"/>
    <w:p w14:paraId="0F4DDAB8">
      <w:pPr>
        <w:keepNext w:val="0"/>
        <w:keepLines w:val="0"/>
        <w:pageBreakBefore w:val="0"/>
        <w:widowControl/>
        <w:kinsoku w:val="0"/>
        <w:wordWrap/>
        <w:overflowPunct/>
        <w:topLinePunct w:val="0"/>
        <w:autoSpaceDE w:val="0"/>
        <w:autoSpaceDN w:val="0"/>
        <w:bidi w:val="0"/>
        <w:adjustRightInd w:val="0"/>
        <w:snapToGrid w:val="0"/>
        <w:spacing w:line="236" w:lineRule="auto"/>
        <w:ind w:left="0" w:leftChars="0" w:firstLine="0" w:firstLineChars="0"/>
        <w:textAlignment w:val="baseline"/>
        <w:rPr>
          <w:rFonts w:hint="default" w:ascii="微软雅黑" w:hAnsi="微软雅黑" w:eastAsia="微软雅黑" w:cs="微软雅黑"/>
          <w:spacing w:val="-2"/>
          <w:sz w:val="11"/>
          <w:szCs w:val="11"/>
          <w:lang w:val="en-US"/>
        </w:rPr>
      </w:pPr>
    </w:p>
    <w:tbl>
      <w:tblPr>
        <w:tblStyle w:val="10"/>
        <w:tblpPr w:leftFromText="180" w:rightFromText="180" w:vertAnchor="text" w:horzAnchor="page" w:tblpXSpec="center" w:tblpY="29"/>
        <w:tblOverlap w:val="never"/>
        <w:tblW w:w="9638" w:type="dxa"/>
        <w:jc w:val="center"/>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Layout w:type="fixed"/>
        <w:tblCellMar>
          <w:top w:w="0" w:type="dxa"/>
          <w:left w:w="108" w:type="dxa"/>
          <w:bottom w:w="0" w:type="dxa"/>
          <w:right w:w="108" w:type="dxa"/>
        </w:tblCellMar>
      </w:tblPr>
      <w:tblGrid>
        <w:gridCol w:w="2862"/>
        <w:gridCol w:w="6776"/>
      </w:tblGrid>
      <w:tr w14:paraId="299AFB18">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567" w:hRule="atLeast"/>
          <w:jc w:val="center"/>
        </w:trPr>
        <w:tc>
          <w:tcPr>
            <w:tcW w:w="2862" w:type="dxa"/>
            <w:tcBorders>
              <w:tl2br w:val="nil"/>
              <w:tr2bl w:val="nil"/>
            </w:tcBorders>
            <w:vAlign w:val="center"/>
          </w:tcPr>
          <w:p w14:paraId="20D2B8B8">
            <w:pPr>
              <w:keepNext w:val="0"/>
              <w:keepLines w:val="0"/>
              <w:pageBreakBefore w:val="0"/>
              <w:widowControl w:val="0"/>
              <w:kinsoku w:val="0"/>
              <w:wordWrap/>
              <w:overflowPunct/>
              <w:topLinePunct w:val="0"/>
              <w:autoSpaceDE w:val="0"/>
              <w:autoSpaceDN w:val="0"/>
              <w:bidi w:val="0"/>
              <w:adjustRightInd w:val="0"/>
              <w:snapToGrid w:val="0"/>
              <w:spacing w:line="192" w:lineRule="auto"/>
              <w:ind w:left="42" w:leftChars="20"/>
              <w:jc w:val="both"/>
              <w:textAlignment w:val="baseline"/>
              <w:rPr>
                <w:rFonts w:hint="default" w:ascii="Times New Roman" w:hAnsi="Times New Roman" w:cs="Times New Roman"/>
              </w:rPr>
            </w:pPr>
            <w:r>
              <w:rPr>
                <w:rFonts w:hint="default" w:ascii="Times New Roman" w:hAnsi="Times New Roman" w:eastAsia="微软雅黑" w:cs="Times New Roman"/>
                <w:spacing w:val="15"/>
                <w:sz w:val="23"/>
                <w:szCs w:val="23"/>
                <w14:textOutline w14:w="4356" w14:cap="sq" w14:cmpd="sng" w14:algn="ctr">
                  <w14:solidFill>
                    <w14:srgbClr w14:val="000000"/>
                  </w14:solidFill>
                  <w14:prstDash w14:val="solid"/>
                  <w14:bevel/>
                </w14:textOutline>
              </w:rPr>
              <w:t>样</w:t>
            </w:r>
            <w:r>
              <w:rPr>
                <w:rFonts w:hint="default" w:ascii="Times New Roman" w:hAnsi="Times New Roman" w:eastAsia="微软雅黑" w:cs="Times New Roman"/>
                <w:spacing w:val="14"/>
                <w:sz w:val="23"/>
                <w:szCs w:val="23"/>
                <w14:textOutline w14:w="4356" w14:cap="sq" w14:cmpd="sng" w14:algn="ctr">
                  <w14:solidFill>
                    <w14:srgbClr w14:val="000000"/>
                  </w14:solidFill>
                  <w14:prstDash w14:val="solid"/>
                  <w14:bevel/>
                </w14:textOutline>
              </w:rPr>
              <w:t>本质量评估</w:t>
            </w:r>
          </w:p>
        </w:tc>
        <w:tc>
          <w:tcPr>
            <w:tcW w:w="6776" w:type="dxa"/>
            <w:tcBorders>
              <w:tl2br w:val="nil"/>
              <w:tr2bl w:val="nil"/>
            </w:tcBorders>
            <w:vAlign w:val="center"/>
          </w:tcPr>
          <w:p w14:paraId="79BE9159">
            <w:pPr>
              <w:keepNext w:val="0"/>
              <w:keepLines w:val="0"/>
              <w:pageBreakBefore w:val="0"/>
              <w:widowControl w:val="0"/>
              <w:kinsoku w:val="0"/>
              <w:wordWrap/>
              <w:overflowPunct/>
              <w:topLinePunct w:val="0"/>
              <w:autoSpaceDE w:val="0"/>
              <w:autoSpaceDN w:val="0"/>
              <w:bidi w:val="0"/>
              <w:adjustRightInd w:val="0"/>
              <w:snapToGrid w:val="0"/>
              <w:spacing w:line="240" w:lineRule="auto"/>
              <w:ind w:left="42" w:leftChars="20"/>
              <w:jc w:val="both"/>
              <w:textAlignment w:val="baseline"/>
              <w:rPr>
                <w:rFonts w:hint="default" w:ascii="Times New Roman" w:hAnsi="Times New Roman" w:cs="Times New Roman"/>
              </w:rPr>
            </w:pPr>
            <w:r>
              <w:rPr>
                <w:rFonts w:hint="eastAsia" w:ascii="微软雅黑" w:hAnsi="微软雅黑" w:eastAsia="微软雅黑" w:cs="微软雅黑"/>
              </w:rPr>
              <w:t>{%if rna != undefined%}{{ rna.total_reads | oqa(12000000,10000000) }}{%endif%}</w:t>
            </w:r>
          </w:p>
        </w:tc>
      </w:tr>
      <w:tr w14:paraId="654C5A5C">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567" w:hRule="atLeast"/>
          <w:jc w:val="center"/>
        </w:trPr>
        <w:tc>
          <w:tcPr>
            <w:tcW w:w="9638" w:type="dxa"/>
            <w:gridSpan w:val="2"/>
            <w:tcBorders>
              <w:tl2br w:val="nil"/>
              <w:tr2bl w:val="nil"/>
            </w:tcBorders>
            <w:shd w:val="clear" w:color="auto" w:fill="auto"/>
            <w:vAlign w:val="center"/>
          </w:tcPr>
          <w:p w14:paraId="562F7E99">
            <w:pPr>
              <w:pStyle w:val="7"/>
              <w:keepNext w:val="0"/>
              <w:keepLines w:val="0"/>
              <w:widowControl/>
              <w:suppressLineNumbers w:val="0"/>
              <w:rPr>
                <w:rFonts w:hint="default" w:ascii="Times New Roman" w:hAnsi="Times New Roman" w:eastAsia="微软雅黑" w:cs="黑体"/>
                <w:snapToGrid w:val="0"/>
                <w:color w:val="000000"/>
                <w:kern w:val="0"/>
                <w:sz w:val="21"/>
                <w:szCs w:val="24"/>
                <w:highlight w:val="none"/>
                <w:lang w:val="en-US" w:eastAsia="zh-CN" w:bidi="ar"/>
              </w:rPr>
            </w:pPr>
            <w:r>
              <w:rPr>
                <w:rFonts w:hint="eastAsia" w:ascii="Times New Roman" w:hAnsi="Times New Roman" w:eastAsia="微软雅黑" w:cs="黑体"/>
                <w:sz w:val="21"/>
                <w:highlight w:val="none"/>
                <w:lang w:val="en-US" w:eastAsia="zh-CN"/>
              </w:rPr>
              <w:t>{%tr if brainGliomaFlag  %}</w:t>
            </w:r>
          </w:p>
        </w:tc>
      </w:tr>
      <w:tr w14:paraId="39109EE8">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567" w:hRule="atLeast"/>
          <w:jc w:val="center"/>
        </w:trPr>
        <w:tc>
          <w:tcPr>
            <w:tcW w:w="2862" w:type="dxa"/>
            <w:tcBorders>
              <w:tl2br w:val="nil"/>
              <w:tr2bl w:val="nil"/>
            </w:tcBorders>
            <w:shd w:val="clear" w:color="auto" w:fill="auto"/>
            <w:vAlign w:val="center"/>
          </w:tcPr>
          <w:p w14:paraId="22E6C213">
            <w:pPr>
              <w:keepNext w:val="0"/>
              <w:keepLines w:val="0"/>
              <w:pageBreakBefore w:val="0"/>
              <w:widowControl w:val="0"/>
              <w:kinsoku w:val="0"/>
              <w:wordWrap/>
              <w:overflowPunct/>
              <w:topLinePunct w:val="0"/>
              <w:autoSpaceDE w:val="0"/>
              <w:autoSpaceDN w:val="0"/>
              <w:bidi w:val="0"/>
              <w:adjustRightInd w:val="0"/>
              <w:snapToGrid w:val="0"/>
              <w:spacing w:line="192" w:lineRule="auto"/>
              <w:ind w:left="42" w:leftChars="20"/>
              <w:jc w:val="both"/>
              <w:textAlignment w:val="baseline"/>
              <w:rPr>
                <w:rFonts w:hint="default" w:ascii="Times New Roman" w:hAnsi="Times New Roman" w:eastAsia="微软雅黑" w:cs="Times New Roman"/>
                <w:b/>
                <w:bCs/>
                <w:snapToGrid w:val="0"/>
                <w:color w:val="000000"/>
                <w:sz w:val="21"/>
                <w:szCs w:val="21"/>
                <w:lang w:val="en-US" w:eastAsia="en-US" w:bidi="ar-SA"/>
              </w:rPr>
            </w:pPr>
            <w:r>
              <w:rPr>
                <w:rFonts w:hint="eastAsia" w:ascii="Times New Roman" w:hAnsi="Times New Roman" w:eastAsia="微软雅黑" w:cs="Times New Roman"/>
                <w:spacing w:val="14"/>
                <w:sz w:val="23"/>
                <w:szCs w:val="23"/>
                <w:lang w:eastAsia="zh-CN"/>
                <w14:textOutline w14:w="4356" w14:cap="sq" w14:cmpd="sng" w14:algn="ctr">
                  <w14:solidFill>
                    <w14:srgbClr w14:val="000000"/>
                  </w14:solidFill>
                  <w14:prstDash w14:val="solid"/>
                  <w14:bevel/>
                </w14:textOutline>
              </w:rPr>
              <w:t>脑胶质瘤</w:t>
            </w:r>
            <w:r>
              <w:rPr>
                <w:rFonts w:hint="eastAsia" w:ascii="Times New Roman" w:hAnsi="Times New Roman" w:eastAsia="微软雅黑" w:cs="Times New Roman"/>
                <w:spacing w:val="14"/>
                <w:sz w:val="23"/>
                <w:szCs w:val="23"/>
                <w:lang w:val="en-US" w:eastAsia="zh-CN"/>
                <w14:textOutline w14:w="4356" w14:cap="sq" w14:cmpd="sng" w14:algn="ctr">
                  <w14:solidFill>
                    <w14:srgbClr w14:val="000000"/>
                  </w14:solidFill>
                  <w14:prstDash w14:val="solid"/>
                  <w14:bevel/>
                </w14:textOutline>
              </w:rPr>
              <w:t>相关</w:t>
            </w:r>
            <w:r>
              <w:rPr>
                <w:rFonts w:hint="eastAsia" w:ascii="Times New Roman" w:hAnsi="Times New Roman" w:eastAsia="微软雅黑" w:cs="Times New Roman"/>
                <w:spacing w:val="14"/>
                <w:sz w:val="23"/>
                <w:szCs w:val="23"/>
                <w:lang w:eastAsia="zh-CN"/>
                <w14:textOutline w14:w="4356" w14:cap="sq" w14:cmpd="sng" w14:algn="ctr">
                  <w14:solidFill>
                    <w14:srgbClr w14:val="000000"/>
                  </w14:solidFill>
                  <w14:prstDash w14:val="solid"/>
                  <w14:bevel/>
                </w14:textOutline>
              </w:rPr>
              <w:t>分子标记物检测</w:t>
            </w:r>
          </w:p>
        </w:tc>
        <w:tc>
          <w:tcPr>
            <w:tcW w:w="6776" w:type="dxa"/>
            <w:tcBorders>
              <w:tl2br w:val="nil"/>
              <w:tr2bl w:val="nil"/>
            </w:tcBorders>
            <w:shd w:val="clear" w:color="auto" w:fill="auto"/>
            <w:vAlign w:val="center"/>
          </w:tcPr>
          <w:p w14:paraId="5B24A2D8">
            <w:pPr>
              <w:keepNext w:val="0"/>
              <w:keepLines w:val="0"/>
              <w:pageBreakBefore w:val="0"/>
              <w:widowControl w:val="0"/>
              <w:kinsoku w:val="0"/>
              <w:wordWrap/>
              <w:overflowPunct/>
              <w:topLinePunct w:val="0"/>
              <w:autoSpaceDE w:val="0"/>
              <w:autoSpaceDN w:val="0"/>
              <w:bidi w:val="0"/>
              <w:adjustRightInd w:val="0"/>
              <w:snapToGrid w:val="0"/>
              <w:spacing w:line="240" w:lineRule="auto"/>
              <w:ind w:left="42" w:leftChars="20"/>
              <w:jc w:val="both"/>
              <w:textAlignment w:val="baseline"/>
              <w:rPr>
                <w:rFonts w:hint="default" w:ascii="Times New Roman" w:hAnsi="Times New Roman" w:eastAsia="微软雅黑" w:cs="Times New Roman"/>
                <w:snapToGrid w:val="0"/>
                <w:color w:val="000000"/>
                <w:sz w:val="21"/>
                <w:szCs w:val="21"/>
                <w:lang w:val="en-US" w:eastAsia="zh-CN" w:bidi="ar-SA"/>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w:t>
            </w:r>
            <w:r>
              <w:rPr>
                <w:rFonts w:hint="eastAsia" w:ascii="Times New Roman" w:hAnsi="Times New Roman" w:eastAsia="微软雅黑" w:cs="黑体"/>
                <w:sz w:val="21"/>
                <w:lang w:val="en-US" w:eastAsia="zh-CN"/>
              </w:rPr>
              <w:t>.brainGliomaSize</w:t>
            </w:r>
            <w:r>
              <w:rPr>
                <w:rFonts w:hint="eastAsia" w:ascii="Times New Roman" w:hAnsi="Times New Roman" w:eastAsia="微软雅黑" w:cs="黑体"/>
                <w:sz w:val="21"/>
                <w:lang w:eastAsia="zh-CN"/>
              </w:rPr>
              <w:t xml:space="preserve"> }}</w:t>
            </w:r>
            <w:r>
              <w:rPr>
                <w:rFonts w:hint="eastAsia" w:ascii="Times New Roman" w:hAnsi="Times New Roman" w:eastAsia="微软雅黑" w:cs="黑体"/>
                <w:sz w:val="21"/>
                <w:highlight w:val="none"/>
                <w:lang w:eastAsia="zh-CN"/>
              </w:rPr>
              <w:t>个</w:t>
            </w:r>
            <w:r>
              <w:rPr>
                <w:rFonts w:hint="eastAsia" w:ascii="Times New Roman" w:hAnsi="Times New Roman" w:eastAsia="微软雅黑" w:cs="黑体"/>
                <w:sz w:val="21"/>
                <w:highlight w:val="none"/>
                <w:lang w:val="en-US" w:eastAsia="zh-CN"/>
              </w:rPr>
              <w:t>与</w:t>
            </w:r>
            <w:r>
              <w:rPr>
                <w:rFonts w:hint="eastAsia" w:ascii="Times New Roman" w:hAnsi="Times New Roman" w:eastAsia="微软雅黑" w:cs="黑体"/>
                <w:sz w:val="21"/>
                <w:highlight w:val="none"/>
                <w:lang w:eastAsia="zh-CN"/>
              </w:rPr>
              <w:t>脑胶质瘤诊断预后相关的分子标志物。</w:t>
            </w:r>
          </w:p>
        </w:tc>
      </w:tr>
      <w:tr w14:paraId="6D42A095">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567" w:hRule="atLeast"/>
          <w:jc w:val="center"/>
        </w:trPr>
        <w:tc>
          <w:tcPr>
            <w:tcW w:w="9638" w:type="dxa"/>
            <w:gridSpan w:val="2"/>
            <w:tcBorders>
              <w:tl2br w:val="nil"/>
              <w:tr2bl w:val="nil"/>
            </w:tcBorders>
            <w:shd w:val="clear" w:color="auto" w:fill="auto"/>
            <w:vAlign w:val="center"/>
          </w:tcPr>
          <w:p w14:paraId="3DCED587">
            <w:pPr>
              <w:pStyle w:val="13"/>
              <w:widowControl w:val="0"/>
              <w:spacing w:before="100" w:line="187" w:lineRule="auto"/>
              <w:ind w:left="119" w:leftChars="0" w:right="119" w:rightChars="0"/>
              <w:jc w:val="both"/>
              <w:rPr>
                <w:rFonts w:hint="default" w:ascii="Times New Roman" w:hAnsi="Times New Roman" w:eastAsia="微软雅黑" w:cs="黑体"/>
                <w:snapToGrid w:val="0"/>
                <w:color w:val="000000"/>
                <w:sz w:val="21"/>
                <w:szCs w:val="21"/>
                <w:highlight w:val="none"/>
                <w:lang w:val="en-US" w:eastAsia="zh-CN" w:bidi="ar-SA"/>
              </w:rPr>
            </w:pPr>
            <w:r>
              <w:rPr>
                <w:rFonts w:hint="eastAsia" w:ascii="Times New Roman" w:hAnsi="Times New Roman" w:eastAsia="微软雅黑" w:cs="黑体"/>
                <w:sz w:val="21"/>
                <w:highlight w:val="none"/>
                <w:lang w:val="en-US" w:eastAsia="zh-CN"/>
              </w:rPr>
              <w:t>{%tr endif %}</w:t>
            </w:r>
          </w:p>
        </w:tc>
      </w:tr>
      <w:tr w14:paraId="4D985FA5">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567" w:hRule="atLeast"/>
          <w:jc w:val="center"/>
        </w:trPr>
        <w:tc>
          <w:tcPr>
            <w:tcW w:w="9638" w:type="dxa"/>
            <w:gridSpan w:val="2"/>
            <w:tcBorders>
              <w:tl2br w:val="nil"/>
              <w:tr2bl w:val="nil"/>
            </w:tcBorders>
            <w:vAlign w:val="center"/>
          </w:tcPr>
          <w:p w14:paraId="7172EB26">
            <w:pPr>
              <w:keepNext w:val="0"/>
              <w:keepLines w:val="0"/>
              <w:pageBreakBefore w:val="0"/>
              <w:widowControl w:val="0"/>
              <w:kinsoku w:val="0"/>
              <w:wordWrap/>
              <w:overflowPunct/>
              <w:topLinePunct w:val="0"/>
              <w:autoSpaceDE w:val="0"/>
              <w:autoSpaceDN w:val="0"/>
              <w:bidi w:val="0"/>
              <w:adjustRightInd w:val="0"/>
              <w:snapToGrid w:val="0"/>
              <w:spacing w:before="0" w:beforeLines="20" w:after="0" w:afterLines="20" w:line="192" w:lineRule="auto"/>
              <w:ind w:left="42" w:leftChars="20" w:right="42" w:rightChars="20" w:firstLine="6"/>
              <w:jc w:val="both"/>
              <w:textAlignment w:val="baseline"/>
              <w:rPr>
                <w:rFonts w:hint="default" w:ascii="Times New Roman" w:hAnsi="Times New Roman" w:eastAsia="微软雅黑" w:cs="Times New Roman"/>
                <w:spacing w:val="17"/>
                <w:sz w:val="23"/>
                <w:szCs w:val="23"/>
                <w:highlight w:val="none"/>
                <w:lang w:val="en-US" w:eastAsia="zh-CN"/>
              </w:rPr>
            </w:pPr>
            <w:r>
              <w:rPr>
                <w:rFonts w:hint="eastAsia" w:ascii="Times New Roman" w:hAnsi="Times New Roman" w:eastAsia="微软雅黑" w:cs="黑体"/>
                <w:sz w:val="21"/>
                <w:highlight w:val="none"/>
                <w:lang w:val="en-US" w:eastAsia="zh-CN"/>
              </w:rPr>
              <w:t>{%tr if disease.Sarcoma or disease.Midline or disease.KidneyFlag %}</w:t>
            </w:r>
          </w:p>
        </w:tc>
      </w:tr>
      <w:tr w14:paraId="32A16892">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567" w:hRule="atLeast"/>
          <w:jc w:val="center"/>
        </w:trPr>
        <w:tc>
          <w:tcPr>
            <w:tcW w:w="2862" w:type="dxa"/>
            <w:tcBorders>
              <w:tl2br w:val="nil"/>
              <w:tr2bl w:val="nil"/>
            </w:tcBorders>
            <w:vAlign w:val="center"/>
          </w:tcPr>
          <w:p w14:paraId="33EB27AC">
            <w:pPr>
              <w:keepNext w:val="0"/>
              <w:keepLines w:val="0"/>
              <w:pageBreakBefore w:val="0"/>
              <w:widowControl w:val="0"/>
              <w:kinsoku w:val="0"/>
              <w:wordWrap/>
              <w:overflowPunct/>
              <w:topLinePunct w:val="0"/>
              <w:autoSpaceDE w:val="0"/>
              <w:autoSpaceDN w:val="0"/>
              <w:bidi w:val="0"/>
              <w:adjustRightInd w:val="0"/>
              <w:snapToGrid w:val="0"/>
              <w:spacing w:line="192" w:lineRule="auto"/>
              <w:ind w:left="42" w:leftChars="20"/>
              <w:jc w:val="both"/>
              <w:textAlignment w:val="baseline"/>
              <w:rPr>
                <w:rFonts w:hint="default" w:ascii="Times New Roman" w:hAnsi="Times New Roman" w:cs="Times New Roman"/>
              </w:rPr>
            </w:pPr>
            <w:r>
              <w:rPr>
                <w:rFonts w:hint="default" w:ascii="Times New Roman" w:hAnsi="Times New Roman" w:eastAsia="微软雅黑" w:cs="Times New Roman"/>
                <w:spacing w:val="14"/>
                <w:sz w:val="23"/>
                <w:szCs w:val="23"/>
                <w14:textOutline w14:w="4356" w14:cap="sq" w14:cmpd="sng" w14:algn="ctr">
                  <w14:solidFill>
                    <w14:srgbClr w14:val="000000"/>
                  </w14:solidFill>
                  <w14:prstDash w14:val="solid"/>
                  <w14:bevel/>
                </w14:textOutline>
              </w:rPr>
              <w:t>辅助诊断</w:t>
            </w:r>
          </w:p>
        </w:tc>
        <w:tc>
          <w:tcPr>
            <w:tcW w:w="6776" w:type="dxa"/>
            <w:tcBorders>
              <w:tl2br w:val="nil"/>
              <w:tr2bl w:val="nil"/>
            </w:tcBorders>
            <w:vAlign w:val="center"/>
          </w:tcPr>
          <w:p w14:paraId="469522AB">
            <w:pPr>
              <w:keepNext w:val="0"/>
              <w:keepLines w:val="0"/>
              <w:pageBreakBefore w:val="0"/>
              <w:widowControl w:val="0"/>
              <w:kinsoku w:val="0"/>
              <w:wordWrap/>
              <w:overflowPunct/>
              <w:topLinePunct w:val="0"/>
              <w:autoSpaceDE w:val="0"/>
              <w:autoSpaceDN w:val="0"/>
              <w:bidi w:val="0"/>
              <w:adjustRightInd w:val="0"/>
              <w:snapToGrid w:val="0"/>
              <w:spacing w:line="240" w:lineRule="auto"/>
              <w:ind w:left="42" w:leftChars="20"/>
              <w:jc w:val="both"/>
              <w:textAlignment w:val="baseline"/>
              <w:rPr>
                <w:rFonts w:hint="default" w:ascii="Times New Roman" w:hAnsi="Times New Roman" w:eastAsia="微软雅黑" w:cs="Times New Roman"/>
                <w:spacing w:val="3"/>
                <w:sz w:val="23"/>
                <w:szCs w:val="23"/>
                <w:lang w:val="en-US" w:eastAsia="zh-CN"/>
              </w:rPr>
            </w:pPr>
            <w:r>
              <w:rPr>
                <w:rFonts w:ascii="Times New Roman" w:hAnsi="Times New Roman" w:eastAsia="微软雅黑" w:cs="Times New Roman"/>
                <w:sz w:val="21"/>
                <w:lang w:eastAsia="zh-CN"/>
              </w:rPr>
              <w:t>共</w:t>
            </w:r>
            <w:r>
              <w:rPr>
                <w:rFonts w:hint="eastAsia" w:ascii="Times New Roman" w:hAnsi="Times New Roman" w:eastAsia="微软雅黑" w:cs="Times New Roman"/>
                <w:sz w:val="21"/>
                <w:lang w:val="en-US" w:eastAsia="zh-CN"/>
              </w:rPr>
              <w:t>检出{% if disease.Sarcoma %}</w:t>
            </w:r>
            <w:r>
              <w:rPr>
                <w:rFonts w:ascii="Times New Roman" w:hAnsi="Times New Roman" w:eastAsia="微软雅黑" w:cs="Times New Roman"/>
                <w:sz w:val="21"/>
                <w:lang w:eastAsia="zh-CN"/>
              </w:rPr>
              <w:t>{{ summaryOfRresults.geneRearrangementVariationSize</w:t>
            </w:r>
            <w:r>
              <w:rPr>
                <w:rFonts w:hint="eastAsia" w:ascii="Times New Roman" w:hAnsi="Times New Roman" w:eastAsia="微软雅黑" w:cs="Times New Roman"/>
                <w:sz w:val="21"/>
                <w:lang w:eastAsia="zh-CN"/>
              </w:rPr>
              <w:t>2</w:t>
            </w:r>
            <w:r>
              <w:rPr>
                <w:rFonts w:ascii="Times New Roman" w:hAnsi="Times New Roman" w:eastAsia="微软雅黑" w:cs="Times New Roman"/>
                <w:sz w:val="21"/>
                <w:lang w:eastAsia="zh-CN"/>
              </w:rPr>
              <w:t xml:space="preserve"> }}</w:t>
            </w:r>
            <w:r>
              <w:rPr>
                <w:rFonts w:hint="eastAsia" w:ascii="Times New Roman" w:hAnsi="Times New Roman" w:eastAsia="微软雅黑" w:cs="Times New Roman"/>
                <w:sz w:val="21"/>
                <w:lang w:val="en-US" w:eastAsia="zh-CN"/>
              </w:rPr>
              <w:t>{% else %}{{</w:t>
            </w:r>
            <w:r>
              <w:rPr>
                <w:rFonts w:ascii="Times New Roman" w:hAnsi="Times New Roman" w:eastAsia="微软雅黑" w:cs="Times New Roman"/>
                <w:sz w:val="21"/>
                <w:lang w:eastAsia="zh-CN"/>
              </w:rPr>
              <w:t>summaryOfRresults</w:t>
            </w:r>
            <w:r>
              <w:rPr>
                <w:rFonts w:hint="eastAsia" w:ascii="Times New Roman" w:hAnsi="Times New Roman" w:eastAsia="微软雅黑" w:cs="Times New Roman"/>
                <w:sz w:val="21"/>
                <w:lang w:val="en-US" w:eastAsia="zh-CN"/>
              </w:rPr>
              <w:t>.cancerCount1166}}{% endif %}</w:t>
            </w:r>
            <w:r>
              <w:rPr>
                <w:rFonts w:ascii="Times New Roman" w:hAnsi="Times New Roman" w:eastAsia="微软雅黑" w:cs="Times New Roman"/>
                <w:sz w:val="21"/>
                <w:lang w:eastAsia="zh-CN"/>
              </w:rPr>
              <w:t>个基因重排</w:t>
            </w:r>
            <w:r>
              <w:rPr>
                <w:rFonts w:hint="eastAsia" w:ascii="Times New Roman" w:hAnsi="Times New Roman" w:eastAsia="微软雅黑" w:cs="Times New Roman"/>
                <w:sz w:val="21"/>
                <w:lang w:eastAsia="zh-CN"/>
              </w:rPr>
              <w:t>与辅助诊断相关。</w:t>
            </w:r>
          </w:p>
        </w:tc>
      </w:tr>
      <w:tr w14:paraId="0763FD53">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567" w:hRule="atLeast"/>
          <w:jc w:val="center"/>
        </w:trPr>
        <w:tc>
          <w:tcPr>
            <w:tcW w:w="9638" w:type="dxa"/>
            <w:gridSpan w:val="2"/>
            <w:tcBorders>
              <w:tl2br w:val="nil"/>
              <w:tr2bl w:val="nil"/>
            </w:tcBorders>
            <w:vAlign w:val="center"/>
          </w:tcPr>
          <w:p w14:paraId="7F4F65AC">
            <w:pPr>
              <w:keepNext w:val="0"/>
              <w:keepLines w:val="0"/>
              <w:pageBreakBefore w:val="0"/>
              <w:widowControl w:val="0"/>
              <w:kinsoku w:val="0"/>
              <w:wordWrap/>
              <w:overflowPunct/>
              <w:topLinePunct w:val="0"/>
              <w:autoSpaceDE w:val="0"/>
              <w:autoSpaceDN w:val="0"/>
              <w:bidi w:val="0"/>
              <w:adjustRightInd w:val="0"/>
              <w:snapToGrid w:val="0"/>
              <w:spacing w:before="0" w:beforeLines="20" w:after="0" w:afterLines="20" w:line="192" w:lineRule="auto"/>
              <w:ind w:left="42" w:leftChars="20" w:right="42" w:rightChars="20" w:firstLine="6"/>
              <w:jc w:val="both"/>
              <w:textAlignment w:val="baseline"/>
              <w:rPr>
                <w:rFonts w:hint="default" w:ascii="Times New Roman" w:hAnsi="Times New Roman" w:eastAsia="微软雅黑" w:cs="Times New Roman"/>
                <w:spacing w:val="17"/>
                <w:sz w:val="23"/>
                <w:szCs w:val="23"/>
                <w:highlight w:val="none"/>
                <w:lang w:val="en-US" w:eastAsia="zh-CN"/>
              </w:rPr>
            </w:pPr>
            <w:r>
              <w:rPr>
                <w:rFonts w:hint="eastAsia" w:ascii="Times New Roman" w:hAnsi="Times New Roman" w:eastAsia="微软雅黑" w:cs="黑体"/>
                <w:sz w:val="21"/>
                <w:highlight w:val="none"/>
                <w:lang w:val="en-US" w:eastAsia="zh-CN"/>
              </w:rPr>
              <w:t>{%tr endif %}</w:t>
            </w:r>
          </w:p>
        </w:tc>
      </w:tr>
      <w:tr w14:paraId="4DFD60E4">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567" w:hRule="atLeast"/>
          <w:jc w:val="center"/>
        </w:trPr>
        <w:tc>
          <w:tcPr>
            <w:tcW w:w="2862" w:type="dxa"/>
            <w:tcBorders>
              <w:tl2br w:val="nil"/>
              <w:tr2bl w:val="nil"/>
            </w:tcBorders>
            <w:vAlign w:val="center"/>
          </w:tcPr>
          <w:p w14:paraId="3E620B60">
            <w:pPr>
              <w:keepNext w:val="0"/>
              <w:keepLines w:val="0"/>
              <w:pageBreakBefore w:val="0"/>
              <w:widowControl w:val="0"/>
              <w:kinsoku w:val="0"/>
              <w:wordWrap/>
              <w:overflowPunct/>
              <w:topLinePunct w:val="0"/>
              <w:autoSpaceDE w:val="0"/>
              <w:autoSpaceDN w:val="0"/>
              <w:bidi w:val="0"/>
              <w:adjustRightInd w:val="0"/>
              <w:snapToGrid w:val="0"/>
              <w:spacing w:line="192" w:lineRule="auto"/>
              <w:ind w:left="42" w:leftChars="20"/>
              <w:jc w:val="both"/>
              <w:textAlignment w:val="baseline"/>
              <w:rPr>
                <w:rFonts w:hint="default" w:ascii="Times New Roman" w:hAnsi="Times New Roman" w:eastAsia="微软雅黑" w:cs="Times New Roman"/>
                <w:spacing w:val="20"/>
                <w:sz w:val="23"/>
                <w:szCs w:val="23"/>
                <w14:textOutline w14:w="4356" w14:cap="sq" w14:cmpd="sng" w14:algn="ctr">
                  <w14:solidFill>
                    <w14:srgbClr w14:val="000000"/>
                  </w14:solidFill>
                  <w14:prstDash w14:val="solid"/>
                  <w14:bevel/>
                </w14:textOutline>
              </w:rPr>
            </w:pPr>
            <w:r>
              <w:rPr>
                <w:rFonts w:hint="default" w:ascii="Times New Roman" w:hAnsi="Times New Roman" w:eastAsia="微软雅黑" w:cs="Times New Roman"/>
                <w:spacing w:val="14"/>
                <w:sz w:val="23"/>
                <w:szCs w:val="23"/>
                <w14:textOutline w14:w="4356" w14:cap="sq" w14:cmpd="sng" w14:algn="ctr">
                  <w14:solidFill>
                    <w14:srgbClr w14:val="000000"/>
                  </w14:solidFill>
                  <w14:prstDash w14:val="solid"/>
                  <w14:bevel/>
                </w14:textOutline>
              </w:rPr>
              <w:t>变异</w:t>
            </w:r>
            <w:r>
              <w:rPr>
                <w:rFonts w:hint="eastAsia" w:ascii="Times New Roman" w:hAnsi="Times New Roman" w:eastAsia="微软雅黑" w:cs="Times New Roman"/>
                <w:spacing w:val="14"/>
                <w:sz w:val="23"/>
                <w:szCs w:val="23"/>
                <w14:textOutline w14:w="4356" w14:cap="sq" w14:cmpd="sng" w14:algn="ctr">
                  <w14:solidFill>
                    <w14:srgbClr w14:val="000000"/>
                  </w14:solidFill>
                  <w14:prstDash w14:val="solid"/>
                  <w14:bevel/>
                </w14:textOutline>
              </w:rPr>
              <w:t>总结</w:t>
            </w:r>
          </w:p>
        </w:tc>
        <w:tc>
          <w:tcPr>
            <w:tcW w:w="6776" w:type="dxa"/>
            <w:tcBorders>
              <w:tl2br w:val="nil"/>
              <w:tr2bl w:val="nil"/>
            </w:tcBorders>
            <w:vAlign w:val="center"/>
          </w:tcPr>
          <w:p w14:paraId="4D2887A2">
            <w:pPr>
              <w:keepNext w:val="0"/>
              <w:keepLines w:val="0"/>
              <w:pageBreakBefore w:val="0"/>
              <w:widowControl w:val="0"/>
              <w:kinsoku w:val="0"/>
              <w:wordWrap/>
              <w:overflowPunct/>
              <w:topLinePunct w:val="0"/>
              <w:autoSpaceDE w:val="0"/>
              <w:autoSpaceDN w:val="0"/>
              <w:bidi w:val="0"/>
              <w:adjustRightInd w:val="0"/>
              <w:snapToGrid w:val="0"/>
              <w:spacing w:line="240" w:lineRule="auto"/>
              <w:ind w:left="42" w:leftChars="20"/>
              <w:jc w:val="both"/>
              <w:textAlignment w:val="baseline"/>
              <w:rPr>
                <w:rFonts w:hint="default" w:ascii="Times New Roman" w:hAnsi="Times New Roman" w:eastAsia="微软雅黑" w:cs="Times New Roman"/>
                <w:snapToGrid w:val="0"/>
                <w:color w:val="000000"/>
                <w:spacing w:val="17"/>
                <w:kern w:val="0"/>
                <w:sz w:val="23"/>
                <w:szCs w:val="23"/>
                <w:lang w:val="en-US" w:eastAsia="zh-CN" w:bidi="ar-SA"/>
              </w:rPr>
            </w:pPr>
            <w:r>
              <w:rPr>
                <w:rFonts w:hint="eastAsia" w:ascii="Times New Roman" w:hAnsi="Times New Roman" w:eastAsia="微软雅黑" w:cs="Times New Roman"/>
                <w:spacing w:val="17"/>
                <w:sz w:val="21"/>
                <w:szCs w:val="21"/>
                <w:highlight w:val="none"/>
                <w:lang w:val="en-US" w:eastAsia="zh-CN"/>
              </w:rPr>
              <w:t xml:space="preserve">{%if </w:t>
            </w:r>
            <w:r>
              <w:rPr>
                <w:rFonts w:hint="eastAsia" w:ascii="Times New Roman" w:hAnsi="Times New Roman" w:eastAsia="微软雅黑" w:cs="黑体"/>
                <w:sz w:val="21"/>
                <w:szCs w:val="21"/>
                <w:lang w:eastAsia="zh-CN"/>
              </w:rPr>
              <w:t>summaryOfRresults.thisGeneticmarkerVwListSize</w:t>
            </w:r>
            <w:r>
              <w:rPr>
                <w:rFonts w:hint="eastAsia" w:ascii="Times New Roman" w:hAnsi="Times New Roman" w:eastAsia="微软雅黑" w:cs="Times New Roman"/>
                <w:spacing w:val="17"/>
                <w:sz w:val="21"/>
                <w:szCs w:val="21"/>
                <w:highlight w:val="none"/>
                <w:lang w:val="en-US" w:eastAsia="zh-CN"/>
              </w:rPr>
              <w:t xml:space="preserve"> !=0%}</w:t>
            </w: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szCs w:val="21"/>
                <w:lang w:eastAsia="zh-CN"/>
              </w:rPr>
              <w:t>{{ summaryOfRresults.thisGeneticmarkerVwListSize }}</w:t>
            </w:r>
            <w:r>
              <w:rPr>
                <w:rFonts w:ascii="Times New Roman" w:hAnsi="Times New Roman" w:eastAsia="微软雅黑" w:cs="Times New Roman"/>
                <w:sz w:val="21"/>
                <w:szCs w:val="21"/>
                <w:lang w:eastAsia="zh-CN"/>
              </w:rPr>
              <w:t>个</w:t>
            </w:r>
            <w:r>
              <w:rPr>
                <w:rFonts w:hint="default" w:ascii="Times New Roman" w:hAnsi="Times New Roman" w:eastAsia="微软雅黑" w:cs="Times New Roman"/>
                <w:spacing w:val="17"/>
                <w:sz w:val="21"/>
                <w:szCs w:val="21"/>
              </w:rPr>
              <w:t>基因重排</w:t>
            </w:r>
            <w:r>
              <w:rPr>
                <w:rFonts w:ascii="Times New Roman" w:hAnsi="Times New Roman" w:eastAsia="微软雅黑" w:cs="Times New Roman"/>
                <w:sz w:val="21"/>
                <w:szCs w:val="21"/>
                <w:lang w:eastAsia="zh-CN"/>
              </w:rPr>
              <w:t>，</w:t>
            </w:r>
            <w:r>
              <w:rPr>
                <w:rFonts w:hint="default" w:ascii="Times New Roman" w:hAnsi="Times New Roman" w:eastAsia="微软雅黑" w:cs="Times New Roman"/>
                <w:spacing w:val="17"/>
                <w:sz w:val="21"/>
                <w:szCs w:val="21"/>
                <w:highlight w:val="none"/>
              </w:rPr>
              <w:t>其中具</w:t>
            </w:r>
            <w:r>
              <w:rPr>
                <w:rFonts w:hint="default" w:ascii="Times New Roman" w:hAnsi="Times New Roman" w:eastAsia="微软雅黑" w:cs="Times New Roman"/>
                <w:spacing w:val="17"/>
                <w:sz w:val="21"/>
                <w:szCs w:val="21"/>
              </w:rPr>
              <w:t>有明确临床意义</w:t>
            </w:r>
            <w:r>
              <w:rPr>
                <w:rFonts w:hint="default" w:ascii="Times New Roman" w:hAnsi="Times New Roman" w:eastAsia="微软雅黑" w:cs="Times New Roman"/>
                <w:spacing w:val="17"/>
                <w:sz w:val="21"/>
                <w:szCs w:val="21"/>
                <w:highlight w:val="none"/>
              </w:rPr>
              <w:t>的变异有</w:t>
            </w:r>
            <w:r>
              <w:rPr>
                <w:rFonts w:hint="eastAsia" w:ascii="Times New Roman" w:hAnsi="Times New Roman" w:eastAsia="微软雅黑" w:cs="黑体"/>
                <w:sz w:val="21"/>
                <w:szCs w:val="21"/>
                <w:lang w:eastAsia="zh-CN"/>
              </w:rPr>
              <w:t>{{ summaryOfRresults.somaticCellMedicationNum}}</w:t>
            </w:r>
            <w:r>
              <w:rPr>
                <w:rFonts w:hint="eastAsia" w:ascii="Times New Roman" w:hAnsi="Times New Roman" w:eastAsia="微软雅黑" w:cs="黑体"/>
                <w:sz w:val="21"/>
                <w:szCs w:val="21"/>
                <w:lang w:val="en-US" w:eastAsia="zh-CN"/>
              </w:rPr>
              <w:t>个。</w:t>
            </w:r>
            <w:r>
              <w:rPr>
                <w:rFonts w:hint="eastAsia" w:ascii="Times New Roman" w:hAnsi="Times New Roman" w:eastAsia="微软雅黑" w:cs="Times New Roman"/>
                <w:spacing w:val="17"/>
                <w:sz w:val="21"/>
                <w:szCs w:val="21"/>
                <w:highlight w:val="none"/>
                <w:lang w:val="en-US" w:eastAsia="zh-CN"/>
              </w:rPr>
              <w:t>{%else%}</w:t>
            </w:r>
            <w:r>
              <w:rPr>
                <w:rFonts w:hint="default" w:ascii="Times New Roman" w:hAnsi="Times New Roman" w:eastAsia="微软雅黑" w:cs="Times New Roman"/>
                <w:spacing w:val="17"/>
                <w:sz w:val="21"/>
                <w:szCs w:val="21"/>
                <w:highlight w:val="none"/>
                <w:lang w:val="en-US" w:eastAsia="zh-CN"/>
              </w:rPr>
              <w:t>基因列表内的其他基因未发现突变。</w:t>
            </w:r>
            <w:r>
              <w:rPr>
                <w:rFonts w:hint="eastAsia" w:ascii="Times New Roman" w:hAnsi="Times New Roman" w:eastAsia="微软雅黑" w:cs="Times New Roman"/>
                <w:spacing w:val="17"/>
                <w:sz w:val="21"/>
                <w:szCs w:val="21"/>
                <w:highlight w:val="none"/>
                <w:lang w:val="en-US" w:eastAsia="zh-CN"/>
              </w:rPr>
              <w:t>{%endif%}</w:t>
            </w:r>
          </w:p>
        </w:tc>
      </w:tr>
      <w:tr w14:paraId="78AD2D72">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567" w:hRule="atLeast"/>
          <w:jc w:val="center"/>
        </w:trPr>
        <w:tc>
          <w:tcPr>
            <w:tcW w:w="2862" w:type="dxa"/>
            <w:tcBorders>
              <w:tl2br w:val="nil"/>
              <w:tr2bl w:val="nil"/>
            </w:tcBorders>
            <w:vAlign w:val="center"/>
          </w:tcPr>
          <w:p w14:paraId="4C92FA12">
            <w:pPr>
              <w:keepNext w:val="0"/>
              <w:keepLines w:val="0"/>
              <w:pageBreakBefore w:val="0"/>
              <w:widowControl w:val="0"/>
              <w:kinsoku w:val="0"/>
              <w:wordWrap/>
              <w:overflowPunct/>
              <w:topLinePunct w:val="0"/>
              <w:autoSpaceDE w:val="0"/>
              <w:autoSpaceDN w:val="0"/>
              <w:bidi w:val="0"/>
              <w:adjustRightInd w:val="0"/>
              <w:snapToGrid w:val="0"/>
              <w:spacing w:line="192" w:lineRule="auto"/>
              <w:ind w:left="42" w:leftChars="20"/>
              <w:jc w:val="both"/>
              <w:textAlignment w:val="baseline"/>
              <w:rPr>
                <w:rFonts w:hint="default" w:ascii="Times New Roman" w:hAnsi="Times New Roman" w:eastAsia="微软雅黑" w:cs="Times New Roman"/>
                <w:spacing w:val="20"/>
                <w:sz w:val="23"/>
                <w:szCs w:val="23"/>
                <w:lang w:val="en-US" w:eastAsia="zh-CN"/>
                <w14:textOutline w14:w="4356" w14:cap="sq" w14:cmpd="sng" w14:algn="ctr">
                  <w14:solidFill>
                    <w14:srgbClr w14:val="000000"/>
                  </w14:solidFill>
                  <w14:prstDash w14:val="solid"/>
                  <w14:bevel/>
                </w14:textOutline>
              </w:rPr>
            </w:pPr>
            <w:r>
              <w:rPr>
                <w:rFonts w:hint="default" w:ascii="Times New Roman" w:hAnsi="Times New Roman" w:eastAsia="微软雅黑" w:cs="Times New Roman"/>
                <w:spacing w:val="20"/>
                <w:sz w:val="23"/>
                <w:szCs w:val="23"/>
                <w14:textOutline w14:w="4356" w14:cap="sq" w14:cmpd="sng" w14:algn="ctr">
                  <w14:solidFill>
                    <w14:srgbClr w14:val="000000"/>
                  </w14:solidFill>
                  <w14:prstDash w14:val="solid"/>
                  <w14:bevel/>
                </w14:textOutline>
              </w:rPr>
              <w:t>具</w:t>
            </w:r>
            <w:r>
              <w:rPr>
                <w:rFonts w:hint="default" w:ascii="Times New Roman" w:hAnsi="Times New Roman" w:eastAsia="微软雅黑" w:cs="Times New Roman"/>
                <w:spacing w:val="14"/>
                <w:sz w:val="23"/>
                <w:szCs w:val="23"/>
                <w14:textOutline w14:w="4356" w14:cap="sq" w14:cmpd="sng" w14:algn="ctr">
                  <w14:solidFill>
                    <w14:srgbClr w14:val="000000"/>
                  </w14:solidFill>
                  <w14:prstDash w14:val="solid"/>
                  <w14:bevel/>
                </w14:textOutline>
              </w:rPr>
              <w:t>有临床意义的变异</w:t>
            </w:r>
          </w:p>
        </w:tc>
        <w:tc>
          <w:tcPr>
            <w:tcW w:w="6776" w:type="dxa"/>
            <w:tcBorders>
              <w:tl2br w:val="nil"/>
              <w:tr2bl w:val="nil"/>
            </w:tcBorders>
            <w:vAlign w:val="center"/>
          </w:tcPr>
          <w:p w14:paraId="1D7CFE48">
            <w:pPr>
              <w:keepNext w:val="0"/>
              <w:keepLines w:val="0"/>
              <w:pageBreakBefore w:val="0"/>
              <w:widowControl w:val="0"/>
              <w:kinsoku w:val="0"/>
              <w:wordWrap/>
              <w:overflowPunct/>
              <w:topLinePunct w:val="0"/>
              <w:autoSpaceDE w:val="0"/>
              <w:autoSpaceDN w:val="0"/>
              <w:bidi w:val="0"/>
              <w:adjustRightInd w:val="0"/>
              <w:snapToGrid w:val="0"/>
              <w:spacing w:line="240" w:lineRule="auto"/>
              <w:ind w:left="42" w:leftChars="20"/>
              <w:jc w:val="both"/>
              <w:textAlignment w:val="baseline"/>
              <w:rPr>
                <w:rFonts w:hint="default" w:ascii="Times New Roman" w:hAnsi="Times New Roman" w:eastAsia="微软雅黑" w:cs="Times New Roman"/>
                <w:snapToGrid w:val="0"/>
                <w:color w:val="000000"/>
                <w:spacing w:val="17"/>
                <w:kern w:val="0"/>
                <w:sz w:val="23"/>
                <w:szCs w:val="23"/>
                <w:lang w:val="en-US" w:eastAsia="zh-CN" w:bidi="ar-SA"/>
              </w:rPr>
            </w:pPr>
            <w:r>
              <w:rPr>
                <w:rFonts w:hint="eastAsia" w:ascii="Times New Roman" w:hAnsi="Times New Roman" w:eastAsia="微软雅黑" w:cs="Times New Roman"/>
                <w:sz w:val="21"/>
                <w:szCs w:val="21"/>
                <w:lang w:val="en-US" w:eastAsia="zh-CN" w:bidi="ar"/>
              </w:rPr>
              <w:t xml:space="preserve">{%if </w:t>
            </w:r>
            <w:r>
              <w:rPr>
                <w:rFonts w:hint="default" w:ascii="Times New Roman" w:hAnsi="Times New Roman" w:eastAsia="微软雅黑" w:cs="Times New Roman"/>
                <w:sz w:val="21"/>
                <w:szCs w:val="21"/>
                <w:lang w:val="en-US" w:eastAsia="zh-CN" w:bidi="ar-SA"/>
              </w:rPr>
              <w:t>summaryOfRresults.</w:t>
            </w:r>
            <w:r>
              <w:rPr>
                <w:rFonts w:hint="default" w:ascii="Times New Roman" w:hAnsi="Times New Roman" w:eastAsia="微软雅黑" w:cs="Times New Roman"/>
                <w:sz w:val="21"/>
                <w:szCs w:val="21"/>
                <w:highlight w:val="none"/>
                <w:lang w:val="en-US" w:eastAsia="zh-CN" w:bidi="ar-SA"/>
              </w:rPr>
              <w:t>somaticCellMedicationNum</w:t>
            </w:r>
            <w:r>
              <w:rPr>
                <w:rFonts w:hint="eastAsia" w:ascii="Times New Roman" w:hAnsi="Times New Roman" w:eastAsia="微软雅黑" w:cs="Times New Roman"/>
                <w:sz w:val="21"/>
                <w:szCs w:val="21"/>
                <w:lang w:val="en-US" w:eastAsia="zh-CN" w:bidi="ar-SA"/>
              </w:rPr>
              <w:t xml:space="preserve">!=0 </w:t>
            </w:r>
            <w:r>
              <w:rPr>
                <w:rFonts w:hint="eastAsia" w:ascii="Times New Roman" w:hAnsi="Times New Roman" w:eastAsia="微软雅黑" w:cs="Times New Roman"/>
                <w:sz w:val="21"/>
                <w:szCs w:val="21"/>
                <w:lang w:val="en-US" w:eastAsia="zh-CN" w:bidi="ar"/>
              </w:rPr>
              <w:t>%}</w:t>
            </w:r>
            <w:r>
              <w:rPr>
                <w:rFonts w:hint="default" w:ascii="Times New Roman" w:hAnsi="Times New Roman" w:eastAsia="微软雅黑" w:cs="Times New Roman"/>
                <w:sz w:val="21"/>
                <w:szCs w:val="21"/>
                <w:lang w:val="en-US" w:eastAsia="zh-CN" w:bidi="ar"/>
              </w:rPr>
              <w:t>{{bodyDrugStr</w:t>
            </w:r>
            <w:r>
              <w:rPr>
                <w:rFonts w:hint="eastAsia" w:ascii="Times New Roman" w:hAnsi="Times New Roman" w:eastAsia="微软雅黑" w:cs="Times New Roman"/>
                <w:sz w:val="21"/>
                <w:szCs w:val="21"/>
                <w:highlight w:val="none"/>
                <w:lang w:val="en-US" w:eastAsia="zh-CN" w:bidi="ar-SA"/>
              </w:rPr>
              <w:t>.replace("（", "").replace("）", "")</w:t>
            </w:r>
            <w:r>
              <w:rPr>
                <w:rFonts w:hint="default" w:ascii="Times New Roman" w:hAnsi="Times New Roman" w:eastAsia="微软雅黑" w:cs="Times New Roman"/>
                <w:sz w:val="21"/>
                <w:szCs w:val="21"/>
                <w:lang w:val="en-US" w:eastAsia="zh-CN" w:bidi="ar"/>
              </w:rPr>
              <w:t>}}</w:t>
            </w:r>
            <w:r>
              <w:rPr>
                <w:rFonts w:hint="eastAsia" w:ascii="微软雅黑" w:hAnsi="微软雅黑" w:eastAsia="微软雅黑" w:cs="微软雅黑"/>
                <w:snapToGrid w:val="0"/>
                <w:color w:val="auto"/>
                <w:spacing w:val="17"/>
                <w:kern w:val="0"/>
                <w:sz w:val="21"/>
                <w:szCs w:val="21"/>
                <w:highlight w:val="none"/>
                <w:lang w:val="en-US" w:eastAsia="zh-CN" w:bidi="ar-SA"/>
              </w:rPr>
              <w:t>{% else%}-{% endif %}</w:t>
            </w:r>
          </w:p>
        </w:tc>
      </w:tr>
      <w:tr w14:paraId="08F5C9CF">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567" w:hRule="atLeast"/>
          <w:jc w:val="center"/>
        </w:trPr>
        <w:tc>
          <w:tcPr>
            <w:tcW w:w="2862" w:type="dxa"/>
            <w:tcBorders>
              <w:tl2br w:val="nil"/>
              <w:tr2bl w:val="nil"/>
            </w:tcBorders>
            <w:vAlign w:val="center"/>
          </w:tcPr>
          <w:p w14:paraId="34449272">
            <w:pPr>
              <w:keepNext w:val="0"/>
              <w:keepLines w:val="0"/>
              <w:pageBreakBefore w:val="0"/>
              <w:widowControl w:val="0"/>
              <w:kinsoku w:val="0"/>
              <w:wordWrap/>
              <w:overflowPunct/>
              <w:topLinePunct w:val="0"/>
              <w:autoSpaceDE w:val="0"/>
              <w:autoSpaceDN w:val="0"/>
              <w:bidi w:val="0"/>
              <w:adjustRightInd w:val="0"/>
              <w:snapToGrid w:val="0"/>
              <w:spacing w:line="192" w:lineRule="auto"/>
              <w:ind w:left="42" w:leftChars="20"/>
              <w:jc w:val="both"/>
              <w:textAlignment w:val="baseline"/>
              <w:rPr>
                <w:rFonts w:hint="default" w:ascii="Times New Roman" w:hAnsi="Times New Roman" w:eastAsia="微软雅黑" w:cs="Times New Roman"/>
                <w:spacing w:val="20"/>
                <w:sz w:val="23"/>
                <w:szCs w:val="23"/>
                <w:lang w:val="en-US" w:eastAsia="zh-CN"/>
                <w14:textOutline w14:w="4356" w14:cap="sq" w14:cmpd="sng" w14:algn="ctr">
                  <w14:solidFill>
                    <w14:srgbClr w14:val="000000"/>
                  </w14:solidFill>
                  <w14:prstDash w14:val="solid"/>
                  <w14:bevel/>
                </w14:textOutline>
              </w:rPr>
            </w:pPr>
            <w:r>
              <w:rPr>
                <w:rFonts w:hint="default" w:ascii="Times New Roman" w:hAnsi="Times New Roman" w:eastAsia="微软雅黑" w:cs="Times New Roman"/>
                <w:spacing w:val="20"/>
                <w:sz w:val="23"/>
                <w:szCs w:val="23"/>
                <w:lang w:val="en-US" w:eastAsia="zh-CN"/>
                <w14:textOutline w14:w="4356" w14:cap="sq" w14:cmpd="sng" w14:algn="ctr">
                  <w14:solidFill>
                    <w14:srgbClr w14:val="000000"/>
                  </w14:solidFill>
                  <w14:prstDash w14:val="solid"/>
                  <w14:bevel/>
                </w14:textOutline>
              </w:rPr>
              <w:t>未明确临床意义的变异</w:t>
            </w:r>
          </w:p>
        </w:tc>
        <w:tc>
          <w:tcPr>
            <w:tcW w:w="6776" w:type="dxa"/>
            <w:tcBorders>
              <w:tl2br w:val="nil"/>
              <w:tr2bl w:val="nil"/>
            </w:tcBorders>
            <w:vAlign w:val="center"/>
          </w:tcPr>
          <w:p w14:paraId="068B8706">
            <w:pPr>
              <w:keepNext w:val="0"/>
              <w:keepLines w:val="0"/>
              <w:pageBreakBefore w:val="0"/>
              <w:widowControl w:val="0"/>
              <w:kinsoku w:val="0"/>
              <w:wordWrap/>
              <w:overflowPunct/>
              <w:topLinePunct w:val="0"/>
              <w:autoSpaceDE w:val="0"/>
              <w:autoSpaceDN w:val="0"/>
              <w:bidi w:val="0"/>
              <w:adjustRightInd w:val="0"/>
              <w:snapToGrid w:val="0"/>
              <w:spacing w:line="240" w:lineRule="auto"/>
              <w:ind w:left="42" w:leftChars="20"/>
              <w:jc w:val="both"/>
              <w:textAlignment w:val="baseline"/>
              <w:rPr>
                <w:rFonts w:hint="default" w:ascii="Times New Roman" w:hAnsi="Times New Roman" w:eastAsia="宋体" w:cs="Times New Roman"/>
                <w:sz w:val="23"/>
                <w:szCs w:val="23"/>
                <w:lang w:val="en-US" w:eastAsia="zh-CN"/>
              </w:rPr>
            </w:pPr>
            <w:r>
              <w:rPr>
                <w:rFonts w:hint="default" w:ascii="Times New Roman" w:hAnsi="Times New Roman" w:eastAsia="微软雅黑" w:cs="Times New Roman"/>
                <w:sz w:val="21"/>
                <w:szCs w:val="21"/>
                <w:highlight w:val="none"/>
                <w:lang w:val="en-US" w:eastAsia="zh-CN" w:bidi="ar-SA"/>
              </w:rPr>
              <w:t>{% if unknownTipLineStr == []%}-{% else %}{%for item in unknownTipLineStr%}{{item.mutation}}{%if not loop.last%}；{% endif %}{% endfor %}{%endif %}</w:t>
            </w:r>
          </w:p>
        </w:tc>
      </w:tr>
      <w:tr w14:paraId="520631DB">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567" w:hRule="atLeast"/>
          <w:jc w:val="center"/>
        </w:trPr>
        <w:tc>
          <w:tcPr>
            <w:tcW w:w="9638" w:type="dxa"/>
            <w:gridSpan w:val="2"/>
            <w:tcBorders>
              <w:tl2br w:val="nil"/>
              <w:tr2bl w:val="nil"/>
            </w:tcBorders>
            <w:vAlign w:val="center"/>
          </w:tcPr>
          <w:p w14:paraId="272C695A">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20" w:after="0" w:afterLines="20" w:line="192" w:lineRule="auto"/>
              <w:ind w:left="42" w:leftChars="20" w:right="42" w:rightChars="20"/>
              <w:jc w:val="left"/>
              <w:textAlignment w:val="baseline"/>
              <w:rPr>
                <w:rFonts w:hint="eastAsia" w:ascii="Times New Roman" w:hAnsi="Times New Roman" w:eastAsia="微软雅黑" w:cs="Times New Roman"/>
                <w:sz w:val="21"/>
                <w:szCs w:val="21"/>
                <w:highlight w:val="none"/>
                <w:lang w:val="en-US" w:eastAsia="zh-CN" w:bidi="ar-SA"/>
              </w:rPr>
            </w:pPr>
            <w:r>
              <w:rPr>
                <w:rFonts w:hint="eastAsia" w:ascii="Times New Roman" w:hAnsi="Times New Roman" w:eastAsia="微软雅黑" w:cs="Times New Roman"/>
                <w:b/>
                <w:bCs/>
                <w:sz w:val="21"/>
                <w:szCs w:val="21"/>
                <w:lang w:eastAsia="zh-CN"/>
              </w:rPr>
              <w:t>{%tr if PDInfo != undefined %}</w:t>
            </w:r>
          </w:p>
        </w:tc>
      </w:tr>
      <w:tr w14:paraId="519C70E4">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567" w:hRule="atLeast"/>
          <w:jc w:val="center"/>
        </w:trPr>
        <w:tc>
          <w:tcPr>
            <w:tcW w:w="2862" w:type="dxa"/>
            <w:tcBorders>
              <w:tl2br w:val="nil"/>
              <w:tr2bl w:val="nil"/>
            </w:tcBorders>
            <w:shd w:val="clear" w:color="auto" w:fill="auto"/>
            <w:vAlign w:val="center"/>
          </w:tcPr>
          <w:p w14:paraId="0C6573AA">
            <w:pPr>
              <w:pStyle w:val="13"/>
              <w:widowControl w:val="0"/>
              <w:ind w:left="119" w:leftChars="0"/>
              <w:jc w:val="both"/>
              <w:rPr>
                <w:rFonts w:hint="default" w:ascii="Times New Roman" w:hAnsi="Times New Roman" w:eastAsia="微软雅黑" w:cs="Times New Roman"/>
                <w:b/>
                <w:bCs/>
                <w:snapToGrid w:val="0"/>
                <w:color w:val="000000"/>
                <w:sz w:val="21"/>
                <w:szCs w:val="21"/>
                <w:lang w:val="en-US" w:eastAsia="zh-CN" w:bidi="ar-SA"/>
              </w:rPr>
            </w:pPr>
            <w:r>
              <w:rPr>
                <w:rFonts w:hint="default" w:ascii="Times New Roman" w:hAnsi="Times New Roman" w:eastAsia="微软雅黑" w:cs="Times New Roman"/>
                <w:snapToGrid w:val="0"/>
                <w:color w:val="000000"/>
                <w:spacing w:val="14"/>
                <w:sz w:val="23"/>
                <w:szCs w:val="23"/>
                <w:lang w:val="en-US" w:eastAsia="zh-CN" w:bidi="ar-SA"/>
                <w14:textOutline w14:w="4356" w14:cap="sq" w14:cmpd="sng" w14:algn="ctr">
                  <w14:solidFill>
                    <w14:srgbClr w14:val="000000"/>
                  </w14:solidFill>
                  <w14:prstDash w14:val="solid"/>
                  <w14:bevel/>
                </w14:textOutline>
              </w:rPr>
              <w:t>PD-L1蛋白表达</w:t>
            </w:r>
            <w:r>
              <w:rPr>
                <w:rFonts w:ascii="Times New Roman" w:hAnsi="Times New Roman" w:eastAsia="微软雅黑" w:cs="Times New Roman"/>
                <w:b/>
                <w:bCs/>
                <w:sz w:val="21"/>
                <w:szCs w:val="21"/>
              </w:rPr>
              <w:t>水平</w:t>
            </w:r>
          </w:p>
        </w:tc>
        <w:tc>
          <w:tcPr>
            <w:tcW w:w="6776" w:type="dxa"/>
            <w:tcBorders>
              <w:tl2br w:val="nil"/>
              <w:tr2bl w:val="nil"/>
            </w:tcBorders>
            <w:shd w:val="clear" w:color="auto" w:fill="auto"/>
            <w:vAlign w:val="center"/>
          </w:tcPr>
          <w:p w14:paraId="1D4BEB5B">
            <w:pPr>
              <w:keepNext w:val="0"/>
              <w:keepLines w:val="0"/>
              <w:pageBreakBefore w:val="0"/>
              <w:widowControl w:val="0"/>
              <w:kinsoku w:val="0"/>
              <w:wordWrap/>
              <w:overflowPunct/>
              <w:topLinePunct w:val="0"/>
              <w:autoSpaceDE w:val="0"/>
              <w:autoSpaceDN w:val="0"/>
              <w:bidi w:val="0"/>
              <w:adjustRightInd w:val="0"/>
              <w:snapToGrid w:val="0"/>
              <w:spacing w:line="240" w:lineRule="auto"/>
              <w:ind w:left="42" w:leftChars="20"/>
              <w:jc w:val="both"/>
              <w:textAlignment w:val="baseline"/>
              <w:rPr>
                <w:rFonts w:hint="eastAsia" w:ascii="Times New Roman" w:hAnsi="Times New Roman" w:eastAsia="微软雅黑" w:cs="Times New Roman"/>
                <w:snapToGrid w:val="0"/>
                <w:color w:val="000000"/>
                <w:sz w:val="21"/>
                <w:szCs w:val="21"/>
                <w:lang w:val="en-US" w:eastAsia="zh-CN" w:bidi="ar-SA"/>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2DF093A9">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567" w:hRule="atLeast"/>
          <w:jc w:val="center"/>
        </w:trPr>
        <w:tc>
          <w:tcPr>
            <w:tcW w:w="9638" w:type="dxa"/>
            <w:gridSpan w:val="2"/>
            <w:tcBorders>
              <w:tl2br w:val="nil"/>
              <w:tr2bl w:val="nil"/>
            </w:tcBorders>
            <w:vAlign w:val="center"/>
          </w:tcPr>
          <w:p w14:paraId="68BA5CDA">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20" w:after="0" w:afterLines="20" w:line="192" w:lineRule="auto"/>
              <w:ind w:left="42" w:leftChars="20" w:right="42" w:rightChars="20"/>
              <w:jc w:val="left"/>
              <w:textAlignment w:val="baseline"/>
              <w:rPr>
                <w:rFonts w:hint="eastAsia" w:ascii="Times New Roman" w:hAnsi="Times New Roman" w:eastAsia="微软雅黑" w:cs="Times New Roman"/>
                <w:sz w:val="21"/>
                <w:szCs w:val="21"/>
                <w:highlight w:val="none"/>
                <w:lang w:val="en-US" w:eastAsia="zh-CN" w:bidi="ar-SA"/>
              </w:rPr>
            </w:pPr>
            <w:r>
              <w:rPr>
                <w:rFonts w:hint="eastAsia" w:ascii="Times New Roman" w:hAnsi="Times New Roman" w:eastAsia="微软雅黑" w:cs="Times New Roman"/>
                <w:b/>
                <w:bCs/>
                <w:sz w:val="21"/>
                <w:szCs w:val="21"/>
                <w:lang w:eastAsia="zh-CN"/>
              </w:rPr>
              <w:t>{%tr endif %}</w:t>
            </w:r>
          </w:p>
        </w:tc>
      </w:tr>
      <w:tr w14:paraId="0A10F4DD">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567" w:hRule="atLeast"/>
          <w:jc w:val="center"/>
        </w:trPr>
        <w:tc>
          <w:tcPr>
            <w:tcW w:w="2862" w:type="dxa"/>
            <w:tcBorders>
              <w:tl2br w:val="nil"/>
              <w:tr2bl w:val="nil"/>
            </w:tcBorders>
            <w:vAlign w:val="center"/>
          </w:tcPr>
          <w:p w14:paraId="229AE278">
            <w:pPr>
              <w:keepNext w:val="0"/>
              <w:keepLines w:val="0"/>
              <w:pageBreakBefore w:val="0"/>
              <w:widowControl w:val="0"/>
              <w:kinsoku w:val="0"/>
              <w:wordWrap/>
              <w:overflowPunct/>
              <w:topLinePunct w:val="0"/>
              <w:autoSpaceDE w:val="0"/>
              <w:autoSpaceDN w:val="0"/>
              <w:bidi w:val="0"/>
              <w:adjustRightInd w:val="0"/>
              <w:snapToGrid w:val="0"/>
              <w:spacing w:line="192" w:lineRule="auto"/>
              <w:ind w:left="42" w:leftChars="20"/>
              <w:jc w:val="both"/>
              <w:textAlignment w:val="baseline"/>
              <w:rPr>
                <w:rFonts w:hint="default" w:ascii="Times New Roman" w:hAnsi="Times New Roman" w:eastAsia="微软雅黑" w:cs="Times New Roman"/>
                <w:spacing w:val="14"/>
                <w:sz w:val="23"/>
                <w:szCs w:val="23"/>
                <w14:textOutline w14:w="4356" w14:cap="sq" w14:cmpd="sng" w14:algn="ctr">
                  <w14:solidFill>
                    <w14:srgbClr w14:val="000000"/>
                  </w14:solidFill>
                  <w14:prstDash w14:val="solid"/>
                  <w14:bevel/>
                </w14:textOutline>
              </w:rPr>
            </w:pPr>
            <w:r>
              <w:rPr>
                <w:rFonts w:hint="default" w:ascii="Times New Roman" w:hAnsi="Times New Roman" w:eastAsia="微软雅黑" w:cs="Times New Roman"/>
                <w:spacing w:val="14"/>
                <w:sz w:val="23"/>
                <w:szCs w:val="23"/>
                <w14:textOutline w14:w="4356" w14:cap="sq" w14:cmpd="sng" w14:algn="ctr">
                  <w14:solidFill>
                    <w14:srgbClr w14:val="000000"/>
                  </w14:solidFill>
                  <w14:prstDash w14:val="solid"/>
                  <w14:bevel/>
                </w14:textOutline>
              </w:rPr>
              <w:t>其他</w:t>
            </w:r>
          </w:p>
        </w:tc>
        <w:tc>
          <w:tcPr>
            <w:tcW w:w="6776" w:type="dxa"/>
            <w:tcBorders>
              <w:tl2br w:val="nil"/>
              <w:tr2bl w:val="nil"/>
            </w:tcBorders>
            <w:vAlign w:val="center"/>
          </w:tcPr>
          <w:p w14:paraId="070EF47F">
            <w:pPr>
              <w:keepNext w:val="0"/>
              <w:keepLines w:val="0"/>
              <w:pageBreakBefore w:val="0"/>
              <w:widowControl w:val="0"/>
              <w:kinsoku w:val="0"/>
              <w:wordWrap/>
              <w:overflowPunct/>
              <w:topLinePunct w:val="0"/>
              <w:autoSpaceDE w:val="0"/>
              <w:autoSpaceDN w:val="0"/>
              <w:bidi w:val="0"/>
              <w:adjustRightInd w:val="0"/>
              <w:snapToGrid w:val="0"/>
              <w:spacing w:line="192" w:lineRule="auto"/>
              <w:ind w:left="42" w:leftChars="20"/>
              <w:jc w:val="both"/>
              <w:textAlignment w:val="baseline"/>
              <w:rPr>
                <w:rFonts w:hint="default" w:ascii="Times New Roman" w:hAnsi="Times New Roman" w:eastAsia="Times New Roman" w:cs="Times New Roman"/>
                <w:sz w:val="23"/>
                <w:szCs w:val="23"/>
              </w:rPr>
            </w:pPr>
          </w:p>
        </w:tc>
      </w:tr>
    </w:tbl>
    <w:p w14:paraId="7B03DA5F">
      <w:pPr>
        <w:spacing w:before="98" w:line="236" w:lineRule="auto"/>
        <w:ind w:left="118"/>
        <w:rPr>
          <w:rFonts w:ascii="微软雅黑" w:hAnsi="微软雅黑" w:eastAsia="微软雅黑" w:cs="微软雅黑"/>
          <w:spacing w:val="-2"/>
          <w:sz w:val="11"/>
          <w:szCs w:val="11"/>
        </w:rPr>
      </w:pPr>
    </w:p>
    <w:tbl>
      <w:tblPr>
        <w:tblStyle w:val="10"/>
        <w:tblpPr w:leftFromText="181" w:rightFromText="181" w:vertAnchor="page" w:horzAnchor="page" w:tblpX="1129" w:tblpY="1530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2"/>
        <w:gridCol w:w="3302"/>
        <w:gridCol w:w="3303"/>
      </w:tblGrid>
      <w:tr w14:paraId="51CF9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2" w:type="dxa"/>
            <w:tcBorders>
              <w:top w:val="single" w:color="auto" w:sz="4" w:space="0"/>
              <w:left w:val="nil"/>
              <w:bottom w:val="nil"/>
              <w:right w:val="nil"/>
            </w:tcBorders>
            <w:vAlign w:val="top"/>
          </w:tcPr>
          <w:p w14:paraId="386843D2">
            <w:pPr>
              <w:keepNext w:val="0"/>
              <w:keepLines w:val="0"/>
              <w:pageBreakBefore w:val="0"/>
              <w:widowControl/>
              <w:kinsoku w:val="0"/>
              <w:wordWrap/>
              <w:overflowPunct/>
              <w:topLinePunct w:val="0"/>
              <w:autoSpaceDE w:val="0"/>
              <w:autoSpaceDN w:val="0"/>
              <w:bidi w:val="0"/>
              <w:adjustRightInd w:val="0"/>
              <w:snapToGrid w:val="0"/>
              <w:spacing w:line="236" w:lineRule="auto"/>
              <w:jc w:val="both"/>
              <w:textAlignment w:val="baseline"/>
              <w:rPr>
                <w:rFonts w:ascii="微软雅黑" w:hAnsi="微软雅黑" w:eastAsia="微软雅黑" w:cs="微软雅黑"/>
                <w:spacing w:val="-2"/>
                <w:sz w:val="11"/>
                <w:szCs w:val="11"/>
                <w:vertAlign w:val="baseline"/>
              </w:rPr>
            </w:pPr>
            <w:r>
              <w:rPr>
                <w:rFonts w:hint="eastAsia" w:ascii="微软雅黑" w:hAnsi="微软雅黑" w:eastAsia="微软雅黑" w:cs="微软雅黑"/>
                <w:sz w:val="23"/>
              </w:rPr>
              <w:t>实验技师</w:t>
            </w:r>
            <w:r>
              <w:rPr>
                <w:rFonts w:ascii="微软雅黑" w:hAnsi="微软雅黑" w:eastAsia="微软雅黑" w:cs="微软雅黑"/>
                <w:spacing w:val="-2"/>
                <w:sz w:val="23"/>
                <w:szCs w:val="23"/>
              </w:rPr>
              <w:t>：</w:t>
            </w:r>
          </w:p>
        </w:tc>
        <w:tc>
          <w:tcPr>
            <w:tcW w:w="3302" w:type="dxa"/>
            <w:tcBorders>
              <w:top w:val="single" w:color="auto" w:sz="4" w:space="0"/>
              <w:left w:val="nil"/>
              <w:bottom w:val="nil"/>
              <w:right w:val="nil"/>
            </w:tcBorders>
            <w:vAlign w:val="top"/>
          </w:tcPr>
          <w:p w14:paraId="30ED8B07">
            <w:pPr>
              <w:keepNext w:val="0"/>
              <w:keepLines w:val="0"/>
              <w:pageBreakBefore w:val="0"/>
              <w:widowControl/>
              <w:kinsoku w:val="0"/>
              <w:wordWrap/>
              <w:overflowPunct/>
              <w:topLinePunct w:val="0"/>
              <w:autoSpaceDE w:val="0"/>
              <w:autoSpaceDN w:val="0"/>
              <w:bidi w:val="0"/>
              <w:adjustRightInd w:val="0"/>
              <w:snapToGrid w:val="0"/>
              <w:spacing w:line="236" w:lineRule="auto"/>
              <w:jc w:val="both"/>
              <w:textAlignment w:val="baseline"/>
              <w:rPr>
                <w:rFonts w:ascii="微软雅黑" w:hAnsi="微软雅黑" w:eastAsia="微软雅黑" w:cs="微软雅黑"/>
                <w:spacing w:val="-2"/>
                <w:sz w:val="11"/>
                <w:szCs w:val="11"/>
                <w:vertAlign w:val="baseline"/>
              </w:rPr>
            </w:pPr>
            <w:r>
              <w:rPr>
                <w:rFonts w:ascii="Times New Roman" w:hAnsi="Times New Roman" w:eastAsia="Times New Roman" w:cs="Times New Roman"/>
                <w:spacing w:val="-2"/>
                <w:sz w:val="23"/>
                <w:szCs w:val="23"/>
              </w:rPr>
              <w:t xml:space="preserve"> </w:t>
            </w:r>
            <w:r>
              <w:rPr>
                <w:rFonts w:hint="eastAsia" w:ascii="微软雅黑" w:hAnsi="微软雅黑" w:eastAsia="微软雅黑" w:cs="微软雅黑"/>
                <w:spacing w:val="-2"/>
                <w:sz w:val="23"/>
                <w:szCs w:val="23"/>
              </w:rPr>
              <w:t>报告医师</w:t>
            </w:r>
            <w:r>
              <w:rPr>
                <w:rFonts w:ascii="微软雅黑" w:hAnsi="微软雅黑" w:eastAsia="微软雅黑" w:cs="微软雅黑"/>
                <w:spacing w:val="-2"/>
                <w:sz w:val="23"/>
                <w:szCs w:val="23"/>
              </w:rPr>
              <w:t>：</w:t>
            </w:r>
          </w:p>
        </w:tc>
        <w:tc>
          <w:tcPr>
            <w:tcW w:w="3303" w:type="dxa"/>
            <w:tcBorders>
              <w:top w:val="single" w:color="auto" w:sz="4" w:space="0"/>
              <w:left w:val="nil"/>
              <w:bottom w:val="nil"/>
              <w:right w:val="nil"/>
            </w:tcBorders>
            <w:vAlign w:val="top"/>
          </w:tcPr>
          <w:p w14:paraId="03AF6073">
            <w:pPr>
              <w:keepNext w:val="0"/>
              <w:keepLines w:val="0"/>
              <w:pageBreakBefore w:val="0"/>
              <w:widowControl/>
              <w:kinsoku w:val="0"/>
              <w:wordWrap/>
              <w:overflowPunct/>
              <w:topLinePunct w:val="0"/>
              <w:autoSpaceDE w:val="0"/>
              <w:autoSpaceDN w:val="0"/>
              <w:bidi w:val="0"/>
              <w:adjustRightInd w:val="0"/>
              <w:snapToGrid w:val="0"/>
              <w:spacing w:line="236" w:lineRule="auto"/>
              <w:jc w:val="both"/>
              <w:textAlignment w:val="baseline"/>
              <w:rPr>
                <w:rFonts w:ascii="微软雅黑" w:hAnsi="微软雅黑" w:eastAsia="微软雅黑" w:cs="微软雅黑"/>
                <w:spacing w:val="-2"/>
                <w:sz w:val="11"/>
                <w:szCs w:val="11"/>
                <w:vertAlign w:val="baseline"/>
              </w:rPr>
            </w:pPr>
            <w:r>
              <w:rPr>
                <w:rFonts w:hint="eastAsia" w:ascii="微软雅黑" w:hAnsi="微软雅黑" w:eastAsia="微软雅黑" w:cs="微软雅黑"/>
                <w:spacing w:val="-1"/>
                <w:sz w:val="23"/>
                <w:szCs w:val="23"/>
              </w:rPr>
              <w:t>报告日期</w:t>
            </w:r>
            <w:r>
              <w:rPr>
                <w:rFonts w:ascii="微软雅黑" w:hAnsi="微软雅黑" w:eastAsia="微软雅黑" w:cs="微软雅黑"/>
                <w:spacing w:val="-1"/>
                <w:sz w:val="23"/>
                <w:szCs w:val="23"/>
              </w:rPr>
              <w:t>：</w:t>
            </w:r>
            <w:r>
              <w:rPr>
                <w:rFonts w:hint="default" w:ascii="Times New Roman" w:hAnsi="Times New Roman" w:eastAsia="微软雅黑" w:cs="Times New Roman"/>
                <w:spacing w:val="-1"/>
                <w:sz w:val="23"/>
                <w:szCs w:val="23"/>
                <w:highlight w:val="none"/>
              </w:rPr>
              <w:t>{{ reportdate }}</w:t>
            </w:r>
          </w:p>
        </w:tc>
      </w:tr>
      <w:tr w14:paraId="5B402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07" w:type="dxa"/>
            <w:gridSpan w:val="3"/>
            <w:tcBorders>
              <w:top w:val="nil"/>
              <w:left w:val="nil"/>
              <w:bottom w:val="nil"/>
              <w:right w:val="nil"/>
            </w:tcBorders>
            <w:vAlign w:val="top"/>
          </w:tcPr>
          <w:p w14:paraId="275340E9">
            <w:pPr>
              <w:keepNext w:val="0"/>
              <w:keepLines w:val="0"/>
              <w:pageBreakBefore w:val="0"/>
              <w:widowControl/>
              <w:kinsoku w:val="0"/>
              <w:wordWrap/>
              <w:overflowPunct/>
              <w:topLinePunct w:val="0"/>
              <w:autoSpaceDE w:val="0"/>
              <w:autoSpaceDN w:val="0"/>
              <w:bidi w:val="0"/>
              <w:adjustRightInd w:val="0"/>
              <w:snapToGrid w:val="0"/>
              <w:spacing w:line="236" w:lineRule="auto"/>
              <w:jc w:val="center"/>
              <w:textAlignment w:val="baseline"/>
              <w:rPr>
                <w:rFonts w:ascii="微软雅黑" w:hAnsi="微软雅黑" w:eastAsia="微软雅黑" w:cs="微软雅黑"/>
                <w:spacing w:val="-2"/>
                <w:sz w:val="11"/>
                <w:szCs w:val="11"/>
                <w:vertAlign w:val="baseline"/>
              </w:rPr>
            </w:pPr>
            <w:r>
              <w:rPr>
                <w:rFonts w:ascii="微软雅黑" w:hAnsi="微软雅黑" w:eastAsia="微软雅黑" w:cs="微软雅黑"/>
                <w:spacing w:val="14"/>
                <w:sz w:val="20"/>
                <w:szCs w:val="20"/>
              </w:rPr>
              <w:t>本</w:t>
            </w:r>
            <w:r>
              <w:rPr>
                <w:rFonts w:ascii="微软雅黑" w:hAnsi="微软雅黑" w:eastAsia="微软雅黑" w:cs="微软雅黑"/>
                <w:spacing w:val="8"/>
                <w:sz w:val="20"/>
                <w:szCs w:val="20"/>
              </w:rPr>
              <w:t>报告仅对</w:t>
            </w:r>
            <w:r>
              <w:rPr>
                <w:rFonts w:hint="eastAsia" w:ascii="微软雅黑" w:hAnsi="微软雅黑" w:eastAsia="微软雅黑" w:cs="微软雅黑"/>
                <w:spacing w:val="8"/>
                <w:sz w:val="20"/>
                <w:szCs w:val="20"/>
              </w:rPr>
              <w:t>本次</w:t>
            </w:r>
            <w:r>
              <w:rPr>
                <w:rFonts w:ascii="微软雅黑" w:hAnsi="微软雅黑" w:eastAsia="微软雅黑" w:cs="微软雅黑"/>
                <w:spacing w:val="8"/>
                <w:sz w:val="20"/>
                <w:szCs w:val="20"/>
              </w:rPr>
              <w:t>检测样本负责！</w:t>
            </w:r>
            <w:r>
              <w:rPr>
                <w:rFonts w:hint="eastAsia" w:ascii="微软雅黑" w:hAnsi="微软雅黑" w:eastAsia="微软雅黑" w:cs="微软雅黑"/>
                <w:spacing w:val="-8"/>
                <w:sz w:val="20"/>
                <w:szCs w:val="20"/>
              </w:rPr>
              <w:t>地址：8号楼</w:t>
            </w:r>
            <w:r>
              <w:rPr>
                <w:rFonts w:hint="eastAsia" w:ascii="微软雅黑" w:hAnsi="微软雅黑" w:eastAsia="微软雅黑" w:cs="微软雅黑"/>
                <w:spacing w:val="-8"/>
                <w:sz w:val="20"/>
                <w:szCs w:val="20"/>
                <w:lang w:val="en-US" w:eastAsia="zh-CN"/>
              </w:rPr>
              <w:t>2</w:t>
            </w:r>
            <w:r>
              <w:rPr>
                <w:rFonts w:hint="eastAsia" w:ascii="微软雅黑" w:hAnsi="微软雅黑" w:eastAsia="微软雅黑" w:cs="微软雅黑"/>
                <w:spacing w:val="-8"/>
                <w:sz w:val="20"/>
                <w:szCs w:val="20"/>
              </w:rPr>
              <w:t>楼病理科</w:t>
            </w:r>
            <w:r>
              <w:rPr>
                <w:rFonts w:hint="eastAsia" w:ascii="微软雅黑" w:hAnsi="微软雅黑" w:eastAsia="微软雅黑" w:cs="微软雅黑"/>
                <w:spacing w:val="-8"/>
                <w:sz w:val="20"/>
                <w:szCs w:val="20"/>
                <w:lang w:val="en-US" w:eastAsia="zh-CN"/>
              </w:rPr>
              <w:t>窗口</w:t>
            </w:r>
            <w:r>
              <w:rPr>
                <w:rFonts w:ascii="微软雅黑" w:hAnsi="微软雅黑" w:eastAsia="微软雅黑" w:cs="微软雅黑"/>
                <w:spacing w:val="-4"/>
                <w:sz w:val="20"/>
                <w:szCs w:val="20"/>
              </w:rPr>
              <w:t>，电话：</w:t>
            </w:r>
            <w:r>
              <w:rPr>
                <w:rFonts w:ascii="Times New Roman" w:hAnsi="Times New Roman" w:eastAsia="Times New Roman" w:cs="Times New Roman"/>
                <w:spacing w:val="-4"/>
                <w:sz w:val="20"/>
                <w:szCs w:val="20"/>
              </w:rPr>
              <w:t>0531-</w:t>
            </w:r>
            <w:r>
              <w:rPr>
                <w:rFonts w:hint="eastAsia" w:ascii="Times New Roman" w:hAnsi="Times New Roman" w:eastAsia="宋体" w:cs="Times New Roman"/>
                <w:spacing w:val="-4"/>
                <w:sz w:val="20"/>
                <w:szCs w:val="20"/>
              </w:rPr>
              <w:t>67626</w:t>
            </w:r>
            <w:r>
              <w:rPr>
                <w:rFonts w:hint="eastAsia" w:ascii="Times New Roman" w:hAnsi="Times New Roman" w:eastAsia="宋体" w:cs="Times New Roman"/>
                <w:spacing w:val="-4"/>
                <w:sz w:val="20"/>
                <w:szCs w:val="20"/>
                <w:lang w:val="en-US" w:eastAsia="zh-CN"/>
              </w:rPr>
              <w:t>293</w:t>
            </w:r>
          </w:p>
        </w:tc>
      </w:tr>
    </w:tbl>
    <w:p w14:paraId="28D8318F">
      <w:pPr>
        <w:rPr>
          <w:rFonts w:ascii="微软雅黑" w:hAnsi="微软雅黑" w:eastAsia="微软雅黑" w:cs="微软雅黑"/>
          <w:spacing w:val="-2"/>
          <w:sz w:val="11"/>
          <w:szCs w:val="11"/>
        </w:rPr>
      </w:pPr>
      <w:r>
        <w:rPr>
          <w:rFonts w:ascii="微软雅黑" w:hAnsi="微软雅黑" w:eastAsia="微软雅黑" w:cs="微软雅黑"/>
          <w:spacing w:val="-2"/>
          <w:sz w:val="11"/>
          <w:szCs w:val="11"/>
        </w:rPr>
        <w:br w:type="page"/>
      </w:r>
    </w:p>
    <w:p w14:paraId="193B536F">
      <w:pPr>
        <w:spacing w:before="98" w:line="236" w:lineRule="auto"/>
        <w:ind w:left="118"/>
        <w:rPr>
          <w:rFonts w:ascii="微软雅黑" w:hAnsi="微软雅黑" w:eastAsia="微软雅黑" w:cs="微软雅黑"/>
          <w:spacing w:val="-2"/>
          <w:sz w:val="11"/>
          <w:szCs w:val="11"/>
        </w:rPr>
        <w:sectPr>
          <w:headerReference r:id="rId3" w:type="default"/>
          <w:footerReference r:id="rId4" w:type="default"/>
          <w:pgSz w:w="11906" w:h="16839"/>
          <w:pgMar w:top="1814" w:right="1083" w:bottom="0" w:left="1085" w:header="283" w:footer="374" w:gutter="0"/>
          <w:cols w:space="720" w:num="1"/>
        </w:sectPr>
      </w:pPr>
    </w:p>
    <w:p w14:paraId="36CD26E0">
      <w:pPr>
        <w:keepNext w:val="0"/>
        <w:keepLines w:val="0"/>
        <w:pageBreakBefore w:val="0"/>
        <w:widowControl w:val="0"/>
        <w:numPr>
          <w:ilvl w:val="255"/>
          <w:numId w:val="0"/>
        </w:numPr>
        <w:kinsoku/>
        <w:wordWrap/>
        <w:overflowPunct/>
        <w:topLinePunct w:val="0"/>
        <w:autoSpaceDE/>
        <w:autoSpaceDN/>
        <w:bidi w:val="0"/>
        <w:adjustRightInd/>
        <w:snapToGrid/>
        <w:spacing w:after="0" w:line="0" w:lineRule="atLeast"/>
        <w:jc w:val="left"/>
        <w:textAlignment w:val="auto"/>
        <w:outlineLvl w:val="9"/>
        <w:rPr>
          <w:rFonts w:hint="eastAsia" w:ascii="Times New Roman" w:hAnsi="Times New Roman" w:eastAsia="微软雅黑" w:cs="黑体"/>
          <w:sz w:val="21"/>
          <w:szCs w:val="21"/>
          <w:highlight w:val="none"/>
          <w:lang w:val="en-US" w:eastAsia="zh-CN"/>
        </w:rPr>
      </w:pPr>
      <w:r>
        <w:rPr>
          <w:rFonts w:hint="eastAsia" w:ascii="Times New Roman" w:hAnsi="Times New Roman" w:eastAsia="微软雅黑" w:cs="Times New Roman"/>
          <w:b/>
          <w:color w:val="64B7CE"/>
          <w:sz w:val="32"/>
          <w:szCs w:val="36"/>
          <w:lang w:val="en-US" w:eastAsia="zh-CN"/>
        </w:rPr>
        <w:t>检测结果及用药提示</w:t>
      </w:r>
      <w:r>
        <w:rPr>
          <w:rFonts w:hint="default" w:ascii="Times New Roman" w:hAnsi="Times New Roman" w:eastAsia="微软雅黑" w:cs="Times New Roman"/>
          <w:b/>
          <w:color w:val="64B7CE"/>
          <w:sz w:val="32"/>
          <w:szCs w:val="36"/>
          <w:lang w:val="en-US" w:eastAsia="zh-CN"/>
        </w:rPr>
        <w:t>{</w:t>
      </w:r>
      <w:r>
        <w:rPr>
          <w:rFonts w:hint="eastAsia" w:ascii="Times New Roman" w:hAnsi="Times New Roman" w:eastAsia="微软雅黑" w:cs="Times New Roman"/>
          <w:b/>
          <w:color w:val="64B7CE"/>
          <w:sz w:val="32"/>
          <w:szCs w:val="36"/>
          <w:lang w:val="en-US" w:eastAsia="zh-CN"/>
        </w:rPr>
        <w:t>% if b</w:t>
      </w:r>
      <w:r>
        <w:rPr>
          <w:rFonts w:hint="default" w:ascii="Times New Roman" w:hAnsi="Times New Roman" w:eastAsia="微软雅黑" w:cs="Times New Roman"/>
          <w:b/>
          <w:color w:val="64B7CE"/>
          <w:sz w:val="32"/>
          <w:szCs w:val="36"/>
          <w:lang w:val="en-US" w:eastAsia="zh-CN"/>
        </w:rPr>
        <w:t>rainGlioma</w:t>
      </w:r>
      <w:r>
        <w:rPr>
          <w:rFonts w:hint="eastAsia" w:ascii="Times New Roman" w:hAnsi="Times New Roman" w:eastAsia="微软雅黑" w:cs="Times New Roman"/>
          <w:b/>
          <w:color w:val="64B7CE"/>
          <w:sz w:val="32"/>
          <w:szCs w:val="36"/>
          <w:lang w:val="en-US" w:eastAsia="zh-CN"/>
        </w:rPr>
        <w:t>Flag %}</w:t>
      </w:r>
    </w:p>
    <w:p w14:paraId="463516B0">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afterLines="0" w:line="240" w:lineRule="auto"/>
        <w:ind w:left="0" w:leftChars="0" w:firstLine="0" w:firstLineChars="0"/>
        <w:textAlignment w:val="baseline"/>
        <w:outlineLvl w:val="0"/>
        <w:rPr>
          <w:rFonts w:hint="eastAsia" w:ascii="Times New Roman" w:hAnsi="Times New Roman" w:eastAsia="微软雅黑" w:cs="Times New Roman"/>
          <w:b/>
          <w:color w:val="64B7CE"/>
          <w:sz w:val="30"/>
          <w:szCs w:val="30"/>
          <w:lang w:val="en-US" w:eastAsia="en-US"/>
        </w:rPr>
      </w:pPr>
      <w:bookmarkStart w:id="0" w:name="_Toc24445"/>
      <w:bookmarkStart w:id="1" w:name="_Toc28615"/>
      <w:r>
        <w:rPr>
          <w:rFonts w:hint="eastAsia" w:ascii="Times New Roman" w:hAnsi="Times New Roman" w:eastAsia="微软雅黑" w:cs="Times New Roman"/>
          <w:b/>
          <w:color w:val="64B7CE"/>
          <w:sz w:val="30"/>
          <w:szCs w:val="30"/>
          <w:lang w:val="en-US" w:eastAsia="zh-CN"/>
        </w:rPr>
        <w:t>脑胶质瘤相关分子标记物检测结果</w:t>
      </w:r>
      <w:bookmarkEnd w:id="0"/>
      <w:bookmarkEnd w:id="1"/>
    </w:p>
    <w:tbl>
      <w:tblPr>
        <w:tblStyle w:val="9"/>
        <w:tblW w:w="97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75"/>
        <w:gridCol w:w="1463"/>
        <w:gridCol w:w="6353"/>
      </w:tblGrid>
      <w:tr w14:paraId="2A04D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nil"/>
              <w:left w:val="nil"/>
              <w:bottom w:val="single" w:color="A4A4A4" w:themeColor="background1" w:themeShade="A5" w:sz="4" w:space="0"/>
              <w:right w:val="single" w:color="FFFFFF" w:sz="18" w:space="0"/>
            </w:tcBorders>
            <w:shd w:val="clear" w:color="auto" w:fill="64B7CE"/>
            <w:vAlign w:val="center"/>
          </w:tcPr>
          <w:p w14:paraId="5D824BE1">
            <w:pPr>
              <w:keepNext w:val="0"/>
              <w:keepLines w:val="0"/>
              <w:widowControl/>
              <w:suppressLineNumbers w:val="0"/>
              <w:jc w:val="center"/>
              <w:textAlignment w:val="center"/>
              <w:rPr>
                <w:rFonts w:hint="default" w:ascii="Times New Roman" w:hAnsi="Times New Roman" w:eastAsia="微软雅黑" w:cs="Times New Roman"/>
                <w:b/>
                <w:bCs/>
                <w:i w:val="0"/>
                <w:iCs w:val="0"/>
                <w:color w:val="FFFFFF"/>
                <w:sz w:val="21"/>
                <w:szCs w:val="21"/>
                <w:u w:val="none"/>
              </w:rPr>
            </w:pPr>
            <w:r>
              <w:rPr>
                <w:rStyle w:val="28"/>
                <w:rFonts w:hint="default" w:ascii="Times New Roman" w:hAnsi="Times New Roman" w:eastAsia="微软雅黑" w:cs="Times New Roman"/>
                <w:lang w:val="en-US" w:eastAsia="zh-CN" w:bidi="ar"/>
              </w:rPr>
              <w:t>分子标记物</w:t>
            </w:r>
          </w:p>
        </w:tc>
        <w:tc>
          <w:tcPr>
            <w:tcW w:w="1463" w:type="dxa"/>
            <w:tcBorders>
              <w:top w:val="nil"/>
              <w:left w:val="single" w:color="FFFFFF" w:sz="18" w:space="0"/>
              <w:bottom w:val="single" w:color="A4A4A4" w:themeColor="background1" w:themeShade="A5" w:sz="4" w:space="0"/>
              <w:right w:val="single" w:color="FFFFFF" w:sz="18" w:space="0"/>
            </w:tcBorders>
            <w:shd w:val="clear" w:color="auto" w:fill="64B7CE"/>
            <w:vAlign w:val="center"/>
          </w:tcPr>
          <w:p w14:paraId="531277FF">
            <w:pPr>
              <w:keepNext w:val="0"/>
              <w:keepLines w:val="0"/>
              <w:widowControl/>
              <w:suppressLineNumbers w:val="0"/>
              <w:tabs>
                <w:tab w:val="left" w:pos="220"/>
              </w:tabs>
              <w:jc w:val="center"/>
              <w:textAlignment w:val="center"/>
              <w:rPr>
                <w:rFonts w:hint="default" w:ascii="Times New Roman" w:hAnsi="Times New Roman" w:eastAsia="微软雅黑" w:cs="Times New Roman"/>
                <w:b/>
                <w:bCs/>
                <w:i w:val="0"/>
                <w:iCs w:val="0"/>
                <w:color w:val="FFFFFF"/>
                <w:sz w:val="21"/>
                <w:szCs w:val="21"/>
                <w:u w:val="none"/>
              </w:rPr>
            </w:pPr>
            <w:r>
              <w:rPr>
                <w:rStyle w:val="28"/>
                <w:rFonts w:hint="default" w:ascii="Times New Roman" w:hAnsi="Times New Roman" w:eastAsia="微软雅黑" w:cs="Times New Roman"/>
                <w:lang w:val="en-US" w:eastAsia="zh-CN" w:bidi="ar"/>
              </w:rPr>
              <w:t>检测结果</w:t>
            </w:r>
          </w:p>
        </w:tc>
        <w:tc>
          <w:tcPr>
            <w:tcW w:w="6353" w:type="dxa"/>
            <w:tcBorders>
              <w:top w:val="nil"/>
              <w:left w:val="single" w:color="FFFFFF" w:sz="18" w:space="0"/>
              <w:bottom w:val="single" w:color="A4A4A4" w:themeColor="background1" w:themeShade="A5" w:sz="4" w:space="0"/>
              <w:right w:val="nil"/>
            </w:tcBorders>
            <w:shd w:val="clear" w:color="auto" w:fill="64B7CE"/>
            <w:vAlign w:val="center"/>
          </w:tcPr>
          <w:p w14:paraId="5D1AA749">
            <w:pPr>
              <w:keepNext w:val="0"/>
              <w:keepLines w:val="0"/>
              <w:widowControl/>
              <w:suppressLineNumbers w:val="0"/>
              <w:jc w:val="center"/>
              <w:textAlignment w:val="center"/>
              <w:rPr>
                <w:rFonts w:hint="default" w:ascii="Times New Roman" w:hAnsi="Times New Roman" w:eastAsia="微软雅黑" w:cs="Times New Roman"/>
                <w:b/>
                <w:bCs/>
                <w:i w:val="0"/>
                <w:iCs w:val="0"/>
                <w:color w:val="FFFFFF"/>
                <w:sz w:val="21"/>
                <w:szCs w:val="21"/>
                <w:u w:val="none"/>
              </w:rPr>
            </w:pPr>
            <w:r>
              <w:rPr>
                <w:rStyle w:val="28"/>
                <w:rFonts w:hint="default" w:ascii="Times New Roman" w:hAnsi="Times New Roman" w:eastAsia="微软雅黑" w:cs="Times New Roman"/>
                <w:lang w:val="en-US" w:eastAsia="zh-CN" w:bidi="ar"/>
              </w:rPr>
              <w:t>临床检测意义</w:t>
            </w:r>
          </w:p>
        </w:tc>
      </w:tr>
      <w:tr w14:paraId="3312A3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3B0E024">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lang w:val="en-US"/>
              </w:rPr>
            </w:pPr>
            <w:r>
              <w:rPr>
                <w:rFonts w:hint="default" w:ascii="Times New Roman" w:hAnsi="Times New Roman" w:eastAsia="微软雅黑" w:cs="Times New Roman"/>
                <w:b w:val="0"/>
                <w:bCs w:val="0"/>
                <w:i w:val="0"/>
                <w:iCs w:val="0"/>
                <w:color w:val="000000"/>
                <w:kern w:val="0"/>
                <w:sz w:val="21"/>
                <w:szCs w:val="21"/>
                <w:u w:val="none"/>
                <w:lang w:val="en-US" w:eastAsia="zh-CN" w:bidi="ar"/>
              </w:rPr>
              <w:t>BRAF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F63DE8A">
            <w:pPr>
              <w:keepNext w:val="0"/>
              <w:keepLines w:val="0"/>
              <w:widowControl/>
              <w:suppressLineNumbers w:val="0"/>
              <w:jc w:val="center"/>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BRAF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9680BB9">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KIAA1549-BRAF 融合是毛细胞型星形细胞瘤的关键诊断指标。</w:t>
            </w:r>
          </w:p>
        </w:tc>
      </w:tr>
      <w:tr w14:paraId="1D7DB7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30029EC">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5777B12">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718EE99">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FGFR1/2/3 融合常见于青少年多形性低级别神经上皮肿瘤；其中FGFR1 融合也见于 IDH 野生型的脑室外神经细胞瘤中。FGFR1 激酶结构域重复（KDD）常见于弥漫性低级别胶质瘤，MAPK 信号通路突变型，在低级别星形细胞瘤中也有报道，包括毛细胞星形细胞瘤（通常是小脑外）和胚胎发育不良性神经上皮肿瘤。FGFR1 热点突变发生在 FGFR1的激酶结构域内，常见于在胚胎发育不良神经上皮肿瘤中，并已成为菊形团形成性胶质神经元肿瘤 (RGNT) 的分子标志，主要影响年轻人。靶向治疗靶点。</w:t>
            </w:r>
          </w:p>
        </w:tc>
      </w:tr>
      <w:tr w14:paraId="0BE22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D5209F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FGFR2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3B0410">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FGFR2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FEE7BE5">
            <w:pPr>
              <w:jc w:val="left"/>
              <w:rPr>
                <w:rFonts w:hint="default" w:ascii="Times New Roman" w:hAnsi="Times New Roman" w:eastAsia="微软雅黑" w:cs="Times New Roman"/>
                <w:i w:val="0"/>
                <w:iCs w:val="0"/>
                <w:color w:val="000000"/>
                <w:sz w:val="21"/>
                <w:szCs w:val="21"/>
                <w:u w:val="none"/>
              </w:rPr>
            </w:pPr>
          </w:p>
        </w:tc>
      </w:tr>
      <w:tr w14:paraId="4A672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E556A03">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FGFR3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58B200E">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lang w:val="en-US" w:eastAsia="zh-CN"/>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FGFR3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6E8054C">
            <w:pPr>
              <w:jc w:val="left"/>
              <w:rPr>
                <w:rFonts w:hint="default" w:ascii="Times New Roman" w:hAnsi="Times New Roman" w:eastAsia="微软雅黑" w:cs="Times New Roman"/>
                <w:i w:val="0"/>
                <w:iCs w:val="0"/>
                <w:color w:val="000000"/>
                <w:sz w:val="21"/>
                <w:szCs w:val="21"/>
                <w:u w:val="none"/>
              </w:rPr>
            </w:pPr>
          </w:p>
        </w:tc>
      </w:tr>
      <w:tr w14:paraId="7345B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AC41088">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3FD7EF4">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ADCC0E4">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642D28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43DD7E8A">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NTRK2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CB0094A">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NTRK2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4E49805">
            <w:pPr>
              <w:jc w:val="left"/>
              <w:rPr>
                <w:rFonts w:hint="default" w:ascii="Times New Roman" w:hAnsi="Times New Roman" w:eastAsia="微软雅黑" w:cs="Times New Roman"/>
                <w:i w:val="0"/>
                <w:iCs w:val="0"/>
                <w:color w:val="000000"/>
                <w:sz w:val="21"/>
                <w:szCs w:val="21"/>
                <w:u w:val="none"/>
              </w:rPr>
            </w:pPr>
          </w:p>
        </w:tc>
      </w:tr>
      <w:tr w14:paraId="53BB4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D6BA45B">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NTRK3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8A220E">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NTRK3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FE21BC1">
            <w:pPr>
              <w:jc w:val="left"/>
              <w:rPr>
                <w:rFonts w:hint="default" w:ascii="Times New Roman" w:hAnsi="Times New Roman" w:eastAsia="微软雅黑" w:cs="Times New Roman"/>
                <w:i w:val="0"/>
                <w:iCs w:val="0"/>
                <w:color w:val="000000"/>
                <w:sz w:val="21"/>
                <w:szCs w:val="21"/>
                <w:u w:val="none"/>
              </w:rPr>
            </w:pPr>
          </w:p>
        </w:tc>
      </w:tr>
      <w:tr w14:paraId="701BC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7E2AC81F">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ALK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D77DEB6">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lang w:eastAsia="zh-CN"/>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ALK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51C9A4C">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7EC7F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829D78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ROS1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4A675B9">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ROS1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BAC2043">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05B1C1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7024A9A2">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YAP1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EBFE4FF">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YAP1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27B84780">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color w:val="000000"/>
                <w:kern w:val="0"/>
                <w:sz w:val="21"/>
                <w:szCs w:val="21"/>
                <w:u w:val="none"/>
                <w:lang w:val="en-US" w:eastAsia="zh-CN" w:bidi="ar"/>
              </w:rPr>
              <w:t>YAP1融合是幕上室管膜瘤的诊断指标。发生YAP1 融合变异的幕上室管膜瘤更具侵袭性，预后相对较差。</w:t>
            </w:r>
          </w:p>
        </w:tc>
      </w:tr>
      <w:tr w14:paraId="2A88B5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99BC426">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ZFTA（C11orf95）-RELA融合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FF808AE">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ZFTA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3604F3E">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color w:val="000000"/>
                <w:kern w:val="0"/>
                <w:sz w:val="21"/>
                <w:szCs w:val="21"/>
                <w:u w:val="none"/>
                <w:lang w:val="en-US" w:eastAsia="zh-CN" w:bidi="ar"/>
              </w:rPr>
              <w:t>ZFTA-RELA 基因融合是室管膜瘤亚型的关键诊断指标。发生ZFTA-RELA 融合变异的幕上室管膜瘤更具侵袭性，预后相对较差。</w:t>
            </w:r>
          </w:p>
        </w:tc>
      </w:tr>
      <w:tr w14:paraId="683D62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274638EB">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EGFR vIII</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8232204">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EGFR</w:t>
            </w:r>
            <w:r>
              <w:rPr>
                <w:rFonts w:hint="default" w:ascii="Times New Roman" w:hAnsi="Times New Roman" w:eastAsia="微软雅黑" w:cs="Times New Roman"/>
                <w:b w:val="0"/>
                <w:bCs w:val="0"/>
                <w:i w:val="0"/>
                <w:iCs w:val="0"/>
                <w:color w:val="000000"/>
                <w:kern w:val="0"/>
                <w:sz w:val="21"/>
                <w:szCs w:val="21"/>
                <w:u w:val="none"/>
                <w:lang w:val="en-US" w:eastAsia="zh-CN" w:bidi="ar"/>
              </w:rPr>
              <w:t xml:space="preserve">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07A2C3E5">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在高级别胶质瘤中高频发生EGFR扩增和EGFRvIII突变，携带EGFRvIII突变的患者预后较差; EGFR扩增和vIII突变与胶质瘤预后和靶向治疗相关。</w:t>
            </w:r>
          </w:p>
        </w:tc>
      </w:tr>
      <w:tr w14:paraId="754E1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7006508">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RELA融合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BFB794A">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 xml:space="preserve">RELA </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22860ED4">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根据脑胶质瘤诊疗规范（2018版）和2016年中枢神经系统肿瘤分类，幕上室管膜瘤RELA融合阳性肿瘤需要进行RELA融合的分子检测。RELA融合阳性幕上室管膜瘤具有较差的临床预后特征。</w:t>
            </w:r>
          </w:p>
        </w:tc>
      </w:tr>
      <w:tr w14:paraId="20CBAC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4929714">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JAK1融合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272172E">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JAK1</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475B0B4">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有研究表明JAK1参与的信号通路与促进缺氧期间胶质瘤干细胞样细胞的自我更新有关。</w:t>
            </w:r>
          </w:p>
        </w:tc>
      </w:tr>
      <w:tr w14:paraId="5111A2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605F8A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JAK2融合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6253BD7">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JAK2</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1414169">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该基因融合和错义突变与慢性粒细胞白血病有关，有临床研究显示携带该基因融合突变的慢性粒细胞白血病患者对伊马替尼有效。</w:t>
            </w:r>
          </w:p>
        </w:tc>
      </w:tr>
      <w:tr w14:paraId="59B51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7F9B4DD9">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MYB融合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8A1488">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 xml:space="preserve">MYB </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restart"/>
            <w:tcBorders>
              <w:top w:val="single" w:color="A4A4A4" w:themeColor="background1" w:themeShade="A5" w:sz="4" w:space="0"/>
              <w:left w:val="single" w:color="A4A4A4" w:themeColor="background1" w:themeShade="A5" w:sz="4" w:space="0"/>
              <w:right w:val="nil"/>
            </w:tcBorders>
            <w:shd w:val="clear" w:color="auto" w:fill="auto"/>
            <w:vAlign w:val="center"/>
          </w:tcPr>
          <w:p w14:paraId="66054F87">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病理类型为WHO II级的IDH野生/H3野生型弥漫胶质瘤，如果其有如下分子特征：BRAF V600E，FGFR1变异，MYB/BYBL1重排则此类患者预后较好，肿瘤较为惰性，很少向高级别进行。</w:t>
            </w:r>
          </w:p>
        </w:tc>
      </w:tr>
      <w:tr w14:paraId="700193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26FFF599">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MYBL1融合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DFF901C">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MYBL1</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left w:val="single" w:color="A4A4A4" w:themeColor="background1" w:themeShade="A5" w:sz="4" w:space="0"/>
              <w:bottom w:val="single" w:color="A4A4A4" w:themeColor="background1" w:themeShade="A5" w:sz="4" w:space="0"/>
              <w:right w:val="nil"/>
            </w:tcBorders>
            <w:shd w:val="clear" w:color="auto" w:fill="auto"/>
            <w:vAlign w:val="center"/>
          </w:tcPr>
          <w:p w14:paraId="3A5D5ED2">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p>
        </w:tc>
      </w:tr>
      <w:tr w14:paraId="50B32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247A170">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MET融合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440167B">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 xml:space="preserve">MET </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701A202E">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MET融合和METex14在继发性母细胞中被鉴定，通常与胶质瘤差预后有关，在研究药物有PLB-1001。</w:t>
            </w:r>
          </w:p>
        </w:tc>
      </w:tr>
    </w:tbl>
    <w:p w14:paraId="0BB6F165">
      <w:pPr>
        <w:spacing w:before="47"/>
        <w:rPr>
          <w:rFonts w:hint="eastAsia" w:ascii="Times New Roman" w:hAnsi="Times New Roman" w:eastAsia="微软雅黑" w:cs="Times New Roman"/>
          <w:b/>
          <w:bCs/>
          <w:sz w:val="18"/>
          <w:szCs w:val="18"/>
          <w:highlight w:val="none"/>
          <w:lang w:eastAsia="zh-CN"/>
        </w:rPr>
      </w:pPr>
      <w:r>
        <w:rPr>
          <w:rFonts w:hint="eastAsia" w:ascii="Times New Roman" w:hAnsi="Times New Roman" w:eastAsia="微软雅黑" w:cs="Times New Roman"/>
          <w:b/>
          <w:bCs/>
          <w:sz w:val="18"/>
          <w:szCs w:val="18"/>
          <w:highlight w:val="none"/>
          <w:lang w:eastAsia="zh-CN"/>
        </w:rPr>
        <w:t>注:</w:t>
      </w:r>
    </w:p>
    <w:p w14:paraId="2989A8B1">
      <w:pPr>
        <w:numPr>
          <w:ilvl w:val="0"/>
          <w:numId w:val="3"/>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分析注释时采用RefSeq转录本编号</w:t>
      </w:r>
      <w:r>
        <w:rPr>
          <w:rFonts w:hint="eastAsia" w:ascii="Times New Roman" w:hAnsi="Times New Roman" w:eastAsia="微软雅黑" w:cs="Times New Roman"/>
          <w:sz w:val="18"/>
          <w:szCs w:val="18"/>
          <w:lang w:eastAsia="zh-CN"/>
        </w:rPr>
        <w:t>。</w:t>
      </w:r>
    </w:p>
    <w:p w14:paraId="5F625378">
      <w:pPr>
        <w:numPr>
          <w:ilvl w:val="0"/>
          <w:numId w:val="3"/>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基因重排结果为送检肿瘤单样本的数据分析检测结果，不排除会存在胚系融合的检出。</w:t>
      </w:r>
    </w:p>
    <w:p w14:paraId="01C6A59E">
      <w:pPr>
        <w:numPr>
          <w:ilvl w:val="0"/>
          <w:numId w:val="3"/>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本报告从</w:t>
      </w:r>
      <w:r>
        <w:rPr>
          <w:rFonts w:hint="eastAsia" w:ascii="Times New Roman" w:hAnsi="Times New Roman" w:eastAsia="微软雅黑" w:cs="Times New Roman"/>
          <w:sz w:val="18"/>
          <w:szCs w:val="18"/>
          <w:lang w:val="en-US" w:eastAsia="zh-CN"/>
        </w:rPr>
        <w:t>DNA和</w:t>
      </w:r>
      <w:r>
        <w:rPr>
          <w:rFonts w:ascii="Times New Roman" w:hAnsi="Times New Roman" w:eastAsia="微软雅黑" w:cs="Times New Roman"/>
          <w:sz w:val="18"/>
          <w:szCs w:val="18"/>
          <w:lang w:eastAsia="zh-CN"/>
        </w:rPr>
        <w:t>RNA层面检测融合变异形式，RNA层面检测融合更有可能翻译成蛋白，从而发挥功能，促进肿瘤的发生发展，其与临床的相关性更强。</w:t>
      </w:r>
    </w:p>
    <w:p w14:paraId="729B14CB">
      <w:pPr>
        <w:numPr>
          <w:ilvl w:val="0"/>
          <w:numId w:val="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的分子特征较复杂，基因变异与</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分型不具有绝对的一致性，建议临床分型检测综合根据临床和病理特征以及分子检测结果进行综合判定，具体</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分型诊断请以临床医生诊断为准。</w:t>
      </w:r>
    </w:p>
    <w:p w14:paraId="639A9A83">
      <w:pPr>
        <w:numPr>
          <w:ilvl w:val="0"/>
          <w:numId w:val="3"/>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w:t>
      </w:r>
      <w:r>
        <w:rPr>
          <w:rFonts w:hint="eastAsia" w:ascii="Times New Roman" w:hAnsi="Times New Roman" w:eastAsia="微软雅黑" w:cs="Times New Roman"/>
          <w:sz w:val="18"/>
          <w:szCs w:val="18"/>
          <w:lang w:val="en-US" w:eastAsia="zh-CN"/>
        </w:rPr>
        <w:t>胶质瘤</w:t>
      </w:r>
      <w:r>
        <w:rPr>
          <w:rFonts w:ascii="Times New Roman" w:hAnsi="Times New Roman" w:eastAsia="微软雅黑" w:cs="Times New Roman"/>
          <w:sz w:val="18"/>
          <w:szCs w:val="18"/>
          <w:lang w:eastAsia="zh-CN"/>
        </w:rPr>
        <w:t>分型诊断信息，或者是该突变意义不明确，可能存在潜在的临床意义。</w:t>
      </w:r>
    </w:p>
    <w:p w14:paraId="37D03404">
      <w:pPr>
        <w:numPr>
          <w:ilvl w:val="0"/>
          <w:numId w:val="3"/>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分类/指南/专家共识中提及的辅助</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诊断的基因变异见附录：常见</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分型相关基因变异部分。</w:t>
      </w:r>
    </w:p>
    <w:p w14:paraId="14DFE5A4">
      <w:pPr>
        <w:numPr>
          <w:ilvl w:val="0"/>
          <w:numId w:val="3"/>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本报告仅对本次标本检测负责，结果仅供医生参考。</w:t>
      </w:r>
    </w:p>
    <w:p w14:paraId="66FAC8DA">
      <w:pPr>
        <w:bidi w:val="0"/>
        <w:rPr>
          <w:rFonts w:hint="default"/>
          <w:sz w:val="24"/>
          <w:szCs w:val="24"/>
          <w:lang w:val="en-US" w:eastAsia="zh-CN"/>
        </w:rPr>
      </w:pPr>
      <w:r>
        <w:rPr>
          <w:rFonts w:hint="eastAsia"/>
          <w:color w:val="auto"/>
          <w:lang w:eastAsia="zh-CN"/>
        </w:rPr>
        <w:br w:type="page"/>
      </w:r>
      <w:r>
        <w:rPr>
          <w:rFonts w:hint="default" w:ascii="Times New Roman" w:hAnsi="Times New Roman" w:cs="Times New Roman"/>
          <w:sz w:val="24"/>
          <w:szCs w:val="24"/>
          <w:lang w:val="en-US" w:eastAsia="zh-CN"/>
        </w:rPr>
        <w:t>{% endif %}</w:t>
      </w:r>
      <w:r>
        <w:rPr>
          <w:rFonts w:hint="eastAsia" w:ascii="Times New Roman" w:hAnsi="Times New Roman" w:cs="Times New Roman"/>
          <w:sz w:val="24"/>
          <w:szCs w:val="24"/>
          <w:lang w:val="en-US" w:eastAsia="zh-CN"/>
        </w:rPr>
        <w:t>{% if disease.Sarcoma or disease.Midline or disease.KidneyFlag %}</w:t>
      </w:r>
    </w:p>
    <w:p w14:paraId="74023ED7">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afterLines="0" w:line="240" w:lineRule="auto"/>
        <w:ind w:left="0" w:leftChars="0" w:firstLine="0" w:firstLineChars="0"/>
        <w:textAlignment w:val="baseline"/>
        <w:outlineLvl w:val="0"/>
        <w:rPr>
          <w:rFonts w:hint="eastAsia" w:ascii="Times New Roman" w:hAnsi="Times New Roman" w:eastAsia="微软雅黑" w:cs="Times New Roman"/>
          <w:b/>
          <w:color w:val="64B7CE"/>
          <w:sz w:val="30"/>
          <w:szCs w:val="30"/>
          <w:lang w:val="en-US" w:eastAsia="zh-CN"/>
        </w:rPr>
      </w:pPr>
      <w:bookmarkStart w:id="2" w:name="_Toc9435"/>
      <w:bookmarkStart w:id="3" w:name="_Toc17894"/>
      <w:r>
        <w:rPr>
          <w:rFonts w:hint="eastAsia" w:ascii="Times New Roman" w:hAnsi="Times New Roman" w:eastAsia="微软雅黑" w:cs="Times New Roman"/>
          <w:b/>
          <w:color w:val="64B7CE"/>
          <w:sz w:val="30"/>
          <w:szCs w:val="30"/>
          <w:lang w:val="en-US" w:eastAsia="zh-CN"/>
        </w:rPr>
        <w:t>辅助诊断提示</w:t>
      </w:r>
      <w:bookmarkEnd w:id="2"/>
      <w:bookmarkEnd w:id="3"/>
    </w:p>
    <w:p w14:paraId="0966C4F7">
      <w:pPr>
        <w:spacing w:after="120"/>
        <w:ind w:firstLine="420" w:firstLineChars="200"/>
        <w:rPr>
          <w:rFonts w:ascii="Times New Roman" w:hAnsi="Times New Roman" w:eastAsia="微软雅黑" w:cs="Times New Roman"/>
          <w:b/>
          <w:color w:val="00B050"/>
          <w:sz w:val="24"/>
          <w:szCs w:val="24"/>
          <w:highlight w:val="yellow"/>
          <w:lang w:eastAsia="zh-CN"/>
        </w:rPr>
      </w:pPr>
      <w:r>
        <w:rPr>
          <w:rFonts w:hint="eastAsia" w:ascii="Times New Roman" w:hAnsi="Times New Roman" w:cs="Times New Roman"/>
          <w:b/>
          <w:bCs/>
          <w:sz w:val="21"/>
          <w:szCs w:val="21"/>
          <w:lang w:val="en-US" w:eastAsia="zh-CN"/>
        </w:rPr>
        <w:t>{% if disease.Sarcoma %}</w:t>
      </w:r>
      <w:r>
        <w:rPr>
          <w:rFonts w:ascii="Times New Roman" w:hAnsi="Times New Roman" w:eastAsia="微软雅黑" w:cs="Times New Roman"/>
          <w:b/>
          <w:bCs/>
          <w:color w:val="000000" w:themeColor="text1"/>
          <w:sz w:val="21"/>
          <w:szCs w:val="21"/>
          <w:lang w:eastAsia="zh-CN"/>
          <w14:textFill>
            <w14:solidFill>
              <w14:schemeClr w14:val="tx1"/>
            </w14:solidFill>
          </w14:textFill>
        </w:rPr>
        <w:t>共有</w:t>
      </w:r>
      <w:r>
        <w:rPr>
          <w:rFonts w:hint="eastAsia" w:ascii="Times New Roman" w:hAnsi="Times New Roman" w:eastAsia="微软雅黑" w:cs="Times New Roman"/>
          <w:b/>
          <w:bCs/>
          <w:color w:val="000000" w:themeColor="text1"/>
          <w:sz w:val="21"/>
          <w:szCs w:val="21"/>
          <w:lang w:eastAsia="zh-CN"/>
          <w14:textFill>
            <w14:solidFill>
              <w14:schemeClr w14:val="tx1"/>
            </w14:solidFill>
          </w14:textFill>
        </w:rPr>
        <w:t>{{ summaryOfRresults.geneRearrangementVariationSize2 }}</w:t>
      </w:r>
      <w:r>
        <w:rPr>
          <w:rFonts w:ascii="Times New Roman" w:hAnsi="Times New Roman" w:eastAsia="微软雅黑" w:cs="Times New Roman"/>
          <w:b/>
          <w:color w:val="000000" w:themeColor="text1"/>
          <w:sz w:val="21"/>
          <w:szCs w:val="21"/>
          <w:lang w:eastAsia="zh-CN"/>
          <w14:textFill>
            <w14:solidFill>
              <w14:schemeClr w14:val="tx1"/>
            </w14:solidFill>
          </w14:textFill>
        </w:rPr>
        <w:t>个基因重排</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与</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肉瘤</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辅助诊断相关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p>
    <w:tbl>
      <w:tblPr>
        <w:tblStyle w:val="14"/>
        <w:tblW w:w="10028"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4434"/>
        <w:gridCol w:w="1300"/>
        <w:gridCol w:w="2469"/>
        <w:gridCol w:w="1825"/>
      </w:tblGrid>
      <w:tr w14:paraId="73A8D49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658" w:hRule="exact"/>
          <w:tblHeader/>
          <w:jc w:val="center"/>
        </w:trPr>
        <w:tc>
          <w:tcPr>
            <w:tcW w:w="4436" w:type="dxa"/>
            <w:tcBorders>
              <w:top w:val="nil"/>
              <w:left w:val="nil"/>
              <w:bottom w:val="nil"/>
              <w:right w:val="single" w:color="FFFFFF" w:sz="18" w:space="0"/>
            </w:tcBorders>
            <w:shd w:val="clear" w:color="auto" w:fill="64B7CE"/>
            <w:vAlign w:val="center"/>
          </w:tcPr>
          <w:p w14:paraId="28527B6A">
            <w:pPr>
              <w:pStyle w:val="13"/>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300" w:type="dxa"/>
            <w:tcBorders>
              <w:top w:val="nil"/>
              <w:left w:val="single" w:color="FFFFFF" w:sz="18" w:space="0"/>
              <w:bottom w:val="nil"/>
              <w:right w:val="single" w:color="FFFFFF" w:sz="18" w:space="0"/>
            </w:tcBorders>
            <w:shd w:val="clear" w:color="auto" w:fill="64B7CE"/>
            <w:vAlign w:val="center"/>
          </w:tcPr>
          <w:p w14:paraId="0E8670F7">
            <w:pPr>
              <w:pStyle w:val="13"/>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融合reads数</w:t>
            </w:r>
          </w:p>
        </w:tc>
        <w:tc>
          <w:tcPr>
            <w:tcW w:w="2469" w:type="dxa"/>
            <w:tcBorders>
              <w:top w:val="nil"/>
              <w:left w:val="single" w:color="FFFFFF" w:sz="18" w:space="0"/>
              <w:bottom w:val="nil"/>
              <w:right w:val="single" w:color="FFFFFF" w:sz="18" w:space="0"/>
            </w:tcBorders>
            <w:shd w:val="clear" w:color="auto" w:fill="64B7CE"/>
            <w:vAlign w:val="center"/>
          </w:tcPr>
          <w:p w14:paraId="0CC205A0">
            <w:pPr>
              <w:pStyle w:val="13"/>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基因变异相关亚型</w:t>
            </w:r>
          </w:p>
        </w:tc>
        <w:tc>
          <w:tcPr>
            <w:tcW w:w="1823" w:type="dxa"/>
            <w:tcBorders>
              <w:top w:val="nil"/>
              <w:left w:val="single" w:color="FFFFFF" w:sz="18" w:space="0"/>
              <w:bottom w:val="nil"/>
              <w:right w:val="nil"/>
            </w:tcBorders>
            <w:shd w:val="clear" w:color="auto" w:fill="64B7CE"/>
            <w:vAlign w:val="center"/>
          </w:tcPr>
          <w:p w14:paraId="05F15E58">
            <w:pPr>
              <w:pStyle w:val="13"/>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Hans"/>
                <w14:textFill>
                  <w14:solidFill>
                    <w14:schemeClr w14:val="bg1"/>
                  </w14:solidFill>
                </w14:textFill>
              </w:rPr>
              <w:t>证据等级</w:t>
            </w:r>
          </w:p>
        </w:tc>
      </w:tr>
      <w:tr w14:paraId="2718567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03" w:hRule="atLeast"/>
          <w:jc w:val="center"/>
        </w:trPr>
        <w:tc>
          <w:tcPr>
            <w:tcW w:w="10028" w:type="dxa"/>
            <w:gridSpan w:val="4"/>
            <w:tcBorders>
              <w:top w:val="nil"/>
              <w:left w:val="nil"/>
              <w:bottom w:val="single" w:color="A4A4A4" w:sz="4" w:space="0"/>
              <w:right w:val="nil"/>
            </w:tcBorders>
            <w:shd w:val="clear" w:color="auto" w:fill="auto"/>
            <w:vAlign w:val="center"/>
          </w:tcPr>
          <w:p w14:paraId="51B4BBE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{%tr if sarcomaTyping != [] %}</w:t>
            </w:r>
          </w:p>
        </w:tc>
      </w:tr>
      <w:tr w14:paraId="0A351AD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88" w:hRule="atLeast"/>
          <w:jc w:val="center"/>
        </w:trPr>
        <w:tc>
          <w:tcPr>
            <w:tcW w:w="10028" w:type="dxa"/>
            <w:gridSpan w:val="4"/>
            <w:tcBorders>
              <w:top w:val="single" w:color="A4A4A4" w:sz="4" w:space="0"/>
              <w:left w:val="nil"/>
              <w:bottom w:val="nil"/>
              <w:right w:val="nil"/>
            </w:tcBorders>
            <w:shd w:val="clear" w:color="auto" w:fill="auto"/>
            <w:vAlign w:val="center"/>
          </w:tcPr>
          <w:p w14:paraId="1F8324A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{%tr for st in sarcomaTyping %}</w:t>
            </w:r>
          </w:p>
        </w:tc>
      </w:tr>
      <w:tr w14:paraId="20C6DB9E">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227" w:hRule="atLeast"/>
          <w:jc w:val="center"/>
        </w:trPr>
        <w:tc>
          <w:tcPr>
            <w:tcW w:w="4436" w:type="dxa"/>
            <w:tcBorders>
              <w:top w:val="nil"/>
              <w:left w:val="nil"/>
              <w:bottom w:val="single" w:color="A4A4A4" w:sz="4" w:space="0"/>
              <w:right w:val="single" w:color="A4A4A4" w:sz="4" w:space="0"/>
            </w:tcBorders>
            <w:shd w:val="clear" w:color="auto" w:fill="auto"/>
            <w:vAlign w:val="center"/>
          </w:tcPr>
          <w:p w14:paraId="2F5534A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st.mutation }}</w:t>
            </w:r>
          </w:p>
          <w:p w14:paraId="77CC58F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st.transcript }})</w:t>
            </w:r>
          </w:p>
        </w:tc>
        <w:tc>
          <w:tcPr>
            <w:tcW w:w="1299" w:type="dxa"/>
            <w:tcBorders>
              <w:top w:val="nil"/>
              <w:left w:val="single" w:color="A4A4A4" w:sz="4" w:space="0"/>
              <w:bottom w:val="single" w:color="A4A4A4" w:sz="4" w:space="0"/>
              <w:right w:val="single" w:color="A4A4A4" w:sz="4" w:space="0"/>
            </w:tcBorders>
            <w:shd w:val="clear" w:color="auto" w:fill="auto"/>
            <w:vAlign w:val="center"/>
          </w:tcPr>
          <w:p w14:paraId="3FA87B4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st.mutFreq }}</w:t>
            </w:r>
          </w:p>
        </w:tc>
        <w:tc>
          <w:tcPr>
            <w:tcW w:w="2468" w:type="dxa"/>
            <w:tcBorders>
              <w:top w:val="nil"/>
              <w:left w:val="single" w:color="A4A4A4" w:sz="4" w:space="0"/>
              <w:bottom w:val="single" w:color="A4A4A4" w:sz="4" w:space="0"/>
              <w:right w:val="single" w:color="A4A4A4" w:sz="4" w:space="0"/>
            </w:tcBorders>
            <w:shd w:val="clear" w:color="auto" w:fill="auto"/>
            <w:vAlign w:val="center"/>
          </w:tcPr>
          <w:p w14:paraId="24279E9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st.sarcomaAndEvidence == []%}/{% else%}{% for s in st.sarcomaAndEvidence %}{%if loop.last%}{{ s.sarcoma_subtype }}{%else%}{{ s.sarcoma_subtype }}；</w:t>
            </w:r>
          </w:p>
          <w:p w14:paraId="0150723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 endif%}</w:t>
            </w:r>
          </w:p>
        </w:tc>
        <w:tc>
          <w:tcPr>
            <w:tcW w:w="1825" w:type="dxa"/>
            <w:tcBorders>
              <w:top w:val="nil"/>
              <w:left w:val="single" w:color="A4A4A4" w:sz="4" w:space="0"/>
              <w:bottom w:val="single" w:color="A4A4A4" w:sz="4" w:space="0"/>
              <w:right w:val="nil"/>
            </w:tcBorders>
            <w:shd w:val="clear" w:color="auto" w:fill="auto"/>
            <w:vAlign w:val="center"/>
          </w:tcPr>
          <w:p w14:paraId="7F38D104">
            <w:pPr>
              <w:spacing w:before="1" w:line="249" w:lineRule="auto"/>
              <w:ind w:left="262" w:right="131"/>
              <w:jc w:val="center"/>
              <w:rPr>
                <w:rFonts w:ascii="Times New Roman" w:hAnsi="Times New Roman" w:eastAsia="微软雅黑" w:cs="Times New Roman"/>
                <w:color w:val="000000"/>
                <w:sz w:val="21"/>
                <w:szCs w:val="21"/>
                <w:shd w:val="clear" w:color="auto" w:fill="FFFFFF"/>
                <w:lang w:eastAsia="zh-CN"/>
              </w:rPr>
            </w:pPr>
            <w:r>
              <w:rPr>
                <w:rFonts w:hint="eastAsia" w:ascii="Times New Roman" w:hAnsi="Times New Roman" w:eastAsia="微软雅黑" w:cs="Times New Roman"/>
                <w:sz w:val="21"/>
                <w:szCs w:val="21"/>
                <w:lang w:eastAsia="zh-CN"/>
              </w:rPr>
              <w:t>{% if st.sarcomaAndEvidence == []%}/{% else%}{% for s in st.sarcomaAndEvidence %}{%if loop.first%}{{ s.evidence }}{%endif%}{% endfor %}{% endif%}</w:t>
            </w:r>
          </w:p>
        </w:tc>
      </w:tr>
      <w:tr w14:paraId="26AE0E3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191" w:hRule="atLeast"/>
          <w:jc w:val="center"/>
        </w:trPr>
        <w:tc>
          <w:tcPr>
            <w:tcW w:w="10028" w:type="dxa"/>
            <w:gridSpan w:val="4"/>
            <w:tcBorders>
              <w:top w:val="single" w:color="A4A4A4" w:sz="4" w:space="0"/>
              <w:left w:val="nil"/>
              <w:bottom w:val="single" w:color="A4A4A4" w:sz="4" w:space="0"/>
              <w:right w:val="nil"/>
            </w:tcBorders>
            <w:shd w:val="clear" w:color="auto" w:fill="auto"/>
            <w:vAlign w:val="center"/>
          </w:tcPr>
          <w:p w14:paraId="777F1474">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endfor %}</w:t>
            </w:r>
          </w:p>
        </w:tc>
      </w:tr>
      <w:tr w14:paraId="323719F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93" w:hRule="atLeast"/>
          <w:jc w:val="center"/>
        </w:trPr>
        <w:tc>
          <w:tcPr>
            <w:tcW w:w="10028" w:type="dxa"/>
            <w:gridSpan w:val="4"/>
            <w:tcBorders>
              <w:top w:val="single" w:color="A4A4A4" w:sz="4" w:space="0"/>
              <w:left w:val="nil"/>
              <w:bottom w:val="nil"/>
              <w:right w:val="nil"/>
            </w:tcBorders>
            <w:shd w:val="clear" w:color="auto" w:fill="auto"/>
            <w:vAlign w:val="center"/>
          </w:tcPr>
          <w:p w14:paraId="110B36FF">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else %}</w:t>
            </w:r>
          </w:p>
        </w:tc>
      </w:tr>
      <w:tr w14:paraId="710F1D8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57" w:hRule="atLeast"/>
          <w:jc w:val="center"/>
        </w:trPr>
        <w:tc>
          <w:tcPr>
            <w:tcW w:w="4436" w:type="dxa"/>
            <w:tcBorders>
              <w:top w:val="nil"/>
              <w:left w:val="nil"/>
              <w:bottom w:val="single" w:color="A4A4A4" w:sz="4" w:space="0"/>
              <w:right w:val="single" w:color="A4A4A4" w:sz="4" w:space="0"/>
            </w:tcBorders>
            <w:shd w:val="clear" w:color="auto" w:fill="auto"/>
            <w:vAlign w:val="center"/>
          </w:tcPr>
          <w:p w14:paraId="4763A100">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300" w:type="dxa"/>
            <w:tcBorders>
              <w:top w:val="nil"/>
              <w:left w:val="single" w:color="A4A4A4" w:sz="4" w:space="0"/>
              <w:bottom w:val="single" w:color="A4A4A4" w:sz="4" w:space="0"/>
              <w:right w:val="single" w:color="A4A4A4" w:sz="4" w:space="0"/>
            </w:tcBorders>
            <w:shd w:val="clear" w:color="auto" w:fill="auto"/>
            <w:vAlign w:val="center"/>
          </w:tcPr>
          <w:p w14:paraId="0C83DB5A">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2469" w:type="dxa"/>
            <w:tcBorders>
              <w:top w:val="nil"/>
              <w:left w:val="single" w:color="A4A4A4" w:sz="4" w:space="0"/>
              <w:bottom w:val="single" w:color="A4A4A4" w:sz="4" w:space="0"/>
              <w:right w:val="single" w:color="A4A4A4" w:sz="4" w:space="0"/>
            </w:tcBorders>
            <w:shd w:val="clear" w:color="auto" w:fill="auto"/>
            <w:vAlign w:val="center"/>
          </w:tcPr>
          <w:p w14:paraId="767DC6A8">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823" w:type="dxa"/>
            <w:tcBorders>
              <w:top w:val="nil"/>
              <w:left w:val="single" w:color="A4A4A4" w:sz="4" w:space="0"/>
              <w:bottom w:val="single" w:color="A4A4A4" w:sz="4" w:space="0"/>
              <w:right w:val="nil"/>
            </w:tcBorders>
            <w:shd w:val="clear" w:color="auto" w:fill="auto"/>
            <w:vAlign w:val="center"/>
          </w:tcPr>
          <w:p w14:paraId="5643DCD5">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color w:val="000000"/>
                <w:sz w:val="21"/>
                <w:szCs w:val="21"/>
                <w:shd w:val="clear" w:color="auto" w:fill="FFFFFF"/>
                <w:lang w:eastAsia="zh-CN"/>
              </w:rPr>
              <w:t>/</w:t>
            </w:r>
          </w:p>
        </w:tc>
      </w:tr>
      <w:tr w14:paraId="214660D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12" w:hRule="atLeast"/>
          <w:jc w:val="center"/>
        </w:trPr>
        <w:tc>
          <w:tcPr>
            <w:tcW w:w="10028" w:type="dxa"/>
            <w:gridSpan w:val="4"/>
            <w:tcBorders>
              <w:top w:val="single" w:color="A4A4A4" w:sz="4" w:space="0"/>
              <w:left w:val="nil"/>
              <w:bottom w:val="single" w:color="A4A4A4" w:sz="4" w:space="0"/>
              <w:right w:val="nil"/>
            </w:tcBorders>
            <w:shd w:val="clear" w:color="auto" w:fill="auto"/>
            <w:vAlign w:val="center"/>
          </w:tcPr>
          <w:p w14:paraId="15308612">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endif %}</w:t>
            </w:r>
          </w:p>
        </w:tc>
      </w:tr>
    </w:tbl>
    <w:p w14:paraId="5FD0B2A7">
      <w:pPr>
        <w:rPr>
          <w:rFonts w:hint="eastAsia" w:ascii="Times New Roman" w:hAnsi="Times New Roman" w:cs="Times New Roman"/>
          <w:sz w:val="28"/>
          <w:szCs w:val="28"/>
          <w:lang w:val="en-US" w:eastAsia="zh-CN"/>
        </w:rPr>
      </w:pPr>
      <w:r>
        <w:rPr>
          <w:rFonts w:hint="eastAsia" w:ascii="Times New Roman" w:hAnsi="Times New Roman" w:eastAsia="微软雅黑" w:cs="Times New Roman"/>
          <w:b w:val="0"/>
          <w:bCs/>
          <w:sz w:val="21"/>
          <w:szCs w:val="21"/>
          <w:lang w:val="en-US" w:eastAsia="zh-CN"/>
        </w:rPr>
        <w:t xml:space="preserve">{% elif </w:t>
      </w:r>
      <w:r>
        <w:rPr>
          <w:rFonts w:hint="eastAsia" w:ascii="Times New Roman" w:hAnsi="Times New Roman" w:cs="Times New Roman"/>
          <w:sz w:val="21"/>
          <w:szCs w:val="21"/>
          <w:lang w:val="en-US" w:eastAsia="zh-CN"/>
        </w:rPr>
        <w:t>disease.Midline or disease.KidneyFlag %}</w:t>
      </w:r>
      <w:r>
        <w:rPr>
          <w:rFonts w:ascii="Times New Roman" w:hAnsi="Times New Roman" w:eastAsia="微软雅黑" w:cs="Times New Roman"/>
          <w:b/>
          <w:color w:val="000000" w:themeColor="text1"/>
          <w:sz w:val="21"/>
          <w:szCs w:val="21"/>
          <w:lang w:eastAsia="zh-CN"/>
          <w14:textFill>
            <w14:solidFill>
              <w14:schemeClr w14:val="tx1"/>
            </w14:solidFill>
          </w14:textFill>
        </w:rPr>
        <w:t>共有{{ summaryOfRresults.</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cancerCount1166</w:t>
      </w:r>
      <w:r>
        <w:rPr>
          <w:rFonts w:ascii="Times New Roman" w:hAnsi="Times New Roman" w:eastAsia="微软雅黑" w:cs="Times New Roman"/>
          <w:b/>
          <w:color w:val="000000" w:themeColor="text1"/>
          <w:sz w:val="21"/>
          <w:szCs w:val="21"/>
          <w:lang w:eastAsia="zh-CN"/>
          <w14:textFill>
            <w14:solidFill>
              <w14:schemeClr w14:val="tx1"/>
            </w14:solidFill>
          </w14:textFill>
        </w:rPr>
        <w:t>}}个基因重排</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与辅助诊断相关</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14"/>
        <w:tblW w:w="10028"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4306"/>
        <w:gridCol w:w="1428"/>
        <w:gridCol w:w="2469"/>
        <w:gridCol w:w="1825"/>
      </w:tblGrid>
      <w:tr w14:paraId="0120FDE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658" w:hRule="exact"/>
          <w:tblHeader/>
          <w:jc w:val="center"/>
        </w:trPr>
        <w:tc>
          <w:tcPr>
            <w:tcW w:w="4306" w:type="dxa"/>
            <w:tcBorders>
              <w:top w:val="nil"/>
              <w:left w:val="nil"/>
              <w:bottom w:val="nil"/>
              <w:right w:val="single" w:color="FFFFFF" w:sz="18" w:space="0"/>
            </w:tcBorders>
            <w:shd w:val="clear" w:color="auto" w:fill="64B7CE"/>
            <w:vAlign w:val="center"/>
          </w:tcPr>
          <w:p w14:paraId="6BD0D628">
            <w:pPr>
              <w:pStyle w:val="13"/>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428" w:type="dxa"/>
            <w:tcBorders>
              <w:top w:val="nil"/>
              <w:left w:val="single" w:color="FFFFFF" w:sz="18" w:space="0"/>
              <w:bottom w:val="nil"/>
              <w:right w:val="single" w:color="FFFFFF" w:sz="18" w:space="0"/>
            </w:tcBorders>
            <w:shd w:val="clear" w:color="auto" w:fill="64B7CE"/>
            <w:vAlign w:val="center"/>
          </w:tcPr>
          <w:p w14:paraId="1C692793">
            <w:pPr>
              <w:pStyle w:val="13"/>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融合reads数</w:t>
            </w:r>
          </w:p>
        </w:tc>
        <w:tc>
          <w:tcPr>
            <w:tcW w:w="2469" w:type="dxa"/>
            <w:tcBorders>
              <w:top w:val="nil"/>
              <w:left w:val="single" w:color="FFFFFF" w:sz="18" w:space="0"/>
              <w:bottom w:val="nil"/>
              <w:right w:val="single" w:color="FFFFFF" w:sz="18" w:space="0"/>
            </w:tcBorders>
            <w:shd w:val="clear" w:color="auto" w:fill="64B7CE"/>
            <w:vAlign w:val="center"/>
          </w:tcPr>
          <w:p w14:paraId="2692A966">
            <w:pPr>
              <w:pStyle w:val="13"/>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基因变异相关亚型</w:t>
            </w:r>
          </w:p>
        </w:tc>
        <w:tc>
          <w:tcPr>
            <w:tcW w:w="1825" w:type="dxa"/>
            <w:tcBorders>
              <w:top w:val="nil"/>
              <w:left w:val="single" w:color="FFFFFF" w:sz="18" w:space="0"/>
              <w:bottom w:val="nil"/>
              <w:right w:val="nil"/>
            </w:tcBorders>
            <w:shd w:val="clear" w:color="auto" w:fill="64B7CE"/>
            <w:vAlign w:val="center"/>
          </w:tcPr>
          <w:p w14:paraId="10BC93ED">
            <w:pPr>
              <w:pStyle w:val="13"/>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Hans"/>
                <w14:textFill>
                  <w14:solidFill>
                    <w14:schemeClr w14:val="bg1"/>
                  </w14:solidFill>
                </w14:textFill>
              </w:rPr>
              <w:t>证据等级</w:t>
            </w:r>
          </w:p>
        </w:tc>
      </w:tr>
      <w:tr w14:paraId="12D7797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03" w:hRule="atLeast"/>
          <w:jc w:val="center"/>
        </w:trPr>
        <w:tc>
          <w:tcPr>
            <w:tcW w:w="10028" w:type="dxa"/>
            <w:gridSpan w:val="4"/>
            <w:tcBorders>
              <w:top w:val="nil"/>
              <w:left w:val="nil"/>
              <w:bottom w:val="single" w:color="A4A4A4" w:sz="4" w:space="0"/>
              <w:right w:val="nil"/>
            </w:tcBorders>
            <w:shd w:val="clear" w:color="auto" w:fill="auto"/>
            <w:vAlign w:val="center"/>
          </w:tcPr>
          <w:p w14:paraId="01EDEE0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 xml:space="preserve">{%tr if </w:t>
            </w:r>
            <w:r>
              <w:rPr>
                <w:rFonts w:hint="eastAsia" w:ascii="Times New Roman" w:hAnsi="Times New Roman" w:eastAsia="微软雅黑" w:cs="Times New Roman"/>
                <w:color w:val="000000"/>
                <w:sz w:val="21"/>
                <w:szCs w:val="21"/>
                <w:shd w:val="clear" w:color="auto" w:fill="FFFFFF"/>
                <w:lang w:val="en-US" w:eastAsia="zh-CN"/>
              </w:rPr>
              <w:t>cancer</w:t>
            </w:r>
            <w:r>
              <w:rPr>
                <w:rFonts w:hint="eastAsia" w:ascii="Times New Roman" w:hAnsi="Times New Roman" w:eastAsia="微软雅黑" w:cs="Times New Roman"/>
                <w:color w:val="000000"/>
                <w:sz w:val="21"/>
                <w:szCs w:val="21"/>
                <w:shd w:val="clear" w:color="auto" w:fill="FFFFFF"/>
                <w:lang w:eastAsia="zh-CN"/>
              </w:rPr>
              <w:t>Typing</w:t>
            </w:r>
            <w:r>
              <w:rPr>
                <w:rFonts w:hint="eastAsia" w:ascii="Times New Roman" w:hAnsi="Times New Roman" w:eastAsia="微软雅黑" w:cs="Times New Roman"/>
                <w:color w:val="000000"/>
                <w:sz w:val="21"/>
                <w:szCs w:val="21"/>
                <w:shd w:val="clear" w:color="auto" w:fill="FFFFFF"/>
                <w:lang w:val="en-US" w:eastAsia="zh-CN"/>
              </w:rPr>
              <w:t>1166</w:t>
            </w:r>
            <w:r>
              <w:rPr>
                <w:rFonts w:hint="eastAsia" w:ascii="Times New Roman" w:hAnsi="Times New Roman" w:eastAsia="微软雅黑" w:cs="Times New Roman"/>
                <w:color w:val="000000"/>
                <w:sz w:val="21"/>
                <w:szCs w:val="21"/>
                <w:shd w:val="clear" w:color="auto" w:fill="FFFFFF"/>
                <w:lang w:eastAsia="zh-CN"/>
              </w:rPr>
              <w:t xml:space="preserve"> %}</w:t>
            </w:r>
          </w:p>
        </w:tc>
      </w:tr>
      <w:tr w14:paraId="11B8F193">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88" w:hRule="atLeast"/>
          <w:jc w:val="center"/>
        </w:trPr>
        <w:tc>
          <w:tcPr>
            <w:tcW w:w="10028" w:type="dxa"/>
            <w:gridSpan w:val="4"/>
            <w:tcBorders>
              <w:top w:val="single" w:color="A4A4A4" w:sz="4" w:space="0"/>
              <w:left w:val="nil"/>
              <w:bottom w:val="nil"/>
              <w:right w:val="nil"/>
            </w:tcBorders>
            <w:shd w:val="clear" w:color="auto" w:fill="auto"/>
            <w:vAlign w:val="center"/>
          </w:tcPr>
          <w:p w14:paraId="710CC6B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 xml:space="preserve">{%tr for st in </w:t>
            </w:r>
            <w:r>
              <w:rPr>
                <w:rFonts w:hint="eastAsia" w:ascii="Times New Roman" w:hAnsi="Times New Roman" w:eastAsia="微软雅黑" w:cs="Times New Roman"/>
                <w:color w:val="000000"/>
                <w:sz w:val="21"/>
                <w:szCs w:val="21"/>
                <w:shd w:val="clear" w:color="auto" w:fill="FFFFFF"/>
                <w:lang w:val="en-US" w:eastAsia="zh-CN"/>
              </w:rPr>
              <w:t>cancer</w:t>
            </w:r>
            <w:r>
              <w:rPr>
                <w:rFonts w:hint="eastAsia" w:ascii="Times New Roman" w:hAnsi="Times New Roman" w:eastAsia="微软雅黑" w:cs="Times New Roman"/>
                <w:color w:val="000000"/>
                <w:sz w:val="21"/>
                <w:szCs w:val="21"/>
                <w:shd w:val="clear" w:color="auto" w:fill="FFFFFF"/>
                <w:lang w:eastAsia="zh-CN"/>
              </w:rPr>
              <w:t>Typing</w:t>
            </w:r>
            <w:r>
              <w:rPr>
                <w:rFonts w:hint="eastAsia" w:ascii="Times New Roman" w:hAnsi="Times New Roman" w:eastAsia="微软雅黑" w:cs="Times New Roman"/>
                <w:color w:val="000000"/>
                <w:sz w:val="21"/>
                <w:szCs w:val="21"/>
                <w:shd w:val="clear" w:color="auto" w:fill="FFFFFF"/>
                <w:lang w:val="en-US" w:eastAsia="zh-CN"/>
              </w:rPr>
              <w:t>1166</w:t>
            </w:r>
            <w:r>
              <w:rPr>
                <w:rFonts w:hint="eastAsia" w:ascii="Times New Roman" w:hAnsi="Times New Roman" w:eastAsia="微软雅黑" w:cs="Times New Roman"/>
                <w:color w:val="000000"/>
                <w:sz w:val="21"/>
                <w:szCs w:val="21"/>
                <w:shd w:val="clear" w:color="auto" w:fill="FFFFFF"/>
                <w:lang w:eastAsia="zh-CN"/>
              </w:rPr>
              <w:t xml:space="preserve"> %}</w:t>
            </w:r>
          </w:p>
        </w:tc>
      </w:tr>
      <w:tr w14:paraId="1070105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227" w:hRule="atLeast"/>
          <w:jc w:val="center"/>
        </w:trPr>
        <w:tc>
          <w:tcPr>
            <w:tcW w:w="4306" w:type="dxa"/>
            <w:tcBorders>
              <w:top w:val="nil"/>
              <w:left w:val="nil"/>
              <w:bottom w:val="single" w:color="A4A4A4" w:sz="4" w:space="0"/>
              <w:right w:val="single" w:color="A4A4A4" w:sz="4" w:space="0"/>
            </w:tcBorders>
            <w:shd w:val="clear" w:color="auto" w:fill="auto"/>
            <w:vAlign w:val="center"/>
          </w:tcPr>
          <w:p w14:paraId="1CB68FB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xml:space="preserve">{% if st.variant == </w:t>
            </w:r>
            <w:r>
              <w:rPr>
                <w:rFonts w:hint="default"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val="en-US" w:eastAsia="zh-CN"/>
              </w:rPr>
              <w:t>-</w:t>
            </w:r>
            <w:r>
              <w:rPr>
                <w:rFonts w:hint="default"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val="en-US" w:eastAsia="zh-CN"/>
              </w:rPr>
              <w:t>%}-{% else%}</w:t>
            </w:r>
            <w:r>
              <w:rPr>
                <w:rFonts w:hint="eastAsia" w:ascii="Times New Roman" w:hAnsi="Times New Roman" w:eastAsia="微软雅黑" w:cs="Times New Roman"/>
                <w:sz w:val="21"/>
                <w:szCs w:val="21"/>
                <w:lang w:eastAsia="zh-CN"/>
              </w:rPr>
              <w:t>{{ st.</w:t>
            </w:r>
            <w:r>
              <w:rPr>
                <w:rFonts w:hint="eastAsia" w:ascii="Times New Roman" w:hAnsi="Times New Roman" w:eastAsia="微软雅黑" w:cs="Times New Roman"/>
                <w:sz w:val="21"/>
                <w:szCs w:val="21"/>
                <w:lang w:val="en-US" w:eastAsia="zh-CN"/>
              </w:rPr>
              <w:t>variant</w:t>
            </w:r>
            <w:r>
              <w:rPr>
                <w:rFonts w:hint="eastAsia" w:ascii="Times New Roman" w:hAnsi="Times New Roman" w:eastAsia="微软雅黑" w:cs="Times New Roman"/>
                <w:sz w:val="21"/>
                <w:szCs w:val="21"/>
                <w:lang w:eastAsia="zh-CN"/>
              </w:rPr>
              <w:t>}}</w:t>
            </w:r>
          </w:p>
          <w:p w14:paraId="35841DD4">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eastAsia="zh-CN"/>
              </w:rPr>
              <w:t>({{ st.transcript }})</w:t>
            </w:r>
            <w:r>
              <w:rPr>
                <w:rFonts w:hint="eastAsia" w:ascii="Times New Roman" w:hAnsi="Times New Roman" w:eastAsia="微软雅黑" w:cs="Times New Roman"/>
                <w:sz w:val="21"/>
                <w:szCs w:val="21"/>
                <w:lang w:val="en-US" w:eastAsia="zh-CN"/>
              </w:rPr>
              <w:t>{% endif %}</w:t>
            </w:r>
          </w:p>
        </w:tc>
        <w:tc>
          <w:tcPr>
            <w:tcW w:w="1428" w:type="dxa"/>
            <w:tcBorders>
              <w:top w:val="nil"/>
              <w:left w:val="single" w:color="A4A4A4" w:sz="4" w:space="0"/>
              <w:bottom w:val="single" w:color="A4A4A4" w:sz="4" w:space="0"/>
              <w:right w:val="single" w:color="A4A4A4" w:sz="4" w:space="0"/>
            </w:tcBorders>
            <w:shd w:val="clear" w:color="auto" w:fill="auto"/>
            <w:vAlign w:val="center"/>
          </w:tcPr>
          <w:p w14:paraId="482AC92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w:t>
            </w:r>
            <w:r>
              <w:rPr>
                <w:rFonts w:hint="eastAsia" w:ascii="Times New Roman" w:hAnsi="Times New Roman" w:eastAsia="微软雅黑" w:cs="Times New Roman"/>
                <w:sz w:val="21"/>
                <w:szCs w:val="21"/>
                <w:lang w:val="en-US" w:eastAsia="zh-CN"/>
              </w:rPr>
              <w:t>_f</w:t>
            </w:r>
            <w:r>
              <w:rPr>
                <w:rFonts w:hint="eastAsia" w:ascii="Times New Roman" w:hAnsi="Times New Roman" w:eastAsia="微软雅黑" w:cs="Times New Roman"/>
                <w:sz w:val="21"/>
                <w:szCs w:val="21"/>
                <w:lang w:eastAsia="zh-CN"/>
              </w:rPr>
              <w:t>req }}</w:t>
            </w:r>
          </w:p>
        </w:tc>
        <w:tc>
          <w:tcPr>
            <w:tcW w:w="2469" w:type="dxa"/>
            <w:tcBorders>
              <w:top w:val="nil"/>
              <w:left w:val="single" w:color="A4A4A4" w:sz="4" w:space="0"/>
              <w:bottom w:val="single" w:color="A4A4A4" w:sz="4" w:space="0"/>
              <w:right w:val="single" w:color="A4A4A4" w:sz="4" w:space="0"/>
            </w:tcBorders>
            <w:shd w:val="clear" w:color="auto" w:fill="auto"/>
            <w:vAlign w:val="center"/>
          </w:tcPr>
          <w:p w14:paraId="5CF7E6D7">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{{st.subtype}}</w:t>
            </w:r>
          </w:p>
        </w:tc>
        <w:tc>
          <w:tcPr>
            <w:tcW w:w="1825" w:type="dxa"/>
            <w:tcBorders>
              <w:top w:val="nil"/>
              <w:left w:val="single" w:color="A4A4A4" w:sz="4" w:space="0"/>
              <w:bottom w:val="single" w:color="A4A4A4" w:sz="4" w:space="0"/>
              <w:right w:val="nil"/>
            </w:tcBorders>
            <w:shd w:val="clear" w:color="auto" w:fill="auto"/>
            <w:vAlign w:val="center"/>
          </w:tcPr>
          <w:p w14:paraId="280F5D75">
            <w:pPr>
              <w:spacing w:before="1" w:line="249" w:lineRule="auto"/>
              <w:ind w:left="262" w:right="131"/>
              <w:jc w:val="center"/>
              <w:rPr>
                <w:rFonts w:ascii="Times New Roman" w:hAnsi="Times New Roman" w:eastAsia="微软雅黑" w:cs="Times New Roman"/>
                <w:color w:val="000000"/>
                <w:sz w:val="21"/>
                <w:szCs w:val="21"/>
                <w:shd w:val="clear" w:color="auto" w:fill="FFFFFF"/>
                <w:lang w:eastAsia="zh-CN"/>
              </w:rPr>
            </w:pPr>
            <w:r>
              <w:rPr>
                <w:rFonts w:hint="eastAsia" w:ascii="Times New Roman" w:hAnsi="Times New Roman" w:eastAsia="微软雅黑" w:cs="Times New Roman"/>
                <w:sz w:val="21"/>
                <w:szCs w:val="21"/>
                <w:lang w:eastAsia="zh-CN"/>
              </w:rPr>
              <w:t>{{s</w:t>
            </w:r>
            <w:r>
              <w:rPr>
                <w:rFonts w:hint="eastAsia" w:ascii="Times New Roman" w:hAnsi="Times New Roman" w:eastAsia="微软雅黑" w:cs="Times New Roman"/>
                <w:sz w:val="21"/>
                <w:szCs w:val="21"/>
                <w:lang w:val="en-US" w:eastAsia="zh-CN"/>
              </w:rPr>
              <w:t>t</w:t>
            </w:r>
            <w:r>
              <w:rPr>
                <w:rFonts w:hint="eastAsia" w:ascii="Times New Roman" w:hAnsi="Times New Roman" w:eastAsia="微软雅黑" w:cs="Times New Roman"/>
                <w:sz w:val="21"/>
                <w:szCs w:val="21"/>
                <w:lang w:eastAsia="zh-CN"/>
              </w:rPr>
              <w:t>.evidence}}</w:t>
            </w:r>
          </w:p>
        </w:tc>
      </w:tr>
      <w:tr w14:paraId="608E6E4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191" w:hRule="atLeast"/>
          <w:jc w:val="center"/>
        </w:trPr>
        <w:tc>
          <w:tcPr>
            <w:tcW w:w="10028" w:type="dxa"/>
            <w:gridSpan w:val="4"/>
            <w:tcBorders>
              <w:top w:val="single" w:color="A4A4A4" w:sz="4" w:space="0"/>
              <w:left w:val="nil"/>
              <w:bottom w:val="single" w:color="A4A4A4" w:sz="4" w:space="0"/>
              <w:right w:val="nil"/>
            </w:tcBorders>
            <w:shd w:val="clear" w:color="auto" w:fill="auto"/>
            <w:vAlign w:val="center"/>
          </w:tcPr>
          <w:p w14:paraId="37BA5055">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endfor %}</w:t>
            </w:r>
          </w:p>
        </w:tc>
      </w:tr>
      <w:tr w14:paraId="01B76F71">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93" w:hRule="atLeast"/>
          <w:jc w:val="center"/>
        </w:trPr>
        <w:tc>
          <w:tcPr>
            <w:tcW w:w="10028" w:type="dxa"/>
            <w:gridSpan w:val="4"/>
            <w:tcBorders>
              <w:top w:val="single" w:color="A4A4A4" w:sz="4" w:space="0"/>
              <w:left w:val="nil"/>
              <w:bottom w:val="nil"/>
              <w:right w:val="nil"/>
            </w:tcBorders>
            <w:shd w:val="clear" w:color="auto" w:fill="auto"/>
            <w:vAlign w:val="center"/>
          </w:tcPr>
          <w:p w14:paraId="1C8CDEDD">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{%tr else %}</w:t>
            </w:r>
          </w:p>
        </w:tc>
      </w:tr>
      <w:tr w14:paraId="6365D83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57" w:hRule="atLeast"/>
          <w:jc w:val="center"/>
        </w:trPr>
        <w:tc>
          <w:tcPr>
            <w:tcW w:w="4306" w:type="dxa"/>
            <w:tcBorders>
              <w:top w:val="nil"/>
              <w:left w:val="nil"/>
              <w:bottom w:val="single" w:color="A4A4A4" w:sz="4" w:space="0"/>
              <w:right w:val="single" w:color="A4A4A4" w:sz="4" w:space="0"/>
            </w:tcBorders>
            <w:shd w:val="clear" w:color="auto" w:fill="auto"/>
            <w:vAlign w:val="center"/>
          </w:tcPr>
          <w:p w14:paraId="1F43EEDF">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428" w:type="dxa"/>
            <w:tcBorders>
              <w:top w:val="nil"/>
              <w:left w:val="single" w:color="A4A4A4" w:sz="4" w:space="0"/>
              <w:bottom w:val="single" w:color="A4A4A4" w:sz="4" w:space="0"/>
              <w:right w:val="single" w:color="A4A4A4" w:sz="4" w:space="0"/>
            </w:tcBorders>
            <w:shd w:val="clear" w:color="auto" w:fill="auto"/>
            <w:vAlign w:val="center"/>
          </w:tcPr>
          <w:p w14:paraId="333462E0">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2469" w:type="dxa"/>
            <w:tcBorders>
              <w:top w:val="nil"/>
              <w:left w:val="single" w:color="A4A4A4" w:sz="4" w:space="0"/>
              <w:bottom w:val="single" w:color="A4A4A4" w:sz="4" w:space="0"/>
              <w:right w:val="single" w:color="A4A4A4" w:sz="4" w:space="0"/>
            </w:tcBorders>
            <w:shd w:val="clear" w:color="auto" w:fill="auto"/>
            <w:vAlign w:val="center"/>
          </w:tcPr>
          <w:p w14:paraId="6037AEEF">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825" w:type="dxa"/>
            <w:tcBorders>
              <w:top w:val="nil"/>
              <w:left w:val="single" w:color="A4A4A4" w:sz="4" w:space="0"/>
              <w:bottom w:val="single" w:color="A4A4A4" w:sz="4" w:space="0"/>
              <w:right w:val="nil"/>
            </w:tcBorders>
            <w:shd w:val="clear" w:color="auto" w:fill="auto"/>
            <w:vAlign w:val="center"/>
          </w:tcPr>
          <w:p w14:paraId="4ADAA0D4">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color w:val="000000"/>
                <w:sz w:val="21"/>
                <w:szCs w:val="21"/>
                <w:shd w:val="clear" w:color="auto" w:fill="FFFFFF"/>
                <w:lang w:eastAsia="zh-CN"/>
              </w:rPr>
              <w:t>/</w:t>
            </w:r>
          </w:p>
        </w:tc>
      </w:tr>
      <w:tr w14:paraId="24DD79B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12" w:hRule="atLeast"/>
          <w:jc w:val="center"/>
        </w:trPr>
        <w:tc>
          <w:tcPr>
            <w:tcW w:w="10028" w:type="dxa"/>
            <w:gridSpan w:val="4"/>
            <w:tcBorders>
              <w:top w:val="single" w:color="A4A4A4" w:sz="4" w:space="0"/>
              <w:left w:val="nil"/>
              <w:bottom w:val="single" w:color="A4A4A4" w:sz="4" w:space="0"/>
              <w:right w:val="nil"/>
            </w:tcBorders>
            <w:shd w:val="clear" w:color="auto" w:fill="auto"/>
            <w:vAlign w:val="center"/>
          </w:tcPr>
          <w:p w14:paraId="0DBD3A61">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endif %}</w:t>
            </w:r>
          </w:p>
        </w:tc>
      </w:tr>
    </w:tbl>
    <w:p w14:paraId="39CF3CD9">
      <w:pPr>
        <w:rPr>
          <w:rFonts w:ascii="Times New Roman" w:hAnsi="Times New Roman" w:eastAsia="微软雅黑" w:cs="Times New Roman"/>
          <w:b/>
          <w:sz w:val="18"/>
          <w:szCs w:val="18"/>
          <w:lang w:eastAsia="zh-CN"/>
        </w:rPr>
      </w:pPr>
    </w:p>
    <w:p w14:paraId="3D40CECD">
      <w:pP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val="en-US" w:eastAsia="zh-CN"/>
        </w:rPr>
        <w:t>{% endif %}</w:t>
      </w:r>
      <w:r>
        <w:rPr>
          <w:rFonts w:ascii="Times New Roman" w:hAnsi="Times New Roman" w:eastAsia="微软雅黑" w:cs="Times New Roman"/>
          <w:b/>
          <w:sz w:val="18"/>
          <w:szCs w:val="18"/>
          <w:lang w:eastAsia="zh-CN"/>
        </w:rPr>
        <w:t>注：</w:t>
      </w:r>
    </w:p>
    <w:p w14:paraId="4B9CA870">
      <w:pPr>
        <w:numPr>
          <w:ilvl w:val="0"/>
          <w:numId w:val="4"/>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分析注释时采用RefSeq转录本编号</w:t>
      </w:r>
      <w:r>
        <w:rPr>
          <w:rFonts w:hint="eastAsia" w:ascii="Times New Roman" w:hAnsi="Times New Roman" w:eastAsia="微软雅黑" w:cs="Times New Roman"/>
          <w:sz w:val="18"/>
          <w:szCs w:val="18"/>
          <w:lang w:eastAsia="zh-CN"/>
        </w:rPr>
        <w:t>。</w:t>
      </w:r>
    </w:p>
    <w:p w14:paraId="79147826">
      <w:pPr>
        <w:numPr>
          <w:ilvl w:val="0"/>
          <w:numId w:val="4"/>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基因重排结果为送检肿瘤单样本的数据分析检测结果，不排除会存在胚系融合的检出。</w:t>
      </w:r>
    </w:p>
    <w:p w14:paraId="273F47DE">
      <w:pPr>
        <w:numPr>
          <w:ilvl w:val="0"/>
          <w:numId w:val="4"/>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本报告仅从RNA层面检测融合变异形式，RNA层面检测融合更有可能翻译成蛋白，从而发挥功能，促进肿瘤的发生发展，其与临床的相关性更强。</w:t>
      </w:r>
    </w:p>
    <w:p w14:paraId="3E7A9CEC">
      <w:pPr>
        <w:numPr>
          <w:ilvl w:val="0"/>
          <w:numId w:val="4"/>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的分子特征较复杂，基因变异与</w:t>
      </w: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分型不具有绝对的一致性，建议临床分型检测综合根据临床和病理特征以及分子检测结果进行综合判定，具体</w:t>
      </w: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分型诊断请以临床医生诊断为准。</w:t>
      </w:r>
    </w:p>
    <w:p w14:paraId="2C5F63FA">
      <w:pPr>
        <w:numPr>
          <w:ilvl w:val="0"/>
          <w:numId w:val="4"/>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w:t>
      </w: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分型诊断信息，或者是该突变意义不明确，可能存在潜在的临床意义。</w:t>
      </w:r>
    </w:p>
    <w:p w14:paraId="7DE00D96">
      <w:pPr>
        <w:numPr>
          <w:ilvl w:val="0"/>
          <w:numId w:val="4"/>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本报告仅对本次标本检测负责，结果仅供医生参考。</w:t>
      </w:r>
    </w:p>
    <w:p w14:paraId="5190AF63">
      <w:pPr>
        <w:bidi w:val="0"/>
        <w:rPr>
          <w:rFonts w:hint="default" w:ascii="Times New Roman" w:hAnsi="Times New Roman" w:cs="Times New Roman"/>
          <w:sz w:val="24"/>
          <w:szCs w:val="24"/>
          <w:lang w:val="en-US" w:eastAsia="zh-CN"/>
        </w:rPr>
      </w:pPr>
      <w:r>
        <w:rPr>
          <w:rFonts w:ascii="Times New Roman" w:hAnsi="Times New Roman" w:eastAsia="微软雅黑" w:cs="Times New Roman"/>
          <w:lang w:eastAsia="zh-CN"/>
        </w:rPr>
        <w:br w:type="page"/>
      </w:r>
      <w:r>
        <w:rPr>
          <w:rFonts w:hint="default" w:ascii="Times New Roman" w:hAnsi="Times New Roman" w:cs="Times New Roman"/>
          <w:sz w:val="24"/>
          <w:szCs w:val="24"/>
          <w:lang w:val="en-US" w:eastAsia="zh-CN"/>
        </w:rPr>
        <w:t>{% endif %}</w:t>
      </w:r>
    </w:p>
    <w:p w14:paraId="139F8AC3">
      <w:pPr>
        <w:keepNext w:val="0"/>
        <w:keepLines w:val="0"/>
        <w:pageBreakBefore w:val="0"/>
        <w:widowControl/>
        <w:kinsoku w:val="0"/>
        <w:wordWrap/>
        <w:overflowPunct/>
        <w:topLinePunct w:val="0"/>
        <w:autoSpaceDE w:val="0"/>
        <w:autoSpaceDN w:val="0"/>
        <w:bidi w:val="0"/>
        <w:adjustRightInd w:val="0"/>
        <w:snapToGrid w:val="0"/>
        <w:spacing w:before="0"/>
        <w:textAlignment w:val="baseline"/>
        <w:rPr>
          <w:rFonts w:hint="eastAsia" w:ascii="Times New Roman" w:hAnsi="Times New Roman" w:eastAsia="微软雅黑" w:cs="Times New Roman"/>
          <w:b/>
          <w:color w:val="64B7CE"/>
          <w:sz w:val="32"/>
          <w:szCs w:val="36"/>
          <w:lang w:val="en-US" w:eastAsia="zh-CN"/>
        </w:rPr>
      </w:pPr>
      <w:bookmarkStart w:id="4" w:name="_Toc26072"/>
      <w:r>
        <w:rPr>
          <w:rFonts w:hint="eastAsia" w:ascii="Times New Roman" w:hAnsi="Times New Roman" w:eastAsia="微软雅黑" w:cs="Times New Roman"/>
          <w:b/>
          <w:color w:val="64B7CE"/>
          <w:sz w:val="32"/>
          <w:szCs w:val="36"/>
          <w:lang w:val="en-US" w:eastAsia="zh-CN"/>
        </w:rPr>
        <w:t>靶向药物用药提示</w:t>
      </w:r>
      <w:bookmarkEnd w:id="4"/>
    </w:p>
    <w:p w14:paraId="5FEF9745">
      <w:pPr>
        <w:keepNext w:val="0"/>
        <w:keepLines w:val="0"/>
        <w:pageBreakBefore w:val="0"/>
        <w:widowControl/>
        <w:kinsoku w:val="0"/>
        <w:wordWrap/>
        <w:overflowPunct/>
        <w:topLinePunct w:val="0"/>
        <w:autoSpaceDE w:val="0"/>
        <w:autoSpaceDN w:val="0"/>
        <w:bidi w:val="0"/>
        <w:adjustRightInd w:val="0"/>
        <w:snapToGrid w:val="0"/>
        <w:spacing w:before="0"/>
        <w:ind w:firstLine="420" w:firstLineChars="0"/>
        <w:textAlignment w:val="baseline"/>
        <w:rPr>
          <w:rFonts w:hint="eastAsia" w:ascii="Times New Roman" w:hAnsi="Times New Roman" w:eastAsia="微软雅黑" w:cs="Times New Roman"/>
          <w:b/>
          <w:sz w:val="21"/>
          <w:szCs w:val="21"/>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变异位点</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，其中{{summaryOfRresults.somaticDrugCount}}个与靶向药物相关。</w:t>
      </w:r>
      <w:r>
        <w:rPr>
          <w:rFonts w:hint="eastAsia" w:ascii="Times New Roman" w:hAnsi="Times New Roman" w:eastAsia="微软雅黑" w:cs="Times New Roman"/>
          <w:b/>
          <w:sz w:val="24"/>
          <w:szCs w:val="24"/>
          <w:lang w:eastAsia="zh-CN"/>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sz w:val="21"/>
          <w:szCs w:val="21"/>
          <w:lang w:eastAsia="zh-CN"/>
        </w:rPr>
        <w:t>{% endif %}</w:t>
      </w:r>
    </w:p>
    <w:tbl>
      <w:tblPr>
        <w:tblStyle w:val="14"/>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893"/>
        <w:gridCol w:w="1063"/>
        <w:gridCol w:w="1508"/>
        <w:gridCol w:w="952"/>
        <w:gridCol w:w="1062"/>
        <w:gridCol w:w="2223"/>
        <w:gridCol w:w="2232"/>
      </w:tblGrid>
      <w:tr w14:paraId="3903BF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4B7CE"/>
            <w:vAlign w:val="center"/>
          </w:tcPr>
          <w:p w14:paraId="23C3F79D">
            <w:pPr>
              <w:pStyle w:val="13"/>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4B7CE"/>
            <w:vAlign w:val="center"/>
          </w:tcPr>
          <w:p w14:paraId="2CE10D9D">
            <w:pPr>
              <w:pStyle w:val="13"/>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hint="default" w:ascii="Times New Roman" w:hAnsi="Times New Roman" w:eastAsia="微软雅黑" w:cs="Times New Roman"/>
                <w:b/>
                <w:color w:val="FFFFFF" w:themeColor="background1"/>
                <w:sz w:val="21"/>
                <w:szCs w:val="21"/>
                <w14:textFill>
                  <w14:solidFill>
                    <w14:schemeClr w14:val="bg1"/>
                  </w14:solidFill>
                </w14:textFill>
              </w:rPr>
              <w:t>基因</w:t>
            </w:r>
          </w:p>
        </w:tc>
        <w:tc>
          <w:tcPr>
            <w:tcW w:w="758" w:type="pct"/>
            <w:tcBorders>
              <w:top w:val="nil"/>
              <w:left w:val="single" w:color="FFFFFF" w:sz="18" w:space="0"/>
              <w:bottom w:val="nil"/>
              <w:right w:val="single" w:color="FFFFFF" w:sz="18" w:space="0"/>
            </w:tcBorders>
            <w:shd w:val="clear" w:color="auto" w:fill="64B7CE"/>
            <w:vAlign w:val="center"/>
          </w:tcPr>
          <w:p w14:paraId="3CCED36F">
            <w:pPr>
              <w:pStyle w:val="13"/>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4B7CE"/>
            <w:vAlign w:val="center"/>
          </w:tcPr>
          <w:p w14:paraId="18775A1A">
            <w:pPr>
              <w:pStyle w:val="13"/>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64B7CE"/>
            <w:vAlign w:val="center"/>
          </w:tcPr>
          <w:p w14:paraId="56EA6A36">
            <w:pPr>
              <w:pStyle w:val="13"/>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reads数</w:t>
            </w:r>
          </w:p>
        </w:tc>
        <w:tc>
          <w:tcPr>
            <w:tcW w:w="1118" w:type="pct"/>
            <w:tcBorders>
              <w:top w:val="nil"/>
              <w:left w:val="single" w:color="FFFFFF" w:sz="18" w:space="0"/>
              <w:bottom w:val="nil"/>
              <w:right w:val="single" w:color="FFFFFF" w:sz="18" w:space="0"/>
            </w:tcBorders>
            <w:shd w:val="clear" w:color="auto" w:fill="64B7CE"/>
            <w:vAlign w:val="center"/>
          </w:tcPr>
          <w:p w14:paraId="2A93BA3F">
            <w:pPr>
              <w:pStyle w:val="13"/>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64B7CE"/>
            <w:vAlign w:val="center"/>
          </w:tcPr>
          <w:p w14:paraId="2092CC8D">
            <w:pPr>
              <w:pStyle w:val="13"/>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456D3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86CDC2F">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bodyAndComplexDrugTipLineStr or unknownTipLineStr %}</w:t>
            </w:r>
          </w:p>
        </w:tc>
      </w:tr>
      <w:tr w14:paraId="118C9C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F1CEA02">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complexDrugTipLineStr %}</w:t>
            </w:r>
          </w:p>
        </w:tc>
      </w:tr>
      <w:tr w14:paraId="3435250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43BE36C">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tip.variationClass }}</w:t>
            </w:r>
          </w:p>
        </w:tc>
        <w:tc>
          <w:tcPr>
            <w:tcW w:w="1063"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1B3093D">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08"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452754">
            <w:pPr>
              <w:spacing w:before="2"/>
              <w:ind w:left="116" w:leftChars="0" w:right="116" w:rightChars="0"/>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F93180">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tip.ExonicFunc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0A14D9">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F81DFC6">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247358D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13BAC9C3">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2C2DD30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5868865F">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{%endif%}{%endif%}{%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7F9247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165EAE9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4BB0BBA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3E2DDF6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067C5805">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{%endif%}{%endif%}{% endfor %}{% endif%}</w:t>
            </w:r>
          </w:p>
        </w:tc>
      </w:tr>
      <w:tr w14:paraId="3DC0167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1DD950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3CFDBD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D9F3DD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 %}</w:t>
            </w:r>
          </w:p>
        </w:tc>
      </w:tr>
      <w:tr w14:paraId="4C83C2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5F4377F">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C9D180">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52C9F8">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D464B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210F4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D84A14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68B12CB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50FA7F6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2D158E8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343EBA8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9CFF9F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4FEA119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018EF4E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6A204743">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4A3BB94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r>
      <w:tr w14:paraId="1FBCDA7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FCCE383">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4E25D3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D1B4B26">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 %}</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48DCC7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CC192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3CE32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6AC5D2D">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55DF3E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85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E52AF8E">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8BC5F5">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6F3A1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39C4A5">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66B56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3DC2E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AE1B76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13A981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69433FC">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690390A2">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07F4CFFE">
      <w:pPr>
        <w:pStyle w:val="4"/>
        <w:numPr>
          <w:ilvl w:val="0"/>
          <w:numId w:val="5"/>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43D9441E">
      <w:pPr>
        <w:pStyle w:val="4"/>
        <w:numPr>
          <w:ilvl w:val="0"/>
          <w:numId w:val="5"/>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02D23A15">
      <w:pPr>
        <w:pStyle w:val="4"/>
        <w:numPr>
          <w:ilvl w:val="0"/>
          <w:numId w:val="5"/>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0A2126BD">
      <w:pPr>
        <w:pStyle w:val="4"/>
        <w:numPr>
          <w:ilvl w:val="0"/>
          <w:numId w:val="5"/>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359BFCD2">
      <w:pPr>
        <w:pStyle w:val="4"/>
        <w:numPr>
          <w:ilvl w:val="0"/>
          <w:numId w:val="5"/>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75F7242D">
      <w:pPr>
        <w:pStyle w:val="4"/>
        <w:numPr>
          <w:ilvl w:val="0"/>
          <w:numId w:val="5"/>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340B0C38">
      <w:pPr>
        <w:pStyle w:val="4"/>
        <w:numPr>
          <w:ilvl w:val="0"/>
          <w:numId w:val="5"/>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4DA9AA1F">
      <w:pPr>
        <w:pStyle w:val="4"/>
        <w:numPr>
          <w:ilvl w:val="0"/>
          <w:numId w:val="5"/>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12820010">
      <w:pPr>
        <w:pStyle w:val="4"/>
        <w:numPr>
          <w:ilvl w:val="0"/>
          <w:numId w:val="5"/>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if complex == True %}</w:t>
      </w:r>
    </w:p>
    <w:p w14:paraId="262D501C">
      <w:pPr>
        <w:pStyle w:val="4"/>
        <w:numPr>
          <w:ilvl w:val="0"/>
          <w:numId w:val="5"/>
        </w:numPr>
        <w:rPr>
          <w:rFonts w:hint="eastAsia" w:ascii="Times New Roman" w:hAnsi="Times New Roman" w:eastAsia="微软雅黑" w:cs="Times New Roman"/>
          <w:bCs/>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58FD21D8">
      <w:pPr>
        <w:rPr>
          <w:rFonts w:hint="eastAsia" w:ascii="Times New Roman" w:hAnsi="Times New Roman" w:eastAsia="微软雅黑" w:cs="Times New Roman"/>
          <w:b/>
          <w:sz w:val="21"/>
          <w:szCs w:val="21"/>
          <w:lang w:val="en-US" w:eastAsia="zh-CN"/>
        </w:rPr>
      </w:pPr>
      <w:r>
        <w:rPr>
          <w:rFonts w:hint="eastAsia" w:ascii="Times New Roman" w:hAnsi="Times New Roman" w:eastAsia="微软雅黑" w:cs="Times New Roman"/>
          <w:b/>
          <w:sz w:val="21"/>
          <w:szCs w:val="21"/>
          <w:lang w:val="en-US" w:eastAsia="zh-CN"/>
        </w:rPr>
        <w:br w:type="page"/>
      </w:r>
    </w:p>
    <w:p w14:paraId="20D4337C">
      <w:pPr>
        <w:keepNext w:val="0"/>
        <w:keepLines w:val="0"/>
        <w:pageBreakBefore w:val="0"/>
        <w:widowControl/>
        <w:kinsoku w:val="0"/>
        <w:wordWrap/>
        <w:overflowPunct/>
        <w:topLinePunct w:val="0"/>
        <w:autoSpaceDE w:val="0"/>
        <w:autoSpaceDN w:val="0"/>
        <w:bidi w:val="0"/>
        <w:adjustRightInd w:val="0"/>
        <w:snapToGrid w:val="0"/>
        <w:spacing w:before="0"/>
        <w:textAlignment w:val="baseline"/>
        <w:rPr>
          <w:rFonts w:hint="eastAsia" w:ascii="Times New Roman" w:hAnsi="Times New Roman" w:eastAsia="微软雅黑" w:cs="Times New Roman"/>
          <w:b/>
          <w:color w:val="64B7CE"/>
          <w:sz w:val="32"/>
          <w:szCs w:val="36"/>
          <w:lang w:eastAsia="zh-CN"/>
        </w:rPr>
      </w:pPr>
      <w:r>
        <w:rPr>
          <w:rFonts w:hint="eastAsia" w:ascii="Times New Roman" w:hAnsi="Times New Roman" w:eastAsia="微软雅黑" w:cs="Times New Roman"/>
          <w:b/>
          <w:color w:val="64B7CE"/>
          <w:sz w:val="32"/>
          <w:szCs w:val="36"/>
          <w:lang w:eastAsia="zh-CN"/>
        </w:rPr>
        <w:t>{%if PDInfo != undefined %}</w:t>
      </w:r>
      <w:bookmarkStart w:id="5" w:name="_Toc10223"/>
      <w:bookmarkStart w:id="6" w:name="_Toc6191"/>
      <w:bookmarkStart w:id="7" w:name="_Toc106719764"/>
      <w:bookmarkStart w:id="8" w:name="_Toc20034"/>
      <w:r>
        <w:rPr>
          <w:rFonts w:hint="eastAsia" w:ascii="Times New Roman" w:hAnsi="Times New Roman" w:eastAsia="微软雅黑" w:cs="Times New Roman"/>
          <w:b/>
          <w:color w:val="64B7CE"/>
          <w:sz w:val="32"/>
          <w:szCs w:val="36"/>
          <w:lang w:eastAsia="zh-CN"/>
        </w:rPr>
        <w:t>PD-L1检测结果</w:t>
      </w:r>
      <w:bookmarkEnd w:id="5"/>
      <w:bookmarkEnd w:id="6"/>
      <w:bookmarkEnd w:id="7"/>
      <w:bookmarkEnd w:id="8"/>
    </w:p>
    <w:p w14:paraId="23974D1F">
      <w:pPr>
        <w:ind w:firstLine="240" w:firstLineChars="100"/>
        <w:rPr>
          <w:rFonts w:hint="default" w:ascii="Times New Roman" w:hAnsi="Times New Roman" w:eastAsia="微软雅黑" w:cs="Times New Roman"/>
          <w:b/>
          <w:bCs/>
          <w:color w:val="64B7CE"/>
          <w:sz w:val="24"/>
          <w:szCs w:val="30"/>
          <w:lang w:eastAsia="zh-CN"/>
        </w:rPr>
      </w:pPr>
      <w:r>
        <w:rPr>
          <w:rFonts w:hint="default" w:ascii="Times New Roman" w:hAnsi="Times New Roman" w:eastAsia="微软雅黑" w:cs="Times New Roman"/>
          <w:b/>
          <w:bCs/>
          <w:color w:val="64B7CE"/>
          <w:sz w:val="24"/>
          <w:szCs w:val="30"/>
          <w:lang w:eastAsia="zh-CN"/>
        </w:rPr>
        <w:t>组织切片质控：</w:t>
      </w:r>
    </w:p>
    <w:tbl>
      <w:tblPr>
        <w:tblStyle w:val="10"/>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widowControl w:val="0"/>
              <w:jc w:val="center"/>
              <w:rPr>
                <w:rFonts w:hint="default" w:ascii="Times New Roman" w:hAnsi="Times New Roman" w:eastAsia="微软雅黑" w:cs="Times New Roman"/>
                <w:bCs/>
                <w:color w:val="000000"/>
                <w:sz w:val="18"/>
                <w:szCs w:val="18"/>
                <w:lang w:eastAsia="zh-CN"/>
              </w:rPr>
            </w:pPr>
            <w:r>
              <w:rPr>
                <w:rFonts w:hint="default" w:ascii="Times New Roman" w:hAnsi="Times New Roman" w:eastAsia="微软雅黑"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22"/>
              <w:widowControl w:val="0"/>
              <w:rPr>
                <w:rFonts w:hint="default" w:ascii="Times New Roman" w:hAnsi="Times New Roman" w:eastAsia="微软雅黑" w:cs="Times New Roman"/>
              </w:rPr>
            </w:pPr>
            <w:r>
              <w:rPr>
                <w:rFonts w:hint="default" w:ascii="Times New Roman" w:hAnsi="Times New Roman" w:eastAsia="微软雅黑"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23"/>
              <w:widowControl w:val="0"/>
              <w:rPr>
                <w:rFonts w:hint="default" w:ascii="Times New Roman" w:hAnsi="Times New Roman" w:eastAsia="微软雅黑" w:cs="Times New Roman"/>
              </w:rPr>
            </w:pPr>
            <w:r>
              <w:rPr>
                <w:rFonts w:hint="default" w:ascii="Times New Roman" w:hAnsi="Times New Roman" w:eastAsia="微软雅黑" w:cs="Times New Roman"/>
              </w:rPr>
              <w:t>镜下描述：{{ PDInfo.Seen_microscopically }}</w:t>
            </w:r>
          </w:p>
        </w:tc>
      </w:tr>
    </w:tbl>
    <w:p w14:paraId="4DD676FE">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if PDInfo.he_PIC_status %}</w:t>
      </w:r>
    </w:p>
    <w:p w14:paraId="05BD6C91">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PDInfo.he_PIC | pdi</w:t>
      </w:r>
      <w:r>
        <w:rPr>
          <w:rFonts w:hint="default" w:ascii="Times New Roman" w:hAnsi="Times New Roman" w:eastAsia="微软雅黑" w:cs="Times New Roman"/>
          <w:b/>
          <w:szCs w:val="21"/>
        </w:rPr>
        <w:t>(131,94.4)</w:t>
      </w:r>
      <w:r>
        <w:rPr>
          <w:rFonts w:hint="default" w:ascii="Times New Roman" w:hAnsi="Times New Roman" w:eastAsia="微软雅黑" w:cs="Times New Roman"/>
          <w:b/>
          <w:sz w:val="21"/>
          <w:szCs w:val="21"/>
          <w:lang w:eastAsia="zh-CN"/>
        </w:rPr>
        <w:t xml:space="preserve"> }}{% endif %}</w:t>
      </w:r>
    </w:p>
    <w:p w14:paraId="5D6C864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HE染色切片200X</w:t>
      </w:r>
    </w:p>
    <w:p w14:paraId="4019B162">
      <w:pPr>
        <w:ind w:firstLine="240" w:firstLineChars="100"/>
        <w:rPr>
          <w:rFonts w:hint="default" w:ascii="Times New Roman" w:hAnsi="Times New Roman" w:eastAsia="微软雅黑" w:cs="Times New Roman"/>
          <w:b/>
          <w:bCs/>
          <w:color w:val="64B7CE"/>
          <w:sz w:val="24"/>
          <w:szCs w:val="30"/>
          <w:lang w:eastAsia="zh-CN"/>
        </w:rPr>
      </w:pPr>
      <w:r>
        <w:rPr>
          <w:rFonts w:hint="default" w:ascii="Times New Roman" w:hAnsi="Times New Roman" w:eastAsia="微软雅黑" w:cs="Times New Roman"/>
          <w:b/>
          <w:bCs/>
          <w:color w:val="64B7CE"/>
          <w:sz w:val="24"/>
          <w:szCs w:val="30"/>
          <w:lang w:eastAsia="zh-CN"/>
        </w:rPr>
        <w:t>检测结果：</w:t>
      </w:r>
    </w:p>
    <w:tbl>
      <w:tblPr>
        <w:tblStyle w:val="9"/>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4B7CE"/>
            <w:vAlign w:val="center"/>
          </w:tcPr>
          <w:p w14:paraId="4D94D494">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4B7CE"/>
            <w:vAlign w:val="center"/>
          </w:tcPr>
          <w:p w14:paraId="06E7387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4B7CE"/>
          </w:tcPr>
          <w:p w14:paraId="5103C4FC">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4B7CE"/>
            <w:vAlign w:val="center"/>
          </w:tcPr>
          <w:p w14:paraId="726B896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24"/>
              <w:rPr>
                <w:rFonts w:hint="default" w:ascii="Times New Roman" w:hAnsi="Times New Roman" w:eastAsia="微软雅黑" w:cs="Times New Roman"/>
              </w:rPr>
            </w:pPr>
            <w:r>
              <w:rPr>
                <w:rFonts w:hint="default" w:ascii="Times New Roman" w:hAnsi="Times New Roman" w:eastAsia="微软雅黑"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微软雅黑"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24"/>
              <w:rPr>
                <w:rFonts w:hint="default" w:ascii="Times New Roman" w:hAnsi="Times New Roman" w:eastAsia="微软雅黑" w:cs="Times New Roman"/>
              </w:rPr>
            </w:pPr>
            <w:r>
              <w:rPr>
                <w:rFonts w:hint="default" w:ascii="Times New Roman" w:hAnsi="Times New Roman" w:eastAsia="微软雅黑" w:cs="Times New Roman"/>
              </w:rPr>
              <w:t>CPS：{{ PDInfo.CPS }}</w:t>
            </w:r>
          </w:p>
        </w:tc>
      </w:tr>
    </w:tbl>
    <w:p w14:paraId="248238AD">
      <w:pPr>
        <w:spacing w:line="276" w:lineRule="auto"/>
        <w:ind w:right="428" w:rightChars="204"/>
        <w:rPr>
          <w:rFonts w:hint="default" w:ascii="Times New Roman" w:hAnsi="Times New Roman" w:eastAsia="微软雅黑" w:cs="Times New Roman"/>
          <w:b/>
          <w:color w:val="000000"/>
          <w:sz w:val="18"/>
          <w:szCs w:val="18"/>
        </w:rPr>
      </w:pPr>
    </w:p>
    <w:p w14:paraId="49284D77">
      <w:pPr>
        <w:ind w:firstLine="240" w:firstLineChars="100"/>
        <w:rPr>
          <w:rFonts w:hint="default" w:ascii="Times New Roman" w:hAnsi="Times New Roman" w:eastAsia="微软雅黑" w:cs="Times New Roman"/>
          <w:b/>
          <w:bCs/>
          <w:color w:val="64B7CE"/>
          <w:sz w:val="24"/>
          <w:szCs w:val="30"/>
          <w:lang w:eastAsia="zh-CN"/>
        </w:rPr>
      </w:pPr>
      <w:r>
        <w:rPr>
          <w:rFonts w:hint="default" w:ascii="Times New Roman" w:hAnsi="Times New Roman" w:eastAsia="微软雅黑" w:cs="Times New Roman"/>
          <w:b/>
          <w:bCs/>
          <w:color w:val="64B7CE"/>
          <w:sz w:val="24"/>
          <w:szCs w:val="30"/>
          <w:lang w:eastAsia="zh-CN"/>
        </w:rPr>
        <w:t xml:space="preserve">检测图谱： </w:t>
      </w:r>
    </w:p>
    <w:p w14:paraId="4EB24E31">
      <w:pPr>
        <w:spacing w:line="276" w:lineRule="auto"/>
        <w:ind w:left="1244" w:leftChars="78" w:right="428" w:rightChars="204" w:hanging="1080" w:hangingChars="600"/>
        <w:rPr>
          <w:rFonts w:hint="default" w:ascii="Times New Roman" w:hAnsi="Times New Roman" w:eastAsia="微软雅黑" w:cs="Times New Roman"/>
          <w:sz w:val="18"/>
          <w:szCs w:val="18"/>
        </w:rPr>
      </w:pP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widowControl w:val="0"/>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PDInfo.yangkong_PIC_status %}{{ PDInfo.yangkong_PIC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4E0F8AB6">
            <w:pPr>
              <w:widowControl w:val="0"/>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PDInfo.yinkong_PIC_status %}{{ PDInfo.yinkong_PIC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5C607F1F">
            <w:pPr>
              <w:widowControl w:val="0"/>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PDInfo.pd_PIC_status %}{{ PDInfo.pd_PIC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widowControl w:val="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阳性对照 200X</w:t>
            </w:r>
          </w:p>
        </w:tc>
        <w:tc>
          <w:tcPr>
            <w:tcW w:w="3118" w:type="dxa"/>
            <w:vAlign w:val="center"/>
          </w:tcPr>
          <w:p w14:paraId="3D85A8BA">
            <w:pPr>
              <w:widowControl w:val="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阴性对照 200X</w:t>
            </w:r>
          </w:p>
        </w:tc>
        <w:tc>
          <w:tcPr>
            <w:tcW w:w="3118" w:type="dxa"/>
            <w:vAlign w:val="center"/>
          </w:tcPr>
          <w:p w14:paraId="08FC5F18">
            <w:pPr>
              <w:widowControl w:val="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200X</w:t>
            </w:r>
          </w:p>
        </w:tc>
      </w:tr>
    </w:tbl>
    <w:p w14:paraId="7EBD9248">
      <w:pPr>
        <w:spacing w:line="276" w:lineRule="auto"/>
        <w:ind w:left="1244" w:leftChars="78" w:right="428" w:rightChars="204" w:hanging="1080" w:hangingChars="6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注</w:t>
      </w:r>
    </w:p>
    <w:tbl>
      <w:tblPr>
        <w:tblStyle w:val="10"/>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idowControl w:val="0"/>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widowControl w:val="0"/>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PD-L1染色细胞(肿瘤细胞)数量</w:t>
            </w:r>
          </w:p>
        </w:tc>
        <w:tc>
          <w:tcPr>
            <w:tcW w:w="2168" w:type="dxa"/>
            <w:gridSpan w:val="2"/>
            <w:vMerge w:val="restart"/>
            <w:vAlign w:val="center"/>
          </w:tcPr>
          <w:p w14:paraId="45249FAA">
            <w:pPr>
              <w:widowControl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widowControl w:val="0"/>
              <w:spacing w:line="276" w:lineRule="auto"/>
              <w:jc w:val="both"/>
              <w:rPr>
                <w:rFonts w:hint="default"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widowControl w:val="0"/>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widowControl w:val="0"/>
              <w:spacing w:line="276" w:lineRule="auto"/>
              <w:jc w:val="left"/>
              <w:rPr>
                <w:rFonts w:hint="default"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idowControl w:val="0"/>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widowControl w:val="0"/>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widowControl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widowControl w:val="0"/>
              <w:spacing w:line="276" w:lineRule="auto"/>
              <w:jc w:val="left"/>
              <w:rPr>
                <w:rFonts w:hint="default"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widowControl w:val="0"/>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widowControl w:val="0"/>
              <w:spacing w:line="276" w:lineRule="auto"/>
              <w:jc w:val="left"/>
              <w:rPr>
                <w:rFonts w:hint="default"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ab/>
      </w:r>
      <w:r>
        <w:rPr>
          <w:rFonts w:hint="default" w:ascii="Times New Roman" w:hAnsi="Times New Roman" w:eastAsia="微软雅黑" w:cs="Times New Roman"/>
          <w:sz w:val="18"/>
          <w:szCs w:val="18"/>
          <w:shd w:val="clear" w:color="auto" w:fill="FFFFFF"/>
          <w:lang w:eastAsia="zh-CN"/>
        </w:rPr>
        <w:t>CPS结果采用0~100数值来表示，当计算结果超过100时，最终结果按照100来计算。</w:t>
      </w:r>
    </w:p>
    <w:p w14:paraId="49CF2DFA">
      <w:pPr>
        <w:spacing w:line="276" w:lineRule="auto"/>
        <w:ind w:left="164" w:leftChars="78" w:right="428" w:rightChars="204" w:firstLine="248"/>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746C4AA7">
      <w:pPr>
        <w:keepNext w:val="0"/>
        <w:keepLines w:val="0"/>
        <w:pageBreakBefore w:val="0"/>
        <w:widowControl/>
        <w:kinsoku w:val="0"/>
        <w:wordWrap/>
        <w:overflowPunct/>
        <w:topLinePunct w:val="0"/>
        <w:autoSpaceDE w:val="0"/>
        <w:autoSpaceDN w:val="0"/>
        <w:bidi w:val="0"/>
        <w:adjustRightInd w:val="0"/>
        <w:snapToGrid w:val="0"/>
        <w:spacing w:before="0"/>
        <w:textAlignment w:val="baseline"/>
        <w:rPr>
          <w:rFonts w:hint="default" w:ascii="Times New Roman" w:hAnsi="Times New Roman" w:eastAsia="微软雅黑" w:cs="Times New Roman"/>
          <w:b/>
          <w:bCs/>
          <w:color w:val="64B7CE"/>
          <w:sz w:val="24"/>
          <w:szCs w:val="30"/>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{%if PDInfo.pdInfoTable != [] %}</w:t>
      </w:r>
      <w:r>
        <w:rPr>
          <w:rFonts w:hint="default" w:ascii="Times New Roman" w:hAnsi="Times New Roman" w:eastAsia="微软雅黑" w:cs="Times New Roman"/>
          <w:b/>
          <w:bCs/>
          <w:color w:val="64B7CE"/>
          <w:sz w:val="24"/>
          <w:szCs w:val="30"/>
          <w:lang w:eastAsia="zh-CN"/>
        </w:rPr>
        <w:t>PD-L1表达阳性阈值：</w:t>
      </w:r>
    </w:p>
    <w:p w14:paraId="03261508">
      <w:pPr>
        <w:pStyle w:val="4"/>
        <w:spacing w:before="18"/>
        <w:rPr>
          <w:rFonts w:hint="default" w:ascii="Times New Roman" w:hAnsi="Times New Roman" w:eastAsia="微软雅黑" w:cs="Times New Roman"/>
          <w:b/>
          <w:sz w:val="6"/>
        </w:rPr>
      </w:pPr>
    </w:p>
    <w:tbl>
      <w:tblPr>
        <w:tblStyle w:val="9"/>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A0F36F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themeColor="background1" w:sz="18" w:space="0"/>
            </w:tcBorders>
            <w:shd w:val="clear" w:color="auto" w:fill="64B7CE"/>
            <w:vAlign w:val="center"/>
          </w:tcPr>
          <w:p w14:paraId="4A87D40E">
            <w:pPr>
              <w:pStyle w:val="13"/>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64B7CE"/>
            <w:vAlign w:val="center"/>
          </w:tcPr>
          <w:p w14:paraId="2E72DEDE">
            <w:pPr>
              <w:pStyle w:val="13"/>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64B7CE"/>
            <w:vAlign w:val="center"/>
          </w:tcPr>
          <w:p w14:paraId="533298B5">
            <w:pPr>
              <w:pStyle w:val="13"/>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临床意义</w:t>
            </w:r>
          </w:p>
        </w:tc>
      </w:tr>
      <w:tr w14:paraId="4C31A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nil"/>
              <w:left w:val="nil"/>
              <w:bottom w:val="single" w:color="A4A4A4" w:themeColor="background1" w:themeShade="A5" w:sz="4" w:space="0"/>
              <w:right w:val="nil"/>
            </w:tcBorders>
            <w:vAlign w:val="center"/>
          </w:tcPr>
          <w:p w14:paraId="37B95447">
            <w:pPr>
              <w:pStyle w:val="13"/>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for pd in PDInfo.pdInfoTable %}</w:t>
            </w:r>
          </w:p>
        </w:tc>
      </w:tr>
      <w:tr w14:paraId="2251B60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111AD4A">
            <w:pPr>
              <w:pStyle w:val="13"/>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38A9C09">
            <w:pPr>
              <w:pStyle w:val="13"/>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5824EB9">
            <w:pPr>
              <w:pStyle w:val="13"/>
              <w:autoSpaceDE w:val="0"/>
              <w:autoSpaceDN w:val="0"/>
              <w:spacing w:before="1"/>
              <w:ind w:left="84" w:leftChars="40" w:right="113"/>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3609D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818C24C">
            <w:pPr>
              <w:pStyle w:val="13"/>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endfor %}</w:t>
            </w:r>
          </w:p>
        </w:tc>
      </w:tr>
    </w:tbl>
    <w:p w14:paraId="4F67ACD2">
      <w:pPr>
        <w:widowControl/>
        <w:ind w:firstLine="180" w:firstLineChars="100"/>
        <w:rPr>
          <w:rFonts w:hint="default" w:ascii="Times New Roman" w:hAnsi="Times New Roman" w:eastAsia="微软雅黑" w:cs="Times New Roman"/>
          <w:sz w:val="18"/>
          <w:szCs w:val="18"/>
          <w:lang w:bidi="zh-CN"/>
        </w:rPr>
      </w:pPr>
      <w:r>
        <w:rPr>
          <w:rFonts w:hint="default" w:ascii="Times New Roman" w:hAnsi="Times New Roman" w:eastAsia="微软雅黑" w:cs="Times New Roman"/>
          <w:sz w:val="18"/>
          <w:szCs w:val="18"/>
          <w:lang w:eastAsia="zh-CN"/>
        </w:rPr>
        <w:t xml:space="preserve">{%if </w:t>
      </w:r>
      <w:r>
        <w:rPr>
          <w:rFonts w:hint="default" w:ascii="Times New Roman" w:hAnsi="Times New Roman" w:eastAsia="微软雅黑" w:cs="Times New Roman"/>
          <w:bCs/>
          <w:sz w:val="18"/>
          <w:szCs w:val="18"/>
          <w:lang w:eastAsia="zh-CN"/>
        </w:rPr>
        <w:t>PDInfo.superscript_remark == True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bidi="zh-CN"/>
        </w:rPr>
        <w:t>[1]实体肿瘤PD-L1免疫组织化学检测专家共识（2021版）</w:t>
      </w:r>
      <w:r>
        <w:rPr>
          <w:rFonts w:hint="default" w:ascii="Times New Roman" w:hAnsi="Times New Roman" w:eastAsia="微软雅黑" w:cs="Times New Roman"/>
          <w:bCs/>
          <w:sz w:val="18"/>
          <w:szCs w:val="18"/>
          <w:lang w:eastAsia="zh-CN"/>
        </w:rPr>
        <w:t>{% endif %}</w:t>
      </w:r>
    </w:p>
    <w:p w14:paraId="45412829">
      <w:pPr>
        <w:widowControl/>
        <w:ind w:firstLine="18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56E96BBC">
      <w:pPr>
        <w:keepNext w:val="0"/>
        <w:keepLines w:val="0"/>
        <w:pageBreakBefore w:val="0"/>
        <w:widowControl/>
        <w:kinsoku w:val="0"/>
        <w:wordWrap/>
        <w:overflowPunct/>
        <w:topLinePunct w:val="0"/>
        <w:autoSpaceDE w:val="0"/>
        <w:autoSpaceDN w:val="0"/>
        <w:bidi w:val="0"/>
        <w:adjustRightInd w:val="0"/>
        <w:snapToGrid w:val="0"/>
        <w:spacing w:before="0"/>
        <w:textAlignment w:val="baseline"/>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default" w:ascii="Times New Roman" w:hAnsi="Times New Roman" w:eastAsia="微软雅黑" w:cs="Times New Roman"/>
          <w:sz w:val="24"/>
          <w:szCs w:val="24"/>
          <w:lang w:eastAsia="zh-CN"/>
        </w:rPr>
        <w:t>{%if BodyDrugDrugDetectionStr or unknownVarAnalysisStr %}</w:t>
      </w:r>
    </w:p>
    <w:p w14:paraId="628E1943">
      <w:pPr>
        <w:keepNext w:val="0"/>
        <w:keepLines w:val="0"/>
        <w:pageBreakBefore w:val="0"/>
        <w:widowControl/>
        <w:kinsoku w:val="0"/>
        <w:wordWrap/>
        <w:overflowPunct/>
        <w:topLinePunct w:val="0"/>
        <w:autoSpaceDE w:val="0"/>
        <w:autoSpaceDN w:val="0"/>
        <w:bidi w:val="0"/>
        <w:adjustRightInd w:val="0"/>
        <w:snapToGrid w:val="0"/>
        <w:spacing w:before="0"/>
        <w:textAlignment w:val="baseline"/>
        <w:rPr>
          <w:rFonts w:hint="eastAsia" w:ascii="Times New Roman" w:hAnsi="Times New Roman" w:eastAsia="微软雅黑" w:cs="Times New Roman"/>
          <w:b/>
          <w:color w:val="64B7CE"/>
          <w:sz w:val="32"/>
          <w:szCs w:val="36"/>
          <w:lang w:eastAsia="zh-CN"/>
        </w:rPr>
      </w:pPr>
      <w:r>
        <w:rPr>
          <w:rFonts w:hint="eastAsia" w:ascii="Times New Roman" w:hAnsi="Times New Roman" w:eastAsia="微软雅黑" w:cs="Times New Roman"/>
          <w:b/>
          <w:color w:val="64B7CE"/>
          <w:sz w:val="32"/>
          <w:szCs w:val="36"/>
          <w:lang w:eastAsia="zh-CN"/>
        </w:rPr>
        <w:t>检测结果</w:t>
      </w:r>
      <w:r>
        <w:rPr>
          <w:rFonts w:hint="eastAsia" w:ascii="Times New Roman" w:hAnsi="Times New Roman" w:eastAsia="微软雅黑" w:cs="Times New Roman"/>
          <w:b/>
          <w:color w:val="64B7CE"/>
          <w:sz w:val="32"/>
          <w:szCs w:val="36"/>
          <w:lang w:val="en-US" w:eastAsia="zh-CN"/>
        </w:rPr>
        <w:t>详细</w:t>
      </w:r>
      <w:r>
        <w:rPr>
          <w:rFonts w:hint="eastAsia" w:ascii="Times New Roman" w:hAnsi="Times New Roman" w:eastAsia="微软雅黑" w:cs="Times New Roman"/>
          <w:b/>
          <w:color w:val="64B7CE"/>
          <w:sz w:val="32"/>
          <w:szCs w:val="36"/>
          <w:lang w:eastAsia="zh-CN"/>
        </w:rPr>
        <w:t>解析</w:t>
      </w:r>
    </w:p>
    <w:p w14:paraId="75E01DFC">
      <w:pPr>
        <w:keepNext w:val="0"/>
        <w:keepLines w:val="0"/>
        <w:pageBreakBefore w:val="0"/>
        <w:widowControl/>
        <w:kinsoku w:val="0"/>
        <w:wordWrap/>
        <w:overflowPunct/>
        <w:topLinePunct w:val="0"/>
        <w:autoSpaceDE w:val="0"/>
        <w:autoSpaceDN w:val="0"/>
        <w:bidi w:val="0"/>
        <w:adjustRightInd w:val="0"/>
        <w:snapToGrid w:val="0"/>
        <w:spacing w:before="0"/>
        <w:textAlignment w:val="baseline"/>
        <w:rPr>
          <w:rFonts w:hint="default" w:ascii="Times New Roman" w:hAnsi="Times New Roman" w:eastAsia="微软雅黑" w:cs="Times New Roman"/>
          <w:b/>
          <w:color w:val="64B7CE"/>
          <w:sz w:val="30"/>
          <w:szCs w:val="30"/>
          <w:lang w:val="en-US" w:eastAsia="zh-CN"/>
        </w:rPr>
      </w:pPr>
      <w:bookmarkStart w:id="9" w:name="_Toc14281"/>
      <w:bookmarkStart w:id="10" w:name="_Toc18974"/>
      <w:bookmarkStart w:id="11" w:name="_Toc27011"/>
      <w:bookmarkStart w:id="12" w:name="_Toc149837264"/>
      <w:bookmarkStart w:id="13" w:name="_Toc16863"/>
      <w:bookmarkStart w:id="14" w:name="_Toc4248"/>
      <w:r>
        <w:rPr>
          <w:rFonts w:hint="default" w:ascii="Times New Roman" w:hAnsi="Times New Roman" w:eastAsia="微软雅黑" w:cs="Times New Roman"/>
          <w:b/>
          <w:color w:val="64B7CE"/>
          <w:sz w:val="30"/>
          <w:szCs w:val="30"/>
          <w:lang w:val="en-US" w:eastAsia="zh-CN"/>
        </w:rPr>
        <w:t>体细胞变异结果解析</w:t>
      </w:r>
      <w:bookmarkEnd w:id="9"/>
      <w:bookmarkEnd w:id="10"/>
      <w:bookmarkEnd w:id="11"/>
    </w:p>
    <w:p w14:paraId="06579310">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ComplexDrugStr %}</w:t>
      </w:r>
    </w:p>
    <w:p w14:paraId="563463C5">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bookmarkStart w:id="34" w:name="_GoBack"/>
      <w:bookmarkEnd w:id="34"/>
      <w:r>
        <w:rPr>
          <w:rFonts w:hint="default" w:ascii="Times New Roman" w:hAnsi="Times New Roman" w:eastAsia="微软雅黑" w:cs="Times New Roman"/>
          <w:b/>
          <w:sz w:val="24"/>
          <w:szCs w:val="24"/>
          <w:lang w:eastAsia="zh-CN"/>
        </w:rPr>
        <w:t xml:space="preserve"> }}</w:t>
      </w:r>
    </w:p>
    <w:tbl>
      <w:tblPr>
        <w:tblStyle w:val="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62E67A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64B7CE"/>
            <w:vAlign w:val="center"/>
          </w:tcPr>
          <w:p w14:paraId="7192504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703A6E34">
            <w:pPr>
              <w:keepNext/>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5A126D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64B7CE"/>
            <w:vAlign w:val="center"/>
          </w:tcPr>
          <w:p w14:paraId="7EECC37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1135ED5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686334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4B7CE"/>
            <w:vAlign w:val="center"/>
          </w:tcPr>
          <w:p w14:paraId="70F39C28">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4B7CE"/>
            <w:vAlign w:val="center"/>
          </w:tcPr>
          <w:p w14:paraId="6BC6CCC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2E188EF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631848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4B7CE"/>
            <w:vAlign w:val="center"/>
          </w:tcPr>
          <w:p w14:paraId="2A7D6BF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4B7CE"/>
            <w:vAlign w:val="center"/>
          </w:tcPr>
          <w:p w14:paraId="5DFC4B2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017AA5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106B9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4B7CE"/>
            <w:vAlign w:val="center"/>
          </w:tcPr>
          <w:p w14:paraId="38D5CC2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4B7CE"/>
            <w:vAlign w:val="center"/>
          </w:tcPr>
          <w:p w14:paraId="26DC478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3150BF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3F2A18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4B7CE"/>
            <w:vAlign w:val="center"/>
          </w:tcPr>
          <w:p w14:paraId="624E8FA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4B7CE"/>
            <w:vAlign w:val="center"/>
          </w:tcPr>
          <w:p w14:paraId="3135024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72984D5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729C8D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4B7CE"/>
            <w:vAlign w:val="center"/>
          </w:tcPr>
          <w:p w14:paraId="40BC10A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4B7CE"/>
            <w:vAlign w:val="center"/>
          </w:tcPr>
          <w:p w14:paraId="5921ECD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474C5D72">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549A4A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4B7CE"/>
            <w:vAlign w:val="center"/>
          </w:tcPr>
          <w:p w14:paraId="6DE4217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4B7CE"/>
            <w:vAlign w:val="center"/>
          </w:tcPr>
          <w:p w14:paraId="4FB1B23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7DCFDE30">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2376E5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4B7CE"/>
            <w:vAlign w:val="center"/>
          </w:tcPr>
          <w:p w14:paraId="015B46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4B7CE"/>
            <w:vAlign w:val="center"/>
          </w:tcPr>
          <w:p w14:paraId="41B7F01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A3032E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426D04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4B7CE"/>
            <w:vAlign w:val="center"/>
          </w:tcPr>
          <w:p w14:paraId="3FC4D40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4B7CE"/>
            <w:vAlign w:val="center"/>
          </w:tcPr>
          <w:p w14:paraId="48C4AB6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1FD0E19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06FCAC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bottom w:val="nil"/>
              <w:right w:val="nil"/>
            </w:tcBorders>
            <w:shd w:val="clear" w:color="auto" w:fill="64B7CE"/>
            <w:vAlign w:val="center"/>
          </w:tcPr>
          <w:p w14:paraId="3416E7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4679B65C">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46DE65">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D6DE73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7C4F778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EE7F1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4B7CE"/>
            <w:vAlign w:val="center"/>
          </w:tcPr>
          <w:p w14:paraId="0DE346C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4B7CE"/>
            <w:vAlign w:val="center"/>
          </w:tcPr>
          <w:p w14:paraId="6992A6C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4B7CE"/>
            <w:vAlign w:val="center"/>
          </w:tcPr>
          <w:p w14:paraId="228F98E2">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64B7CE"/>
            <w:vAlign w:val="center"/>
          </w:tcPr>
          <w:p w14:paraId="7761B2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8E856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BE2293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77E314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1504FD9">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8E139A">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5667E5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706C50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64444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F075B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1698EF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D9055C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13EEA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4B7CE"/>
            <w:vAlign w:val="center"/>
          </w:tcPr>
          <w:p w14:paraId="1E841D3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4B7CE"/>
            <w:vAlign w:val="center"/>
          </w:tcPr>
          <w:p w14:paraId="0B03D3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4B7CE"/>
            <w:vAlign w:val="center"/>
          </w:tcPr>
          <w:p w14:paraId="5FCFDD2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64B7CE"/>
            <w:vAlign w:val="center"/>
          </w:tcPr>
          <w:p w14:paraId="1806D5B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A4BA7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CE5AB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13A5EF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E811C96">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B69BF6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DB9794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2AC90A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91B7C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F09C6E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583F54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29E19DE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1D308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4B7CE"/>
            <w:vAlign w:val="center"/>
          </w:tcPr>
          <w:p w14:paraId="498C3B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4B7CE"/>
            <w:vAlign w:val="center"/>
          </w:tcPr>
          <w:p w14:paraId="3C03F23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4B7CE"/>
            <w:vAlign w:val="center"/>
          </w:tcPr>
          <w:p w14:paraId="1024C90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4B7CE"/>
            <w:vAlign w:val="center"/>
          </w:tcPr>
          <w:p w14:paraId="60FF4C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4B7CE"/>
            <w:vAlign w:val="center"/>
          </w:tcPr>
          <w:p w14:paraId="48F54CD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4B7CE"/>
            <w:vAlign w:val="center"/>
          </w:tcPr>
          <w:p w14:paraId="2B29290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CFEEE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B3D797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676D6C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D12056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83F3A8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C9E10F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917905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894130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69B5110">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112673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46F358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102356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7BFBD462">
      <w:pP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4"/>
          <w:szCs w:val="24"/>
          <w:lang w:eastAsia="zh-CN"/>
        </w:rPr>
        <w:t>{% endif %}{% endfor %}</w:t>
      </w:r>
      <w:r>
        <w:rPr>
          <w:rFonts w:hint="default" w:ascii="Times New Roman" w:hAnsi="Times New Roman" w:eastAsia="微软雅黑" w:cs="Times New Roman"/>
          <w:b/>
          <w:sz w:val="21"/>
          <w:szCs w:val="21"/>
          <w:lang w:eastAsia="zh-CN"/>
        </w:rPr>
        <w:t>{% for tdd in BodyDrugNoComplexStr %}</w:t>
      </w:r>
      <w:bookmarkEnd w:id="12"/>
    </w:p>
    <w:p w14:paraId="5575488C">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20F705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64B7CE"/>
            <w:vAlign w:val="center"/>
          </w:tcPr>
          <w:p w14:paraId="4FB22D1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2C4EF06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491B3A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64B7CE"/>
            <w:vAlign w:val="center"/>
          </w:tcPr>
          <w:p w14:paraId="520D7A4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33B6EDB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49FA99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4B7CE"/>
            <w:vAlign w:val="center"/>
          </w:tcPr>
          <w:p w14:paraId="34CB5E2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4B7CE"/>
            <w:vAlign w:val="center"/>
          </w:tcPr>
          <w:p w14:paraId="6B71ED1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EC7BBC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744322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4B7CE"/>
            <w:vAlign w:val="center"/>
          </w:tcPr>
          <w:p w14:paraId="758E2A8F">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4B7CE"/>
            <w:vAlign w:val="center"/>
          </w:tcPr>
          <w:p w14:paraId="49F5D30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66E3C80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6CAA8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4B7CE"/>
            <w:vAlign w:val="center"/>
          </w:tcPr>
          <w:p w14:paraId="52262F7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4B7CE"/>
            <w:vAlign w:val="center"/>
          </w:tcPr>
          <w:p w14:paraId="5A7389B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014513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1B43BE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4B7CE"/>
            <w:vAlign w:val="center"/>
          </w:tcPr>
          <w:p w14:paraId="5C9D2AE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4B7CE"/>
            <w:vAlign w:val="center"/>
          </w:tcPr>
          <w:p w14:paraId="4C020DCE">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3D3C80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F8845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4B7CE"/>
            <w:vAlign w:val="center"/>
          </w:tcPr>
          <w:p w14:paraId="17CEADE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4B7CE"/>
            <w:vAlign w:val="center"/>
          </w:tcPr>
          <w:p w14:paraId="6D1BB5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0CB6A6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3CFA94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4B7CE"/>
            <w:vAlign w:val="center"/>
          </w:tcPr>
          <w:p w14:paraId="11AC9A6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4B7CE"/>
            <w:vAlign w:val="center"/>
          </w:tcPr>
          <w:p w14:paraId="67CD03E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4334FEF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5D1153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4B7CE"/>
            <w:vAlign w:val="center"/>
          </w:tcPr>
          <w:p w14:paraId="21EC64E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4B7CE"/>
            <w:vAlign w:val="center"/>
          </w:tcPr>
          <w:p w14:paraId="234EEBA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7A9BED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3ECC16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4B7CE"/>
            <w:vAlign w:val="center"/>
          </w:tcPr>
          <w:p w14:paraId="5CA63A0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4B7CE"/>
            <w:vAlign w:val="center"/>
          </w:tcPr>
          <w:p w14:paraId="4872AA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2DC58B8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334DE7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64B7CE"/>
            <w:vAlign w:val="center"/>
          </w:tcPr>
          <w:p w14:paraId="6173460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2685BE54">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3F08F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CF85CC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50157825">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25936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4B7CE"/>
            <w:vAlign w:val="center"/>
          </w:tcPr>
          <w:p w14:paraId="161AF6B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4B7CE"/>
            <w:vAlign w:val="center"/>
          </w:tcPr>
          <w:p w14:paraId="631C29E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4B7CE"/>
            <w:vAlign w:val="center"/>
          </w:tcPr>
          <w:p w14:paraId="2C02AB79">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64B7CE"/>
            <w:vAlign w:val="center"/>
          </w:tcPr>
          <w:p w14:paraId="7B2A575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2BB53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186B4C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032EE9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5DA4F67">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D6C0D9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AFF7EC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0C7A7F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0A7FD7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E2F170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4BD70134">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498C62C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48084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4B7CE"/>
            <w:vAlign w:val="center"/>
          </w:tcPr>
          <w:p w14:paraId="4DF6BF0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4B7CE"/>
            <w:vAlign w:val="center"/>
          </w:tcPr>
          <w:p w14:paraId="7E4DC4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4B7CE"/>
            <w:vAlign w:val="center"/>
          </w:tcPr>
          <w:p w14:paraId="225E753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64B7CE"/>
            <w:vAlign w:val="center"/>
          </w:tcPr>
          <w:p w14:paraId="6E060AA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3BDD7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C8FD43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53FB34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0F4843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9CE83F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9564F8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A0AC18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23C39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44CE71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0BABA2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145CC9FF">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97ADC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4B7CE"/>
            <w:vAlign w:val="center"/>
          </w:tcPr>
          <w:p w14:paraId="2E8EACE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4B7CE"/>
            <w:vAlign w:val="center"/>
          </w:tcPr>
          <w:p w14:paraId="5FF6E7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4B7CE"/>
            <w:vAlign w:val="center"/>
          </w:tcPr>
          <w:p w14:paraId="0D5E9E6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4B7CE"/>
            <w:vAlign w:val="center"/>
          </w:tcPr>
          <w:p w14:paraId="051F5A2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4B7CE"/>
            <w:vAlign w:val="center"/>
          </w:tcPr>
          <w:p w14:paraId="73DFB84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4B7CE"/>
            <w:vAlign w:val="center"/>
          </w:tcPr>
          <w:p w14:paraId="16C3F55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D9D84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6DBAC9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52E844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53685D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25595F7">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0BBAD0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AB4EF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1045A4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208EEAA1">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E2CDF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5613C7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DC3233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2BFE585D">
      <w:pPr>
        <w:pStyle w:val="20"/>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 %}</w:t>
      </w:r>
    </w:p>
    <w:p w14:paraId="30575D50">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9"/>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8D134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4B7CE"/>
            <w:vAlign w:val="center"/>
          </w:tcPr>
          <w:p w14:paraId="0E76002D">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14EAD0A">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2CF112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4B7CE"/>
            <w:vAlign w:val="center"/>
          </w:tcPr>
          <w:p w14:paraId="601152FC">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4DF8A83">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200827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4B7CE"/>
            <w:vAlign w:val="center"/>
          </w:tcPr>
          <w:p w14:paraId="0490BBD0">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8BA6B6D">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6EE57BE0">
      <w:pPr>
        <w:pStyle w:val="2"/>
        <w:keepNext w:val="0"/>
        <w:keepLines w:val="0"/>
        <w:pageBreakBefore w:val="0"/>
        <w:widowControl/>
        <w:numPr>
          <w:ilvl w:val="255"/>
          <w:numId w:val="0"/>
        </w:numPr>
        <w:kinsoku w:val="0"/>
        <w:wordWrap/>
        <w:overflowPunct/>
        <w:topLinePunct w:val="0"/>
        <w:autoSpaceDE w:val="0"/>
        <w:autoSpaceDN w:val="0"/>
        <w:bidi w:val="0"/>
        <w:adjustRightInd w:val="0"/>
        <w:snapToGrid w:val="0"/>
        <w:jc w:val="left"/>
        <w:textAlignment w:val="baseline"/>
        <w:rPr>
          <w:rFonts w:hint="default" w:ascii="Times New Roman" w:hAnsi="Times New Roman" w:eastAsia="微软雅黑" w:cs="黑体"/>
          <w:b w:val="0"/>
          <w:bCs w:val="0"/>
          <w:snapToGrid w:val="0"/>
          <w:color w:val="000000"/>
          <w:kern w:val="0"/>
          <w:sz w:val="28"/>
          <w:szCs w:val="28"/>
          <w:lang w:val="en-US" w:eastAsia="zh-CN" w:bidi="ar"/>
        </w:rPr>
      </w:pPr>
      <w:r>
        <w:rPr>
          <w:rFonts w:hint="default" w:ascii="Times New Roman" w:hAnsi="Times New Roman" w:eastAsia="微软雅黑" w:cs="Times New Roman"/>
          <w:b/>
          <w:bCs w:val="0"/>
          <w:snapToGrid w:val="0"/>
          <w:color w:val="auto"/>
          <w:sz w:val="24"/>
          <w:szCs w:val="24"/>
          <w:lang w:val="en-US" w:eastAsia="zh-CN" w:bidi="ar-SA"/>
        </w:rPr>
        <w:t>{% endfor %}</w:t>
      </w:r>
      <w:r>
        <w:rPr>
          <w:rFonts w:hint="default" w:ascii="Times New Roman" w:hAnsi="Times New Roman" w:eastAsia="微软雅黑" w:cs="Times New Roman"/>
          <w:b/>
          <w:bCs w:val="0"/>
          <w:snapToGrid w:val="0"/>
          <w:color w:val="auto"/>
          <w:sz w:val="24"/>
          <w:szCs w:val="24"/>
          <w:lang w:val="en-US" w:eastAsia="zh-CN" w:bidi="ar-SA"/>
        </w:rPr>
        <w:br w:type="page"/>
      </w:r>
      <w:r>
        <w:rPr>
          <w:rFonts w:hint="default" w:ascii="Times New Roman" w:hAnsi="Times New Roman" w:eastAsia="微软雅黑" w:cs="黑体"/>
          <w:b w:val="0"/>
          <w:bCs w:val="0"/>
          <w:snapToGrid w:val="0"/>
          <w:color w:val="000000"/>
          <w:kern w:val="0"/>
          <w:sz w:val="28"/>
          <w:szCs w:val="28"/>
          <w:lang w:val="en-US" w:eastAsia="zh-CN" w:bidi="ar"/>
        </w:rPr>
        <w:t>{% endif %}</w:t>
      </w:r>
    </w:p>
    <w:p w14:paraId="4D8C4C8D">
      <w:pPr>
        <w:pStyle w:val="2"/>
        <w:keepNext w:val="0"/>
        <w:keepLines w:val="0"/>
        <w:pageBreakBefore w:val="0"/>
        <w:widowControl/>
        <w:numPr>
          <w:ilvl w:val="255"/>
          <w:numId w:val="0"/>
        </w:numPr>
        <w:kinsoku w:val="0"/>
        <w:wordWrap/>
        <w:overflowPunct/>
        <w:topLinePunct w:val="0"/>
        <w:autoSpaceDE w:val="0"/>
        <w:autoSpaceDN w:val="0"/>
        <w:bidi w:val="0"/>
        <w:adjustRightInd w:val="0"/>
        <w:snapToGrid w:val="0"/>
        <w:jc w:val="left"/>
        <w:textAlignment w:val="baseline"/>
        <w:rPr>
          <w:rFonts w:hint="default" w:ascii="Times New Roman" w:hAnsi="Times New Roman" w:eastAsia="微软雅黑" w:cs="Times New Roman"/>
          <w:b/>
          <w:bCs w:val="0"/>
          <w:snapToGrid w:val="0"/>
          <w:color w:val="64B7CE"/>
          <w:sz w:val="32"/>
          <w:szCs w:val="36"/>
          <w:lang w:val="en-US" w:eastAsia="zh-CN" w:bidi="ar-SA"/>
        </w:rPr>
      </w:pPr>
      <w:r>
        <w:rPr>
          <w:rFonts w:hint="default" w:ascii="Times New Roman" w:hAnsi="Times New Roman" w:eastAsia="微软雅黑" w:cs="Times New Roman"/>
          <w:b/>
          <w:bCs w:val="0"/>
          <w:snapToGrid w:val="0"/>
          <w:color w:val="64B7CE"/>
          <w:sz w:val="32"/>
          <w:szCs w:val="36"/>
          <w:lang w:val="en-US" w:eastAsia="zh-CN" w:bidi="ar-SA"/>
        </w:rPr>
        <w:t>附录</w:t>
      </w:r>
      <w:bookmarkEnd w:id="13"/>
      <w:bookmarkEnd w:id="14"/>
    </w:p>
    <w:p w14:paraId="5591AAE5">
      <w:pPr>
        <w:pStyle w:val="3"/>
        <w:numPr>
          <w:ilvl w:val="255"/>
          <w:numId w:val="0"/>
        </w:numPr>
        <w:jc w:val="left"/>
        <w:rPr>
          <w:rFonts w:hint="default" w:ascii="Times New Roman" w:hAnsi="Times New Roman" w:eastAsia="微软雅黑" w:cs="Times New Roman"/>
          <w:color w:val="auto"/>
          <w:sz w:val="30"/>
          <w:lang w:eastAsia="zh-CN"/>
        </w:rPr>
      </w:pPr>
      <w:bookmarkStart w:id="15" w:name="_Toc15840_WPSOffice_Level1"/>
      <w:bookmarkStart w:id="16" w:name="_Toc1262"/>
      <w:bookmarkStart w:id="17" w:name="_Toc24085_WPSOffice_Level1"/>
      <w:bookmarkStart w:id="18" w:name="_Toc14102"/>
      <w:bookmarkStart w:id="19" w:name="_Toc14255_WPSOffice_Level1"/>
      <w:bookmarkStart w:id="20" w:name="_Toc3674"/>
      <w:bookmarkStart w:id="21" w:name="_Toc22324"/>
      <w:r>
        <w:rPr>
          <w:rFonts w:hint="default" w:ascii="Times New Roman" w:hAnsi="Times New Roman" w:eastAsia="微软雅黑" w:cs="Times New Roman"/>
          <w:color w:val="auto"/>
          <w:sz w:val="30"/>
          <w:lang w:eastAsia="zh-CN"/>
        </w:rPr>
        <w:t>样本质控情况</w:t>
      </w:r>
      <w:bookmarkEnd w:id="15"/>
      <w:bookmarkEnd w:id="16"/>
      <w:bookmarkEnd w:id="17"/>
      <w:bookmarkEnd w:id="18"/>
      <w:bookmarkEnd w:id="19"/>
      <w:bookmarkEnd w:id="20"/>
      <w:bookmarkEnd w:id="21"/>
    </w:p>
    <w:tbl>
      <w:tblPr>
        <w:tblStyle w:val="9"/>
        <w:tblW w:w="9926" w:type="dxa"/>
        <w:tblInd w:w="25" w:type="dxa"/>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2103"/>
        <w:gridCol w:w="2721"/>
        <w:gridCol w:w="2381"/>
        <w:gridCol w:w="2721"/>
      </w:tblGrid>
      <w:tr w14:paraId="73154BB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trPr>
        <w:tc>
          <w:tcPr>
            <w:tcW w:w="2103" w:type="dxa"/>
            <w:tcBorders>
              <w:top w:val="nil"/>
              <w:left w:val="nil"/>
              <w:bottom w:val="nil"/>
              <w:right w:val="single" w:color="FFFFFF" w:sz="18" w:space="0"/>
            </w:tcBorders>
            <w:shd w:val="clear" w:color="auto" w:fill="64B7CE"/>
            <w:vAlign w:val="center"/>
          </w:tcPr>
          <w:p w14:paraId="6813E6AD">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4B7CE"/>
            <w:vAlign w:val="center"/>
          </w:tcPr>
          <w:p w14:paraId="5CEE6847">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4B7CE"/>
            <w:vAlign w:val="center"/>
          </w:tcPr>
          <w:p w14:paraId="43E2E2C7">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4B7CE"/>
            <w:vAlign w:val="center"/>
          </w:tcPr>
          <w:p w14:paraId="62EAC071">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2786E1F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2103" w:type="dxa"/>
            <w:tcBorders>
              <w:top w:val="nil"/>
              <w:left w:val="nil"/>
            </w:tcBorders>
            <w:vAlign w:val="center"/>
          </w:tcPr>
          <w:p w14:paraId="4956BF60">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753750F2">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肿瘤细胞含量</w:t>
            </w:r>
          </w:p>
        </w:tc>
        <w:tc>
          <w:tcPr>
            <w:tcW w:w="2381" w:type="dxa"/>
            <w:tcBorders>
              <w:top w:val="nil"/>
            </w:tcBorders>
            <w:vAlign w:val="center"/>
          </w:tcPr>
          <w:p w14:paraId="27CCB73E">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rna.tumorcellcontent }}{%endif%}</w:t>
            </w:r>
          </w:p>
        </w:tc>
        <w:tc>
          <w:tcPr>
            <w:tcW w:w="2721" w:type="dxa"/>
            <w:tcBorders>
              <w:top w:val="nil"/>
              <w:right w:val="nil"/>
            </w:tcBorders>
            <w:vAlign w:val="center"/>
          </w:tcPr>
          <w:p w14:paraId="31AA7155">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p>
        </w:tc>
      </w:tr>
      <w:tr w14:paraId="30E2F24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2103" w:type="dxa"/>
            <w:vMerge w:val="restart"/>
            <w:tcBorders>
              <w:left w:val="nil"/>
            </w:tcBorders>
            <w:vAlign w:val="center"/>
          </w:tcPr>
          <w:p w14:paraId="060C94F9">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7404CDED">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RNA总量（</w:t>
            </w:r>
            <w:r>
              <w:rPr>
                <w:rFonts w:ascii="Times New Roman" w:hAnsi="Times New Roman" w:eastAsia="微软雅黑" w:cs="Times New Roman"/>
                <w:bCs/>
                <w:sz w:val="21"/>
                <w:lang w:eastAsia="zh-CN"/>
              </w:rPr>
              <w:t>ng</w:t>
            </w:r>
            <w:r>
              <w:rPr>
                <w:rFonts w:hint="eastAsia" w:ascii="Times New Roman" w:hAnsi="Times New Roman" w:eastAsia="微软雅黑" w:cs="Times New Roman"/>
                <w:bCs/>
                <w:sz w:val="21"/>
                <w:lang w:eastAsia="zh-CN"/>
              </w:rPr>
              <w:t>）</w:t>
            </w:r>
          </w:p>
        </w:tc>
        <w:tc>
          <w:tcPr>
            <w:tcW w:w="2381" w:type="dxa"/>
            <w:vAlign w:val="center"/>
          </w:tcPr>
          <w:p w14:paraId="73A474BF">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rna.RNA_total }}{%endif%}</w:t>
            </w:r>
          </w:p>
        </w:tc>
        <w:tc>
          <w:tcPr>
            <w:tcW w:w="2721" w:type="dxa"/>
            <w:tcBorders>
              <w:right w:val="nil"/>
            </w:tcBorders>
            <w:vAlign w:val="center"/>
          </w:tcPr>
          <w:p w14:paraId="390A9044">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≥100</w:t>
            </w:r>
          </w:p>
        </w:tc>
      </w:tr>
      <w:tr w14:paraId="2EC25D9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2103" w:type="dxa"/>
            <w:vMerge w:val="continue"/>
            <w:tcBorders>
              <w:left w:val="nil"/>
            </w:tcBorders>
            <w:vAlign w:val="center"/>
          </w:tcPr>
          <w:p w14:paraId="14AC3D00">
            <w:pPr>
              <w:ind w:left="119"/>
              <w:jc w:val="center"/>
              <w:rPr>
                <w:rFonts w:ascii="Times New Roman" w:hAnsi="Times New Roman" w:eastAsia="微软雅黑" w:cs="Times New Roman"/>
                <w:b/>
                <w:sz w:val="21"/>
              </w:rPr>
            </w:pPr>
          </w:p>
        </w:tc>
        <w:tc>
          <w:tcPr>
            <w:tcW w:w="2721" w:type="dxa"/>
            <w:vAlign w:val="center"/>
          </w:tcPr>
          <w:p w14:paraId="1E4B8FF1">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RNA降解程度（DV200）</w:t>
            </w:r>
          </w:p>
        </w:tc>
        <w:tc>
          <w:tcPr>
            <w:tcW w:w="2381" w:type="dxa"/>
            <w:vAlign w:val="center"/>
          </w:tcPr>
          <w:p w14:paraId="64EC237C">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rna.RNA_degradation }}{%endif%}</w:t>
            </w:r>
          </w:p>
        </w:tc>
        <w:tc>
          <w:tcPr>
            <w:tcW w:w="2721" w:type="dxa"/>
            <w:tcBorders>
              <w:right w:val="nil"/>
            </w:tcBorders>
            <w:vAlign w:val="center"/>
          </w:tcPr>
          <w:p w14:paraId="467D8539">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≥30 (2100)</w:t>
            </w:r>
          </w:p>
          <w:p w14:paraId="401624DF">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≥70 (QSEP)</w:t>
            </w:r>
          </w:p>
        </w:tc>
      </w:tr>
      <w:tr w14:paraId="1142343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2103" w:type="dxa"/>
            <w:vMerge w:val="continue"/>
            <w:tcBorders>
              <w:left w:val="nil"/>
            </w:tcBorders>
            <w:vAlign w:val="center"/>
          </w:tcPr>
          <w:p w14:paraId="3504221A">
            <w:pPr>
              <w:ind w:left="119"/>
              <w:jc w:val="center"/>
              <w:rPr>
                <w:rFonts w:ascii="Times New Roman" w:hAnsi="Times New Roman" w:eastAsia="微软雅黑" w:cs="Times New Roman"/>
                <w:b/>
                <w:sz w:val="21"/>
              </w:rPr>
            </w:pPr>
          </w:p>
        </w:tc>
        <w:tc>
          <w:tcPr>
            <w:tcW w:w="2721" w:type="dxa"/>
            <w:vAlign w:val="center"/>
          </w:tcPr>
          <w:p w14:paraId="74430119">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预文库总量（</w:t>
            </w:r>
            <w:r>
              <w:rPr>
                <w:rFonts w:ascii="Times New Roman" w:hAnsi="Times New Roman" w:eastAsia="微软雅黑" w:cs="Times New Roman"/>
                <w:bCs/>
                <w:sz w:val="21"/>
                <w:lang w:eastAsia="zh-CN"/>
              </w:rPr>
              <w:t>ng</w:t>
            </w:r>
            <w:r>
              <w:rPr>
                <w:rFonts w:hint="eastAsia" w:ascii="Times New Roman" w:hAnsi="Times New Roman" w:eastAsia="微软雅黑" w:cs="Times New Roman"/>
                <w:bCs/>
                <w:sz w:val="21"/>
                <w:lang w:eastAsia="zh-CN"/>
              </w:rPr>
              <w:t>）</w:t>
            </w:r>
          </w:p>
        </w:tc>
        <w:tc>
          <w:tcPr>
            <w:tcW w:w="2381" w:type="dxa"/>
            <w:vAlign w:val="center"/>
          </w:tcPr>
          <w:p w14:paraId="44FBEA43">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rna.outbound_quantity }}{%endif%}</w:t>
            </w:r>
          </w:p>
        </w:tc>
        <w:tc>
          <w:tcPr>
            <w:tcW w:w="2721" w:type="dxa"/>
            <w:tcBorders>
              <w:right w:val="nil"/>
            </w:tcBorders>
            <w:vAlign w:val="center"/>
          </w:tcPr>
          <w:p w14:paraId="22C33362">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≥500</w:t>
            </w:r>
          </w:p>
        </w:tc>
      </w:tr>
      <w:tr w14:paraId="79B3194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2103" w:type="dxa"/>
            <w:vMerge w:val="restart"/>
            <w:tcBorders>
              <w:left w:val="nil"/>
            </w:tcBorders>
            <w:vAlign w:val="center"/>
          </w:tcPr>
          <w:p w14:paraId="3AB5ED85">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11F6C438">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测序总reads数（条）</w:t>
            </w:r>
          </w:p>
        </w:tc>
        <w:tc>
          <w:tcPr>
            <w:tcW w:w="2381" w:type="dxa"/>
            <w:vAlign w:val="center"/>
          </w:tcPr>
          <w:p w14:paraId="092D7AD5">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rna.total_reads }}{%endif%}</w:t>
            </w:r>
          </w:p>
        </w:tc>
        <w:tc>
          <w:tcPr>
            <w:tcW w:w="2721" w:type="dxa"/>
            <w:tcBorders>
              <w:right w:val="nil"/>
            </w:tcBorders>
            <w:vAlign w:val="center"/>
          </w:tcPr>
          <w:p w14:paraId="15A30C3A">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≥12,000,000</w:t>
            </w:r>
          </w:p>
        </w:tc>
      </w:tr>
      <w:tr w14:paraId="379D56E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2103" w:type="dxa"/>
            <w:vMerge w:val="continue"/>
            <w:tcBorders>
              <w:left w:val="nil"/>
            </w:tcBorders>
            <w:vAlign w:val="center"/>
          </w:tcPr>
          <w:p w14:paraId="447FC327">
            <w:pPr>
              <w:ind w:left="119"/>
              <w:jc w:val="center"/>
              <w:rPr>
                <w:rFonts w:ascii="Times New Roman" w:hAnsi="Times New Roman" w:eastAsia="微软雅黑" w:cs="Times New Roman"/>
                <w:b/>
                <w:sz w:val="21"/>
              </w:rPr>
            </w:pPr>
          </w:p>
        </w:tc>
        <w:tc>
          <w:tcPr>
            <w:tcW w:w="2721" w:type="dxa"/>
            <w:vAlign w:val="center"/>
          </w:tcPr>
          <w:p w14:paraId="06E9E55A">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碱基质量</w:t>
            </w:r>
            <w:r>
              <w:rPr>
                <w:rFonts w:ascii="Times New Roman" w:hAnsi="Times New Roman" w:eastAsia="微软雅黑" w:cs="Times New Roman"/>
                <w:bCs/>
                <w:sz w:val="21"/>
                <w:lang w:eastAsia="zh-CN"/>
              </w:rPr>
              <w:t>Q30</w:t>
            </w:r>
            <w:r>
              <w:rPr>
                <w:rFonts w:hint="eastAsia" w:ascii="Times New Roman" w:hAnsi="Times New Roman" w:eastAsia="微软雅黑" w:cs="Times New Roman"/>
                <w:bCs/>
                <w:sz w:val="21"/>
                <w:lang w:eastAsia="zh-CN"/>
              </w:rPr>
              <w:t>占比</w:t>
            </w:r>
          </w:p>
        </w:tc>
        <w:tc>
          <w:tcPr>
            <w:tcW w:w="2381" w:type="dxa"/>
            <w:vAlign w:val="center"/>
          </w:tcPr>
          <w:p w14:paraId="67308616">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rna.base_quality }}{%endif%}</w:t>
            </w:r>
          </w:p>
        </w:tc>
        <w:tc>
          <w:tcPr>
            <w:tcW w:w="2721" w:type="dxa"/>
            <w:tcBorders>
              <w:right w:val="nil"/>
            </w:tcBorders>
            <w:vAlign w:val="center"/>
          </w:tcPr>
          <w:p w14:paraId="50309497">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≥80%</w:t>
            </w:r>
          </w:p>
        </w:tc>
      </w:tr>
      <w:tr w14:paraId="7120F4C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trPr>
        <w:tc>
          <w:tcPr>
            <w:tcW w:w="2103" w:type="dxa"/>
            <w:tcBorders>
              <w:left w:val="nil"/>
            </w:tcBorders>
            <w:shd w:val="clear" w:color="auto" w:fill="F1F1F1"/>
            <w:vAlign w:val="center"/>
          </w:tcPr>
          <w:p w14:paraId="3006C8FB">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6D73F5EC">
            <w:pPr>
              <w:ind w:left="119"/>
              <w:jc w:val="center"/>
              <w:rPr>
                <w:rFonts w:ascii="Times New Roman" w:hAnsi="Times New Roman" w:eastAsia="微软雅黑" w:cs="Times New Roman"/>
                <w:bCs/>
                <w:sz w:val="21"/>
                <w:lang w:eastAsia="zh-CN"/>
              </w:rPr>
            </w:pPr>
            <w:r>
              <w:rPr>
                <w:rFonts w:hint="eastAsia" w:ascii="微软雅黑" w:hAnsi="微软雅黑" w:eastAsia="微软雅黑" w:cs="微软雅黑"/>
                <w:bCs/>
                <w:sz w:val="21"/>
                <w:lang w:eastAsia="zh-CN"/>
              </w:rPr>
              <w:t>{%if rna != undefined%}{{ rna.total_reads | oqa(12000000,10000000) }}{%endif%}</w:t>
            </w:r>
          </w:p>
        </w:tc>
      </w:tr>
    </w:tbl>
    <w:p w14:paraId="1A094560">
      <w:pPr>
        <w:pStyle w:val="4"/>
        <w:rPr>
          <w:rFonts w:hint="default" w:ascii="Times New Roman" w:hAnsi="Times New Roman" w:eastAsia="微软雅黑" w:cs="Times New Roman"/>
          <w:b/>
          <w:sz w:val="6"/>
          <w:lang w:eastAsia="zh-CN"/>
        </w:rPr>
      </w:pPr>
    </w:p>
    <w:p w14:paraId="2399322A">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68A476A4">
      <w:pPr>
        <w:numPr>
          <w:ilvl w:val="0"/>
          <w:numId w:val="6"/>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14:paraId="18F80F54">
      <w:pPr>
        <w:numPr>
          <w:ilvl w:val="0"/>
          <w:numId w:val="6"/>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RNA总量：送检样本的RNA提取总量。</w:t>
      </w:r>
    </w:p>
    <w:p w14:paraId="5280EEA2">
      <w:pPr>
        <w:numPr>
          <w:ilvl w:val="0"/>
          <w:numId w:val="6"/>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RNA降解程度：大于 200 个核苷酸的 RNA 片段占 RNA 总片段的百分比。</w:t>
      </w:r>
    </w:p>
    <w:p w14:paraId="357AC188">
      <w:pPr>
        <w:numPr>
          <w:ilvl w:val="0"/>
          <w:numId w:val="6"/>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预文库总量：核酸片段经过接头连接和扩增纯化后中间产物的总量。</w:t>
      </w:r>
    </w:p>
    <w:p w14:paraId="1E782758">
      <w:pPr>
        <w:numPr>
          <w:ilvl w:val="0"/>
          <w:numId w:val="6"/>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测序总 reads 数：文库测序获得的数据总量（reads）。</w:t>
      </w:r>
    </w:p>
    <w:p w14:paraId="0CD08C83">
      <w:pPr>
        <w:numPr>
          <w:ilvl w:val="0"/>
          <w:numId w:val="6"/>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碱基质量 Q30 占比：测序数据中碱基质量在 Q30 以上（即碱基识别错误率在千分之一以下）的占比。</w:t>
      </w:r>
    </w:p>
    <w:p w14:paraId="1FD23281">
      <w:pPr>
        <w:numPr>
          <w:ilvl w:val="0"/>
          <w:numId w:val="6"/>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总体质量评估：根据 RNA 测序总 reads 数进行评估，分为“合格”、“警戒“、”不合格”三个等级。总体质量评估为“警戒“或者“不合格”时，均会影响检测的准确性和敏感性。</w:t>
      </w:r>
    </w:p>
    <w:p w14:paraId="3005E0FD">
      <w:pPr>
        <w:keepNext w:val="0"/>
        <w:keepLines w:val="0"/>
        <w:widowControl w:val="0"/>
        <w:suppressLineNumbers w:val="0"/>
        <w:spacing w:before="0" w:beforeAutospacing="0" w:after="0" w:afterAutospacing="0"/>
        <w:ind w:left="0" w:right="0"/>
        <w:jc w:val="left"/>
        <w:rPr>
          <w:rFonts w:ascii="微软雅黑" w:hAnsi="微软雅黑" w:cs="微软雅黑" w:eastAsiaTheme="minorEastAsia"/>
          <w:sz w:val="23"/>
          <w:szCs w:val="23"/>
        </w:rPr>
      </w:pPr>
      <w:r>
        <w:rPr>
          <w:rFonts w:ascii="微软雅黑" w:hAnsi="微软雅黑" w:cs="微软雅黑" w:eastAsiaTheme="minorEastAsia"/>
          <w:sz w:val="23"/>
          <w:szCs w:val="23"/>
        </w:rPr>
        <w:br w:type="page"/>
      </w:r>
    </w:p>
    <w:p w14:paraId="05BD6C93">
      <w:pPr>
        <w:bidi w:val="0"/>
        <w:rPr>
          <w:sz w:val="28"/>
          <w:szCs w:val="28"/>
        </w:rPr>
      </w:pPr>
      <w:bookmarkStart w:id="22" w:name="_Toc32098"/>
      <w:bookmarkStart w:id="23" w:name="_Toc23373"/>
      <w:bookmarkStart w:id="24" w:name="_Toc8911"/>
      <w:bookmarkStart w:id="25" w:name="_Toc28454_WPSOffice_Level1"/>
      <w:bookmarkStart w:id="26" w:name="_Toc27034"/>
      <w:bookmarkStart w:id="27" w:name="_Toc26985_WPSOffice_Level1"/>
      <w:bookmarkStart w:id="28" w:name="_Toc107825570"/>
      <w:bookmarkStart w:id="29" w:name="_Toc20170_WPSOffice_Level1"/>
      <w:bookmarkStart w:id="30" w:name="_Toc5476"/>
      <w:r>
        <w:rPr>
          <w:rFonts w:hint="default" w:ascii="Times New Roman" w:hAnsi="Times New Roman" w:eastAsia="微软雅黑" w:cs="Times New Roman"/>
          <w:kern w:val="0"/>
          <w:sz w:val="28"/>
          <w:szCs w:val="28"/>
          <w:lang w:val="en-US" w:eastAsia="zh-CN" w:bidi="ar"/>
        </w:rPr>
        <w:t xml:space="preserve">{% if </w:t>
      </w:r>
      <w:r>
        <w:rPr>
          <w:rFonts w:hint="eastAsia" w:ascii="Times New Roman" w:hAnsi="Times New Roman" w:eastAsia="微软雅黑" w:cs="Times New Roman"/>
          <w:kern w:val="0"/>
          <w:sz w:val="28"/>
          <w:szCs w:val="28"/>
          <w:lang w:val="en-US" w:eastAsia="zh-CN" w:bidi="ar"/>
        </w:rPr>
        <w:t>b</w:t>
      </w:r>
      <w:r>
        <w:rPr>
          <w:rFonts w:hint="default" w:ascii="Times New Roman" w:hAnsi="Times New Roman" w:eastAsia="微软雅黑" w:cs="黑体"/>
          <w:kern w:val="0"/>
          <w:sz w:val="28"/>
          <w:szCs w:val="28"/>
          <w:lang w:val="en-US" w:eastAsia="zh-CN" w:bidi="ar"/>
        </w:rPr>
        <w:t>rainGlioma</w:t>
      </w:r>
      <w:r>
        <w:rPr>
          <w:rFonts w:hint="eastAsia" w:ascii="Times New Roman" w:hAnsi="Times New Roman" w:eastAsia="微软雅黑" w:cs="黑体"/>
          <w:kern w:val="0"/>
          <w:sz w:val="28"/>
          <w:szCs w:val="28"/>
          <w:lang w:val="en-US" w:eastAsia="zh-CN" w:bidi="ar"/>
        </w:rPr>
        <w:t xml:space="preserve">Flag </w:t>
      </w:r>
      <w:r>
        <w:rPr>
          <w:rFonts w:hint="default" w:ascii="Times New Roman" w:hAnsi="Times New Roman" w:eastAsia="微软雅黑" w:cs="Times New Roman"/>
          <w:kern w:val="0"/>
          <w:sz w:val="28"/>
          <w:szCs w:val="28"/>
          <w:lang w:val="en-US" w:eastAsia="zh-CN" w:bidi="ar"/>
        </w:rPr>
        <w:t>%}</w:t>
      </w:r>
    </w:p>
    <w:p w14:paraId="6C433726">
      <w:pPr>
        <w:pStyle w:val="3"/>
        <w:numPr>
          <w:ilvl w:val="255"/>
          <w:numId w:val="0"/>
        </w:numPr>
        <w:jc w:val="left"/>
        <w:rPr>
          <w:rFonts w:hint="eastAsia" w:ascii="Times New Roman" w:hAnsi="Times New Roman" w:eastAsia="微软雅黑" w:cs="Times New Roman"/>
          <w:color w:val="auto"/>
          <w:sz w:val="30"/>
          <w:lang w:val="en-US" w:eastAsia="zh-CN"/>
        </w:rPr>
      </w:pPr>
      <w:bookmarkStart w:id="31" w:name="_Toc20772"/>
      <w:r>
        <w:rPr>
          <w:rFonts w:hint="eastAsia" w:ascii="Times New Roman" w:hAnsi="Times New Roman" w:eastAsia="微软雅黑" w:cs="Times New Roman"/>
          <w:color w:val="auto"/>
          <w:sz w:val="30"/>
          <w:lang w:val="en-US" w:eastAsia="zh-CN"/>
        </w:rPr>
        <w:t>常见胶质瘤分型相关基因变异</w:t>
      </w:r>
      <w:bookmarkEnd w:id="31"/>
    </w:p>
    <w:p w14:paraId="056BD978">
      <w:pPr>
        <w:numPr>
          <w:ilvl w:val="0"/>
          <w:numId w:val="0"/>
        </w:numPr>
        <w:ind w:leftChars="0"/>
        <w:rPr>
          <w:rFonts w:ascii="Times New Roman" w:hAnsi="Times New Roman" w:eastAsia="微软雅黑" w:cs="Times New Roman"/>
          <w:color w:val="000000"/>
          <w:sz w:val="21"/>
          <w:szCs w:val="21"/>
          <w:lang w:eastAsia="zh-Hans" w:bidi="ar"/>
        </w:rPr>
      </w:pPr>
    </w:p>
    <w:tbl>
      <w:tblPr>
        <w:tblStyle w:val="9"/>
        <w:tblW w:w="4999"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626"/>
        <w:gridCol w:w="7334"/>
      </w:tblGrid>
      <w:tr w14:paraId="6A4AF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jc w:val="center"/>
        </w:trPr>
        <w:tc>
          <w:tcPr>
            <w:tcW w:w="1318" w:type="pct"/>
            <w:tcBorders>
              <w:top w:val="nil"/>
              <w:left w:val="nil"/>
              <w:bottom w:val="nil"/>
              <w:right w:val="single" w:color="FFFFFF" w:sz="12" w:space="0"/>
            </w:tcBorders>
            <w:shd w:val="clear" w:color="auto" w:fill="64B7CE"/>
            <w:vAlign w:val="center"/>
          </w:tcPr>
          <w:p w14:paraId="2BFF24CC">
            <w:pPr>
              <w:keepNext w:val="0"/>
              <w:keepLines w:val="0"/>
              <w:widowControl/>
              <w:suppressLineNumbers w:val="0"/>
              <w:jc w:val="center"/>
              <w:textAlignment w:val="center"/>
              <w:rPr>
                <w:rFonts w:hint="default" w:ascii="Times New Roman" w:hAnsi="Times New Roman" w:eastAsia="微软雅黑" w:cs="Times New Roman"/>
                <w:b/>
                <w:bCs/>
                <w:i w:val="0"/>
                <w:iCs w:val="0"/>
                <w:color w:val="FFFFFF"/>
                <w:sz w:val="21"/>
                <w:szCs w:val="21"/>
                <w:u w:val="none"/>
              </w:rPr>
            </w:pPr>
            <w:r>
              <w:rPr>
                <w:rStyle w:val="28"/>
                <w:rFonts w:hint="default" w:ascii="Times New Roman" w:hAnsi="Times New Roman" w:eastAsia="微软雅黑" w:cs="Times New Roman"/>
                <w:lang w:val="en-US" w:eastAsia="zh-CN" w:bidi="ar"/>
              </w:rPr>
              <w:t>CNS分子标记物</w:t>
            </w:r>
          </w:p>
        </w:tc>
        <w:tc>
          <w:tcPr>
            <w:tcW w:w="3681" w:type="pct"/>
            <w:tcBorders>
              <w:top w:val="nil"/>
              <w:left w:val="single" w:color="FFFFFF" w:sz="12" w:space="0"/>
              <w:bottom w:val="nil"/>
              <w:right w:val="nil"/>
            </w:tcBorders>
            <w:shd w:val="clear" w:color="auto" w:fill="64B7CE"/>
            <w:vAlign w:val="center"/>
          </w:tcPr>
          <w:p w14:paraId="4FAC6165">
            <w:pPr>
              <w:keepNext w:val="0"/>
              <w:keepLines w:val="0"/>
              <w:widowControl/>
              <w:suppressLineNumbers w:val="0"/>
              <w:jc w:val="center"/>
              <w:textAlignment w:val="center"/>
              <w:rPr>
                <w:rFonts w:hint="default" w:ascii="Times New Roman" w:hAnsi="Times New Roman" w:eastAsia="微软雅黑" w:cs="Times New Roman"/>
                <w:b/>
                <w:bCs/>
                <w:i w:val="0"/>
                <w:iCs w:val="0"/>
                <w:color w:val="FFFFFF"/>
                <w:sz w:val="21"/>
                <w:szCs w:val="21"/>
                <w:u w:val="none"/>
              </w:rPr>
            </w:pPr>
            <w:r>
              <w:rPr>
                <w:rStyle w:val="28"/>
                <w:rFonts w:hint="default" w:ascii="Times New Roman" w:hAnsi="Times New Roman" w:eastAsia="微软雅黑" w:cs="Times New Roman"/>
                <w:lang w:val="en-US" w:eastAsia="zh-CN" w:bidi="ar"/>
              </w:rPr>
              <w:t>临床检测意义</w:t>
            </w:r>
          </w:p>
        </w:tc>
      </w:tr>
      <w:tr w14:paraId="0A0C55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nil"/>
              <w:left w:val="nil"/>
              <w:bottom w:val="single" w:color="A4A4A4" w:sz="4" w:space="0"/>
              <w:right w:val="single" w:color="A4A4A4" w:sz="4" w:space="0"/>
            </w:tcBorders>
            <w:shd w:val="clear" w:color="auto" w:fill="auto"/>
            <w:vAlign w:val="center"/>
          </w:tcPr>
          <w:p w14:paraId="79269543">
            <w:pPr>
              <w:widowControl/>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BRAF 融合</w:t>
            </w:r>
          </w:p>
        </w:tc>
        <w:tc>
          <w:tcPr>
            <w:tcW w:w="3681" w:type="pct"/>
            <w:tcBorders>
              <w:top w:val="nil"/>
              <w:left w:val="single" w:color="A4A4A4" w:sz="4" w:space="0"/>
              <w:bottom w:val="single" w:color="A4A4A4" w:sz="4" w:space="0"/>
              <w:right w:val="nil"/>
            </w:tcBorders>
            <w:shd w:val="clear" w:color="auto" w:fill="auto"/>
            <w:vAlign w:val="center"/>
          </w:tcPr>
          <w:p w14:paraId="0838DC35">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KIAA1549-BRAF 融合是毛细胞型星形细胞瘤的关键诊断指标。</w:t>
            </w:r>
          </w:p>
        </w:tc>
      </w:tr>
      <w:tr w14:paraId="4C6626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5137D73F">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FGFR1 融合</w:t>
            </w:r>
          </w:p>
        </w:tc>
        <w:tc>
          <w:tcPr>
            <w:tcW w:w="3681" w:type="pct"/>
            <w:vMerge w:val="restart"/>
            <w:tcBorders>
              <w:top w:val="single" w:color="A4A4A4" w:sz="4" w:space="0"/>
              <w:left w:val="single" w:color="A4A4A4" w:sz="4" w:space="0"/>
              <w:bottom w:val="single" w:color="A4A4A4" w:sz="4" w:space="0"/>
              <w:right w:val="nil"/>
            </w:tcBorders>
            <w:shd w:val="clear" w:color="auto" w:fill="auto"/>
            <w:vAlign w:val="center"/>
          </w:tcPr>
          <w:p w14:paraId="33364997">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FGFR1/2/3 融合常见于青少年多形性低级别神经上皮肿瘤；其中FGFR1 融合也见于 IDH 野生型的脑室外神经细胞瘤中。FGFR1 激酶结构域重复（KDD）常见于弥漫性低级别胶质瘤，MAPK 信号通路突变型，在低级别星形细胞瘤中也有报道，包括毛细胞星形细胞瘤（通常是小脑外）和胚胎发育不良性神经上皮肿瘤。FGFR1 热点突变发生在 FGFR1的激酶结构域内，常见于在胚胎发育不良神经上皮肿瘤中，并已成为菊形团形成性胶质神经元肿瘤 (RGNT) 的分子标志，主要影响年轻人。靶向治疗靶点。</w:t>
            </w:r>
          </w:p>
        </w:tc>
      </w:tr>
      <w:tr w14:paraId="6A366F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552FA065">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FGFR2 融合</w:t>
            </w:r>
          </w:p>
        </w:tc>
        <w:tc>
          <w:tcPr>
            <w:tcW w:w="3681" w:type="pct"/>
            <w:vMerge w:val="continue"/>
            <w:tcBorders>
              <w:top w:val="single" w:color="A4A4A4" w:sz="4" w:space="0"/>
              <w:left w:val="single" w:color="A4A4A4" w:sz="4" w:space="0"/>
              <w:bottom w:val="single" w:color="A4A4A4" w:sz="4" w:space="0"/>
              <w:right w:val="nil"/>
            </w:tcBorders>
            <w:shd w:val="clear" w:color="auto" w:fill="auto"/>
            <w:vAlign w:val="center"/>
          </w:tcPr>
          <w:p w14:paraId="1AD62B51">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240A6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511430F0">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FGFR3 融合</w:t>
            </w:r>
          </w:p>
        </w:tc>
        <w:tc>
          <w:tcPr>
            <w:tcW w:w="3681" w:type="pct"/>
            <w:vMerge w:val="continue"/>
            <w:tcBorders>
              <w:top w:val="single" w:color="A4A4A4" w:sz="4" w:space="0"/>
              <w:left w:val="single" w:color="A4A4A4" w:sz="4" w:space="0"/>
              <w:bottom w:val="single" w:color="A4A4A4" w:sz="4" w:space="0"/>
              <w:right w:val="nil"/>
            </w:tcBorders>
            <w:shd w:val="clear" w:color="auto" w:fill="auto"/>
            <w:vAlign w:val="center"/>
          </w:tcPr>
          <w:p w14:paraId="63B03E4A">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734CD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759C2C20">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NTRK1 融合</w:t>
            </w:r>
          </w:p>
        </w:tc>
        <w:tc>
          <w:tcPr>
            <w:tcW w:w="3681" w:type="pct"/>
            <w:vMerge w:val="restart"/>
            <w:tcBorders>
              <w:top w:val="single" w:color="A4A4A4" w:sz="4" w:space="0"/>
              <w:left w:val="single" w:color="A4A4A4" w:sz="4" w:space="0"/>
              <w:bottom w:val="single" w:color="A4A4A4" w:sz="4" w:space="0"/>
              <w:right w:val="nil"/>
            </w:tcBorders>
            <w:shd w:val="clear" w:color="auto" w:fill="auto"/>
            <w:vAlign w:val="center"/>
          </w:tcPr>
          <w:p w14:paraId="4B044C19">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常见于婴儿型半球胶质瘤。治疗意义：靶向治疗靶点。</w:t>
            </w:r>
          </w:p>
        </w:tc>
      </w:tr>
      <w:tr w14:paraId="0B1CD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07ABD2FC">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NTRK2 融合</w:t>
            </w:r>
          </w:p>
        </w:tc>
        <w:tc>
          <w:tcPr>
            <w:tcW w:w="3681" w:type="pct"/>
            <w:vMerge w:val="continue"/>
            <w:tcBorders>
              <w:top w:val="single" w:color="A4A4A4" w:sz="4" w:space="0"/>
              <w:left w:val="single" w:color="A4A4A4" w:sz="4" w:space="0"/>
              <w:bottom w:val="single" w:color="A4A4A4" w:sz="4" w:space="0"/>
              <w:right w:val="nil"/>
            </w:tcBorders>
            <w:shd w:val="clear" w:color="auto" w:fill="auto"/>
            <w:vAlign w:val="center"/>
          </w:tcPr>
          <w:p w14:paraId="239E97C3">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5D491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00BDC537">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NTRK3 融合</w:t>
            </w:r>
          </w:p>
        </w:tc>
        <w:tc>
          <w:tcPr>
            <w:tcW w:w="3681" w:type="pct"/>
            <w:vMerge w:val="continue"/>
            <w:tcBorders>
              <w:top w:val="single" w:color="A4A4A4" w:sz="4" w:space="0"/>
              <w:left w:val="single" w:color="A4A4A4" w:sz="4" w:space="0"/>
              <w:bottom w:val="single" w:color="A4A4A4" w:sz="4" w:space="0"/>
              <w:right w:val="nil"/>
            </w:tcBorders>
            <w:shd w:val="clear" w:color="auto" w:fill="auto"/>
            <w:vAlign w:val="center"/>
          </w:tcPr>
          <w:p w14:paraId="4422F532">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14539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0C8756E9">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ALK 融合</w:t>
            </w:r>
          </w:p>
        </w:tc>
        <w:tc>
          <w:tcPr>
            <w:tcW w:w="3681" w:type="pct"/>
            <w:tcBorders>
              <w:top w:val="single" w:color="A4A4A4" w:sz="4" w:space="0"/>
              <w:left w:val="single" w:color="A4A4A4" w:sz="4" w:space="0"/>
              <w:bottom w:val="single" w:color="A4A4A4" w:sz="4" w:space="0"/>
              <w:right w:val="nil"/>
            </w:tcBorders>
            <w:shd w:val="clear" w:color="auto" w:fill="auto"/>
            <w:vAlign w:val="center"/>
          </w:tcPr>
          <w:p w14:paraId="5BBE2FFD">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常见于婴儿型半球胶质瘤。治疗意义：靶向治疗靶点。</w:t>
            </w:r>
          </w:p>
        </w:tc>
      </w:tr>
      <w:tr w14:paraId="3C03D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2F071635">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ROS1 融合</w:t>
            </w:r>
          </w:p>
        </w:tc>
        <w:tc>
          <w:tcPr>
            <w:tcW w:w="3681" w:type="pct"/>
            <w:tcBorders>
              <w:top w:val="single" w:color="A4A4A4" w:sz="4" w:space="0"/>
              <w:left w:val="single" w:color="A4A4A4" w:sz="4" w:space="0"/>
              <w:bottom w:val="single" w:color="A4A4A4" w:sz="4" w:space="0"/>
              <w:right w:val="nil"/>
            </w:tcBorders>
            <w:shd w:val="clear" w:color="auto" w:fill="auto"/>
            <w:vAlign w:val="center"/>
          </w:tcPr>
          <w:p w14:paraId="1FF32067">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常见于婴儿型半球胶质瘤。治疗意义：靶向治疗靶点。</w:t>
            </w:r>
          </w:p>
        </w:tc>
      </w:tr>
      <w:tr w14:paraId="65AC6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269E05CD">
            <w:pPr>
              <w:widowControl/>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YAP1 融合</w:t>
            </w:r>
          </w:p>
        </w:tc>
        <w:tc>
          <w:tcPr>
            <w:tcW w:w="3681" w:type="pct"/>
            <w:tcBorders>
              <w:top w:val="single" w:color="A4A4A4" w:sz="4" w:space="0"/>
              <w:left w:val="single" w:color="A4A4A4" w:sz="4" w:space="0"/>
              <w:bottom w:val="single" w:color="A4A4A4" w:sz="4" w:space="0"/>
              <w:right w:val="nil"/>
            </w:tcBorders>
            <w:shd w:val="clear" w:color="auto" w:fill="auto"/>
            <w:vAlign w:val="center"/>
          </w:tcPr>
          <w:p w14:paraId="74911D96">
            <w:pPr>
              <w:widowControl/>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YAP1融合是幕上室管膜瘤的诊断指标。发生YAP1 融合变异的幕上室管膜瘤更具侵袭性，预后相对较差。</w:t>
            </w:r>
          </w:p>
        </w:tc>
      </w:tr>
      <w:tr w14:paraId="061623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53538FBE">
            <w:pPr>
              <w:widowControl/>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ZFTA（C11orf95）-RELA融合</w:t>
            </w:r>
          </w:p>
        </w:tc>
        <w:tc>
          <w:tcPr>
            <w:tcW w:w="3681" w:type="pct"/>
            <w:tcBorders>
              <w:top w:val="single" w:color="A4A4A4" w:sz="4" w:space="0"/>
              <w:left w:val="single" w:color="A4A4A4" w:sz="4" w:space="0"/>
              <w:bottom w:val="single" w:color="A4A4A4" w:sz="4" w:space="0"/>
              <w:right w:val="nil"/>
            </w:tcBorders>
            <w:shd w:val="clear" w:color="auto" w:fill="auto"/>
            <w:vAlign w:val="center"/>
          </w:tcPr>
          <w:p w14:paraId="1AAF6E23">
            <w:pPr>
              <w:widowControl/>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ZFTA-RELA 基因融合是室管膜瘤亚型的关键诊断指标。发生ZFTA-RELA 融合变异的幕上室管膜瘤更具侵袭性，预后相对较差。</w:t>
            </w:r>
          </w:p>
        </w:tc>
      </w:tr>
      <w:tr w14:paraId="414BFE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7CDF3C44">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EGFR VIII</w:t>
            </w:r>
          </w:p>
        </w:tc>
        <w:tc>
          <w:tcPr>
            <w:tcW w:w="3681" w:type="pct"/>
            <w:tcBorders>
              <w:top w:val="single" w:color="A4A4A4" w:sz="4" w:space="0"/>
              <w:left w:val="single" w:color="A4A4A4" w:sz="4" w:space="0"/>
              <w:bottom w:val="single" w:color="A4A4A4" w:sz="4" w:space="0"/>
              <w:right w:val="nil"/>
            </w:tcBorders>
            <w:shd w:val="clear" w:color="auto" w:fill="auto"/>
            <w:vAlign w:val="center"/>
          </w:tcPr>
          <w:p w14:paraId="0733A168">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在高级别胶质瘤中高频发生EGFR扩增和EGFRvIII突变，携带EGFRvIII突变的患者预后较差; EGFR扩增和vIII突变与胶质瘤预后和靶向治疗相关。</w:t>
            </w:r>
          </w:p>
        </w:tc>
      </w:tr>
      <w:tr w14:paraId="6CF840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3D4B077C">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RELA融合</w:t>
            </w:r>
          </w:p>
        </w:tc>
        <w:tc>
          <w:tcPr>
            <w:tcW w:w="3681" w:type="pct"/>
            <w:tcBorders>
              <w:top w:val="single" w:color="A4A4A4" w:sz="4" w:space="0"/>
              <w:left w:val="single" w:color="A4A4A4" w:sz="4" w:space="0"/>
              <w:bottom w:val="single" w:color="A4A4A4" w:sz="4" w:space="0"/>
              <w:right w:val="nil"/>
            </w:tcBorders>
            <w:shd w:val="clear" w:color="auto" w:fill="auto"/>
            <w:vAlign w:val="center"/>
          </w:tcPr>
          <w:p w14:paraId="2E0A64F0">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根据脑胶质瘤诊疗规范（2018版）和2016年中枢神经系统肿瘤分类，幕上室管膜瘤RELA融合阳性肿瘤需要进行RELA融合的分子检测。RELA融合阳性幕上室管膜瘤具有较差的临床预后特征。</w:t>
            </w:r>
          </w:p>
        </w:tc>
      </w:tr>
      <w:tr w14:paraId="30D23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0" w:type="auto"/>
            <w:tcBorders>
              <w:top w:val="single" w:color="A4A4A4" w:sz="4" w:space="0"/>
              <w:bottom w:val="single" w:color="A4A4A4" w:sz="4" w:space="0"/>
              <w:right w:val="single" w:color="A4A4A4" w:sz="4" w:space="0"/>
            </w:tcBorders>
            <w:shd w:val="clear" w:color="auto" w:fill="auto"/>
            <w:vAlign w:val="center"/>
          </w:tcPr>
          <w:p w14:paraId="0DB357F5">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JAK1融合</w:t>
            </w:r>
          </w:p>
        </w:tc>
        <w:tc>
          <w:tcPr>
            <w:tcW w:w="3681" w:type="pct"/>
            <w:tcBorders>
              <w:top w:val="single" w:color="A4A4A4" w:sz="4" w:space="0"/>
              <w:left w:val="single" w:color="A4A4A4" w:sz="4" w:space="0"/>
              <w:bottom w:val="single" w:color="A4A4A4" w:sz="4" w:space="0"/>
            </w:tcBorders>
            <w:shd w:val="clear" w:color="auto" w:fill="auto"/>
          </w:tcPr>
          <w:p w14:paraId="38812CE3">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有研究表明JAK1参与的信号通路与促进缺氧期间胶质瘤干细胞样细胞的自我更新有关。</w:t>
            </w:r>
          </w:p>
        </w:tc>
      </w:tr>
      <w:tr w14:paraId="481FE4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0" w:type="auto"/>
            <w:tcBorders>
              <w:top w:val="single" w:color="A4A4A4" w:sz="4" w:space="0"/>
              <w:bottom w:val="single" w:color="A4A4A4" w:sz="4" w:space="0"/>
              <w:right w:val="single" w:color="A4A4A4" w:sz="4" w:space="0"/>
            </w:tcBorders>
            <w:shd w:val="clear" w:color="auto" w:fill="auto"/>
            <w:vAlign w:val="center"/>
          </w:tcPr>
          <w:p w14:paraId="06CAE0E5">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JAK2融合</w:t>
            </w:r>
          </w:p>
        </w:tc>
        <w:tc>
          <w:tcPr>
            <w:tcW w:w="3681" w:type="pct"/>
            <w:tcBorders>
              <w:top w:val="single" w:color="A4A4A4" w:sz="4" w:space="0"/>
              <w:left w:val="single" w:color="A4A4A4" w:sz="4" w:space="0"/>
              <w:bottom w:val="single" w:color="A4A4A4" w:sz="4" w:space="0"/>
            </w:tcBorders>
            <w:shd w:val="clear" w:color="auto" w:fill="auto"/>
          </w:tcPr>
          <w:p w14:paraId="3300CAE7">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该基因融合和错义突变与慢性粒细胞白血病有关，有临床研究显示携带该基因融合突变的慢性粒细胞白血病患者对伊马替尼有效。</w:t>
            </w:r>
          </w:p>
        </w:tc>
      </w:tr>
      <w:tr w14:paraId="5DCF6D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0" w:type="auto"/>
            <w:tcBorders>
              <w:top w:val="single" w:color="A4A4A4" w:sz="4" w:space="0"/>
              <w:bottom w:val="single" w:color="A4A4A4" w:sz="4" w:space="0"/>
              <w:right w:val="single" w:color="A4A4A4" w:sz="4" w:space="0"/>
            </w:tcBorders>
            <w:shd w:val="clear" w:color="auto" w:fill="auto"/>
            <w:vAlign w:val="center"/>
          </w:tcPr>
          <w:p w14:paraId="58109E18">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MYB融合</w:t>
            </w:r>
          </w:p>
        </w:tc>
        <w:tc>
          <w:tcPr>
            <w:tcW w:w="3681" w:type="pct"/>
            <w:vMerge w:val="restart"/>
            <w:tcBorders>
              <w:top w:val="single" w:color="A4A4A4" w:sz="4" w:space="0"/>
              <w:left w:val="single" w:color="A4A4A4" w:sz="4" w:space="0"/>
              <w:bottom w:val="single" w:color="A4A4A4" w:sz="4" w:space="0"/>
            </w:tcBorders>
            <w:shd w:val="clear" w:color="auto" w:fill="auto"/>
          </w:tcPr>
          <w:p w14:paraId="35F5C765">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病理类型为WHO II级的IDH野生/H3野生型弥漫胶质瘤，如果其有如下分子特征：BRAF V600E，FGFR1变异，MYB/BYBL1重排则此类患者预后较好，肿瘤较为惰性，很少向高级别进行。</w:t>
            </w:r>
          </w:p>
        </w:tc>
      </w:tr>
      <w:tr w14:paraId="1C9BA0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0" w:type="auto"/>
            <w:tcBorders>
              <w:top w:val="single" w:color="A4A4A4" w:sz="4" w:space="0"/>
              <w:bottom w:val="single" w:color="A4A4A4" w:sz="4" w:space="0"/>
              <w:right w:val="single" w:color="A4A4A4" w:sz="4" w:space="0"/>
            </w:tcBorders>
            <w:shd w:val="clear" w:color="auto" w:fill="auto"/>
            <w:vAlign w:val="center"/>
          </w:tcPr>
          <w:p w14:paraId="714C5113">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MYBL1融合</w:t>
            </w:r>
          </w:p>
        </w:tc>
        <w:tc>
          <w:tcPr>
            <w:tcW w:w="3681" w:type="pct"/>
            <w:vMerge w:val="continue"/>
            <w:tcBorders>
              <w:top w:val="single" w:color="A4A4A4" w:sz="4" w:space="0"/>
              <w:left w:val="single" w:color="A4A4A4" w:sz="4" w:space="0"/>
              <w:bottom w:val="single" w:color="A4A4A4" w:sz="4" w:space="0"/>
            </w:tcBorders>
            <w:shd w:val="clear" w:color="auto" w:fill="auto"/>
          </w:tcPr>
          <w:p w14:paraId="13F13B73">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p>
        </w:tc>
      </w:tr>
      <w:tr w14:paraId="11C9CA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0" w:type="auto"/>
            <w:tcBorders>
              <w:top w:val="single" w:color="A4A4A4" w:sz="4" w:space="0"/>
              <w:bottom w:val="single" w:color="A4A4A4" w:sz="4" w:space="0"/>
              <w:right w:val="single" w:color="A4A4A4" w:sz="4" w:space="0"/>
            </w:tcBorders>
            <w:shd w:val="clear" w:color="auto" w:fill="auto"/>
            <w:vAlign w:val="center"/>
          </w:tcPr>
          <w:p w14:paraId="6D38B8CC">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MET融合</w:t>
            </w:r>
          </w:p>
        </w:tc>
        <w:tc>
          <w:tcPr>
            <w:tcW w:w="3681" w:type="pct"/>
            <w:tcBorders>
              <w:top w:val="single" w:color="A4A4A4" w:sz="4" w:space="0"/>
              <w:left w:val="single" w:color="A4A4A4" w:sz="4" w:space="0"/>
              <w:bottom w:val="single" w:color="A4A4A4" w:sz="4" w:space="0"/>
            </w:tcBorders>
            <w:shd w:val="clear" w:color="auto" w:fill="auto"/>
          </w:tcPr>
          <w:p w14:paraId="57319419">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MET融合和METex14在继发性母细胞中被鉴定，通常与胶质瘤差预后有关，在研究药物有PLB-1001。</w:t>
            </w:r>
          </w:p>
        </w:tc>
      </w:tr>
    </w:tbl>
    <w:p w14:paraId="0AA0123B">
      <w:pPr>
        <w:keepNext w:val="0"/>
        <w:keepLines w:val="0"/>
        <w:widowControl w:val="0"/>
        <w:suppressLineNumbers w:val="0"/>
        <w:spacing w:before="0" w:beforeAutospacing="0" w:after="0" w:afterAutospacing="0"/>
        <w:ind w:left="0" w:right="0"/>
        <w:jc w:val="left"/>
      </w:pPr>
      <w:r>
        <w:rPr>
          <w:rFonts w:ascii="Times New Roman" w:hAnsi="Times New Roman" w:eastAsia="微软雅黑" w:cs="Times New Roman"/>
          <w:sz w:val="30"/>
          <w:lang w:eastAsia="zh-CN"/>
        </w:rPr>
        <w:br w:type="page"/>
      </w:r>
      <w:r>
        <w:rPr>
          <w:rFonts w:hint="default" w:ascii="Times New Roman" w:hAnsi="Times New Roman" w:eastAsia="微软雅黑" w:cs="Times New Roman"/>
          <w:kern w:val="0"/>
          <w:sz w:val="28"/>
          <w:szCs w:val="28"/>
          <w:lang w:val="en-US" w:eastAsia="zh-CN" w:bidi="ar"/>
        </w:rPr>
        <w:t xml:space="preserve">{% </w:t>
      </w:r>
      <w:r>
        <w:rPr>
          <w:rFonts w:hint="eastAsia" w:ascii="Times New Roman" w:hAnsi="Times New Roman" w:eastAsia="微软雅黑" w:cs="Times New Roman"/>
          <w:kern w:val="0"/>
          <w:sz w:val="28"/>
          <w:szCs w:val="28"/>
          <w:lang w:val="en-US" w:eastAsia="zh-CN" w:bidi="ar"/>
        </w:rPr>
        <w:t xml:space="preserve">endif </w:t>
      </w:r>
      <w:r>
        <w:rPr>
          <w:rFonts w:hint="default" w:ascii="Times New Roman" w:hAnsi="Times New Roman" w:eastAsia="微软雅黑" w:cs="Times New Roman"/>
          <w:kern w:val="0"/>
          <w:sz w:val="28"/>
          <w:szCs w:val="28"/>
          <w:lang w:val="en-US" w:eastAsia="zh-CN" w:bidi="ar"/>
        </w:rPr>
        <w:t>%}{% if disease.</w:t>
      </w:r>
      <w:r>
        <w:rPr>
          <w:rFonts w:hint="eastAsia" w:ascii="Times New Roman" w:hAnsi="Times New Roman" w:eastAsia="微软雅黑" w:cs="黑体"/>
          <w:kern w:val="0"/>
          <w:sz w:val="28"/>
          <w:szCs w:val="28"/>
          <w:lang w:val="en-US" w:eastAsia="zh-CN" w:bidi="ar"/>
        </w:rPr>
        <w:t xml:space="preserve">Midline </w:t>
      </w:r>
      <w:r>
        <w:rPr>
          <w:rFonts w:hint="default" w:ascii="Times New Roman" w:hAnsi="Times New Roman" w:eastAsia="微软雅黑" w:cs="Times New Roman"/>
          <w:kern w:val="0"/>
          <w:sz w:val="28"/>
          <w:szCs w:val="28"/>
          <w:lang w:val="en-US" w:eastAsia="zh-CN" w:bidi="ar"/>
        </w:rPr>
        <w:t>%}</w:t>
      </w:r>
    </w:p>
    <w:p w14:paraId="309B0806">
      <w:pPr>
        <w:pStyle w:val="3"/>
        <w:numPr>
          <w:ilvl w:val="255"/>
          <w:numId w:val="0"/>
        </w:numPr>
        <w:jc w:val="left"/>
        <w:rPr>
          <w:rFonts w:hint="eastAsia" w:ascii="Times New Roman" w:hAnsi="Times New Roman" w:eastAsia="微软雅黑" w:cs="Times New Roman"/>
          <w:color w:val="auto"/>
          <w:sz w:val="30"/>
          <w:lang w:val="en-US" w:eastAsia="zh-CN"/>
        </w:rPr>
      </w:pPr>
      <w:bookmarkStart w:id="32" w:name="_Toc13365"/>
      <w:r>
        <w:rPr>
          <w:rFonts w:hint="eastAsia" w:ascii="Times New Roman" w:hAnsi="Times New Roman" w:eastAsia="微软雅黑" w:cs="Times New Roman"/>
          <w:color w:val="auto"/>
          <w:sz w:val="30"/>
          <w:lang w:val="en-US" w:eastAsia="zh-CN"/>
        </w:rPr>
        <w:t>中线癌相关分子标记物检测意义</w:t>
      </w:r>
      <w:bookmarkEnd w:id="32"/>
    </w:p>
    <w:p w14:paraId="5D056232">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伴睾丸核蛋白（nuclear protein in testis，NUT）基因重排的中线癌又称 NUT 癌，是一种与NUT中线癌家族成员1（NUT midline carcinoma family member 1，NUTM1）基因重排相关，罕见且具有高度侵袭性的恶性肿瘤。该病于 1991年首次被报道，随后报道的病例多见于头颈部及纵隔等人体中线结构，因此命名为中线癌。NUT癌也可发生在人体其他器官（如肺、膀胱、肾、胰腺、骨骼、鼻腔、腮腺、中枢神经系统、生殖系统、软组织等），因此世界卫生组织将中线癌更名为“NUT癌”，其可在任何年龄段发病，不同研究中位发病年龄不一致，80%以上的NUT癌患者为青少年和中青年群体，中位发病年龄多集中在18~23岁，发病年龄范围从新生儿到81岁。</w:t>
      </w:r>
    </w:p>
    <w:p w14:paraId="11B29234">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NUTMI基因位于15号染色体上，负责编码睾丸和卵巢生殖细胞中表达的NUT蛋白，染色体易位/重排导致染色体15g14上的 NUTMI 基因与各种融合伴侣基因融合，其中约70%以上的NUT癌患者中携带含溴结构域蛋白4（BRD4）融合伴侣基因，天然的NUT蛋白在细胞核表达，可在睾丸生殖细胞、卵巢、生殖细胞肿瘤和NUTM1重排肿瘤中表达。</w:t>
      </w:r>
    </w:p>
    <w:p w14:paraId="2F32D849">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NUT癌生存率与肿瘤部位及NUTM1不同融合伴侣密切相关，其中BRD4融合伴侣预后最差。CHAU等纳入124例患者的研究中指出胸部原发 NUT 癌预后相比其他部位NUT癌更差，易发生远处转移，瘤体&gt;6 cm且难以完整切除，OS仅为4.4个月，2年生存率为5%。其中，携带 BRD4：：NUTM1 融合基因的胸部NUT癌患者预后最差，未携带BRD4：：NUTM1融合基因（如BRD3：：NUTM1和NSD3：：NUTM1）的非胸部NUT癌患者预后最好，2年生存率为 64%，中位OS为36.5个月 。BRD4：：NUTM1融合的非胸部NUT癌肿瘤中位OS为10个月。头颈部NUT癌患者预后优于肺部和其他部位 NUT 癌患者（OS：16 个月 vs 6个月）。</w:t>
      </w:r>
    </w:p>
    <w:p w14:paraId="4AA0A7B0">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中线（NUT）癌诊断与治疗专家共识（2023版）表明NUT癌的临床表现、组织病理学及常规IHC特征均不具有特异性，因此特异性NUT抗体进行IHC对NUT癌的诊断显得十分重要。对初诊伴有快速进展或远处转移的低分化癌尤其是小圆细胞肿瘤的患者建议积极考虑进行NUT免疫组织化学检查（证据级别：4级；推荐等级：强推荐），考虑加做高通量测序明确 NUTM1 融合伴侣类型（如 BRD4、BRD3、NSD3等）（证据级别：5级；推荐等级：强推荐）。</w:t>
      </w:r>
    </w:p>
    <w:p w14:paraId="6A9976EB">
      <w:pPr>
        <w:rPr>
          <w:rFonts w:hint="default" w:ascii="Times New Roman" w:hAnsi="Times New Roman" w:cs="Times New Roman"/>
          <w:sz w:val="24"/>
          <w:szCs w:val="24"/>
          <w:lang w:val="en-US" w:eastAsia="zh-CN"/>
        </w:rPr>
      </w:pPr>
      <w:r>
        <w:rPr>
          <w:rFonts w:hint="eastAsia" w:ascii="Times New Roman" w:hAnsi="Times New Roman" w:eastAsia="微软雅黑" w:cs="Times New Roman"/>
          <w:bCs/>
          <w:sz w:val="21"/>
          <w:szCs w:val="21"/>
          <w:lang w:val="en-US" w:eastAsia="zh-CN"/>
        </w:rPr>
        <w:br w:type="page"/>
      </w:r>
      <w:r>
        <w:rPr>
          <w:rFonts w:hint="default" w:ascii="Times New Roman" w:hAnsi="Times New Roman" w:cs="Times New Roman"/>
          <w:sz w:val="24"/>
          <w:szCs w:val="24"/>
          <w:lang w:val="en-US" w:eastAsia="zh-CN"/>
        </w:rPr>
        <w:t>{% endif %}{%</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if disease.</w:t>
      </w:r>
      <w:r>
        <w:rPr>
          <w:rFonts w:hint="eastAsia" w:ascii="Times New Roman" w:hAnsi="Times New Roman" w:cs="Times New Roman"/>
          <w:sz w:val="24"/>
          <w:szCs w:val="24"/>
          <w:lang w:val="en-US" w:eastAsia="zh-CN"/>
        </w:rPr>
        <w:t>KidneyFlag</w:t>
      </w:r>
      <w:r>
        <w:rPr>
          <w:rFonts w:hint="default" w:ascii="Times New Roman" w:hAnsi="Times New Roman" w:cs="Times New Roman"/>
          <w:sz w:val="24"/>
          <w:szCs w:val="24"/>
          <w:lang w:val="en-US" w:eastAsia="zh-CN"/>
        </w:rPr>
        <w:t xml:space="preserve"> %}</w:t>
      </w:r>
    </w:p>
    <w:p w14:paraId="7B9F1C02">
      <w:pPr>
        <w:pStyle w:val="3"/>
        <w:numPr>
          <w:ilvl w:val="255"/>
          <w:numId w:val="0"/>
        </w:numPr>
        <w:jc w:val="left"/>
        <w:rPr>
          <w:rFonts w:hint="default" w:ascii="Times New Roman" w:hAnsi="Times New Roman" w:eastAsia="微软雅黑" w:cs="Times New Roman"/>
          <w:color w:val="auto"/>
          <w:sz w:val="30"/>
          <w:lang w:val="en-US" w:eastAsia="zh-CN"/>
        </w:rPr>
      </w:pPr>
      <w:bookmarkStart w:id="33" w:name="_Toc20262"/>
      <w:r>
        <w:rPr>
          <w:rFonts w:hint="eastAsia" w:ascii="Times New Roman" w:hAnsi="Times New Roman" w:eastAsia="微软雅黑" w:cs="Times New Roman"/>
          <w:color w:val="auto"/>
          <w:sz w:val="30"/>
          <w:lang w:val="en-US" w:eastAsia="zh-CN"/>
        </w:rPr>
        <w:t>分子定义的肾细胞癌的形态学和分子特征</w:t>
      </w:r>
      <w:bookmarkEnd w:id="33"/>
    </w:p>
    <w:p w14:paraId="4DB8042F">
      <w:pPr>
        <w:numPr>
          <w:ilvl w:val="0"/>
          <w:numId w:val="7"/>
        </w:numPr>
        <w:rPr>
          <w:rFonts w:hint="eastAsia"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eastAsia="zh-Hans"/>
        </w:rPr>
        <w:t>本部分内容参考：WHO</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Hans"/>
        </w:rPr>
        <w:t>泌尿和男性生殖系统肿瘤分类</w:t>
      </w:r>
      <w:r>
        <w:rPr>
          <w:rFonts w:hint="eastAsia"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Hans"/>
        </w:rPr>
        <w:t>中分子定义的肾细胞癌</w:t>
      </w:r>
    </w:p>
    <w:tbl>
      <w:tblPr>
        <w:tblStyle w:val="9"/>
        <w:tblpPr w:leftFromText="180" w:rightFromText="180" w:vertAnchor="text" w:horzAnchor="page" w:tblpXSpec="center" w:tblpY="97"/>
        <w:tblOverlap w:val="never"/>
        <w:tblW w:w="9658" w:type="dxa"/>
        <w:jc w:val="center"/>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45"/>
        <w:gridCol w:w="2750"/>
        <w:gridCol w:w="2510"/>
        <w:gridCol w:w="2953"/>
      </w:tblGrid>
      <w:tr w14:paraId="00115560">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45" w:type="dxa"/>
            <w:tcBorders>
              <w:top w:val="nil"/>
              <w:right w:val="single" w:color="FFFFFF" w:themeColor="background1" w:sz="12" w:space="0"/>
            </w:tcBorders>
            <w:shd w:val="clear" w:color="auto" w:fill="64B7CE"/>
            <w:noWrap/>
            <w:vAlign w:val="center"/>
          </w:tcPr>
          <w:p w14:paraId="7F444358">
            <w:pPr>
              <w:keepNext w:val="0"/>
              <w:keepLines w:val="0"/>
              <w:widowControl/>
              <w:suppressLineNumbers w:val="0"/>
              <w:jc w:val="center"/>
              <w:textAlignment w:val="center"/>
              <w:rPr>
                <w:rFonts w:hint="default" w:ascii="Times New Roman" w:hAnsi="Times New Roman" w:eastAsia="微软雅黑" w:cs="Times New Roman"/>
                <w:b/>
                <w:bCs/>
                <w:i/>
                <w:i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i w:val="0"/>
                <w:iCs w:val="0"/>
                <w:color w:val="FFFFFF" w:themeColor="background1"/>
                <w:kern w:val="0"/>
                <w:sz w:val="20"/>
                <w:szCs w:val="20"/>
                <w:u w:val="none"/>
                <w:lang w:val="en-US" w:eastAsia="zh-CN" w:bidi="ar"/>
                <w14:textFill>
                  <w14:solidFill>
                    <w14:schemeClr w14:val="bg1"/>
                  </w14:solidFill>
                </w14:textFill>
              </w:rPr>
              <w:t>分类</w:t>
            </w:r>
          </w:p>
        </w:tc>
        <w:tc>
          <w:tcPr>
            <w:tcW w:w="2750" w:type="dxa"/>
            <w:tcBorders>
              <w:top w:val="nil"/>
              <w:left w:val="single" w:color="FFFFFF" w:themeColor="background1" w:sz="12" w:space="0"/>
              <w:right w:val="single" w:color="FFFFFF" w:themeColor="background1" w:sz="12" w:space="0"/>
            </w:tcBorders>
            <w:shd w:val="clear" w:color="auto" w:fill="64B7CE"/>
            <w:noWrap/>
            <w:vAlign w:val="center"/>
          </w:tcPr>
          <w:p w14:paraId="40123C35">
            <w:pPr>
              <w:keepNext w:val="0"/>
              <w:keepLines w:val="0"/>
              <w:widowControl/>
              <w:suppressLineNumbers w:val="0"/>
              <w:jc w:val="center"/>
              <w:textAlignment w:val="center"/>
              <w:rPr>
                <w:rFonts w:hint="default" w:ascii="Times New Roman" w:hAnsi="Times New Roman" w:eastAsia="微软雅黑" w:cs="Times New Roman"/>
                <w:b/>
                <w:bCs/>
                <w:i/>
                <w:i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i w:val="0"/>
                <w:iCs w:val="0"/>
                <w:color w:val="FFFFFF" w:themeColor="background1"/>
                <w:kern w:val="0"/>
                <w:sz w:val="20"/>
                <w:szCs w:val="20"/>
                <w:u w:val="none"/>
                <w:lang w:val="en-US" w:eastAsia="zh-CN" w:bidi="ar"/>
                <w14:textFill>
                  <w14:solidFill>
                    <w14:schemeClr w14:val="bg1"/>
                  </w14:solidFill>
                </w14:textFill>
              </w:rPr>
              <w:t>形态学特征</w:t>
            </w:r>
          </w:p>
        </w:tc>
        <w:tc>
          <w:tcPr>
            <w:tcW w:w="2510" w:type="dxa"/>
            <w:tcBorders>
              <w:top w:val="nil"/>
              <w:left w:val="single" w:color="FFFFFF" w:themeColor="background1" w:sz="12" w:space="0"/>
              <w:right w:val="single" w:color="FFFFFF" w:themeColor="background1" w:sz="12" w:space="0"/>
            </w:tcBorders>
            <w:shd w:val="clear" w:color="auto" w:fill="64B7CE"/>
            <w:noWrap/>
            <w:vAlign w:val="center"/>
          </w:tcPr>
          <w:p w14:paraId="0DF8AC84">
            <w:pPr>
              <w:keepNext w:val="0"/>
              <w:keepLines w:val="0"/>
              <w:widowControl/>
              <w:suppressLineNumbers w:val="0"/>
              <w:jc w:val="center"/>
              <w:textAlignment w:val="center"/>
              <w:rPr>
                <w:rFonts w:hint="default" w:ascii="Times New Roman" w:hAnsi="Times New Roman" w:eastAsia="微软雅黑" w:cs="Times New Roman"/>
                <w:b/>
                <w:bCs/>
                <w:i/>
                <w:i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i w:val="0"/>
                <w:iCs w:val="0"/>
                <w:color w:val="FFFFFF" w:themeColor="background1"/>
                <w:kern w:val="0"/>
                <w:sz w:val="20"/>
                <w:szCs w:val="20"/>
                <w:u w:val="none"/>
                <w:lang w:val="en-US" w:eastAsia="zh-CN" w:bidi="ar"/>
                <w14:textFill>
                  <w14:solidFill>
                    <w14:schemeClr w14:val="bg1"/>
                  </w14:solidFill>
                </w14:textFill>
              </w:rPr>
              <w:t>分子特征</w:t>
            </w:r>
          </w:p>
        </w:tc>
        <w:tc>
          <w:tcPr>
            <w:tcW w:w="2953" w:type="dxa"/>
            <w:tcBorders>
              <w:top w:val="nil"/>
              <w:left w:val="single" w:color="FFFFFF" w:themeColor="background1" w:sz="12" w:space="0"/>
            </w:tcBorders>
            <w:shd w:val="clear" w:color="auto" w:fill="64B7CE"/>
            <w:noWrap/>
            <w:vAlign w:val="center"/>
          </w:tcPr>
          <w:p w14:paraId="0609CE46">
            <w:pPr>
              <w:keepNext w:val="0"/>
              <w:keepLines w:val="0"/>
              <w:widowControl/>
              <w:suppressLineNumbers w:val="0"/>
              <w:jc w:val="center"/>
              <w:textAlignment w:val="center"/>
              <w:rPr>
                <w:rFonts w:hint="default" w:ascii="Times New Roman" w:hAnsi="Times New Roman" w:eastAsia="微软雅黑" w:cs="Times New Roman"/>
                <w:b/>
                <w:bCs/>
                <w:i w:val="0"/>
                <w:iCs w:val="0"/>
                <w:color w:val="FFFFFF" w:themeColor="background1"/>
                <w:kern w:val="0"/>
                <w:sz w:val="20"/>
                <w:szCs w:val="20"/>
                <w:u w:val="none"/>
                <w:lang w:val="en-US" w:eastAsia="zh-CN" w:bidi="ar"/>
                <w14:textFill>
                  <w14:solidFill>
                    <w14:schemeClr w14:val="bg1"/>
                  </w14:solidFill>
                </w14:textFill>
              </w:rPr>
            </w:pPr>
            <w:r>
              <w:rPr>
                <w:rFonts w:hint="default" w:ascii="Times New Roman" w:hAnsi="Times New Roman" w:eastAsia="微软雅黑" w:cs="Times New Roman"/>
                <w:b/>
                <w:bCs/>
                <w:i w:val="0"/>
                <w:iCs w:val="0"/>
                <w:color w:val="FFFFFF" w:themeColor="background1"/>
                <w:kern w:val="0"/>
                <w:sz w:val="20"/>
                <w:szCs w:val="20"/>
                <w:u w:val="none"/>
                <w:lang w:val="en-US" w:eastAsia="zh-CN" w:bidi="ar"/>
                <w14:textFill>
                  <w14:solidFill>
                    <w14:schemeClr w14:val="bg1"/>
                  </w14:solidFill>
                </w14:textFill>
              </w:rPr>
              <w:t>临床意义</w:t>
            </w:r>
          </w:p>
        </w:tc>
      </w:tr>
      <w:tr w14:paraId="37127CF6">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1" w:hRule="atLeast"/>
          <w:jc w:val="center"/>
        </w:trPr>
        <w:tc>
          <w:tcPr>
            <w:tcW w:w="1445" w:type="dxa"/>
            <w:tcBorders>
              <w:tl2br w:val="nil"/>
              <w:tr2bl w:val="nil"/>
            </w:tcBorders>
            <w:shd w:val="clear" w:color="auto" w:fill="auto"/>
            <w:noWrap/>
            <w:vAlign w:val="center"/>
          </w:tcPr>
          <w:p w14:paraId="691794B7">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TFE3重排肾细胞癌</w:t>
            </w:r>
          </w:p>
        </w:tc>
        <w:tc>
          <w:tcPr>
            <w:tcW w:w="2750" w:type="dxa"/>
            <w:tcBorders>
              <w:tl2br w:val="nil"/>
              <w:tr2bl w:val="nil"/>
            </w:tcBorders>
            <w:shd w:val="clear" w:color="auto" w:fill="auto"/>
            <w:noWrap/>
            <w:vAlign w:val="center"/>
          </w:tcPr>
          <w:p w14:paraId="27D7CC59">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胞质丰富的透明或嗜酸细胞、乳头状结构、砂砾体</w:t>
            </w:r>
          </w:p>
        </w:tc>
        <w:tc>
          <w:tcPr>
            <w:tcW w:w="2510" w:type="dxa"/>
            <w:tcBorders>
              <w:tl2br w:val="nil"/>
              <w:tr2bl w:val="nil"/>
            </w:tcBorders>
            <w:shd w:val="clear" w:color="auto" w:fill="auto"/>
            <w:noWrap/>
            <w:vAlign w:val="center"/>
          </w:tcPr>
          <w:p w14:paraId="004E34EC">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最常见ASPSCR1-TFE3、PRCC - TFE3、SFPQ-TFE3融合</w:t>
            </w:r>
          </w:p>
        </w:tc>
        <w:tc>
          <w:tcPr>
            <w:tcW w:w="2953" w:type="dxa"/>
            <w:tcBorders>
              <w:tl2br w:val="nil"/>
              <w:tr2bl w:val="nil"/>
            </w:tcBorders>
            <w:shd w:val="clear" w:color="auto" w:fill="auto"/>
            <w:noWrap/>
            <w:vAlign w:val="center"/>
          </w:tcPr>
          <w:p w14:paraId="1786142B">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TFE3重排肾细胞癌预后与透明细胞肾细胞癌相似，年龄大和分期晚是最重要的预后不良因素，不同融合亚型的预后存在一定的差别，ASPSCR1-TFE3 融合通常比PRCC-TFE3融合分期晚、更易发生淋巴结转移和远处转移，MED15 -TFE3 融合主要表现为多房囊性，预后较好。</w:t>
            </w:r>
          </w:p>
        </w:tc>
      </w:tr>
      <w:tr w14:paraId="7EC24038">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1" w:hRule="atLeast"/>
          <w:jc w:val="center"/>
        </w:trPr>
        <w:tc>
          <w:tcPr>
            <w:tcW w:w="1445" w:type="dxa"/>
            <w:tcBorders>
              <w:tl2br w:val="nil"/>
              <w:tr2bl w:val="nil"/>
            </w:tcBorders>
            <w:shd w:val="clear" w:color="auto" w:fill="auto"/>
            <w:noWrap/>
            <w:vAlign w:val="center"/>
          </w:tcPr>
          <w:p w14:paraId="596B3918">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TFEB改变肾细胞癌</w:t>
            </w:r>
          </w:p>
        </w:tc>
        <w:tc>
          <w:tcPr>
            <w:tcW w:w="2750" w:type="dxa"/>
            <w:tcBorders>
              <w:tl2br w:val="nil"/>
              <w:tr2bl w:val="nil"/>
            </w:tcBorders>
            <w:shd w:val="clear" w:color="auto" w:fill="auto"/>
            <w:noWrap/>
            <w:vAlign w:val="center"/>
          </w:tcPr>
          <w:p w14:paraId="66DCA741">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双相结构，周围为大的上皮样细胞（胞质透 亮或嗜酸）、中央为围绕基膜样物的小细胞簇</w:t>
            </w:r>
          </w:p>
        </w:tc>
        <w:tc>
          <w:tcPr>
            <w:tcW w:w="2510" w:type="dxa"/>
            <w:tcBorders>
              <w:tl2br w:val="nil"/>
              <w:tr2bl w:val="nil"/>
            </w:tcBorders>
            <w:shd w:val="clear" w:color="auto" w:fill="auto"/>
            <w:noWrap/>
            <w:vAlign w:val="center"/>
          </w:tcPr>
          <w:p w14:paraId="2CA90747">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大部分为 MALATI-TFEB 融合，（TFEB的伴侣基因除了最常见的MALAT1，还有 ACTBEWSR1、CLTC、CADM2、KHDRBS2、COL21A1、PPP1R10、NEAT-1）部分为TFEB扩增</w:t>
            </w:r>
          </w:p>
        </w:tc>
        <w:tc>
          <w:tcPr>
            <w:tcW w:w="2953" w:type="dxa"/>
            <w:tcBorders>
              <w:tl2br w:val="nil"/>
              <w:tr2bl w:val="nil"/>
            </w:tcBorders>
            <w:shd w:val="clear" w:color="auto" w:fill="auto"/>
            <w:noWrap/>
            <w:vAlign w:val="center"/>
          </w:tcPr>
          <w:p w14:paraId="152BBB5B">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绝大多数TFEB重排肾细胞癌预后较好，存在肿瘤性坏死提示预后较差；而TFEB扩增肾细胞癌更具有侵袭性，分期晚、易发生转移。TFEB扩增同时常伴有 VEGFA扩增，TFEB改变肾细胞癌常高表达PD-L1，这类肿瘤可能从抗血管生成治疗和免疫抑制治疗中获益。</w:t>
            </w:r>
          </w:p>
        </w:tc>
      </w:tr>
      <w:tr w14:paraId="3A534592">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77" w:hRule="atLeast"/>
          <w:jc w:val="center"/>
        </w:trPr>
        <w:tc>
          <w:tcPr>
            <w:tcW w:w="1445" w:type="dxa"/>
            <w:tcBorders>
              <w:bottom w:val="single" w:color="A4A4A4" w:sz="4" w:space="0"/>
            </w:tcBorders>
            <w:shd w:val="clear" w:color="auto" w:fill="auto"/>
            <w:noWrap/>
            <w:vAlign w:val="center"/>
          </w:tcPr>
          <w:p w14:paraId="5E20B362">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ALK重排肾细胞癌</w:t>
            </w:r>
          </w:p>
        </w:tc>
        <w:tc>
          <w:tcPr>
            <w:tcW w:w="2750" w:type="dxa"/>
            <w:tcBorders>
              <w:bottom w:val="single" w:color="A4A4A4" w:sz="4" w:space="0"/>
            </w:tcBorders>
            <w:shd w:val="clear" w:color="auto" w:fill="auto"/>
            <w:noWrap/>
            <w:vAlign w:val="center"/>
          </w:tcPr>
          <w:p w14:paraId="387D63C9">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乳头状、筛状、实性、管状、管囊状、梁状、条 索状排列；可见细胞内黏液或细胞外黏液样 基质，砂砾体钙化，横纹肌样细胞，淋巴浆细胞浸润</w:t>
            </w:r>
          </w:p>
        </w:tc>
        <w:tc>
          <w:tcPr>
            <w:tcW w:w="2510" w:type="dxa"/>
            <w:tcBorders>
              <w:bottom w:val="single" w:color="A4A4A4" w:sz="4" w:space="0"/>
            </w:tcBorders>
            <w:shd w:val="clear" w:color="auto" w:fill="auto"/>
            <w:noWrap/>
            <w:vAlign w:val="center"/>
          </w:tcPr>
          <w:p w14:paraId="7330A44E">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PAX8、ALK（弥漫胞质或胞膜+）、VCL和非 VCL融合（最常见 EML4、TMP3、STRN等)</w:t>
            </w:r>
          </w:p>
        </w:tc>
        <w:tc>
          <w:tcPr>
            <w:tcW w:w="2953" w:type="dxa"/>
            <w:tcBorders>
              <w:bottom w:val="single" w:color="A4A4A4" w:sz="4" w:space="0"/>
            </w:tcBorders>
            <w:shd w:val="clear" w:color="auto" w:fill="auto"/>
            <w:noWrap/>
            <w:vAlign w:val="center"/>
          </w:tcPr>
          <w:p w14:paraId="216D3B8D">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约25％的ALK重排肾细胞癌患者可出现肿瘤复发转移和与之相关的死亡，ALK抑制剂已经在部分患者的治疗中显示出明显的有效性。</w:t>
            </w:r>
          </w:p>
        </w:tc>
      </w:tr>
    </w:tbl>
    <w:p w14:paraId="1D324E8B">
      <w:pPr>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br w:type="page"/>
      </w:r>
    </w:p>
    <w:p w14:paraId="0140BE28">
      <w:pPr>
        <w:keepNext w:val="0"/>
        <w:keepLines w:val="0"/>
        <w:widowControl w:val="0"/>
        <w:suppressLineNumbers w:val="0"/>
        <w:spacing w:before="0" w:beforeAutospacing="0" w:after="0" w:afterAutospacing="0"/>
        <w:ind w:left="0" w:right="0"/>
        <w:jc w:val="left"/>
        <w:rPr>
          <w:rFonts w:hint="eastAsia" w:ascii="Times New Roman" w:hAnsi="Times New Roman" w:eastAsia="微软雅黑" w:cs="Times New Roman"/>
          <w:kern w:val="0"/>
          <w:sz w:val="28"/>
          <w:szCs w:val="28"/>
          <w:lang w:val="en-US" w:eastAsia="zh-CN" w:bidi="ar"/>
        </w:rPr>
      </w:pPr>
      <w:r>
        <w:rPr>
          <w:rFonts w:hint="eastAsia" w:ascii="Times New Roman" w:hAnsi="Times New Roman" w:eastAsia="微软雅黑" w:cs="Times New Roman"/>
          <w:kern w:val="0"/>
          <w:sz w:val="28"/>
          <w:szCs w:val="28"/>
          <w:lang w:val="en-US" w:eastAsia="zh-CN" w:bidi="ar"/>
        </w:rPr>
        <w:t>{% endif %}{% if disease.Sarcoma %}</w:t>
      </w:r>
    </w:p>
    <w:p w14:paraId="4693928F">
      <w:pPr>
        <w:pStyle w:val="3"/>
        <w:numPr>
          <w:ilvl w:val="255"/>
          <w:numId w:val="0"/>
        </w:numPr>
        <w:jc w:val="left"/>
        <w:rPr>
          <w:rFonts w:hint="eastAsia" w:ascii="Times New Roman" w:hAnsi="Times New Roman" w:eastAsia="微软雅黑" w:cs="Times New Roman"/>
          <w:color w:val="auto"/>
          <w:sz w:val="30"/>
          <w:lang w:eastAsia="zh-CN"/>
        </w:rPr>
      </w:pPr>
      <w:r>
        <w:rPr>
          <w:rFonts w:hint="eastAsia" w:ascii="Times New Roman" w:hAnsi="Times New Roman" w:eastAsia="微软雅黑" w:cs="Times New Roman"/>
          <w:color w:val="auto"/>
          <w:sz w:val="30"/>
          <w:lang w:eastAsia="zh-CN"/>
        </w:rPr>
        <w:t>常见肉瘤分型相关基因变异</w:t>
      </w:r>
      <w:bookmarkEnd w:id="22"/>
      <w:bookmarkEnd w:id="23"/>
    </w:p>
    <w:p w14:paraId="3024CFCD">
      <w:pPr>
        <w:numPr>
          <w:ilvl w:val="0"/>
          <w:numId w:val="7"/>
        </w:numPr>
        <w:rPr>
          <w:rFonts w:ascii="Times New Roman" w:hAnsi="Times New Roman" w:eastAsia="微软雅黑" w:cs="Times New Roman"/>
          <w:color w:val="000000"/>
          <w:sz w:val="21"/>
          <w:szCs w:val="21"/>
          <w:lang w:eastAsia="zh-Hans" w:bidi="ar"/>
        </w:rPr>
      </w:pPr>
      <w:r>
        <w:rPr>
          <w:rFonts w:ascii="Times New Roman" w:hAnsi="Times New Roman" w:eastAsia="微软雅黑" w:cs="Times New Roman"/>
          <w:sz w:val="21"/>
          <w:szCs w:val="21"/>
          <w:lang w:eastAsia="zh-Hans"/>
        </w:rPr>
        <w:t>本部分内容参考：WHO-软组织与骨肿瘤指南</w:t>
      </w:r>
    </w:p>
    <w:tbl>
      <w:tblPr>
        <w:tblStyle w:val="9"/>
        <w:tblW w:w="9976" w:type="dxa"/>
        <w:jc w:val="center"/>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8"/>
        <w:gridCol w:w="4888"/>
      </w:tblGrid>
      <w:tr w14:paraId="3E889F5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jc w:val="center"/>
        </w:trPr>
        <w:tc>
          <w:tcPr>
            <w:tcW w:w="5088" w:type="dxa"/>
            <w:tcBorders>
              <w:top w:val="nil"/>
              <w:bottom w:val="nil"/>
              <w:right w:val="single" w:color="FFFFFF" w:sz="18" w:space="0"/>
            </w:tcBorders>
            <w:shd w:val="clear" w:color="auto" w:fill="64B7CE"/>
            <w:vAlign w:val="center"/>
          </w:tcPr>
          <w:p w14:paraId="16464507">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4888" w:type="dxa"/>
            <w:tcBorders>
              <w:top w:val="nil"/>
              <w:left w:val="single" w:color="FFFFFF" w:sz="18" w:space="0"/>
              <w:bottom w:val="nil"/>
            </w:tcBorders>
            <w:shd w:val="clear" w:color="auto" w:fill="64B7CE"/>
            <w:vAlign w:val="center"/>
          </w:tcPr>
          <w:p w14:paraId="78AEDA0D">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62BBCC3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nil"/>
              <w:tl2br w:val="nil"/>
              <w:tr2bl w:val="nil"/>
            </w:tcBorders>
            <w:shd w:val="clear" w:color="auto" w:fill="auto"/>
            <w:vAlign w:val="center"/>
          </w:tcPr>
          <w:p w14:paraId="48026F59">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脂肪母细胞瘤和脂肪母细胞瘤病</w:t>
            </w:r>
          </w:p>
        </w:tc>
        <w:tc>
          <w:tcPr>
            <w:tcW w:w="4888" w:type="dxa"/>
            <w:tcBorders>
              <w:top w:val="nil"/>
              <w:tl2br w:val="nil"/>
              <w:tr2bl w:val="nil"/>
            </w:tcBorders>
            <w:shd w:val="clear" w:color="auto" w:fill="auto"/>
            <w:noWrap/>
            <w:vAlign w:val="center"/>
          </w:tcPr>
          <w:p w14:paraId="1133835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HAS2-PLAG1</w:t>
            </w:r>
          </w:p>
        </w:tc>
      </w:tr>
      <w:tr w14:paraId="30886D9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CA6C02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EE11B2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COL1A2-PLAG1</w:t>
            </w:r>
          </w:p>
        </w:tc>
      </w:tr>
      <w:tr w14:paraId="60CC14D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258A9C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3DD81B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RAD51B-PLAG1</w:t>
            </w:r>
          </w:p>
        </w:tc>
      </w:tr>
      <w:tr w14:paraId="275EF3F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DD7674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561EF5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COL3A1-PLAG1</w:t>
            </w:r>
          </w:p>
        </w:tc>
      </w:tr>
      <w:tr w14:paraId="13D0C39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5E80A9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395E04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RAB2A-PLAG1</w:t>
            </w:r>
          </w:p>
        </w:tc>
      </w:tr>
      <w:tr w14:paraId="12C9DA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4DBF0C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283D07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BOC-PLAG1</w:t>
            </w:r>
          </w:p>
        </w:tc>
      </w:tr>
      <w:tr w14:paraId="4EAA38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7BC478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黏液样脂肪肉瘤</w:t>
            </w:r>
          </w:p>
        </w:tc>
        <w:tc>
          <w:tcPr>
            <w:tcW w:w="4888" w:type="dxa"/>
            <w:tcBorders>
              <w:tl2br w:val="nil"/>
              <w:tr2bl w:val="nil"/>
            </w:tcBorders>
            <w:shd w:val="clear" w:color="auto" w:fill="auto"/>
            <w:noWrap/>
            <w:vAlign w:val="center"/>
          </w:tcPr>
          <w:p w14:paraId="5F06C3C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FUS-DDIT3</w:t>
            </w:r>
          </w:p>
        </w:tc>
      </w:tr>
      <w:tr w14:paraId="11C2B0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55CAB0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85181A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EWSR1-DDIT3</w:t>
            </w:r>
          </w:p>
        </w:tc>
      </w:tr>
      <w:tr w14:paraId="4BAB3DA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3F5B98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结节性筋膜炎</w:t>
            </w:r>
          </w:p>
        </w:tc>
        <w:tc>
          <w:tcPr>
            <w:tcW w:w="4888" w:type="dxa"/>
            <w:tcBorders>
              <w:tl2br w:val="nil"/>
              <w:tr2bl w:val="nil"/>
            </w:tcBorders>
            <w:shd w:val="clear" w:color="auto" w:fill="auto"/>
            <w:noWrap/>
            <w:vAlign w:val="center"/>
          </w:tcPr>
          <w:p w14:paraId="3128D0F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MYH9-USP6</w:t>
            </w:r>
          </w:p>
        </w:tc>
      </w:tr>
      <w:tr w14:paraId="1B1D69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1E6BB9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17C78D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PPP6R3-USP6</w:t>
            </w:r>
          </w:p>
        </w:tc>
      </w:tr>
      <w:tr w14:paraId="5EAA066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51F5A0B0">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骨化性肌炎和指趾纤维骨性假瘤</w:t>
            </w:r>
          </w:p>
        </w:tc>
        <w:tc>
          <w:tcPr>
            <w:tcW w:w="4888" w:type="dxa"/>
            <w:tcBorders>
              <w:tl2br w:val="nil"/>
              <w:tr2bl w:val="nil"/>
            </w:tcBorders>
            <w:shd w:val="clear" w:color="auto" w:fill="auto"/>
            <w:noWrap/>
            <w:vAlign w:val="center"/>
          </w:tcPr>
          <w:p w14:paraId="50AA206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USP6 重排</w:t>
            </w:r>
          </w:p>
        </w:tc>
      </w:tr>
      <w:tr w14:paraId="60EDFFF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1922918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钙化性腱膜纤维瘤</w:t>
            </w:r>
          </w:p>
        </w:tc>
        <w:tc>
          <w:tcPr>
            <w:tcW w:w="4888" w:type="dxa"/>
            <w:tcBorders>
              <w:tl2br w:val="nil"/>
              <w:tr2bl w:val="nil"/>
            </w:tcBorders>
            <w:shd w:val="clear" w:color="auto" w:fill="auto"/>
            <w:noWrap/>
            <w:vAlign w:val="center"/>
          </w:tcPr>
          <w:p w14:paraId="0B78B4F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FN1-EGF</w:t>
            </w:r>
          </w:p>
        </w:tc>
      </w:tr>
      <w:tr w14:paraId="0CFFCD1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1EAD9B7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EWSR1-SMAD3阳性纤维母细胞瘤</w:t>
            </w:r>
          </w:p>
        </w:tc>
        <w:tc>
          <w:tcPr>
            <w:tcW w:w="4888" w:type="dxa"/>
            <w:tcBorders>
              <w:tl2br w:val="nil"/>
              <w:tr2bl w:val="nil"/>
            </w:tcBorders>
            <w:shd w:val="clear" w:color="auto" w:fill="auto"/>
            <w:noWrap/>
            <w:vAlign w:val="center"/>
          </w:tcPr>
          <w:p w14:paraId="65AFC0B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EWSR1-SMAD3</w:t>
            </w:r>
          </w:p>
        </w:tc>
      </w:tr>
      <w:tr w14:paraId="26B28E7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A1F3F1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软组织血管纤维瘤</w:t>
            </w:r>
          </w:p>
        </w:tc>
        <w:tc>
          <w:tcPr>
            <w:tcW w:w="4888" w:type="dxa"/>
            <w:tcBorders>
              <w:tl2br w:val="nil"/>
              <w:tr2bl w:val="nil"/>
            </w:tcBorders>
            <w:shd w:val="clear" w:color="auto" w:fill="auto"/>
            <w:noWrap/>
            <w:vAlign w:val="center"/>
          </w:tcPr>
          <w:p w14:paraId="5B9B541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AHRR-NCOA2</w:t>
            </w:r>
          </w:p>
        </w:tc>
      </w:tr>
      <w:tr w14:paraId="14107E5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C25493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560160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GTF2I-NCOA2</w:t>
            </w:r>
          </w:p>
        </w:tc>
      </w:tr>
      <w:tr w14:paraId="6D55EE5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2DA7FA9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巨细胞成纤维细胞瘤</w:t>
            </w:r>
          </w:p>
        </w:tc>
        <w:tc>
          <w:tcPr>
            <w:tcW w:w="4888" w:type="dxa"/>
            <w:tcBorders>
              <w:tl2br w:val="nil"/>
              <w:tr2bl w:val="nil"/>
            </w:tcBorders>
            <w:shd w:val="clear" w:color="auto" w:fill="auto"/>
            <w:noWrap/>
            <w:vAlign w:val="center"/>
          </w:tcPr>
          <w:p w14:paraId="4C020A8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COL1A1-PDGFB</w:t>
            </w:r>
          </w:p>
        </w:tc>
      </w:tr>
      <w:tr w14:paraId="3EAFCEC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564A7C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隆突性皮肤纤维肉瘤</w:t>
            </w:r>
          </w:p>
        </w:tc>
        <w:tc>
          <w:tcPr>
            <w:tcW w:w="4888" w:type="dxa"/>
            <w:tcBorders>
              <w:tl2br w:val="nil"/>
              <w:tr2bl w:val="nil"/>
            </w:tcBorders>
            <w:shd w:val="clear" w:color="auto" w:fill="auto"/>
            <w:noWrap/>
            <w:vAlign w:val="center"/>
          </w:tcPr>
          <w:p w14:paraId="740F570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COL1A1-PDGFB</w:t>
            </w:r>
          </w:p>
        </w:tc>
      </w:tr>
      <w:tr w14:paraId="3BB0EDE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ECAD19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7CB3F2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COL6A3-PDGFD</w:t>
            </w:r>
          </w:p>
        </w:tc>
      </w:tr>
      <w:tr w14:paraId="513FE6F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A57FAA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9A1A5C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EMILIN2-PDGFD</w:t>
            </w:r>
          </w:p>
        </w:tc>
      </w:tr>
      <w:tr w14:paraId="6C4A85A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7D4B1B3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孤立性纤维性肿瘤</w:t>
            </w:r>
          </w:p>
        </w:tc>
        <w:tc>
          <w:tcPr>
            <w:tcW w:w="4888" w:type="dxa"/>
            <w:tcBorders>
              <w:tl2br w:val="nil"/>
              <w:tr2bl w:val="nil"/>
            </w:tcBorders>
            <w:shd w:val="clear" w:color="auto" w:fill="auto"/>
            <w:noWrap/>
            <w:vAlign w:val="center"/>
          </w:tcPr>
          <w:p w14:paraId="0DA6DCC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NAB2-STAT6</w:t>
            </w:r>
          </w:p>
        </w:tc>
      </w:tr>
      <w:tr w14:paraId="2420E1A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5D15CE1">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炎性肌成纤维细胞性肿瘤</w:t>
            </w:r>
          </w:p>
        </w:tc>
        <w:tc>
          <w:tcPr>
            <w:tcW w:w="4888" w:type="dxa"/>
            <w:tcBorders>
              <w:tl2br w:val="nil"/>
              <w:tr2bl w:val="nil"/>
            </w:tcBorders>
            <w:shd w:val="clear" w:color="auto" w:fill="auto"/>
            <w:noWrap/>
            <w:vAlign w:val="center"/>
          </w:tcPr>
          <w:p w14:paraId="5741C08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TPM3-ALK</w:t>
            </w:r>
          </w:p>
        </w:tc>
      </w:tr>
      <w:tr w14:paraId="29F733B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B9BA2F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9498B0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TPM4-ALK</w:t>
            </w:r>
          </w:p>
        </w:tc>
      </w:tr>
      <w:tr w14:paraId="5258AFA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8595D6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BFF72A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CLTC-ALK</w:t>
            </w:r>
          </w:p>
        </w:tc>
      </w:tr>
      <w:tr w14:paraId="4457B6C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F2CC30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7628CA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CARS1(CARS)-ALK</w:t>
            </w:r>
          </w:p>
        </w:tc>
      </w:tr>
      <w:tr w14:paraId="3ED1E2E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B15A6D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324570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ATIC-ALK</w:t>
            </w:r>
          </w:p>
        </w:tc>
      </w:tr>
      <w:tr w14:paraId="5199DE1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A70FC2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1A3E31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SEC31L1-ALK</w:t>
            </w:r>
          </w:p>
        </w:tc>
      </w:tr>
      <w:tr w14:paraId="7BDE8AB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E2264F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A4803E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PPFIBP1-ALK</w:t>
            </w:r>
          </w:p>
        </w:tc>
      </w:tr>
      <w:tr w14:paraId="2B8A673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6EC1DD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ECE043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DCTN1-ALK</w:t>
            </w:r>
          </w:p>
        </w:tc>
      </w:tr>
      <w:tr w14:paraId="6B0ADE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00CADE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0BAB35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EML4-ALK</w:t>
            </w:r>
          </w:p>
        </w:tc>
      </w:tr>
      <w:tr w14:paraId="0823F9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4ABB56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AAD7A9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PRKAR1A-ALK</w:t>
            </w:r>
          </w:p>
        </w:tc>
      </w:tr>
      <w:tr w14:paraId="32EF106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35BF95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4CBB78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LMNA-ALK</w:t>
            </w:r>
          </w:p>
        </w:tc>
      </w:tr>
      <w:tr w14:paraId="31112F7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AE23A4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B35601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TFG-ALK</w:t>
            </w:r>
          </w:p>
        </w:tc>
      </w:tr>
      <w:tr w14:paraId="35F72F9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98773C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91AA2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FN1-ALK</w:t>
            </w:r>
          </w:p>
        </w:tc>
      </w:tr>
      <w:tr w14:paraId="53209B2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E2B696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3038B0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HNRNPA1-ALK</w:t>
            </w:r>
          </w:p>
        </w:tc>
      </w:tr>
      <w:tr w14:paraId="2C91EE5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DFD4FA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6928F0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TFG-ROS1</w:t>
            </w:r>
          </w:p>
        </w:tc>
      </w:tr>
      <w:tr w14:paraId="1FFC9BA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D00794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4BF19F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YWHAE-ROS1</w:t>
            </w:r>
          </w:p>
        </w:tc>
      </w:tr>
      <w:tr w14:paraId="5FB581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BE3B43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D21786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248667F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64ECEAF">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上皮样炎性肌纤维母细胞肉瘤</w:t>
            </w:r>
          </w:p>
        </w:tc>
        <w:tc>
          <w:tcPr>
            <w:tcW w:w="4888" w:type="dxa"/>
            <w:tcBorders>
              <w:tl2br w:val="nil"/>
              <w:tr2bl w:val="nil"/>
            </w:tcBorders>
            <w:shd w:val="clear" w:color="auto" w:fill="auto"/>
            <w:noWrap/>
            <w:vAlign w:val="center"/>
          </w:tcPr>
          <w:p w14:paraId="0AEC201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RANBP2-ALK</w:t>
            </w:r>
          </w:p>
        </w:tc>
      </w:tr>
      <w:tr w14:paraId="77E01C2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98659E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D04397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RRBP1-ALK</w:t>
            </w:r>
          </w:p>
        </w:tc>
      </w:tr>
      <w:tr w14:paraId="1B6FA5D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725904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婴儿纤维肉瘤</w:t>
            </w:r>
          </w:p>
        </w:tc>
        <w:tc>
          <w:tcPr>
            <w:tcW w:w="4888" w:type="dxa"/>
            <w:tcBorders>
              <w:tl2br w:val="nil"/>
              <w:tr2bl w:val="nil"/>
            </w:tcBorders>
            <w:shd w:val="clear" w:color="auto" w:fill="auto"/>
            <w:noWrap/>
            <w:vAlign w:val="center"/>
          </w:tcPr>
          <w:p w14:paraId="6C4D303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0C3F21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2D4A40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0239A8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EML4-NTRK3</w:t>
            </w:r>
          </w:p>
        </w:tc>
      </w:tr>
      <w:tr w14:paraId="64557D5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5C93E3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B288C4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TPM3-NTRK1</w:t>
            </w:r>
          </w:p>
        </w:tc>
      </w:tr>
      <w:tr w14:paraId="09EED11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2366D7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19BE65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LMNA-NTRK1</w:t>
            </w:r>
          </w:p>
        </w:tc>
      </w:tr>
      <w:tr w14:paraId="381A528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jc w:val="center"/>
        </w:trPr>
        <w:tc>
          <w:tcPr>
            <w:tcW w:w="5088" w:type="dxa"/>
            <w:vMerge w:val="continue"/>
            <w:tcBorders>
              <w:tl2br w:val="nil"/>
              <w:tr2bl w:val="nil"/>
            </w:tcBorders>
            <w:shd w:val="clear" w:color="auto" w:fill="auto"/>
            <w:vAlign w:val="center"/>
          </w:tcPr>
          <w:p w14:paraId="72F42E0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A89297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TPR-NTRK1</w:t>
            </w:r>
          </w:p>
        </w:tc>
      </w:tr>
      <w:tr w14:paraId="059C362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bottom w:val="single" w:color="A4A4A4" w:sz="4" w:space="0"/>
              <w:tl2br w:val="nil"/>
              <w:tr2bl w:val="nil"/>
            </w:tcBorders>
            <w:shd w:val="clear" w:color="auto" w:fill="auto"/>
            <w:vAlign w:val="center"/>
          </w:tcPr>
          <w:p w14:paraId="469E87AC">
            <w:pPr>
              <w:rPr>
                <w:rFonts w:ascii="Times New Roman" w:hAnsi="Times New Roman" w:eastAsia="微软雅黑" w:cs="Times New Roman"/>
                <w:sz w:val="18"/>
                <w:szCs w:val="18"/>
              </w:rPr>
            </w:pPr>
          </w:p>
        </w:tc>
        <w:tc>
          <w:tcPr>
            <w:tcW w:w="4888" w:type="dxa"/>
            <w:tcBorders>
              <w:bottom w:val="single" w:color="A4A4A4" w:sz="4" w:space="0"/>
              <w:tl2br w:val="nil"/>
              <w:tr2bl w:val="nil"/>
            </w:tcBorders>
            <w:shd w:val="clear" w:color="auto" w:fill="auto"/>
            <w:noWrap/>
            <w:vAlign w:val="center"/>
          </w:tcPr>
          <w:p w14:paraId="2B94F90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SQSTM1-NTRK1</w:t>
            </w:r>
          </w:p>
        </w:tc>
      </w:tr>
      <w:tr w14:paraId="2516BA4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4A4A4" w:sz="4" w:space="0"/>
              <w:tl2br w:val="nil"/>
              <w:tr2bl w:val="nil"/>
            </w:tcBorders>
            <w:shd w:val="clear" w:color="auto" w:fill="auto"/>
            <w:vAlign w:val="center"/>
          </w:tcPr>
          <w:p w14:paraId="3771CF72">
            <w:pPr>
              <w:rPr>
                <w:rFonts w:ascii="Times New Roman" w:hAnsi="Times New Roman" w:eastAsia="微软雅黑" w:cs="Times New Roman"/>
                <w:sz w:val="18"/>
                <w:szCs w:val="18"/>
              </w:rPr>
            </w:pPr>
          </w:p>
        </w:tc>
        <w:tc>
          <w:tcPr>
            <w:tcW w:w="4888" w:type="dxa"/>
            <w:tcBorders>
              <w:top w:val="single" w:color="A4A4A4" w:sz="4" w:space="0"/>
              <w:tl2br w:val="nil"/>
              <w:tr2bl w:val="nil"/>
            </w:tcBorders>
            <w:shd w:val="clear" w:color="auto" w:fill="auto"/>
            <w:noWrap/>
            <w:vAlign w:val="center"/>
          </w:tcPr>
          <w:p w14:paraId="3B53CFD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MIR584F1-NTRK1</w:t>
            </w:r>
          </w:p>
        </w:tc>
      </w:tr>
      <w:tr w14:paraId="7E4273B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42FF7B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73F6D2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TFG-MET</w:t>
            </w:r>
          </w:p>
        </w:tc>
      </w:tr>
      <w:tr w14:paraId="51D96D7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B0708D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854891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BRAF 融合</w:t>
            </w:r>
          </w:p>
        </w:tc>
      </w:tr>
      <w:tr w14:paraId="0149315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C42004B">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低度恶性纤维黏液样肉瘤</w:t>
            </w:r>
          </w:p>
        </w:tc>
        <w:tc>
          <w:tcPr>
            <w:tcW w:w="4888" w:type="dxa"/>
            <w:tcBorders>
              <w:tl2br w:val="nil"/>
              <w:tr2bl w:val="nil"/>
            </w:tcBorders>
            <w:shd w:val="clear" w:color="auto" w:fill="auto"/>
            <w:noWrap/>
            <w:vAlign w:val="center"/>
          </w:tcPr>
          <w:p w14:paraId="090D39B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FUS-CREB3L2</w:t>
            </w:r>
          </w:p>
        </w:tc>
      </w:tr>
      <w:tr w14:paraId="62D181E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9C0160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CF1883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FUS-CREB3L1</w:t>
            </w:r>
          </w:p>
        </w:tc>
      </w:tr>
      <w:tr w14:paraId="3049001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D7DBFC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3C4B95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EWSR1-CREB3L1</w:t>
            </w:r>
          </w:p>
        </w:tc>
      </w:tr>
      <w:tr w14:paraId="4EF580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2612126">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硬化性上皮样纤维肉瘤</w:t>
            </w:r>
          </w:p>
        </w:tc>
        <w:tc>
          <w:tcPr>
            <w:tcW w:w="4888" w:type="dxa"/>
            <w:tcBorders>
              <w:tl2br w:val="nil"/>
              <w:tr2bl w:val="nil"/>
            </w:tcBorders>
            <w:shd w:val="clear" w:color="auto" w:fill="auto"/>
            <w:noWrap/>
            <w:vAlign w:val="center"/>
          </w:tcPr>
          <w:p w14:paraId="024BB20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EWSR1-CREB3L1</w:t>
            </w:r>
          </w:p>
        </w:tc>
      </w:tr>
      <w:tr w14:paraId="30C4597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961968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ECF57F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EWSR1-CREB3L2</w:t>
            </w:r>
          </w:p>
        </w:tc>
      </w:tr>
      <w:tr w14:paraId="3441D0C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D68397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03F897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EWSR1-CREB3L3</w:t>
            </w:r>
          </w:p>
        </w:tc>
      </w:tr>
      <w:tr w14:paraId="6428C18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0579A5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3A8F14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FUS-CREB3L1</w:t>
            </w:r>
          </w:p>
        </w:tc>
      </w:tr>
      <w:tr w14:paraId="1F08A5F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BD072E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677CB0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FUS-CREB3L2</w:t>
            </w:r>
          </w:p>
        </w:tc>
      </w:tr>
      <w:tr w14:paraId="1A97778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F65B43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B6722F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FUS-CREM</w:t>
            </w:r>
          </w:p>
        </w:tc>
      </w:tr>
      <w:tr w14:paraId="548DBAB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020399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8FBBCB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PAX5-CREB3L1</w:t>
            </w:r>
          </w:p>
        </w:tc>
      </w:tr>
      <w:tr w14:paraId="1AF4F04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4B92623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腱鞘巨细胞肿瘤</w:t>
            </w:r>
          </w:p>
        </w:tc>
        <w:tc>
          <w:tcPr>
            <w:tcW w:w="4888" w:type="dxa"/>
            <w:tcBorders>
              <w:tl2br w:val="nil"/>
              <w:tr2bl w:val="nil"/>
            </w:tcBorders>
            <w:shd w:val="clear" w:color="auto" w:fill="auto"/>
            <w:noWrap/>
            <w:vAlign w:val="center"/>
          </w:tcPr>
          <w:p w14:paraId="0C1D0FD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CSF1 重排</w:t>
            </w:r>
          </w:p>
        </w:tc>
      </w:tr>
      <w:tr w14:paraId="21806E7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7B0E22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上皮样血管瘤</w:t>
            </w:r>
          </w:p>
        </w:tc>
        <w:tc>
          <w:tcPr>
            <w:tcW w:w="4888" w:type="dxa"/>
            <w:tcBorders>
              <w:tl2br w:val="nil"/>
              <w:tr2bl w:val="nil"/>
            </w:tcBorders>
            <w:shd w:val="clear" w:color="auto" w:fill="auto"/>
            <w:noWrap/>
            <w:vAlign w:val="center"/>
          </w:tcPr>
          <w:p w14:paraId="5CE7DA1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FOS-LMNA</w:t>
            </w:r>
          </w:p>
        </w:tc>
      </w:tr>
      <w:tr w14:paraId="669AF7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527CBF1">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8A32B8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FOS-MBNL1</w:t>
            </w:r>
          </w:p>
        </w:tc>
      </w:tr>
      <w:tr w14:paraId="262DCB1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BF6211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9548E4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FOS-VIM</w:t>
            </w:r>
          </w:p>
        </w:tc>
      </w:tr>
      <w:tr w14:paraId="29DA2EE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90F364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FB2DE9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FOS-RP11-326N17.1(lincRNA)</w:t>
            </w:r>
          </w:p>
        </w:tc>
      </w:tr>
      <w:tr w14:paraId="5B4D15A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A0AF69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80411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ZFP36-FOSB</w:t>
            </w:r>
          </w:p>
        </w:tc>
      </w:tr>
      <w:tr w14:paraId="178BC39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9135E0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DF4D92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WWTR1-FOSB</w:t>
            </w:r>
          </w:p>
        </w:tc>
      </w:tr>
      <w:tr w14:paraId="7ACA6BD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1E8FC5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231459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ACTB-FOSB</w:t>
            </w:r>
          </w:p>
        </w:tc>
      </w:tr>
      <w:tr w14:paraId="308B003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FB8DD9D">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假性肌源性血管内皮瘤</w:t>
            </w:r>
          </w:p>
        </w:tc>
        <w:tc>
          <w:tcPr>
            <w:tcW w:w="4888" w:type="dxa"/>
            <w:tcBorders>
              <w:tl2br w:val="nil"/>
              <w:tr2bl w:val="nil"/>
            </w:tcBorders>
            <w:shd w:val="clear" w:color="auto" w:fill="auto"/>
            <w:noWrap/>
            <w:vAlign w:val="center"/>
          </w:tcPr>
          <w:p w14:paraId="37B34A9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SERPINE1-FOSB</w:t>
            </w:r>
          </w:p>
        </w:tc>
      </w:tr>
      <w:tr w14:paraId="76E5FE5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C0BDCE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CC2685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ACTB-FOSB</w:t>
            </w:r>
          </w:p>
        </w:tc>
      </w:tr>
      <w:tr w14:paraId="796DE5F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noWrap/>
            <w:vAlign w:val="center"/>
          </w:tcPr>
          <w:p w14:paraId="3374E03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上皮样血管内皮瘤伴WWTR1-CAMTA1融合</w:t>
            </w:r>
          </w:p>
        </w:tc>
        <w:tc>
          <w:tcPr>
            <w:tcW w:w="4888" w:type="dxa"/>
            <w:tcBorders>
              <w:tl2br w:val="nil"/>
              <w:tr2bl w:val="nil"/>
            </w:tcBorders>
            <w:shd w:val="clear" w:color="auto" w:fill="auto"/>
            <w:noWrap/>
            <w:vAlign w:val="center"/>
          </w:tcPr>
          <w:p w14:paraId="57617FD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WWTR1-CAMTA1</w:t>
            </w:r>
          </w:p>
        </w:tc>
      </w:tr>
      <w:tr w14:paraId="28B34E4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5DAC87C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上皮样血管内皮瘤伴YAP1-TFE3融合</w:t>
            </w:r>
          </w:p>
        </w:tc>
        <w:tc>
          <w:tcPr>
            <w:tcW w:w="4888" w:type="dxa"/>
            <w:tcBorders>
              <w:tl2br w:val="nil"/>
              <w:tr2bl w:val="nil"/>
            </w:tcBorders>
            <w:shd w:val="clear" w:color="auto" w:fill="auto"/>
            <w:noWrap/>
            <w:vAlign w:val="center"/>
          </w:tcPr>
          <w:p w14:paraId="55A68E9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YAP1-TFE3</w:t>
            </w:r>
          </w:p>
        </w:tc>
      </w:tr>
      <w:tr w14:paraId="225A57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5791C3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血管球肿瘤</w:t>
            </w:r>
          </w:p>
        </w:tc>
        <w:tc>
          <w:tcPr>
            <w:tcW w:w="4888" w:type="dxa"/>
            <w:tcBorders>
              <w:tl2br w:val="nil"/>
              <w:tr2bl w:val="nil"/>
            </w:tcBorders>
            <w:shd w:val="clear" w:color="auto" w:fill="auto"/>
            <w:noWrap/>
            <w:vAlign w:val="center"/>
          </w:tcPr>
          <w:p w14:paraId="199131F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MIR143-NOTCH1</w:t>
            </w:r>
          </w:p>
        </w:tc>
      </w:tr>
      <w:tr w14:paraId="4523E40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332FFA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9FDAA8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MIR143-NOTCH2</w:t>
            </w:r>
          </w:p>
        </w:tc>
      </w:tr>
      <w:tr w14:paraId="463D3B9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A8A892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8A9B7E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MIR143-NOTCH3</w:t>
            </w:r>
          </w:p>
        </w:tc>
      </w:tr>
      <w:tr w14:paraId="2734916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26FE915F">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肌周细胞瘤，包括肌纤维瘤</w:t>
            </w:r>
          </w:p>
        </w:tc>
        <w:tc>
          <w:tcPr>
            <w:tcW w:w="4888" w:type="dxa"/>
            <w:tcBorders>
              <w:tl2br w:val="nil"/>
              <w:tr2bl w:val="nil"/>
            </w:tcBorders>
            <w:shd w:val="clear" w:color="auto" w:fill="auto"/>
            <w:noWrap/>
            <w:vAlign w:val="center"/>
          </w:tcPr>
          <w:p w14:paraId="6E104C0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SRF-RELA</w:t>
            </w:r>
          </w:p>
        </w:tc>
      </w:tr>
      <w:tr w14:paraId="5AE8C6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EBDBF5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腺泡状横纹肌肉瘤</w:t>
            </w:r>
          </w:p>
        </w:tc>
        <w:tc>
          <w:tcPr>
            <w:tcW w:w="4888" w:type="dxa"/>
            <w:tcBorders>
              <w:tl2br w:val="nil"/>
              <w:tr2bl w:val="nil"/>
            </w:tcBorders>
            <w:shd w:val="clear" w:color="auto" w:fill="auto"/>
            <w:noWrap/>
            <w:vAlign w:val="center"/>
          </w:tcPr>
          <w:p w14:paraId="40CF5DA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PAX3-FOXO1</w:t>
            </w:r>
          </w:p>
        </w:tc>
      </w:tr>
      <w:tr w14:paraId="2B4F953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FA2044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B4763F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PAX3 -FOXO4</w:t>
            </w:r>
          </w:p>
        </w:tc>
      </w:tr>
      <w:tr w14:paraId="3FA073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151E19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D6FC1B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PAX3-NCOA1</w:t>
            </w:r>
          </w:p>
        </w:tc>
      </w:tr>
      <w:tr w14:paraId="0053C1E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83F302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15A077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PAX3-INO80D</w:t>
            </w:r>
          </w:p>
        </w:tc>
      </w:tr>
      <w:tr w14:paraId="613417E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A907DF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8AB159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PAX7-FOXO1</w:t>
            </w:r>
          </w:p>
        </w:tc>
      </w:tr>
      <w:tr w14:paraId="179F99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983D60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FABFDB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FOXO1-FGFR1</w:t>
            </w:r>
          </w:p>
        </w:tc>
      </w:tr>
      <w:tr w14:paraId="7BA241E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6C9E92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先天性梭形细胞横纹肌肉瘤伴VGLL2/NCOA2/CITED2重排</w:t>
            </w:r>
          </w:p>
        </w:tc>
        <w:tc>
          <w:tcPr>
            <w:tcW w:w="4888" w:type="dxa"/>
            <w:tcBorders>
              <w:tl2br w:val="nil"/>
              <w:tr2bl w:val="nil"/>
            </w:tcBorders>
            <w:shd w:val="clear" w:color="auto" w:fill="auto"/>
            <w:noWrap/>
            <w:vAlign w:val="center"/>
          </w:tcPr>
          <w:p w14:paraId="57F252D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SRF-NCOA2</w:t>
            </w:r>
          </w:p>
        </w:tc>
      </w:tr>
      <w:tr w14:paraId="01220E7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EAA149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30BAEA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TEAD1-NCOA2</w:t>
            </w:r>
          </w:p>
        </w:tc>
      </w:tr>
      <w:tr w14:paraId="401C8A0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994D8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EA8B20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VGLL2-NCOA2</w:t>
            </w:r>
          </w:p>
        </w:tc>
      </w:tr>
      <w:tr w14:paraId="7E705DE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7D407F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D16548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VGLL2-CITED2</w:t>
            </w:r>
          </w:p>
        </w:tc>
      </w:tr>
      <w:tr w14:paraId="5ACD9E9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380BCBF">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骨内梭形细胞横纹肌肉瘤(伴TFCP2/NCOA2重排)</w:t>
            </w:r>
          </w:p>
        </w:tc>
        <w:tc>
          <w:tcPr>
            <w:tcW w:w="4888" w:type="dxa"/>
            <w:tcBorders>
              <w:tl2br w:val="nil"/>
              <w:tr2bl w:val="nil"/>
            </w:tcBorders>
            <w:shd w:val="clear" w:color="auto" w:fill="auto"/>
            <w:noWrap/>
            <w:vAlign w:val="center"/>
          </w:tcPr>
          <w:p w14:paraId="330F964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EWSR1-TFCP2</w:t>
            </w:r>
          </w:p>
        </w:tc>
      </w:tr>
      <w:tr w14:paraId="0FB2F84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5D8D67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3718BF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FUS-TFCP2</w:t>
            </w:r>
          </w:p>
        </w:tc>
      </w:tr>
      <w:tr w14:paraId="273B86E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0A2B17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FEA0E8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MEIS1-NCOA2</w:t>
            </w:r>
          </w:p>
        </w:tc>
      </w:tr>
      <w:tr w14:paraId="287A1B8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FF7AEC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胃肠道间质瘤</w:t>
            </w:r>
          </w:p>
        </w:tc>
        <w:tc>
          <w:tcPr>
            <w:tcW w:w="4888" w:type="dxa"/>
            <w:tcBorders>
              <w:tl2br w:val="nil"/>
              <w:tr2bl w:val="nil"/>
            </w:tcBorders>
            <w:shd w:val="clear" w:color="auto" w:fill="auto"/>
            <w:noWrap/>
            <w:vAlign w:val="center"/>
          </w:tcPr>
          <w:p w14:paraId="085CCAC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3DFB819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5DDD6E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1705E6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FGFR1-HOOK3</w:t>
            </w:r>
          </w:p>
        </w:tc>
      </w:tr>
      <w:tr w14:paraId="2877108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68DEE3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D37552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FGFR1-TACC1</w:t>
            </w:r>
          </w:p>
        </w:tc>
      </w:tr>
      <w:tr w14:paraId="69EAE25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074ED421">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深部（侵袭性）血管黏液瘤</w:t>
            </w:r>
          </w:p>
        </w:tc>
        <w:tc>
          <w:tcPr>
            <w:tcW w:w="4888" w:type="dxa"/>
            <w:tcBorders>
              <w:tl2br w:val="nil"/>
              <w:tr2bl w:val="nil"/>
            </w:tcBorders>
            <w:shd w:val="clear" w:color="auto" w:fill="auto"/>
            <w:noWrap/>
            <w:vAlign w:val="center"/>
          </w:tcPr>
          <w:p w14:paraId="3F40126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HMGA2 重排</w:t>
            </w:r>
          </w:p>
        </w:tc>
      </w:tr>
      <w:tr w14:paraId="008BF34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8131BF9">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血管瘤样纤维组织细胞瘤</w:t>
            </w:r>
          </w:p>
        </w:tc>
        <w:tc>
          <w:tcPr>
            <w:tcW w:w="4888" w:type="dxa"/>
            <w:tcBorders>
              <w:tl2br w:val="nil"/>
              <w:tr2bl w:val="nil"/>
            </w:tcBorders>
            <w:shd w:val="clear" w:color="auto" w:fill="auto"/>
            <w:noWrap/>
            <w:vAlign w:val="center"/>
          </w:tcPr>
          <w:p w14:paraId="00FFBE6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EWSR1-CREB1</w:t>
            </w:r>
          </w:p>
        </w:tc>
      </w:tr>
      <w:tr w14:paraId="75F6393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BB87BE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CD4F94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7728B3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12AAFB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F1642A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FUS-ATF1</w:t>
            </w:r>
          </w:p>
        </w:tc>
      </w:tr>
      <w:tr w14:paraId="5CDE3DE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BF8AB07">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骨化性纤维黏液样肿瘤</w:t>
            </w:r>
          </w:p>
        </w:tc>
        <w:tc>
          <w:tcPr>
            <w:tcW w:w="4888" w:type="dxa"/>
            <w:tcBorders>
              <w:tl2br w:val="nil"/>
              <w:tr2bl w:val="nil"/>
            </w:tcBorders>
            <w:shd w:val="clear" w:color="auto" w:fill="auto"/>
            <w:noWrap/>
            <w:vAlign w:val="center"/>
          </w:tcPr>
          <w:p w14:paraId="1DF4E60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EP400-PHF1</w:t>
            </w:r>
          </w:p>
        </w:tc>
      </w:tr>
      <w:tr w14:paraId="09C1377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6469EF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F80E3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MEAF6-PHF1</w:t>
            </w:r>
          </w:p>
        </w:tc>
      </w:tr>
      <w:tr w14:paraId="1FFBE9E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3CE7F9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4A61C7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EPC1-PHF1</w:t>
            </w:r>
          </w:p>
        </w:tc>
      </w:tr>
      <w:tr w14:paraId="038B2B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879CDB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CF29DB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PHF1-TFE3</w:t>
            </w:r>
          </w:p>
        </w:tc>
      </w:tr>
      <w:tr w14:paraId="77B68E3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7F6CD8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肌上皮瘤、肌上皮癌</w:t>
            </w:r>
          </w:p>
        </w:tc>
        <w:tc>
          <w:tcPr>
            <w:tcW w:w="4888" w:type="dxa"/>
            <w:tcBorders>
              <w:tl2br w:val="nil"/>
              <w:tr2bl w:val="nil"/>
            </w:tcBorders>
            <w:shd w:val="clear" w:color="auto" w:fill="auto"/>
            <w:noWrap/>
            <w:vAlign w:val="center"/>
          </w:tcPr>
          <w:p w14:paraId="4D0BF81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EWSR1-POU5F1</w:t>
            </w:r>
          </w:p>
        </w:tc>
      </w:tr>
      <w:tr w14:paraId="361F900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F7AF5F1">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812FCE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EWSR1-PBX1</w:t>
            </w:r>
          </w:p>
        </w:tc>
      </w:tr>
      <w:tr w14:paraId="376CD7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8440AB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3CCE5D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EWSR1-ZNF444</w:t>
            </w:r>
          </w:p>
        </w:tc>
      </w:tr>
      <w:tr w14:paraId="2CA38D5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84E1CE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0C7927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EWSR1-KLF17</w:t>
            </w:r>
          </w:p>
        </w:tc>
      </w:tr>
      <w:tr w14:paraId="3CDD26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D5E069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2AC571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7C7689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B99D33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9C3ECD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EWSR1-PBX3</w:t>
            </w:r>
          </w:p>
        </w:tc>
      </w:tr>
      <w:tr w14:paraId="0847B8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A8F17C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AFEBEA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FUS-ZNF444</w:t>
            </w:r>
          </w:p>
        </w:tc>
      </w:tr>
      <w:tr w14:paraId="089015D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3B2C33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835BF6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FUS-KLF17</w:t>
            </w:r>
          </w:p>
        </w:tc>
      </w:tr>
      <w:tr w14:paraId="64A9DE6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F630F0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97CBEF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FUS-ATF1</w:t>
            </w:r>
          </w:p>
        </w:tc>
      </w:tr>
      <w:tr w14:paraId="1E32B1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A1848F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B906F4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FUS-PBX3</w:t>
            </w:r>
          </w:p>
        </w:tc>
      </w:tr>
      <w:tr w14:paraId="46373CB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C5992D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混合瘤</w:t>
            </w:r>
          </w:p>
        </w:tc>
        <w:tc>
          <w:tcPr>
            <w:tcW w:w="4888" w:type="dxa"/>
            <w:tcBorders>
              <w:tl2br w:val="nil"/>
              <w:tr2bl w:val="nil"/>
            </w:tcBorders>
            <w:shd w:val="clear" w:color="auto" w:fill="auto"/>
            <w:noWrap/>
            <w:vAlign w:val="center"/>
          </w:tcPr>
          <w:p w14:paraId="06643C7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LIFR-PLAG1</w:t>
            </w:r>
          </w:p>
        </w:tc>
      </w:tr>
      <w:tr w14:paraId="5194A99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E0478A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ABB880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CTNNB1-PLAG1</w:t>
            </w:r>
          </w:p>
        </w:tc>
      </w:tr>
      <w:tr w14:paraId="08738C8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5FDFBB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91920E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TCEA1-PLAG1</w:t>
            </w:r>
          </w:p>
        </w:tc>
      </w:tr>
      <w:tr w14:paraId="05080CE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0A9E8F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21324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CHCHD7-PLAG1</w:t>
            </w:r>
          </w:p>
        </w:tc>
      </w:tr>
      <w:tr w14:paraId="6D850B3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FA25710">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软组织多形性透明血管扩张瘤</w:t>
            </w:r>
          </w:p>
        </w:tc>
        <w:tc>
          <w:tcPr>
            <w:tcW w:w="4888" w:type="dxa"/>
            <w:tcBorders>
              <w:tl2br w:val="nil"/>
              <w:tr2bl w:val="nil"/>
            </w:tcBorders>
            <w:shd w:val="clear" w:color="auto" w:fill="auto"/>
            <w:noWrap/>
            <w:vAlign w:val="center"/>
          </w:tcPr>
          <w:p w14:paraId="00DC3C1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TGFBR3 重排</w:t>
            </w:r>
          </w:p>
        </w:tc>
      </w:tr>
      <w:tr w14:paraId="6C22639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C752A5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417F86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OGA 重排</w:t>
            </w:r>
          </w:p>
        </w:tc>
      </w:tr>
      <w:tr w14:paraId="03D2C31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7A4F2AF">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含铁血黄素沉着性纤维脂肪瘤性肿瘤</w:t>
            </w:r>
          </w:p>
        </w:tc>
        <w:tc>
          <w:tcPr>
            <w:tcW w:w="4888" w:type="dxa"/>
            <w:tcBorders>
              <w:tl2br w:val="nil"/>
              <w:tr2bl w:val="nil"/>
            </w:tcBorders>
            <w:shd w:val="clear" w:color="auto" w:fill="auto"/>
            <w:noWrap/>
            <w:vAlign w:val="center"/>
          </w:tcPr>
          <w:p w14:paraId="5B92863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TGFBR3 重排</w:t>
            </w:r>
          </w:p>
        </w:tc>
      </w:tr>
      <w:tr w14:paraId="3C03052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D2C39A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9360B5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OGA 重排</w:t>
            </w:r>
          </w:p>
        </w:tc>
      </w:tr>
      <w:tr w14:paraId="58638E7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32E789A">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磷酸盐尿性间叶性肿瘤</w:t>
            </w:r>
          </w:p>
        </w:tc>
        <w:tc>
          <w:tcPr>
            <w:tcW w:w="4888" w:type="dxa"/>
            <w:tcBorders>
              <w:tl2br w:val="nil"/>
              <w:tr2bl w:val="nil"/>
            </w:tcBorders>
            <w:shd w:val="clear" w:color="auto" w:fill="auto"/>
            <w:noWrap/>
            <w:vAlign w:val="center"/>
          </w:tcPr>
          <w:p w14:paraId="470368E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FN1-FGFR1</w:t>
            </w:r>
          </w:p>
        </w:tc>
      </w:tr>
      <w:tr w14:paraId="41ACE83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EE5BE2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D32FEB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FN1-FGF1</w:t>
            </w:r>
          </w:p>
        </w:tc>
      </w:tr>
      <w:tr w14:paraId="4C7E0E0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03FF85B">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NTRK重排的梭形细胞肿瘤</w:t>
            </w:r>
          </w:p>
        </w:tc>
        <w:tc>
          <w:tcPr>
            <w:tcW w:w="4888" w:type="dxa"/>
            <w:tcBorders>
              <w:tl2br w:val="nil"/>
              <w:tr2bl w:val="nil"/>
            </w:tcBorders>
            <w:shd w:val="clear" w:color="auto" w:fill="auto"/>
            <w:vAlign w:val="center"/>
          </w:tcPr>
          <w:p w14:paraId="6217D19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LMNA-NTRK1</w:t>
            </w:r>
          </w:p>
        </w:tc>
      </w:tr>
      <w:tr w14:paraId="5E1BE8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DB66AD6">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5B42FC7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TPR-NTRK1</w:t>
            </w:r>
          </w:p>
        </w:tc>
      </w:tr>
      <w:tr w14:paraId="7C005BB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3D3CF7D">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2304364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TPM3-NTRK1</w:t>
            </w:r>
          </w:p>
        </w:tc>
      </w:tr>
      <w:tr w14:paraId="4EF92CC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5BAFAA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ED964C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NTRK2 融合</w:t>
            </w:r>
          </w:p>
        </w:tc>
      </w:tr>
      <w:tr w14:paraId="4E0220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15B403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5E6795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NTRK3 融合</w:t>
            </w:r>
          </w:p>
        </w:tc>
      </w:tr>
      <w:tr w14:paraId="4692ADB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10D955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滑膜肉瘤</w:t>
            </w:r>
          </w:p>
        </w:tc>
        <w:tc>
          <w:tcPr>
            <w:tcW w:w="4888" w:type="dxa"/>
            <w:tcBorders>
              <w:tl2br w:val="nil"/>
              <w:tr2bl w:val="nil"/>
            </w:tcBorders>
            <w:shd w:val="clear" w:color="auto" w:fill="auto"/>
            <w:noWrap/>
            <w:vAlign w:val="center"/>
          </w:tcPr>
          <w:p w14:paraId="06407E0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SS18-SSX1</w:t>
            </w:r>
          </w:p>
        </w:tc>
      </w:tr>
      <w:tr w14:paraId="12733D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06E936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C8C8D5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SS18-SSX2</w:t>
            </w:r>
          </w:p>
        </w:tc>
      </w:tr>
      <w:tr w14:paraId="179CB4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BC8902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7F3227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SS18-SSX4</w:t>
            </w:r>
          </w:p>
        </w:tc>
      </w:tr>
      <w:tr w14:paraId="681A005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30D9BCA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腺泡状软组织肉瘤</w:t>
            </w:r>
          </w:p>
        </w:tc>
        <w:tc>
          <w:tcPr>
            <w:tcW w:w="4888" w:type="dxa"/>
            <w:tcBorders>
              <w:tl2br w:val="nil"/>
              <w:tr2bl w:val="nil"/>
            </w:tcBorders>
            <w:shd w:val="clear" w:color="auto" w:fill="auto"/>
            <w:noWrap/>
            <w:vAlign w:val="center"/>
          </w:tcPr>
          <w:p w14:paraId="0BFD703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ASPSCR1-TFE3</w:t>
            </w:r>
          </w:p>
        </w:tc>
      </w:tr>
      <w:tr w14:paraId="25B9047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D8F4B4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软组织透明细胞肉瘤</w:t>
            </w:r>
          </w:p>
        </w:tc>
        <w:tc>
          <w:tcPr>
            <w:tcW w:w="4888" w:type="dxa"/>
            <w:tcBorders>
              <w:tl2br w:val="nil"/>
              <w:tr2bl w:val="nil"/>
            </w:tcBorders>
            <w:shd w:val="clear" w:color="auto" w:fill="auto"/>
            <w:noWrap/>
            <w:vAlign w:val="center"/>
          </w:tcPr>
          <w:p w14:paraId="37B901C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4FFE256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3F92FF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3D2FE8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EWSR1-CREB1</w:t>
            </w:r>
          </w:p>
        </w:tc>
      </w:tr>
      <w:tr w14:paraId="1DA3F7C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4E6881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骨外黏液样软骨肉瘤</w:t>
            </w:r>
          </w:p>
        </w:tc>
        <w:tc>
          <w:tcPr>
            <w:tcW w:w="4888" w:type="dxa"/>
            <w:tcBorders>
              <w:tl2br w:val="nil"/>
              <w:tr2bl w:val="nil"/>
            </w:tcBorders>
            <w:shd w:val="clear" w:color="auto" w:fill="auto"/>
            <w:noWrap/>
            <w:vAlign w:val="center"/>
          </w:tcPr>
          <w:p w14:paraId="73B2D57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EWSR1-NR4A3</w:t>
            </w:r>
          </w:p>
        </w:tc>
      </w:tr>
      <w:tr w14:paraId="6D0BBD5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46FEA8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5BBC82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TAF15-NR4A3</w:t>
            </w:r>
          </w:p>
        </w:tc>
      </w:tr>
      <w:tr w14:paraId="13631B3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DA1ED4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0FAA0B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TCF12-NR4A3</w:t>
            </w:r>
          </w:p>
        </w:tc>
      </w:tr>
      <w:tr w14:paraId="2DC411E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57B1D8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A38DBB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TFG-NR4A3</w:t>
            </w:r>
          </w:p>
        </w:tc>
      </w:tr>
      <w:tr w14:paraId="3FCFF1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jc w:val="center"/>
        </w:trPr>
        <w:tc>
          <w:tcPr>
            <w:tcW w:w="5088" w:type="dxa"/>
            <w:tcBorders>
              <w:tl2br w:val="nil"/>
              <w:tr2bl w:val="nil"/>
            </w:tcBorders>
            <w:shd w:val="clear" w:color="auto" w:fill="auto"/>
            <w:vAlign w:val="center"/>
          </w:tcPr>
          <w:p w14:paraId="661502E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增生性小圆细胞肿瘤</w:t>
            </w:r>
          </w:p>
        </w:tc>
        <w:tc>
          <w:tcPr>
            <w:tcW w:w="4888" w:type="dxa"/>
            <w:tcBorders>
              <w:tl2br w:val="nil"/>
              <w:tr2bl w:val="nil"/>
            </w:tcBorders>
            <w:shd w:val="clear" w:color="auto" w:fill="auto"/>
            <w:noWrap/>
            <w:vAlign w:val="center"/>
          </w:tcPr>
          <w:p w14:paraId="3B0D04C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EWSR1-WT1</w:t>
            </w:r>
          </w:p>
        </w:tc>
      </w:tr>
      <w:tr w14:paraId="3D8C8F4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24CBC09">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血管周围上皮样细胞瘤</w:t>
            </w:r>
          </w:p>
        </w:tc>
        <w:tc>
          <w:tcPr>
            <w:tcW w:w="4888" w:type="dxa"/>
            <w:tcBorders>
              <w:tl2br w:val="nil"/>
              <w:tr2bl w:val="nil"/>
            </w:tcBorders>
            <w:shd w:val="clear" w:color="auto" w:fill="auto"/>
            <w:noWrap/>
            <w:vAlign w:val="center"/>
          </w:tcPr>
          <w:p w14:paraId="572569B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SFPQ-TFE3</w:t>
            </w:r>
          </w:p>
        </w:tc>
      </w:tr>
      <w:tr w14:paraId="5FE90B6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6810821">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BEC821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DVL2-TFE3</w:t>
            </w:r>
          </w:p>
        </w:tc>
      </w:tr>
      <w:tr w14:paraId="3A1AC1D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3D99F9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B0B820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NONO-TFE3</w:t>
            </w:r>
          </w:p>
        </w:tc>
      </w:tr>
      <w:tr w14:paraId="594383C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9C7669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尤文肉瘤</w:t>
            </w:r>
          </w:p>
        </w:tc>
        <w:tc>
          <w:tcPr>
            <w:tcW w:w="4888" w:type="dxa"/>
            <w:tcBorders>
              <w:tl2br w:val="nil"/>
              <w:tr2bl w:val="nil"/>
            </w:tcBorders>
            <w:shd w:val="clear" w:color="auto" w:fill="auto"/>
            <w:vAlign w:val="center"/>
          </w:tcPr>
          <w:p w14:paraId="6555FC5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EWSR1-FLI1</w:t>
            </w:r>
          </w:p>
        </w:tc>
      </w:tr>
      <w:tr w14:paraId="4B4473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38FDD7D">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0A68803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EWSR1-ERG</w:t>
            </w:r>
          </w:p>
        </w:tc>
      </w:tr>
      <w:tr w14:paraId="245CF98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3BFB4CD">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0C73A18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EWSR1-FEV</w:t>
            </w:r>
          </w:p>
        </w:tc>
      </w:tr>
      <w:tr w14:paraId="6921565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FED8E50">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3E33CA4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EWSR1-ETV1</w:t>
            </w:r>
          </w:p>
        </w:tc>
      </w:tr>
      <w:tr w14:paraId="3E50222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8C38590">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70DC679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EWSR1-ETV4(E1AF)</w:t>
            </w:r>
          </w:p>
        </w:tc>
      </w:tr>
      <w:tr w14:paraId="15F7174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5D88A22">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72BD8F8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EWSR1-PATZ1(ZSG)</w:t>
            </w:r>
          </w:p>
        </w:tc>
      </w:tr>
      <w:tr w14:paraId="284E5E4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6B57AF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509A00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EWSR1-SP3</w:t>
            </w:r>
          </w:p>
        </w:tc>
      </w:tr>
      <w:tr w14:paraId="5DFA6B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F1D79F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BDDDA9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EWSR1-NFATC2</w:t>
            </w:r>
          </w:p>
        </w:tc>
      </w:tr>
      <w:tr w14:paraId="5BB9A49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388C87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E6484B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EWSR1-SMARCA5</w:t>
            </w:r>
          </w:p>
        </w:tc>
      </w:tr>
      <w:tr w14:paraId="445A6A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4511C19">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1031E35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FUS-ERG</w:t>
            </w:r>
          </w:p>
        </w:tc>
      </w:tr>
      <w:tr w14:paraId="1D6A304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9D3E6E8">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3F6AEEE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FUS-FEV</w:t>
            </w:r>
          </w:p>
        </w:tc>
      </w:tr>
      <w:tr w14:paraId="32168B6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6DE0DD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EWSR1-非ETS融合圆细胞肉瘤</w:t>
            </w:r>
          </w:p>
        </w:tc>
        <w:tc>
          <w:tcPr>
            <w:tcW w:w="4888" w:type="dxa"/>
            <w:tcBorders>
              <w:tl2br w:val="nil"/>
              <w:tr2bl w:val="nil"/>
            </w:tcBorders>
            <w:shd w:val="clear" w:color="auto" w:fill="auto"/>
            <w:noWrap/>
            <w:vAlign w:val="center"/>
          </w:tcPr>
          <w:p w14:paraId="0B2C134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EWSR1-NFATC2</w:t>
            </w:r>
          </w:p>
        </w:tc>
      </w:tr>
      <w:tr w14:paraId="18601C4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DC57651">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B684A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FUS-NFATC2</w:t>
            </w:r>
          </w:p>
        </w:tc>
      </w:tr>
      <w:tr w14:paraId="4B1DB0C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8BF13D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FE518A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EWSR1-PATZ1</w:t>
            </w:r>
          </w:p>
        </w:tc>
      </w:tr>
      <w:tr w14:paraId="09213D1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30752A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CIC重排肉瘤</w:t>
            </w:r>
          </w:p>
        </w:tc>
        <w:tc>
          <w:tcPr>
            <w:tcW w:w="4888" w:type="dxa"/>
            <w:tcBorders>
              <w:tl2br w:val="nil"/>
              <w:tr2bl w:val="nil"/>
            </w:tcBorders>
            <w:shd w:val="clear" w:color="auto" w:fill="auto"/>
            <w:noWrap/>
            <w:vAlign w:val="center"/>
          </w:tcPr>
          <w:p w14:paraId="4813BB01">
            <w:pPr>
              <w:widowControl/>
              <w:textAlignment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bidi="ar"/>
              </w:rPr>
              <w:t>CIC-DUX4L1</w:t>
            </w:r>
          </w:p>
        </w:tc>
      </w:tr>
      <w:tr w14:paraId="5C4121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82FBA1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BC8ACA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CIC-FOXO4</w:t>
            </w:r>
          </w:p>
        </w:tc>
      </w:tr>
      <w:tr w14:paraId="36BD114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31292C1">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BA214B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CIC-LEUTX</w:t>
            </w:r>
          </w:p>
        </w:tc>
      </w:tr>
      <w:tr w14:paraId="076D6CD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CE94E6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4BE260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CIC-NUTM1</w:t>
            </w:r>
          </w:p>
        </w:tc>
      </w:tr>
      <w:tr w14:paraId="254641E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F7D761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84F166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CIC-NUTM2A</w:t>
            </w:r>
          </w:p>
        </w:tc>
      </w:tr>
      <w:tr w14:paraId="3B01DE8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B620657">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伴有BCOR基因改变的肉瘤</w:t>
            </w:r>
          </w:p>
        </w:tc>
        <w:tc>
          <w:tcPr>
            <w:tcW w:w="4888" w:type="dxa"/>
            <w:tcBorders>
              <w:tl2br w:val="nil"/>
              <w:tr2bl w:val="nil"/>
            </w:tcBorders>
            <w:shd w:val="clear" w:color="auto" w:fill="auto"/>
            <w:noWrap/>
            <w:vAlign w:val="center"/>
          </w:tcPr>
          <w:p w14:paraId="65E4CCE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BCOR-CCNB3</w:t>
            </w:r>
          </w:p>
        </w:tc>
      </w:tr>
      <w:tr w14:paraId="5E025F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46DFAA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BD05DD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BCOR-MAML2</w:t>
            </w:r>
          </w:p>
        </w:tc>
      </w:tr>
      <w:tr w14:paraId="7404A87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41B725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软骨粘液样纤维瘤</w:t>
            </w:r>
          </w:p>
        </w:tc>
        <w:tc>
          <w:tcPr>
            <w:tcW w:w="4888" w:type="dxa"/>
            <w:tcBorders>
              <w:tl2br w:val="nil"/>
              <w:tr2bl w:val="nil"/>
            </w:tcBorders>
            <w:shd w:val="clear" w:color="auto" w:fill="auto"/>
            <w:noWrap/>
            <w:vAlign w:val="center"/>
          </w:tcPr>
          <w:p w14:paraId="1CF4B81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TBL1XR1-GRM1</w:t>
            </w:r>
          </w:p>
        </w:tc>
      </w:tr>
      <w:tr w14:paraId="681914D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7D5DEF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11D023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MEF2A-GRM1</w:t>
            </w:r>
          </w:p>
        </w:tc>
      </w:tr>
      <w:tr w14:paraId="64DB08D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51EA404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间叶性软骨肉瘤</w:t>
            </w:r>
          </w:p>
        </w:tc>
        <w:tc>
          <w:tcPr>
            <w:tcW w:w="4888" w:type="dxa"/>
            <w:tcBorders>
              <w:tl2br w:val="nil"/>
              <w:tr2bl w:val="nil"/>
            </w:tcBorders>
            <w:shd w:val="clear" w:color="auto" w:fill="auto"/>
            <w:noWrap/>
            <w:vAlign w:val="center"/>
          </w:tcPr>
          <w:p w14:paraId="74A43F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HEY1-NCOA2</w:t>
            </w:r>
          </w:p>
        </w:tc>
      </w:tr>
      <w:tr w14:paraId="6BC7333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17BB307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骨样骨瘤</w:t>
            </w:r>
          </w:p>
        </w:tc>
        <w:tc>
          <w:tcPr>
            <w:tcW w:w="4888" w:type="dxa"/>
            <w:tcBorders>
              <w:tl2br w:val="nil"/>
              <w:tr2bl w:val="nil"/>
            </w:tcBorders>
            <w:shd w:val="clear" w:color="auto" w:fill="auto"/>
            <w:noWrap/>
            <w:vAlign w:val="center"/>
          </w:tcPr>
          <w:p w14:paraId="55DAF87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 重排</w:t>
            </w:r>
          </w:p>
        </w:tc>
      </w:tr>
      <w:tr w14:paraId="58940CB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2C5319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成骨细胞瘤</w:t>
            </w:r>
          </w:p>
        </w:tc>
        <w:tc>
          <w:tcPr>
            <w:tcW w:w="4888" w:type="dxa"/>
            <w:tcBorders>
              <w:tl2br w:val="nil"/>
              <w:tr2bl w:val="nil"/>
            </w:tcBorders>
            <w:shd w:val="clear" w:color="auto" w:fill="auto"/>
            <w:noWrap/>
            <w:vAlign w:val="center"/>
          </w:tcPr>
          <w:p w14:paraId="0F203D2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 重排</w:t>
            </w:r>
          </w:p>
        </w:tc>
      </w:tr>
      <w:tr w14:paraId="028962E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0E4DE8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D98248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FOSB 重排</w:t>
            </w:r>
          </w:p>
        </w:tc>
      </w:tr>
      <w:tr w14:paraId="633D0F7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1CB396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骨上皮样血管瘤</w:t>
            </w:r>
          </w:p>
        </w:tc>
        <w:tc>
          <w:tcPr>
            <w:tcW w:w="4888" w:type="dxa"/>
            <w:tcBorders>
              <w:tl2br w:val="nil"/>
              <w:tr2bl w:val="nil"/>
            </w:tcBorders>
            <w:shd w:val="clear" w:color="auto" w:fill="auto"/>
            <w:noWrap/>
            <w:vAlign w:val="center"/>
          </w:tcPr>
          <w:p w14:paraId="1A4DC9C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FOS-MBNL1</w:t>
            </w:r>
          </w:p>
        </w:tc>
      </w:tr>
      <w:tr w14:paraId="0F4627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6717D81">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039E1C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FOS-VIM</w:t>
            </w:r>
          </w:p>
        </w:tc>
      </w:tr>
      <w:tr w14:paraId="1B2AA27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41B9AF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152829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FOS-RP11-326N17.1(lincRNA)</w:t>
            </w:r>
          </w:p>
        </w:tc>
      </w:tr>
      <w:tr w14:paraId="4BDE38B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B5C4421">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ADCEC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FOS-LMNA</w:t>
            </w:r>
          </w:p>
        </w:tc>
      </w:tr>
      <w:tr w14:paraId="1DB3D2B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BE6198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BD6ACB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ZFP36-FOSB</w:t>
            </w:r>
          </w:p>
        </w:tc>
      </w:tr>
      <w:tr w14:paraId="2E906AE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370C8E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1DDD03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WWTR1-FOSB</w:t>
            </w:r>
          </w:p>
        </w:tc>
      </w:tr>
      <w:tr w14:paraId="13FE054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547D84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骨上皮样血管内皮瘤</w:t>
            </w:r>
          </w:p>
        </w:tc>
        <w:tc>
          <w:tcPr>
            <w:tcW w:w="4888" w:type="dxa"/>
            <w:tcBorders>
              <w:tl2br w:val="nil"/>
              <w:tr2bl w:val="nil"/>
            </w:tcBorders>
            <w:shd w:val="clear" w:color="auto" w:fill="auto"/>
            <w:noWrap/>
            <w:vAlign w:val="center"/>
          </w:tcPr>
          <w:p w14:paraId="20D6057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WWTR1-CAMTA1</w:t>
            </w:r>
          </w:p>
        </w:tc>
      </w:tr>
      <w:tr w14:paraId="6833F7D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40144E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4CBD3E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YAP1-TFE3</w:t>
            </w:r>
          </w:p>
        </w:tc>
      </w:tr>
      <w:tr w14:paraId="36D82EE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0239C5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动脉瘤样骨囊肿</w:t>
            </w:r>
          </w:p>
        </w:tc>
        <w:tc>
          <w:tcPr>
            <w:tcW w:w="4888" w:type="dxa"/>
            <w:tcBorders>
              <w:tl2br w:val="nil"/>
              <w:tr2bl w:val="nil"/>
            </w:tcBorders>
            <w:shd w:val="clear" w:color="auto" w:fill="auto"/>
            <w:noWrap/>
            <w:vAlign w:val="center"/>
          </w:tcPr>
          <w:p w14:paraId="6D34717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CDH11-USP6</w:t>
            </w:r>
          </w:p>
        </w:tc>
      </w:tr>
      <w:tr w14:paraId="1A595B1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459631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081DC9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THRAP3-USP6</w:t>
            </w:r>
          </w:p>
        </w:tc>
      </w:tr>
      <w:tr w14:paraId="64F3AAC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7B4CF4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58FAFB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CNBP-USP6</w:t>
            </w:r>
          </w:p>
        </w:tc>
      </w:tr>
      <w:tr w14:paraId="2DCEE66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5DB1D81">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DF6043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OMD-USP6</w:t>
            </w:r>
          </w:p>
        </w:tc>
      </w:tr>
      <w:tr w14:paraId="6EA0E65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CA9EA9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AC53EE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COL1A1-USP6</w:t>
            </w:r>
          </w:p>
        </w:tc>
      </w:tr>
      <w:tr w14:paraId="6C62F21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76A6A5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610608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CTNNB1-USP6</w:t>
            </w:r>
          </w:p>
        </w:tc>
      </w:tr>
      <w:tr w14:paraId="48DB790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9539B7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C4BF7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STAT3-USP6</w:t>
            </w:r>
          </w:p>
        </w:tc>
      </w:tr>
      <w:tr w14:paraId="1499E9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D3CBFA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59ACE5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FOSL2-USP6</w:t>
            </w:r>
          </w:p>
        </w:tc>
      </w:tr>
      <w:tr w14:paraId="749F201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0900BA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C84467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EIF1-USP6</w:t>
            </w:r>
          </w:p>
        </w:tc>
      </w:tr>
      <w:tr w14:paraId="57D63E8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917DC5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2FEA82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SPARC-USP6</w:t>
            </w:r>
          </w:p>
        </w:tc>
      </w:tr>
      <w:tr w14:paraId="02CA2AC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FD347F1">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AD559B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PAFAH1B1-USP6</w:t>
            </w:r>
          </w:p>
        </w:tc>
      </w:tr>
      <w:tr w14:paraId="1D5EE6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D88FE6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A4176C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USP9X-USP6</w:t>
            </w:r>
          </w:p>
        </w:tc>
      </w:tr>
      <w:tr w14:paraId="6374646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8BB61F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492635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RUNX2-USP6</w:t>
            </w:r>
          </w:p>
        </w:tc>
      </w:tr>
    </w:tbl>
    <w:p w14:paraId="25CCFBE9">
      <w:pPr>
        <w:rPr>
          <w:rFonts w:ascii="Times New Roman" w:hAnsi="Times New Roman" w:eastAsia="微软雅黑" w:cs="Times New Roman"/>
        </w:rPr>
      </w:pPr>
      <w:r>
        <w:rPr>
          <w:rFonts w:ascii="Times New Roman" w:hAnsi="Times New Roman" w:eastAsia="微软雅黑" w:cs="Times New Roman"/>
          <w:color w:val="000000"/>
          <w:sz w:val="18"/>
          <w:szCs w:val="18"/>
          <w:lang w:eastAsia="zh-Hans" w:bidi="ar"/>
        </w:rPr>
        <w:t>参考指南：</w:t>
      </w:r>
      <w:r>
        <w:rPr>
          <w:rFonts w:ascii="Times New Roman" w:hAnsi="Times New Roman" w:eastAsia="微软雅黑" w:cs="Times New Roman"/>
          <w:color w:val="000000"/>
          <w:sz w:val="18"/>
          <w:szCs w:val="18"/>
          <w:lang w:eastAsia="zh-CN" w:bidi="ar"/>
        </w:rPr>
        <w:t>Soft tissue and bone tumours / edited by WHO Classification of Tumours Editorial Board.（2020）</w:t>
      </w:r>
    </w:p>
    <w:p w14:paraId="23F14101">
      <w:pPr>
        <w:rPr>
          <w:rFonts w:ascii="Times New Roman" w:hAnsi="Times New Roman" w:cs="Times New Roman"/>
          <w:lang w:eastAsia="zh-CN"/>
        </w:rPr>
      </w:pPr>
      <w:r>
        <w:rPr>
          <w:rFonts w:hint="eastAsia" w:ascii="Times New Roman" w:hAnsi="Times New Roman" w:cs="Times New Roman"/>
          <w:spacing w:val="-1"/>
          <w:sz w:val="18"/>
          <w:szCs w:val="18"/>
          <w:lang w:eastAsia="zh-Hans"/>
        </w:rPr>
        <w:br w:type="page"/>
      </w:r>
    </w:p>
    <w:p w14:paraId="5D20C9B8">
      <w:pPr>
        <w:numPr>
          <w:ilvl w:val="0"/>
          <w:numId w:val="7"/>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本部分内容参考：NCCN-软组织肉瘤等指南</w:t>
      </w:r>
    </w:p>
    <w:tbl>
      <w:tblPr>
        <w:tblStyle w:val="9"/>
        <w:tblW w:w="10026" w:type="dxa"/>
        <w:tblInd w:w="-62" w:type="dxa"/>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96"/>
        <w:gridCol w:w="4930"/>
      </w:tblGrid>
      <w:tr w14:paraId="31084E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5096" w:type="dxa"/>
            <w:tcBorders>
              <w:top w:val="nil"/>
              <w:bottom w:val="nil"/>
              <w:right w:val="single" w:color="FFFFFF" w:sz="18" w:space="0"/>
            </w:tcBorders>
            <w:shd w:val="clear" w:color="auto" w:fill="64B7CE"/>
            <w:vAlign w:val="center"/>
          </w:tcPr>
          <w:p w14:paraId="6511FD5E">
            <w:pPr>
              <w:spacing w:line="240" w:lineRule="auto"/>
              <w:ind w:left="3"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930" w:type="dxa"/>
            <w:tcBorders>
              <w:top w:val="nil"/>
              <w:left w:val="single" w:color="FFFFFF" w:sz="18" w:space="0"/>
              <w:bottom w:val="nil"/>
            </w:tcBorders>
            <w:shd w:val="clear" w:color="auto" w:fill="64B7CE"/>
            <w:vAlign w:val="center"/>
          </w:tcPr>
          <w:p w14:paraId="7F527E31">
            <w:pPr>
              <w:spacing w:line="240" w:lineRule="auto"/>
              <w:ind w:left="3"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0C2A8B5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op w:val="nil"/>
              <w:tl2br w:val="nil"/>
              <w:tr2bl w:val="nil"/>
            </w:tcBorders>
            <w:shd w:val="clear" w:color="auto" w:fill="auto"/>
            <w:vAlign w:val="center"/>
          </w:tcPr>
          <w:p w14:paraId="227C985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腺泡状横纹肌肉瘤</w:t>
            </w:r>
          </w:p>
        </w:tc>
        <w:tc>
          <w:tcPr>
            <w:tcW w:w="4930" w:type="dxa"/>
            <w:tcBorders>
              <w:top w:val="nil"/>
              <w:tl2br w:val="nil"/>
              <w:tr2bl w:val="nil"/>
            </w:tcBorders>
            <w:shd w:val="clear" w:color="auto" w:fill="auto"/>
            <w:vAlign w:val="center"/>
          </w:tcPr>
          <w:p w14:paraId="415B6E6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PAX3-FOXO1</w:t>
            </w:r>
          </w:p>
        </w:tc>
      </w:tr>
      <w:tr w14:paraId="2E81EF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992FB0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59B1BD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PAX7-FOXO1</w:t>
            </w:r>
          </w:p>
        </w:tc>
      </w:tr>
      <w:tr w14:paraId="1B425B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CED564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32E783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PAX3-FOXO4(AFX)</w:t>
            </w:r>
          </w:p>
        </w:tc>
      </w:tr>
      <w:tr w14:paraId="1DE9CB9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FC890B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7103DC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PAX3-NCOA1</w:t>
            </w:r>
          </w:p>
        </w:tc>
      </w:tr>
      <w:tr w14:paraId="3504B0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167FAC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AB74B5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PAX3-NCOA2</w:t>
            </w:r>
          </w:p>
        </w:tc>
      </w:tr>
      <w:tr w14:paraId="34688E0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2778C42">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C3E6CF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PAX3-INO80D</w:t>
            </w:r>
          </w:p>
        </w:tc>
      </w:tr>
      <w:tr w14:paraId="4A3C890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2221DBCC">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促结缔组织增生性小圆细胞肿瘤</w:t>
            </w:r>
          </w:p>
        </w:tc>
        <w:tc>
          <w:tcPr>
            <w:tcW w:w="4930" w:type="dxa"/>
            <w:tcBorders>
              <w:tl2br w:val="nil"/>
              <w:tr2bl w:val="nil"/>
            </w:tcBorders>
            <w:shd w:val="clear" w:color="auto" w:fill="auto"/>
            <w:vAlign w:val="center"/>
          </w:tcPr>
          <w:p w14:paraId="3153673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EWSR1-WT1</w:t>
            </w:r>
          </w:p>
        </w:tc>
      </w:tr>
      <w:tr w14:paraId="47E51C0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1D0E6D17">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尤文肉瘤/外周神经外胚层肿瘤</w:t>
            </w:r>
          </w:p>
        </w:tc>
        <w:tc>
          <w:tcPr>
            <w:tcW w:w="4930" w:type="dxa"/>
            <w:tcBorders>
              <w:tl2br w:val="nil"/>
              <w:tr2bl w:val="nil"/>
            </w:tcBorders>
            <w:shd w:val="clear" w:color="auto" w:fill="auto"/>
            <w:vAlign w:val="center"/>
          </w:tcPr>
          <w:p w14:paraId="171012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EWSR1-FLI1</w:t>
            </w:r>
          </w:p>
        </w:tc>
      </w:tr>
      <w:tr w14:paraId="58E1254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C86A032">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D670C7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EWSR1-ERG</w:t>
            </w:r>
          </w:p>
        </w:tc>
      </w:tr>
      <w:tr w14:paraId="1B08563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B399F3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5A8ECD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EWSR1-FEV</w:t>
            </w:r>
          </w:p>
        </w:tc>
      </w:tr>
      <w:tr w14:paraId="37A9A71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F8D6E3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9B8DCD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EWSR1-ETV1</w:t>
            </w:r>
          </w:p>
        </w:tc>
      </w:tr>
      <w:tr w14:paraId="3A49FC4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1741AF2">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344706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EWSR1-ETV4(E1AF)</w:t>
            </w:r>
          </w:p>
        </w:tc>
      </w:tr>
      <w:tr w14:paraId="2E0885F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7093B1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7160B4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EWSR1-PATZ1(ZSG)</w:t>
            </w:r>
          </w:p>
        </w:tc>
      </w:tr>
      <w:tr w14:paraId="2CD1053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8745130">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8ADB03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FUS-ERG</w:t>
            </w:r>
          </w:p>
        </w:tc>
      </w:tr>
      <w:tr w14:paraId="77D32F1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7B3FBCA">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80EE94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FUS-FEV</w:t>
            </w:r>
          </w:p>
        </w:tc>
      </w:tr>
      <w:tr w14:paraId="056303C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4E3DE66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未分化圆形细胞肉瘤</w:t>
            </w:r>
          </w:p>
        </w:tc>
        <w:tc>
          <w:tcPr>
            <w:tcW w:w="4930" w:type="dxa"/>
            <w:tcBorders>
              <w:tl2br w:val="nil"/>
              <w:tr2bl w:val="nil"/>
            </w:tcBorders>
            <w:shd w:val="clear" w:color="auto" w:fill="auto"/>
            <w:vAlign w:val="center"/>
          </w:tcPr>
          <w:p w14:paraId="73D3228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t>CIC-DUX4L1</w:t>
            </w:r>
          </w:p>
        </w:tc>
      </w:tr>
      <w:tr w14:paraId="3B363A5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82B233E">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947A7C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7686E17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2B25CE1C">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黏液样/圆形细胞脂肪肉瘤</w:t>
            </w:r>
          </w:p>
        </w:tc>
        <w:tc>
          <w:tcPr>
            <w:tcW w:w="4930" w:type="dxa"/>
            <w:tcBorders>
              <w:tl2br w:val="nil"/>
              <w:tr2bl w:val="nil"/>
            </w:tcBorders>
            <w:shd w:val="clear" w:color="auto" w:fill="auto"/>
            <w:vAlign w:val="center"/>
          </w:tcPr>
          <w:p w14:paraId="7B1201F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FUS-DDIT3</w:t>
            </w:r>
          </w:p>
        </w:tc>
      </w:tr>
      <w:tr w14:paraId="67B65C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1E1897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ED7EB3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EWSR1-DDIT3</w:t>
            </w:r>
          </w:p>
        </w:tc>
      </w:tr>
      <w:tr w14:paraId="13F1A22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7D52D91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腺泡状软组织肉瘤</w:t>
            </w:r>
          </w:p>
        </w:tc>
        <w:tc>
          <w:tcPr>
            <w:tcW w:w="4930" w:type="dxa"/>
            <w:tcBorders>
              <w:tl2br w:val="nil"/>
              <w:tr2bl w:val="nil"/>
            </w:tcBorders>
            <w:shd w:val="clear" w:color="auto" w:fill="auto"/>
            <w:vAlign w:val="center"/>
          </w:tcPr>
          <w:p w14:paraId="503EF97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ASPSCR1(ASPL)-TFE3</w:t>
            </w:r>
          </w:p>
        </w:tc>
      </w:tr>
      <w:tr w14:paraId="7E9A47D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3120D50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血管瘤样纤维组织细胞瘤</w:t>
            </w:r>
          </w:p>
        </w:tc>
        <w:tc>
          <w:tcPr>
            <w:tcW w:w="4930" w:type="dxa"/>
            <w:tcBorders>
              <w:tl2br w:val="nil"/>
              <w:tr2bl w:val="nil"/>
            </w:tcBorders>
            <w:shd w:val="clear" w:color="auto" w:fill="auto"/>
            <w:vAlign w:val="center"/>
          </w:tcPr>
          <w:p w14:paraId="2B512A1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041079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B42975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441D01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4F42739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8A9BE6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17C527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FUS-ATF1</w:t>
            </w:r>
          </w:p>
        </w:tc>
      </w:tr>
      <w:tr w14:paraId="141C45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202964C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透明细胞肉瘤</w:t>
            </w:r>
          </w:p>
        </w:tc>
        <w:tc>
          <w:tcPr>
            <w:tcW w:w="4930" w:type="dxa"/>
            <w:tcBorders>
              <w:tl2br w:val="nil"/>
              <w:tr2bl w:val="nil"/>
            </w:tcBorders>
            <w:shd w:val="clear" w:color="auto" w:fill="auto"/>
            <w:vAlign w:val="center"/>
          </w:tcPr>
          <w:p w14:paraId="04C4DC0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040E6B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78855E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BF667B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7B383F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4D77E888">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先天性/婴幼儿纤维肉瘤</w:t>
            </w:r>
          </w:p>
        </w:tc>
        <w:tc>
          <w:tcPr>
            <w:tcW w:w="4930" w:type="dxa"/>
            <w:tcBorders>
              <w:tl2br w:val="nil"/>
              <w:tr2bl w:val="nil"/>
            </w:tcBorders>
            <w:shd w:val="clear" w:color="auto" w:fill="auto"/>
            <w:vAlign w:val="center"/>
          </w:tcPr>
          <w:p w14:paraId="7234574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4B4E914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0674D10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隆突性皮肤纤维肉瘤</w:t>
            </w:r>
          </w:p>
        </w:tc>
        <w:tc>
          <w:tcPr>
            <w:tcW w:w="4930" w:type="dxa"/>
            <w:tcBorders>
              <w:tl2br w:val="nil"/>
              <w:tr2bl w:val="nil"/>
            </w:tcBorders>
            <w:shd w:val="clear" w:color="auto" w:fill="auto"/>
            <w:vAlign w:val="center"/>
          </w:tcPr>
          <w:p w14:paraId="782FE76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COL1A1-PDGFB</w:t>
            </w:r>
          </w:p>
        </w:tc>
      </w:tr>
      <w:tr w14:paraId="3210FC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209AD3C0">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高级别子宫内膜间质肉瘤</w:t>
            </w:r>
          </w:p>
        </w:tc>
        <w:tc>
          <w:tcPr>
            <w:tcW w:w="4930" w:type="dxa"/>
            <w:tcBorders>
              <w:tl2br w:val="nil"/>
              <w:tr2bl w:val="nil"/>
            </w:tcBorders>
            <w:shd w:val="clear" w:color="auto" w:fill="auto"/>
            <w:vAlign w:val="center"/>
          </w:tcPr>
          <w:p w14:paraId="6E1FC8D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YWHAE-NUTM2A</w:t>
            </w:r>
          </w:p>
        </w:tc>
      </w:tr>
      <w:tr w14:paraId="2382B6D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2345290">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2AD779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YWHAE-NUTM2B</w:t>
            </w:r>
          </w:p>
        </w:tc>
      </w:tr>
      <w:tr w14:paraId="27AF6AD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0FAD81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D18D53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0B78704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2EB9FE3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上皮样血管内皮瘤</w:t>
            </w:r>
          </w:p>
        </w:tc>
        <w:tc>
          <w:tcPr>
            <w:tcW w:w="4930" w:type="dxa"/>
            <w:tcBorders>
              <w:tl2br w:val="nil"/>
              <w:tr2bl w:val="nil"/>
            </w:tcBorders>
            <w:shd w:val="clear" w:color="auto" w:fill="auto"/>
            <w:vAlign w:val="center"/>
          </w:tcPr>
          <w:p w14:paraId="3FEDDEB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WWTR1-CAMTA1</w:t>
            </w:r>
          </w:p>
        </w:tc>
      </w:tr>
      <w:tr w14:paraId="47B5DF8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3315C0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D34F4F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26D5D97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325FAAF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骨外黏液样软骨肉瘤</w:t>
            </w:r>
          </w:p>
        </w:tc>
        <w:tc>
          <w:tcPr>
            <w:tcW w:w="4930" w:type="dxa"/>
            <w:tcBorders>
              <w:tl2br w:val="nil"/>
              <w:tr2bl w:val="nil"/>
            </w:tcBorders>
            <w:shd w:val="clear" w:color="auto" w:fill="auto"/>
            <w:vAlign w:val="center"/>
          </w:tcPr>
          <w:p w14:paraId="709D864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EWSR1-NR4A3</w:t>
            </w:r>
          </w:p>
        </w:tc>
      </w:tr>
      <w:tr w14:paraId="2CD3000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7CCEB41">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39F29E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TAF15(TAF2N)-NR4A3</w:t>
            </w:r>
          </w:p>
        </w:tc>
      </w:tr>
      <w:tr w14:paraId="70DE7A4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0B3EEF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DFBAB1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TCF12-NR4A3</w:t>
            </w:r>
          </w:p>
        </w:tc>
      </w:tr>
      <w:tr w14:paraId="314527A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4E642F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5D4DBE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TFG-NR4A3</w:t>
            </w:r>
          </w:p>
        </w:tc>
      </w:tr>
      <w:tr w14:paraId="590AE9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02B1629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胃肠道间质瘤</w:t>
            </w:r>
          </w:p>
        </w:tc>
        <w:tc>
          <w:tcPr>
            <w:tcW w:w="4930" w:type="dxa"/>
            <w:tcBorders>
              <w:tl2br w:val="nil"/>
              <w:tr2bl w:val="nil"/>
            </w:tcBorders>
            <w:shd w:val="clear" w:color="auto" w:fill="auto"/>
            <w:vAlign w:val="center"/>
          </w:tcPr>
          <w:p w14:paraId="14E04E5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NTRK1 融合</w:t>
            </w:r>
          </w:p>
        </w:tc>
      </w:tr>
      <w:tr w14:paraId="6222A3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FF73E4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D8A6D3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融合</w:t>
            </w:r>
          </w:p>
        </w:tc>
      </w:tr>
      <w:tr w14:paraId="09F009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B10A06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C4B8C7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融合</w:t>
            </w:r>
          </w:p>
        </w:tc>
      </w:tr>
      <w:tr w14:paraId="7CC1DC6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94DA93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F4BF0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 融合</w:t>
            </w:r>
          </w:p>
        </w:tc>
      </w:tr>
      <w:tr w14:paraId="2E4C55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40EAEE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炎性肌纤维母细胞瘤</w:t>
            </w:r>
          </w:p>
        </w:tc>
        <w:tc>
          <w:tcPr>
            <w:tcW w:w="4930" w:type="dxa"/>
            <w:tcBorders>
              <w:tl2br w:val="nil"/>
              <w:tr2bl w:val="nil"/>
            </w:tcBorders>
            <w:shd w:val="clear" w:color="auto" w:fill="auto"/>
            <w:vAlign w:val="center"/>
          </w:tcPr>
          <w:p w14:paraId="77663A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TPM3-ALK</w:t>
            </w:r>
          </w:p>
        </w:tc>
      </w:tr>
      <w:tr w14:paraId="2B011AB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10F8AC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F7DDF0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TPM4-ALK</w:t>
            </w:r>
          </w:p>
        </w:tc>
      </w:tr>
      <w:tr w14:paraId="398A54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BB483D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60ACF7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CLTC-ALK</w:t>
            </w:r>
          </w:p>
        </w:tc>
      </w:tr>
      <w:tr w14:paraId="7F536E3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7D2296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A1873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3F7EE57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A0C7CF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1CEFC1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CARS1(CARS)-ALK</w:t>
            </w:r>
          </w:p>
        </w:tc>
      </w:tr>
      <w:tr w14:paraId="1C2CCDD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6ACCA2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B836A8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ATIC-ALK</w:t>
            </w:r>
          </w:p>
        </w:tc>
      </w:tr>
      <w:tr w14:paraId="203B615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34963ED">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BB0DF6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453EC89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B5A31AE">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422A35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60812A7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7282D3F">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低级别纤维黏液样肉瘤</w:t>
            </w:r>
          </w:p>
        </w:tc>
        <w:tc>
          <w:tcPr>
            <w:tcW w:w="4930" w:type="dxa"/>
            <w:tcBorders>
              <w:tl2br w:val="nil"/>
              <w:tr2bl w:val="nil"/>
            </w:tcBorders>
            <w:shd w:val="clear" w:color="auto" w:fill="auto"/>
            <w:vAlign w:val="center"/>
          </w:tcPr>
          <w:p w14:paraId="2DB8B2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3A3C18A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D477FC0">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75CA1E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6FBF30B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7994E03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间叶性软骨肉瘤</w:t>
            </w:r>
          </w:p>
        </w:tc>
        <w:tc>
          <w:tcPr>
            <w:tcW w:w="4930" w:type="dxa"/>
            <w:tcBorders>
              <w:tl2br w:val="nil"/>
              <w:tr2bl w:val="nil"/>
            </w:tcBorders>
            <w:shd w:val="clear" w:color="auto" w:fill="auto"/>
            <w:vAlign w:val="center"/>
          </w:tcPr>
          <w:p w14:paraId="6865E6A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HEY1-NCOA2</w:t>
            </w:r>
          </w:p>
        </w:tc>
      </w:tr>
      <w:tr w14:paraId="6F7FDAF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4057576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孤立性纤维性肿瘤</w:t>
            </w:r>
          </w:p>
        </w:tc>
        <w:tc>
          <w:tcPr>
            <w:tcW w:w="4930" w:type="dxa"/>
            <w:tcBorders>
              <w:tl2br w:val="nil"/>
              <w:tr2bl w:val="nil"/>
            </w:tcBorders>
            <w:shd w:val="clear" w:color="auto" w:fill="auto"/>
            <w:vAlign w:val="center"/>
          </w:tcPr>
          <w:p w14:paraId="35658E9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NAB2-STAT6</w:t>
            </w:r>
          </w:p>
        </w:tc>
      </w:tr>
      <w:tr w14:paraId="117341F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3A0D4A0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滑膜肉瘤</w:t>
            </w:r>
          </w:p>
        </w:tc>
        <w:tc>
          <w:tcPr>
            <w:tcW w:w="4930" w:type="dxa"/>
            <w:tcBorders>
              <w:tl2br w:val="nil"/>
              <w:tr2bl w:val="nil"/>
            </w:tcBorders>
            <w:shd w:val="clear" w:color="auto" w:fill="auto"/>
            <w:vAlign w:val="center"/>
          </w:tcPr>
          <w:p w14:paraId="195EB85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SS18-SSX1</w:t>
            </w:r>
          </w:p>
        </w:tc>
      </w:tr>
      <w:tr w14:paraId="46618D9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BF475B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2A54F1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SS18-SSX2</w:t>
            </w:r>
          </w:p>
        </w:tc>
      </w:tr>
      <w:tr w14:paraId="27DCF2A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3B77CC2">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3BB620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SS18-SSX4</w:t>
            </w:r>
          </w:p>
        </w:tc>
      </w:tr>
      <w:tr w14:paraId="6CF76D9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4A5D9CA4">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腱鞘巨细胞瘤/色素沉着绒毛结节性滑膜炎</w:t>
            </w:r>
          </w:p>
        </w:tc>
        <w:tc>
          <w:tcPr>
            <w:tcW w:w="4930" w:type="dxa"/>
            <w:tcBorders>
              <w:tl2br w:val="nil"/>
              <w:tr2bl w:val="nil"/>
            </w:tcBorders>
            <w:shd w:val="clear" w:color="auto" w:fill="auto"/>
            <w:vAlign w:val="center"/>
          </w:tcPr>
          <w:p w14:paraId="5DA7518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CSF1 重排</w:t>
            </w:r>
          </w:p>
        </w:tc>
      </w:tr>
      <w:tr w14:paraId="274FCA0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5CD36A5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子宫上皮样平滑肌肉瘤</w:t>
            </w:r>
          </w:p>
        </w:tc>
        <w:tc>
          <w:tcPr>
            <w:tcW w:w="4930" w:type="dxa"/>
            <w:tcBorders>
              <w:tl2br w:val="nil"/>
              <w:tr2bl w:val="nil"/>
            </w:tcBorders>
            <w:shd w:val="clear" w:color="auto" w:fill="auto"/>
            <w:vAlign w:val="center"/>
          </w:tcPr>
          <w:p w14:paraId="36A72B8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PGR 融合</w:t>
            </w:r>
          </w:p>
        </w:tc>
      </w:tr>
      <w:tr w14:paraId="111627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00AE87D6">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子宫粘液样平滑肌肉瘤</w:t>
            </w:r>
          </w:p>
        </w:tc>
        <w:tc>
          <w:tcPr>
            <w:tcW w:w="4930" w:type="dxa"/>
            <w:tcBorders>
              <w:tl2br w:val="nil"/>
              <w:tr2bl w:val="nil"/>
            </w:tcBorders>
            <w:shd w:val="clear" w:color="auto" w:fill="auto"/>
            <w:vAlign w:val="center"/>
          </w:tcPr>
          <w:p w14:paraId="6656244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PLAG1 融合</w:t>
            </w:r>
          </w:p>
        </w:tc>
      </w:tr>
      <w:tr w14:paraId="10980C9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2AB95B5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低级别子宫内膜间质肉瘤</w:t>
            </w:r>
          </w:p>
        </w:tc>
        <w:tc>
          <w:tcPr>
            <w:tcW w:w="4930" w:type="dxa"/>
            <w:tcBorders>
              <w:tl2br w:val="nil"/>
              <w:tr2bl w:val="nil"/>
            </w:tcBorders>
            <w:shd w:val="clear" w:color="auto" w:fill="auto"/>
            <w:vAlign w:val="center"/>
          </w:tcPr>
          <w:p w14:paraId="40DE92F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JAZF1-SUZ12</w:t>
            </w:r>
          </w:p>
        </w:tc>
      </w:tr>
      <w:tr w14:paraId="32FD145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42CD4A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808BF5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JAZF1-PHF1</w:t>
            </w:r>
          </w:p>
        </w:tc>
      </w:tr>
      <w:tr w14:paraId="0B899E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E0E1C8A">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99D637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EPC1-PHF1</w:t>
            </w:r>
          </w:p>
        </w:tc>
      </w:tr>
      <w:tr w14:paraId="65E58D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DA421B2">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48A0D1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MEAF6-PHF1</w:t>
            </w:r>
          </w:p>
        </w:tc>
      </w:tr>
      <w:tr w14:paraId="06D5C96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C7CA9D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29CA87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MBTD1-EZHIP(CXorf67)</w:t>
            </w:r>
          </w:p>
        </w:tc>
      </w:tr>
      <w:tr w14:paraId="452624C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C817D11">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F9B026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BRD8-PHF1</w:t>
            </w:r>
          </w:p>
        </w:tc>
      </w:tr>
      <w:tr w14:paraId="0CE0834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3F848C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863341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EPC2-PHF1</w:t>
            </w:r>
          </w:p>
        </w:tc>
      </w:tr>
      <w:tr w14:paraId="786906C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41DBCFA">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085092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EPC1-SUZ12</w:t>
            </w:r>
          </w:p>
        </w:tc>
      </w:tr>
      <w:tr w14:paraId="24E27F3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0E13D9F7">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子宫血管周上皮样细胞瘤</w:t>
            </w:r>
          </w:p>
        </w:tc>
        <w:tc>
          <w:tcPr>
            <w:tcW w:w="4930" w:type="dxa"/>
            <w:tcBorders>
              <w:tl2br w:val="nil"/>
              <w:tr2bl w:val="nil"/>
            </w:tcBorders>
            <w:shd w:val="clear" w:color="auto" w:fill="auto"/>
            <w:vAlign w:val="center"/>
          </w:tcPr>
          <w:p w14:paraId="7484DEE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TFE3 融合</w:t>
            </w:r>
          </w:p>
        </w:tc>
      </w:tr>
      <w:tr w14:paraId="0E9CDF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F33DC4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E14275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RAD51B 融合</w:t>
            </w:r>
          </w:p>
        </w:tc>
      </w:tr>
      <w:tr w14:paraId="14FC55C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695C60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EDC1CF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HTR4-ST3GAL1</w:t>
            </w:r>
          </w:p>
        </w:tc>
      </w:tr>
      <w:tr w14:paraId="1821DB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08131E0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子宫炎性肌纤维母细胞瘤</w:t>
            </w:r>
          </w:p>
        </w:tc>
        <w:tc>
          <w:tcPr>
            <w:tcW w:w="4930" w:type="dxa"/>
            <w:tcBorders>
              <w:tl2br w:val="nil"/>
              <w:tr2bl w:val="nil"/>
            </w:tcBorders>
            <w:shd w:val="clear" w:color="auto" w:fill="auto"/>
            <w:vAlign w:val="center"/>
          </w:tcPr>
          <w:p w14:paraId="7994E15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IGFBP5-ALK</w:t>
            </w:r>
          </w:p>
        </w:tc>
      </w:tr>
      <w:tr w14:paraId="136F73F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11916D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1C21B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THBS1-ALK</w:t>
            </w:r>
          </w:p>
        </w:tc>
      </w:tr>
      <w:tr w14:paraId="0585CCB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9F2899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AE307A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TIMP3-ALK</w:t>
            </w:r>
          </w:p>
        </w:tc>
      </w:tr>
      <w:tr w14:paraId="4A93BC6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AB12C6A">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777EE5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4FCE2E5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AC40EC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30DA42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RRBP1-ALK</w:t>
            </w:r>
          </w:p>
        </w:tc>
      </w:tr>
      <w:tr w14:paraId="700762D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0173E7D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NTRK重排子宫肉瘤</w:t>
            </w:r>
          </w:p>
        </w:tc>
        <w:tc>
          <w:tcPr>
            <w:tcW w:w="4930" w:type="dxa"/>
            <w:tcBorders>
              <w:tl2br w:val="nil"/>
              <w:tr2bl w:val="nil"/>
            </w:tcBorders>
            <w:shd w:val="clear" w:color="auto" w:fill="auto"/>
            <w:vAlign w:val="center"/>
          </w:tcPr>
          <w:p w14:paraId="3A18D79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NTRK1 融合</w:t>
            </w:r>
          </w:p>
        </w:tc>
      </w:tr>
      <w:tr w14:paraId="190F48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E968A5E">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7BE222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融合</w:t>
            </w:r>
          </w:p>
        </w:tc>
      </w:tr>
      <w:tr w14:paraId="4D59907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71490B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19F49E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融合</w:t>
            </w:r>
          </w:p>
        </w:tc>
      </w:tr>
      <w:tr w14:paraId="4613EE2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5FC64C0F">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类似于卵巢性索肿瘤的子宫肿瘤</w:t>
            </w:r>
          </w:p>
        </w:tc>
        <w:tc>
          <w:tcPr>
            <w:tcW w:w="4930" w:type="dxa"/>
            <w:tcBorders>
              <w:tl2br w:val="nil"/>
              <w:tr2bl w:val="nil"/>
            </w:tcBorders>
            <w:shd w:val="clear" w:color="auto" w:fill="auto"/>
            <w:vAlign w:val="center"/>
          </w:tcPr>
          <w:p w14:paraId="752131C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ESR1 融合</w:t>
            </w:r>
          </w:p>
        </w:tc>
      </w:tr>
      <w:tr w14:paraId="209AEFC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20E15F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7D6558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GREB1 融合</w:t>
            </w:r>
          </w:p>
        </w:tc>
      </w:tr>
      <w:tr w14:paraId="0BD066D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65774436">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子宫腺泡状横纹肌肉瘤</w:t>
            </w:r>
          </w:p>
        </w:tc>
        <w:tc>
          <w:tcPr>
            <w:tcW w:w="4930" w:type="dxa"/>
            <w:tcBorders>
              <w:tl2br w:val="nil"/>
              <w:tr2bl w:val="nil"/>
            </w:tcBorders>
            <w:shd w:val="clear" w:color="auto" w:fill="auto"/>
            <w:vAlign w:val="center"/>
          </w:tcPr>
          <w:p w14:paraId="26ECEC6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FOXO1 融合</w:t>
            </w:r>
          </w:p>
        </w:tc>
      </w:tr>
      <w:tr w14:paraId="6AE5102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2828BE5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子宫Müllerian腺肉瘤</w:t>
            </w:r>
          </w:p>
        </w:tc>
        <w:tc>
          <w:tcPr>
            <w:tcW w:w="4930" w:type="dxa"/>
            <w:tcBorders>
              <w:tl2br w:val="nil"/>
              <w:tr2bl w:val="nil"/>
            </w:tcBorders>
            <w:shd w:val="clear" w:color="auto" w:fill="auto"/>
            <w:vAlign w:val="center"/>
          </w:tcPr>
          <w:p w14:paraId="0ED9E20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NCOA2 融合</w:t>
            </w:r>
          </w:p>
        </w:tc>
      </w:tr>
      <w:tr w14:paraId="7F82AC0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DAB9A7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E98246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NCOA3 融合</w:t>
            </w:r>
          </w:p>
        </w:tc>
      </w:tr>
    </w:tbl>
    <w:p w14:paraId="036B33F6">
      <w:pPr>
        <w:rPr>
          <w:rFonts w:ascii="微软雅黑" w:hAnsi="微软雅黑" w:eastAsia="微软雅黑" w:cs="微软雅黑"/>
          <w:sz w:val="18"/>
          <w:szCs w:val="18"/>
          <w:lang w:eastAsia="zh-Hans"/>
        </w:rPr>
      </w:pPr>
      <w:r>
        <w:rPr>
          <w:rFonts w:hint="eastAsia" w:ascii="微软雅黑" w:hAnsi="微软雅黑" w:eastAsia="微软雅黑" w:cs="微软雅黑"/>
          <w:sz w:val="18"/>
          <w:szCs w:val="18"/>
          <w:lang w:eastAsia="zh-Hans"/>
        </w:rPr>
        <w:t>参考指南：</w:t>
      </w:r>
    </w:p>
    <w:p w14:paraId="24958C60">
      <w:pPr>
        <w:numPr>
          <w:ilvl w:val="0"/>
          <w:numId w:val="8"/>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2</w:t>
      </w:r>
      <w:r>
        <w:rPr>
          <w:rFonts w:hint="eastAsia" w:ascii="Times New Roman" w:hAnsi="Times New Roman" w:eastAsia="微软雅黑" w:cs="Times New Roman"/>
          <w:sz w:val="18"/>
          <w:szCs w:val="18"/>
          <w:lang w:eastAsia="zh-Hans"/>
        </w:rPr>
        <w:t>.</w:t>
      </w:r>
      <w:r>
        <w:rPr>
          <w:rFonts w:ascii="Times New Roman" w:hAnsi="Times New Roman" w:eastAsia="微软雅黑" w:cs="Times New Roman"/>
          <w:sz w:val="18"/>
          <w:szCs w:val="18"/>
          <w:lang w:eastAsia="zh-Hans"/>
        </w:rPr>
        <w:t>202</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oft</w:t>
      </w:r>
      <w:r>
        <w:rPr>
          <w:rFonts w:ascii="Times New Roman" w:hAnsi="Times New Roman" w:eastAsia="微软雅黑" w:cs="Times New Roman"/>
          <w:sz w:val="18"/>
          <w:szCs w:val="18"/>
          <w:lang w:eastAsia="zh-Hans"/>
        </w:rPr>
        <w:t xml:space="preserve"> T</w:t>
      </w:r>
      <w:r>
        <w:rPr>
          <w:rFonts w:hint="eastAsia" w:ascii="Times New Roman" w:hAnsi="Times New Roman" w:eastAsia="微软雅黑" w:cs="Times New Roman"/>
          <w:sz w:val="18"/>
          <w:szCs w:val="18"/>
          <w:lang w:eastAsia="zh-Hans"/>
        </w:rPr>
        <w:t>issue</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arcoma</w:t>
      </w:r>
    </w:p>
    <w:p w14:paraId="2A299D06">
      <w:pPr>
        <w:numPr>
          <w:ilvl w:val="0"/>
          <w:numId w:val="8"/>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2.2022 Bone Cancer</w:t>
      </w:r>
    </w:p>
    <w:p w14:paraId="7BFB77FC">
      <w:pPr>
        <w:numPr>
          <w:ilvl w:val="0"/>
          <w:numId w:val="8"/>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1.2022 Gastrointestinal Stromal Tumors (GISTs)</w:t>
      </w:r>
    </w:p>
    <w:p w14:paraId="73584707">
      <w:pPr>
        <w:numPr>
          <w:ilvl w:val="0"/>
          <w:numId w:val="8"/>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1.2022 Uterine Neoplasms</w:t>
      </w:r>
    </w:p>
    <w:p w14:paraId="36737E15">
      <w:pPr>
        <w:numPr>
          <w:ilvl w:val="0"/>
          <w:numId w:val="8"/>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2.2022 Dermatofibrosarcoma Protuberans</w:t>
      </w:r>
    </w:p>
    <w:p w14:paraId="395BD973">
      <w:pPr>
        <w:rPr>
          <w:rFonts w:ascii="Times New Roman" w:hAnsi="Times New Roman" w:cs="Times New Roman"/>
          <w:sz w:val="24"/>
          <w:szCs w:val="24"/>
          <w:lang w:eastAsia="zh-CN"/>
        </w:rPr>
      </w:pPr>
    </w:p>
    <w:p w14:paraId="292AD94D">
      <w:pPr>
        <w:rPr>
          <w:rFonts w:ascii="Times New Roman" w:hAnsi="Times New Roman" w:cs="Times New Roman"/>
          <w:sz w:val="24"/>
          <w:szCs w:val="24"/>
          <w:lang w:eastAsia="zh-CN"/>
        </w:rPr>
      </w:pPr>
      <w:r>
        <w:rPr>
          <w:rFonts w:ascii="Times New Roman" w:hAnsi="Times New Roman" w:cs="Times New Roman"/>
          <w:sz w:val="24"/>
          <w:szCs w:val="24"/>
          <w:lang w:eastAsia="zh-CN"/>
        </w:rPr>
        <w:br w:type="page"/>
      </w:r>
    </w:p>
    <w:p w14:paraId="291B39A6">
      <w:pPr>
        <w:numPr>
          <w:ilvl w:val="0"/>
          <w:numId w:val="7"/>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Hans"/>
        </w:rPr>
        <w:t>本部分内容参考：CSCO-软组织</w:t>
      </w:r>
      <w:r>
        <w:rPr>
          <w:rFonts w:ascii="Times New Roman" w:hAnsi="Times New Roman" w:eastAsia="微软雅黑" w:cs="Times New Roman"/>
          <w:sz w:val="21"/>
          <w:szCs w:val="21"/>
          <w:lang w:eastAsia="zh-CN"/>
        </w:rPr>
        <w:t>肉</w:t>
      </w:r>
      <w:r>
        <w:rPr>
          <w:rFonts w:ascii="Times New Roman" w:hAnsi="Times New Roman" w:eastAsia="微软雅黑" w:cs="Times New Roman"/>
          <w:sz w:val="21"/>
          <w:szCs w:val="21"/>
          <w:lang w:eastAsia="zh-Hans"/>
        </w:rPr>
        <w:t>瘤等指南</w:t>
      </w:r>
    </w:p>
    <w:tbl>
      <w:tblPr>
        <w:tblStyle w:val="9"/>
        <w:tblW w:w="9960" w:type="dxa"/>
        <w:tblInd w:w="-51" w:type="dxa"/>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82"/>
        <w:gridCol w:w="4878"/>
      </w:tblGrid>
      <w:tr w14:paraId="4742248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5082" w:type="dxa"/>
            <w:tcBorders>
              <w:top w:val="nil"/>
              <w:bottom w:val="nil"/>
              <w:right w:val="single" w:color="FFFFFF" w:sz="18" w:space="0"/>
            </w:tcBorders>
            <w:shd w:val="clear" w:color="auto" w:fill="64B7CE"/>
            <w:vAlign w:val="center"/>
          </w:tcPr>
          <w:p w14:paraId="3A052DA2">
            <w:pPr>
              <w:spacing w:line="240" w:lineRule="auto"/>
              <w:ind w:left="3"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878" w:type="dxa"/>
            <w:tcBorders>
              <w:top w:val="nil"/>
              <w:left w:val="single" w:color="FFFFFF" w:sz="18" w:space="0"/>
              <w:bottom w:val="nil"/>
            </w:tcBorders>
            <w:shd w:val="clear" w:color="auto" w:fill="64B7CE"/>
            <w:vAlign w:val="center"/>
          </w:tcPr>
          <w:p w14:paraId="1224FFAE">
            <w:pPr>
              <w:spacing w:line="240" w:lineRule="auto"/>
              <w:ind w:left="3"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08792B5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op w:val="nil"/>
              <w:tl2br w:val="nil"/>
              <w:tr2bl w:val="nil"/>
            </w:tcBorders>
            <w:shd w:val="clear" w:color="auto" w:fill="auto"/>
            <w:vAlign w:val="center"/>
          </w:tcPr>
          <w:p w14:paraId="443C7D7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黏液样脂肪肉瘤</w:t>
            </w:r>
          </w:p>
        </w:tc>
        <w:tc>
          <w:tcPr>
            <w:tcW w:w="4878" w:type="dxa"/>
            <w:tcBorders>
              <w:top w:val="nil"/>
              <w:tl2br w:val="nil"/>
              <w:tr2bl w:val="nil"/>
            </w:tcBorders>
            <w:shd w:val="clear" w:color="auto" w:fill="auto"/>
            <w:vAlign w:val="center"/>
          </w:tcPr>
          <w:p w14:paraId="44C5161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FUS-DDIT3</w:t>
            </w:r>
          </w:p>
        </w:tc>
      </w:tr>
      <w:tr w14:paraId="32426AB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1923F4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262D2F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EWSR1-DDIT3</w:t>
            </w:r>
          </w:p>
        </w:tc>
      </w:tr>
      <w:tr w14:paraId="7C475B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60623A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孤立性纤维性肿瘤</w:t>
            </w:r>
          </w:p>
        </w:tc>
        <w:tc>
          <w:tcPr>
            <w:tcW w:w="4878" w:type="dxa"/>
            <w:tcBorders>
              <w:tl2br w:val="nil"/>
              <w:tr2bl w:val="nil"/>
            </w:tcBorders>
            <w:shd w:val="clear" w:color="auto" w:fill="auto"/>
            <w:vAlign w:val="center"/>
          </w:tcPr>
          <w:p w14:paraId="6B0675E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NAB2-STAT6</w:t>
            </w:r>
          </w:p>
        </w:tc>
      </w:tr>
      <w:tr w14:paraId="23247E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4885D4B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炎性成肌纤维细胞瘤</w:t>
            </w:r>
          </w:p>
        </w:tc>
        <w:tc>
          <w:tcPr>
            <w:tcW w:w="4878" w:type="dxa"/>
            <w:tcBorders>
              <w:tl2br w:val="nil"/>
              <w:tr2bl w:val="nil"/>
            </w:tcBorders>
            <w:shd w:val="clear" w:color="auto" w:fill="auto"/>
            <w:vAlign w:val="center"/>
          </w:tcPr>
          <w:p w14:paraId="682338B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TPM3-ALK</w:t>
            </w:r>
          </w:p>
        </w:tc>
      </w:tr>
      <w:tr w14:paraId="21A052C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EB4028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8B7C69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TPM4-ALK</w:t>
            </w:r>
          </w:p>
        </w:tc>
      </w:tr>
      <w:tr w14:paraId="77673BE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3BE10D6">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14612E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CLTC-ALK</w:t>
            </w:r>
          </w:p>
        </w:tc>
      </w:tr>
      <w:tr w14:paraId="01B206B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A4B5505">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1FFBA6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15C678F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EAE661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505828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ATIC-ALK</w:t>
            </w:r>
          </w:p>
        </w:tc>
      </w:tr>
      <w:tr w14:paraId="7B2B37C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BA5E3F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6610F1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CARS1(CARS)-ALK</w:t>
            </w:r>
          </w:p>
        </w:tc>
      </w:tr>
      <w:tr w14:paraId="637BB05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F8CE6B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464F60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SEC31A(SEC31L1)-ALK</w:t>
            </w:r>
          </w:p>
        </w:tc>
      </w:tr>
      <w:tr w14:paraId="27783F4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B85EEE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412289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PPFIBP1-ALK</w:t>
            </w:r>
          </w:p>
        </w:tc>
      </w:tr>
      <w:tr w14:paraId="777655F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FEE01E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F0F907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4BC5526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9B46763">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10B0E3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YWHAE-ROS1</w:t>
            </w:r>
          </w:p>
        </w:tc>
      </w:tr>
      <w:tr w14:paraId="7AFD7E4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26248CD8">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隆突性皮肤纤维肉瘤/巨细胞成纤维细胞瘤</w:t>
            </w:r>
          </w:p>
        </w:tc>
        <w:tc>
          <w:tcPr>
            <w:tcW w:w="4878" w:type="dxa"/>
            <w:tcBorders>
              <w:tl2br w:val="nil"/>
              <w:tr2bl w:val="nil"/>
            </w:tcBorders>
            <w:shd w:val="clear" w:color="auto" w:fill="auto"/>
            <w:vAlign w:val="center"/>
          </w:tcPr>
          <w:p w14:paraId="50149B1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COL1A1-PDGFB</w:t>
            </w:r>
          </w:p>
        </w:tc>
      </w:tr>
      <w:tr w14:paraId="59EEEE2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60A5CE4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婴儿型纤维肉瘤</w:t>
            </w:r>
          </w:p>
        </w:tc>
        <w:tc>
          <w:tcPr>
            <w:tcW w:w="4878" w:type="dxa"/>
            <w:tcBorders>
              <w:tl2br w:val="nil"/>
              <w:tr2bl w:val="nil"/>
            </w:tcBorders>
            <w:shd w:val="clear" w:color="auto" w:fill="auto"/>
            <w:vAlign w:val="center"/>
          </w:tcPr>
          <w:p w14:paraId="59D142D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3D5287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19CEB119">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低级别纤维黏液样肉瘤</w:t>
            </w:r>
          </w:p>
        </w:tc>
        <w:tc>
          <w:tcPr>
            <w:tcW w:w="4878" w:type="dxa"/>
            <w:tcBorders>
              <w:tl2br w:val="nil"/>
              <w:tr2bl w:val="nil"/>
            </w:tcBorders>
            <w:shd w:val="clear" w:color="auto" w:fill="auto"/>
            <w:vAlign w:val="center"/>
          </w:tcPr>
          <w:p w14:paraId="45D3481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7B811E3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D15F34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9B758D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774ED0C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75FC54DC">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硬化性上皮样纤维肉瘤</w:t>
            </w:r>
          </w:p>
        </w:tc>
        <w:tc>
          <w:tcPr>
            <w:tcW w:w="4878" w:type="dxa"/>
            <w:tcBorders>
              <w:tl2br w:val="nil"/>
              <w:tr2bl w:val="nil"/>
            </w:tcBorders>
            <w:shd w:val="clear" w:color="auto" w:fill="auto"/>
            <w:vAlign w:val="center"/>
          </w:tcPr>
          <w:p w14:paraId="7CF576D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EWSR1-CREB3L1</w:t>
            </w:r>
          </w:p>
        </w:tc>
      </w:tr>
      <w:tr w14:paraId="60A05D0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4AD80E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32AE77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107350B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502BA4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A9D1D7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6E42261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7C3F78C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腱鞘巨细胞瘤</w:t>
            </w:r>
          </w:p>
        </w:tc>
        <w:tc>
          <w:tcPr>
            <w:tcW w:w="4878" w:type="dxa"/>
            <w:tcBorders>
              <w:tl2br w:val="nil"/>
              <w:tr2bl w:val="nil"/>
            </w:tcBorders>
            <w:shd w:val="clear" w:color="auto" w:fill="auto"/>
            <w:vAlign w:val="center"/>
          </w:tcPr>
          <w:p w14:paraId="6EB1E27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CSF1-COL6A3</w:t>
            </w:r>
          </w:p>
        </w:tc>
      </w:tr>
      <w:tr w14:paraId="587AAC3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7FB35CD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上皮样血管内皮瘤</w:t>
            </w:r>
          </w:p>
        </w:tc>
        <w:tc>
          <w:tcPr>
            <w:tcW w:w="4878" w:type="dxa"/>
            <w:tcBorders>
              <w:tl2br w:val="nil"/>
              <w:tr2bl w:val="nil"/>
            </w:tcBorders>
            <w:shd w:val="clear" w:color="auto" w:fill="auto"/>
            <w:vAlign w:val="center"/>
          </w:tcPr>
          <w:p w14:paraId="3FDE471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WWTR1-CAMTA1</w:t>
            </w:r>
          </w:p>
        </w:tc>
      </w:tr>
      <w:tr w14:paraId="786CC2D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9B884F3">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767465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1A65F68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7410981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腺泡状横纹肌肉瘤</w:t>
            </w:r>
          </w:p>
        </w:tc>
        <w:tc>
          <w:tcPr>
            <w:tcW w:w="4878" w:type="dxa"/>
            <w:tcBorders>
              <w:tl2br w:val="nil"/>
              <w:tr2bl w:val="nil"/>
            </w:tcBorders>
            <w:shd w:val="clear" w:color="auto" w:fill="auto"/>
            <w:vAlign w:val="center"/>
          </w:tcPr>
          <w:p w14:paraId="52DDF54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PAX3-FOXO1</w:t>
            </w:r>
          </w:p>
        </w:tc>
      </w:tr>
      <w:tr w14:paraId="4A1DBFA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9CC722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DD8A06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PAX7-FOXO1</w:t>
            </w:r>
          </w:p>
        </w:tc>
      </w:tr>
      <w:tr w14:paraId="1E93DAA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28AE21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F17BFF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PAX3-FOXO4</w:t>
            </w:r>
          </w:p>
        </w:tc>
      </w:tr>
      <w:tr w14:paraId="3E7FD30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4491EF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F2599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PAX3-NCOA1</w:t>
            </w:r>
          </w:p>
        </w:tc>
      </w:tr>
      <w:tr w14:paraId="5ED905A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9EEACD6">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BC1FE0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PAX3-NCOA2</w:t>
            </w:r>
          </w:p>
        </w:tc>
      </w:tr>
      <w:tr w14:paraId="304FD29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91E2CA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2FAA44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FOXO1-FGFR1</w:t>
            </w:r>
          </w:p>
        </w:tc>
      </w:tr>
      <w:tr w14:paraId="6B4489B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33711F71">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先天性/婴儿梭形细胞横纹肌肉瘤</w:t>
            </w:r>
          </w:p>
        </w:tc>
        <w:tc>
          <w:tcPr>
            <w:tcW w:w="4878" w:type="dxa"/>
            <w:tcBorders>
              <w:tl2br w:val="nil"/>
              <w:tr2bl w:val="nil"/>
            </w:tcBorders>
            <w:shd w:val="clear" w:color="auto" w:fill="auto"/>
            <w:vAlign w:val="center"/>
          </w:tcPr>
          <w:p w14:paraId="4395913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SRF-NCOA2</w:t>
            </w:r>
          </w:p>
        </w:tc>
      </w:tr>
      <w:tr w14:paraId="0D7D0E5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FA84A2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95DCB3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TEAD1-NCOA2</w:t>
            </w:r>
          </w:p>
        </w:tc>
      </w:tr>
      <w:tr w14:paraId="714C310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501961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CF8A60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VGLL2-NCOA2</w:t>
            </w:r>
          </w:p>
        </w:tc>
      </w:tr>
      <w:tr w14:paraId="016B54E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AABC703">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0F3A7E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VGLL2-CITED2</w:t>
            </w:r>
          </w:p>
        </w:tc>
      </w:tr>
      <w:tr w14:paraId="215751C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5EE3AA4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间叶性软骨肉瘤</w:t>
            </w:r>
          </w:p>
        </w:tc>
        <w:tc>
          <w:tcPr>
            <w:tcW w:w="4878" w:type="dxa"/>
            <w:tcBorders>
              <w:tl2br w:val="nil"/>
              <w:tr2bl w:val="nil"/>
            </w:tcBorders>
            <w:shd w:val="clear" w:color="auto" w:fill="auto"/>
            <w:vAlign w:val="center"/>
          </w:tcPr>
          <w:p w14:paraId="20752BE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HEY1-NCOA2</w:t>
            </w:r>
          </w:p>
        </w:tc>
      </w:tr>
      <w:tr w14:paraId="3F907FF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2146F20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软组织肌上皮肿瘤</w:t>
            </w:r>
          </w:p>
        </w:tc>
        <w:tc>
          <w:tcPr>
            <w:tcW w:w="4878" w:type="dxa"/>
            <w:tcBorders>
              <w:tl2br w:val="nil"/>
              <w:tr2bl w:val="nil"/>
            </w:tcBorders>
            <w:shd w:val="clear" w:color="auto" w:fill="auto"/>
            <w:vAlign w:val="center"/>
          </w:tcPr>
          <w:p w14:paraId="1807ABF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11B346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DD1A92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45A4A1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EWSR1-PBX1</w:t>
            </w:r>
          </w:p>
        </w:tc>
      </w:tr>
      <w:tr w14:paraId="167E404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A8FC31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7B8839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FUS-KLF17</w:t>
            </w:r>
          </w:p>
        </w:tc>
      </w:tr>
      <w:tr w14:paraId="31664DC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94DFF2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411088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EWSR1-PBX3</w:t>
            </w:r>
          </w:p>
        </w:tc>
      </w:tr>
      <w:tr w14:paraId="79B81A4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5EEB29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D3D706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EWSR1-ZNF444</w:t>
            </w:r>
          </w:p>
        </w:tc>
      </w:tr>
      <w:tr w14:paraId="4612259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364DBECB">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NTRK重排梭形细胞肿瘤</w:t>
            </w:r>
          </w:p>
        </w:tc>
        <w:tc>
          <w:tcPr>
            <w:tcW w:w="4878" w:type="dxa"/>
            <w:tcBorders>
              <w:tl2br w:val="nil"/>
              <w:tr2bl w:val="nil"/>
            </w:tcBorders>
            <w:shd w:val="clear" w:color="auto" w:fill="auto"/>
            <w:vAlign w:val="center"/>
          </w:tcPr>
          <w:p w14:paraId="3B779A4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LMNA-NTRK1</w:t>
            </w:r>
          </w:p>
        </w:tc>
      </w:tr>
      <w:tr w14:paraId="1AEEBA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C9DA773">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8D9C8E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TPR-NTRK1</w:t>
            </w:r>
          </w:p>
        </w:tc>
      </w:tr>
      <w:tr w14:paraId="76618EA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EC0D62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AF5067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TPM3-NTRK1</w:t>
            </w:r>
          </w:p>
        </w:tc>
      </w:tr>
      <w:tr w14:paraId="3946520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6A0D6A3">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C3E2C4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重排</w:t>
            </w:r>
          </w:p>
        </w:tc>
      </w:tr>
      <w:tr w14:paraId="1940E1A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838CF96">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904BFA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重排</w:t>
            </w:r>
          </w:p>
        </w:tc>
      </w:tr>
      <w:tr w14:paraId="7AD05DE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3CF6E8D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滑膜肉瘤</w:t>
            </w:r>
          </w:p>
        </w:tc>
        <w:tc>
          <w:tcPr>
            <w:tcW w:w="4878" w:type="dxa"/>
            <w:tcBorders>
              <w:tl2br w:val="nil"/>
              <w:tr2bl w:val="nil"/>
            </w:tcBorders>
            <w:shd w:val="clear" w:color="auto" w:fill="auto"/>
            <w:vAlign w:val="center"/>
          </w:tcPr>
          <w:p w14:paraId="27BD216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SS18-SSX1</w:t>
            </w:r>
          </w:p>
        </w:tc>
      </w:tr>
      <w:tr w14:paraId="7F9C69B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06CB65A">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366D46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SS18-SSX2</w:t>
            </w:r>
          </w:p>
        </w:tc>
      </w:tr>
      <w:tr w14:paraId="6652B93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BBA564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2F8868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SS18-SSX4</w:t>
            </w:r>
          </w:p>
        </w:tc>
      </w:tr>
      <w:tr w14:paraId="7B57ADC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4FB965E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腺泡状软组织肉瘤</w:t>
            </w:r>
          </w:p>
        </w:tc>
        <w:tc>
          <w:tcPr>
            <w:tcW w:w="4878" w:type="dxa"/>
            <w:tcBorders>
              <w:tl2br w:val="nil"/>
              <w:tr2bl w:val="nil"/>
            </w:tcBorders>
            <w:shd w:val="clear" w:color="auto" w:fill="auto"/>
            <w:vAlign w:val="center"/>
          </w:tcPr>
          <w:p w14:paraId="6F11024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ASPSCR1-TFE3</w:t>
            </w:r>
          </w:p>
        </w:tc>
      </w:tr>
      <w:tr w14:paraId="6F044E8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657DE31B">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软组织透明细胞肉瘤/胃肠道透明细胞肉瘤样肿瘤</w:t>
            </w:r>
          </w:p>
        </w:tc>
        <w:tc>
          <w:tcPr>
            <w:tcW w:w="4878" w:type="dxa"/>
            <w:tcBorders>
              <w:tl2br w:val="nil"/>
              <w:tr2bl w:val="nil"/>
            </w:tcBorders>
            <w:shd w:val="clear" w:color="auto" w:fill="auto"/>
            <w:vAlign w:val="center"/>
          </w:tcPr>
          <w:p w14:paraId="43F648C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31E34FE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431E24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C04D91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375B83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73E1C98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骨外黏液样软骨肉瘤</w:t>
            </w:r>
          </w:p>
        </w:tc>
        <w:tc>
          <w:tcPr>
            <w:tcW w:w="4878" w:type="dxa"/>
            <w:tcBorders>
              <w:tl2br w:val="nil"/>
              <w:tr2bl w:val="nil"/>
            </w:tcBorders>
            <w:shd w:val="clear" w:color="auto" w:fill="auto"/>
            <w:vAlign w:val="center"/>
          </w:tcPr>
          <w:p w14:paraId="3EA67D7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EWSR1-NR4A3</w:t>
            </w:r>
          </w:p>
        </w:tc>
      </w:tr>
      <w:tr w14:paraId="650D66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D742A36">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7A75EA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TAF15(TAF2N)-NR4A3</w:t>
            </w:r>
          </w:p>
        </w:tc>
      </w:tr>
      <w:tr w14:paraId="4DA7B01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C746E1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68C19C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TCF12-NR4A3</w:t>
            </w:r>
          </w:p>
        </w:tc>
      </w:tr>
      <w:tr w14:paraId="3FEB4AA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25EC1A5">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A8627C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TFG-NR4A3</w:t>
            </w:r>
          </w:p>
        </w:tc>
      </w:tr>
      <w:tr w14:paraId="229457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301F5990">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促结缔组织增生性小圆细胞肿瘤</w:t>
            </w:r>
          </w:p>
        </w:tc>
        <w:tc>
          <w:tcPr>
            <w:tcW w:w="4878" w:type="dxa"/>
            <w:tcBorders>
              <w:tl2br w:val="nil"/>
              <w:tr2bl w:val="nil"/>
            </w:tcBorders>
            <w:shd w:val="clear" w:color="auto" w:fill="auto"/>
            <w:vAlign w:val="center"/>
          </w:tcPr>
          <w:p w14:paraId="56DFA97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EWSR1-WT1</w:t>
            </w:r>
          </w:p>
        </w:tc>
      </w:tr>
      <w:tr w14:paraId="3E2C550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22CCC3F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血管周围上皮样细胞瘤</w:t>
            </w:r>
          </w:p>
        </w:tc>
        <w:tc>
          <w:tcPr>
            <w:tcW w:w="4878" w:type="dxa"/>
            <w:tcBorders>
              <w:tl2br w:val="nil"/>
              <w:tr2bl w:val="nil"/>
            </w:tcBorders>
            <w:shd w:val="clear" w:color="auto" w:fill="auto"/>
            <w:vAlign w:val="center"/>
          </w:tcPr>
          <w:p w14:paraId="7309FFC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DVL2-TFE3</w:t>
            </w:r>
          </w:p>
        </w:tc>
      </w:tr>
      <w:tr w14:paraId="5791C93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157E56B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尤文肉瘤</w:t>
            </w:r>
          </w:p>
        </w:tc>
        <w:tc>
          <w:tcPr>
            <w:tcW w:w="4878" w:type="dxa"/>
            <w:tcBorders>
              <w:tl2br w:val="nil"/>
              <w:tr2bl w:val="nil"/>
            </w:tcBorders>
            <w:shd w:val="clear" w:color="auto" w:fill="auto"/>
            <w:vAlign w:val="center"/>
          </w:tcPr>
          <w:p w14:paraId="3FC0049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EWSR1-FLI1</w:t>
            </w:r>
          </w:p>
        </w:tc>
      </w:tr>
      <w:tr w14:paraId="0470224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53EB77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E6EFF7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EWSR1-ERG</w:t>
            </w:r>
          </w:p>
        </w:tc>
      </w:tr>
      <w:tr w14:paraId="4507A30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E06333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E0E097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EWSR1-FEV</w:t>
            </w:r>
          </w:p>
        </w:tc>
      </w:tr>
      <w:tr w14:paraId="712C358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112F62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7A07EF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EWSR1-ETV1</w:t>
            </w:r>
          </w:p>
        </w:tc>
      </w:tr>
      <w:tr w14:paraId="0F2986F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0EF074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D44721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EWSR1-ETV4</w:t>
            </w:r>
          </w:p>
        </w:tc>
      </w:tr>
      <w:tr w14:paraId="785E70D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6875D4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73F314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EWSR1-PATZ1(ZSG)</w:t>
            </w:r>
          </w:p>
        </w:tc>
      </w:tr>
      <w:tr w14:paraId="66A8AB4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FB560E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39DB6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FUS-ERG</w:t>
            </w:r>
          </w:p>
        </w:tc>
      </w:tr>
      <w:tr w14:paraId="3B29C28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286AB7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B9D036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FUS-FEV</w:t>
            </w:r>
          </w:p>
        </w:tc>
      </w:tr>
      <w:tr w14:paraId="5C92229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5B1CBEA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CIC重排肉瘤</w:t>
            </w:r>
          </w:p>
        </w:tc>
        <w:tc>
          <w:tcPr>
            <w:tcW w:w="4878" w:type="dxa"/>
            <w:tcBorders>
              <w:tl2br w:val="nil"/>
              <w:tr2bl w:val="nil"/>
            </w:tcBorders>
            <w:shd w:val="clear" w:color="auto" w:fill="auto"/>
            <w:vAlign w:val="center"/>
          </w:tcPr>
          <w:p w14:paraId="3514836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t>CIC-DUX4L1</w:t>
            </w:r>
          </w:p>
        </w:tc>
      </w:tr>
      <w:tr w14:paraId="46DA9E3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D10BA7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4B0E5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CIC-FOXO4</w:t>
            </w:r>
          </w:p>
        </w:tc>
      </w:tr>
      <w:tr w14:paraId="240608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66DF94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85156D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CIC-NUTM1</w:t>
            </w:r>
          </w:p>
        </w:tc>
      </w:tr>
      <w:tr w14:paraId="2619FB5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16D4F5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757B26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CIC-NUTM2B</w:t>
            </w:r>
          </w:p>
        </w:tc>
      </w:tr>
      <w:tr w14:paraId="76A290C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0D0C772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BCOR重排肉瘤</w:t>
            </w:r>
          </w:p>
        </w:tc>
        <w:tc>
          <w:tcPr>
            <w:tcW w:w="4878" w:type="dxa"/>
            <w:tcBorders>
              <w:tl2br w:val="nil"/>
              <w:tr2bl w:val="nil"/>
            </w:tcBorders>
            <w:shd w:val="clear" w:color="auto" w:fill="auto"/>
            <w:vAlign w:val="center"/>
          </w:tcPr>
          <w:p w14:paraId="7FC866F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440431B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6137F9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70EF53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BCOR-MAML1</w:t>
            </w:r>
          </w:p>
        </w:tc>
      </w:tr>
      <w:tr w14:paraId="2460608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2FE8B6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3FA49C5">
            <w:pPr>
              <w:widowControl/>
              <w:textAlignment w:val="center"/>
              <w:rPr>
                <w:rFonts w:ascii="Times New Roman" w:hAnsi="Times New Roman" w:eastAsia="微软雅黑" w:cs="Times New Roman"/>
                <w:color w:val="000000" w:themeColor="text1"/>
                <w:sz w:val="18"/>
                <w:szCs w:val="18"/>
                <w:lang w:eastAsia="zh-CN" w:bidi="ar"/>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BCOR-MAML2</w:t>
            </w:r>
          </w:p>
        </w:tc>
      </w:tr>
      <w:tr w14:paraId="14FE26D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B39C39A">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64A6FE8">
            <w:pPr>
              <w:widowControl/>
              <w:textAlignment w:val="center"/>
              <w:rPr>
                <w:rFonts w:ascii="Times New Roman" w:hAnsi="Times New Roman" w:eastAsia="微软雅黑" w:cs="Times New Roman"/>
                <w:color w:val="000000" w:themeColor="text1"/>
                <w:sz w:val="18"/>
                <w:szCs w:val="18"/>
                <w:lang w:eastAsia="zh-CN" w:bidi="ar"/>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BCOR-MAML3</w:t>
            </w:r>
          </w:p>
        </w:tc>
      </w:tr>
      <w:tr w14:paraId="409BE6C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81FAD0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4426D3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1EDE18A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5786D4F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婴幼儿未分化圆细胞肉瘤/婴幼儿原始黏液样间叶性肿瘤</w:t>
            </w:r>
          </w:p>
        </w:tc>
        <w:tc>
          <w:tcPr>
            <w:tcW w:w="4878" w:type="dxa"/>
            <w:tcBorders>
              <w:tl2br w:val="nil"/>
              <w:tr2bl w:val="nil"/>
            </w:tcBorders>
            <w:shd w:val="clear" w:color="auto" w:fill="auto"/>
            <w:vAlign w:val="center"/>
          </w:tcPr>
          <w:p w14:paraId="52B3C16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YWHAE(YWHAE1)-NUTM2B</w:t>
            </w:r>
          </w:p>
        </w:tc>
      </w:tr>
      <w:tr w14:paraId="4BBCD03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3BF10FA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EWSR1-非ETS融合的圆细胞肉瘤</w:t>
            </w:r>
          </w:p>
        </w:tc>
        <w:tc>
          <w:tcPr>
            <w:tcW w:w="4878" w:type="dxa"/>
            <w:tcBorders>
              <w:tl2br w:val="nil"/>
              <w:tr2bl w:val="nil"/>
            </w:tcBorders>
            <w:shd w:val="clear" w:color="auto" w:fill="auto"/>
            <w:vAlign w:val="center"/>
          </w:tcPr>
          <w:p w14:paraId="36E9CEB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EWSR1-NFATC2</w:t>
            </w:r>
          </w:p>
        </w:tc>
      </w:tr>
      <w:tr w14:paraId="095B6E8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FA70AE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61C2D6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w:t>
            </w:r>
          </w:p>
        </w:tc>
      </w:tr>
      <w:tr w14:paraId="2FC8BC5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86D949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75F9D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EWSR1-SP3</w:t>
            </w:r>
          </w:p>
        </w:tc>
      </w:tr>
      <w:tr w14:paraId="52E9754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B33ABD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359028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26F3EB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C6A555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45E274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EWSR1-SMARCA5</w:t>
            </w:r>
          </w:p>
        </w:tc>
      </w:tr>
      <w:tr w14:paraId="0BAC400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94E5265">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078A7F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FUS-NFATC2</w:t>
            </w:r>
          </w:p>
        </w:tc>
      </w:tr>
    </w:tbl>
    <w:p w14:paraId="24FF0054">
      <w:p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参考指南：</w:t>
      </w:r>
    </w:p>
    <w:p w14:paraId="6B6E389E">
      <w:pPr>
        <w:numPr>
          <w:ilvl w:val="0"/>
          <w:numId w:val="9"/>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中国临床肿瘤学会（CSCO）软组织肉瘤诊疗指南2021</w:t>
      </w:r>
    </w:p>
    <w:p w14:paraId="39147349">
      <w:pPr>
        <w:numPr>
          <w:ilvl w:val="0"/>
          <w:numId w:val="9"/>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中国临床肿瘤学会（CSCO）</w:t>
      </w:r>
      <w:r>
        <w:rPr>
          <w:rFonts w:ascii="Times New Roman" w:hAnsi="Times New Roman" w:eastAsia="微软雅黑" w:cs="Times New Roman"/>
          <w:sz w:val="18"/>
          <w:szCs w:val="18"/>
          <w:lang w:eastAsia="zh-CN"/>
        </w:rPr>
        <w:t>骨巨细胞瘤</w:t>
      </w:r>
      <w:r>
        <w:rPr>
          <w:rFonts w:ascii="Times New Roman" w:hAnsi="Times New Roman" w:eastAsia="微软雅黑" w:cs="Times New Roman"/>
          <w:sz w:val="18"/>
          <w:szCs w:val="18"/>
          <w:lang w:eastAsia="zh-Hans"/>
        </w:rPr>
        <w:t>诊疗指南202</w:t>
      </w:r>
      <w:r>
        <w:rPr>
          <w:rFonts w:ascii="Times New Roman" w:hAnsi="Times New Roman" w:eastAsia="微软雅黑" w:cs="Times New Roman"/>
          <w:sz w:val="18"/>
          <w:szCs w:val="18"/>
          <w:lang w:eastAsia="zh-CN"/>
        </w:rPr>
        <w:t>0</w:t>
      </w:r>
    </w:p>
    <w:p w14:paraId="54C8A112">
      <w:pPr>
        <w:rPr>
          <w:rFonts w:ascii="Times New Roman" w:hAnsi="Times New Roman" w:cs="Times New Roman"/>
          <w:sz w:val="24"/>
          <w:szCs w:val="24"/>
          <w:lang w:eastAsia="zh-CN"/>
        </w:rPr>
      </w:pPr>
      <w:r>
        <w:rPr>
          <w:rFonts w:ascii="Times New Roman" w:hAnsi="Times New Roman" w:cs="Times New Roman"/>
          <w:sz w:val="24"/>
          <w:szCs w:val="24"/>
          <w:lang w:eastAsia="zh-CN"/>
        </w:rPr>
        <w:br w:type="page"/>
      </w:r>
    </w:p>
    <w:p w14:paraId="2A9295A5">
      <w:pPr>
        <w:numPr>
          <w:ilvl w:val="0"/>
          <w:numId w:val="10"/>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Hans"/>
        </w:rPr>
        <w:t>本部分内容参考：骨与软组织肿瘤二代测序中国专家共识（2021年版）</w:t>
      </w:r>
    </w:p>
    <w:tbl>
      <w:tblPr>
        <w:tblStyle w:val="9"/>
        <w:tblW w:w="9977" w:type="dxa"/>
        <w:tblInd w:w="-62" w:type="dxa"/>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83"/>
        <w:gridCol w:w="4894"/>
      </w:tblGrid>
      <w:tr w14:paraId="669FFB0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5083" w:type="dxa"/>
            <w:tcBorders>
              <w:top w:val="nil"/>
              <w:bottom w:val="nil"/>
              <w:right w:val="single" w:color="FFFFFF" w:sz="18" w:space="0"/>
            </w:tcBorders>
            <w:shd w:val="clear" w:color="auto" w:fill="64B7CE"/>
            <w:vAlign w:val="center"/>
          </w:tcPr>
          <w:p w14:paraId="7CD9BD24">
            <w:pPr>
              <w:spacing w:line="240" w:lineRule="auto"/>
              <w:ind w:left="3"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894" w:type="dxa"/>
            <w:tcBorders>
              <w:top w:val="nil"/>
              <w:left w:val="single" w:color="FFFFFF" w:sz="18" w:space="0"/>
              <w:bottom w:val="nil"/>
            </w:tcBorders>
            <w:shd w:val="clear" w:color="auto" w:fill="64B7CE"/>
            <w:vAlign w:val="center"/>
          </w:tcPr>
          <w:p w14:paraId="5A8F2912">
            <w:pPr>
              <w:spacing w:line="240" w:lineRule="auto"/>
              <w:ind w:left="3"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7E36AAB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op w:val="nil"/>
              <w:tl2br w:val="nil"/>
              <w:tr2bl w:val="nil"/>
            </w:tcBorders>
            <w:shd w:val="clear" w:color="auto" w:fill="auto"/>
            <w:vAlign w:val="center"/>
          </w:tcPr>
          <w:p w14:paraId="31786A3F">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EWSR1-SMAD3阳性纤维母细胞性肿瘤</w:t>
            </w:r>
          </w:p>
        </w:tc>
        <w:tc>
          <w:tcPr>
            <w:tcW w:w="4894" w:type="dxa"/>
            <w:tcBorders>
              <w:top w:val="nil"/>
              <w:tl2br w:val="nil"/>
              <w:tr2bl w:val="nil"/>
            </w:tcBorders>
            <w:shd w:val="clear" w:color="auto" w:fill="auto"/>
            <w:vAlign w:val="center"/>
          </w:tcPr>
          <w:p w14:paraId="7CA0AC1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EWSR1-SMAD3</w:t>
            </w:r>
          </w:p>
        </w:tc>
      </w:tr>
      <w:tr w14:paraId="0B422AA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15253100">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GAB1-ABL1阳性纤维母细胞性肿瘤</w:t>
            </w:r>
          </w:p>
        </w:tc>
        <w:tc>
          <w:tcPr>
            <w:tcW w:w="4894" w:type="dxa"/>
            <w:tcBorders>
              <w:tl2br w:val="nil"/>
              <w:tr2bl w:val="nil"/>
            </w:tcBorders>
            <w:shd w:val="clear" w:color="auto" w:fill="auto"/>
            <w:vAlign w:val="center"/>
          </w:tcPr>
          <w:p w14:paraId="52488E0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GAB1-ABL1</w:t>
            </w:r>
          </w:p>
        </w:tc>
      </w:tr>
      <w:tr w14:paraId="3BAF84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2E761574">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ALK阴性炎性肌纤维母细胞瘤</w:t>
            </w:r>
          </w:p>
        </w:tc>
        <w:tc>
          <w:tcPr>
            <w:tcW w:w="4894" w:type="dxa"/>
            <w:tcBorders>
              <w:tl2br w:val="nil"/>
              <w:tr2bl w:val="nil"/>
            </w:tcBorders>
            <w:shd w:val="clear" w:color="auto" w:fill="auto"/>
            <w:vAlign w:val="center"/>
          </w:tcPr>
          <w:p w14:paraId="21E4BE7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2020417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6E83C1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5DEDC7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YWHAE-ROS1</w:t>
            </w:r>
          </w:p>
        </w:tc>
      </w:tr>
      <w:tr w14:paraId="48BF21B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BA0384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174B4A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3B0FEF2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78246250">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上皮样炎性肌纤维母细胞肉瘤</w:t>
            </w:r>
          </w:p>
        </w:tc>
        <w:tc>
          <w:tcPr>
            <w:tcW w:w="4894" w:type="dxa"/>
            <w:tcBorders>
              <w:tl2br w:val="nil"/>
              <w:tr2bl w:val="nil"/>
            </w:tcBorders>
            <w:shd w:val="clear" w:color="auto" w:fill="auto"/>
            <w:vAlign w:val="center"/>
          </w:tcPr>
          <w:p w14:paraId="16CD93F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4205855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9CB10C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7AFA26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RRBP1(RRBP)-ALK</w:t>
            </w:r>
          </w:p>
        </w:tc>
      </w:tr>
      <w:tr w14:paraId="2BB1472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077858A8">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少数隆突性皮纤维肉瘤</w:t>
            </w:r>
          </w:p>
        </w:tc>
        <w:tc>
          <w:tcPr>
            <w:tcW w:w="4894" w:type="dxa"/>
            <w:tcBorders>
              <w:tl2br w:val="nil"/>
              <w:tr2bl w:val="nil"/>
            </w:tcBorders>
            <w:shd w:val="clear" w:color="auto" w:fill="auto"/>
            <w:vAlign w:val="center"/>
          </w:tcPr>
          <w:p w14:paraId="3D8A948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COL6A3-PDGFD</w:t>
            </w:r>
          </w:p>
        </w:tc>
      </w:tr>
      <w:tr w14:paraId="73827E8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2E6ED0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745D1B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EMILIN2-PDGFD</w:t>
            </w:r>
          </w:p>
        </w:tc>
      </w:tr>
      <w:tr w14:paraId="196C539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64397C4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MUC4阴性硬化性上皮样纤维肉瘤</w:t>
            </w:r>
          </w:p>
        </w:tc>
        <w:tc>
          <w:tcPr>
            <w:tcW w:w="4894" w:type="dxa"/>
            <w:tcBorders>
              <w:tl2br w:val="nil"/>
              <w:tr2bl w:val="nil"/>
            </w:tcBorders>
            <w:shd w:val="clear" w:color="auto" w:fill="auto"/>
            <w:vAlign w:val="center"/>
          </w:tcPr>
          <w:p w14:paraId="1D79EF3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YAP1-KMT2A</w:t>
            </w:r>
          </w:p>
        </w:tc>
      </w:tr>
      <w:tr w14:paraId="3B6B2B2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77B0915B">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上皮样纤维组织细胞瘤</w:t>
            </w:r>
          </w:p>
        </w:tc>
        <w:tc>
          <w:tcPr>
            <w:tcW w:w="4894" w:type="dxa"/>
            <w:tcBorders>
              <w:tl2br w:val="nil"/>
              <w:tr2bl w:val="nil"/>
            </w:tcBorders>
            <w:shd w:val="clear" w:color="auto" w:fill="auto"/>
            <w:vAlign w:val="center"/>
          </w:tcPr>
          <w:p w14:paraId="401BC40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SQSTM1-ALK</w:t>
            </w:r>
          </w:p>
        </w:tc>
      </w:tr>
      <w:tr w14:paraId="5F18D4B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B549621">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9D7766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VCL-ALK</w:t>
            </w:r>
          </w:p>
        </w:tc>
      </w:tr>
      <w:tr w14:paraId="0E1C42F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1FFD30F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上皮样血管瘤</w:t>
            </w:r>
          </w:p>
        </w:tc>
        <w:tc>
          <w:tcPr>
            <w:tcW w:w="4894" w:type="dxa"/>
            <w:tcBorders>
              <w:tl2br w:val="nil"/>
              <w:tr2bl w:val="nil"/>
            </w:tcBorders>
            <w:shd w:val="clear" w:color="auto" w:fill="auto"/>
            <w:vAlign w:val="center"/>
          </w:tcPr>
          <w:p w14:paraId="7BC066D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MBNL1-FOS</w:t>
            </w:r>
          </w:p>
        </w:tc>
      </w:tr>
      <w:tr w14:paraId="6EE4B9E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644472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279AA8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VIM-FOS</w:t>
            </w:r>
          </w:p>
        </w:tc>
      </w:tr>
      <w:tr w14:paraId="31BCCC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6EFE0F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F71D58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lincRNA-FOS</w:t>
            </w:r>
          </w:p>
        </w:tc>
      </w:tr>
      <w:tr w14:paraId="640A43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D528C0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4C70BF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ZFP36-FOSB</w:t>
            </w:r>
          </w:p>
        </w:tc>
      </w:tr>
      <w:tr w14:paraId="21EC43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47DB9A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D12E31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WWTR1-FOSB</w:t>
            </w:r>
          </w:p>
        </w:tc>
      </w:tr>
      <w:tr w14:paraId="60277B6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FF5E08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5A3472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ACTB-FOSB</w:t>
            </w:r>
          </w:p>
        </w:tc>
      </w:tr>
      <w:tr w14:paraId="3DB42A3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60AFDB1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TFE3重排上皮样血管内皮瘤</w:t>
            </w:r>
          </w:p>
        </w:tc>
        <w:tc>
          <w:tcPr>
            <w:tcW w:w="4894" w:type="dxa"/>
            <w:tcBorders>
              <w:tl2br w:val="nil"/>
              <w:tr2bl w:val="nil"/>
            </w:tcBorders>
            <w:shd w:val="clear" w:color="auto" w:fill="auto"/>
            <w:vAlign w:val="center"/>
          </w:tcPr>
          <w:p w14:paraId="6390174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49A85DF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5F08061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假肌源性血管内皮瘤</w:t>
            </w:r>
          </w:p>
        </w:tc>
        <w:tc>
          <w:tcPr>
            <w:tcW w:w="4894" w:type="dxa"/>
            <w:tcBorders>
              <w:tl2br w:val="nil"/>
              <w:tr2bl w:val="nil"/>
            </w:tcBorders>
            <w:shd w:val="clear" w:color="auto" w:fill="auto"/>
            <w:vAlign w:val="center"/>
          </w:tcPr>
          <w:p w14:paraId="13A210C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SERPINE1-FOSB</w:t>
            </w:r>
          </w:p>
        </w:tc>
      </w:tr>
      <w:tr w14:paraId="343BA4D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5A2877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3ABC8A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ACTB-FOSB</w:t>
            </w:r>
          </w:p>
        </w:tc>
      </w:tr>
      <w:tr w14:paraId="6CDABF9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48D912A4">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网状和复合性血管内皮瘤</w:t>
            </w:r>
          </w:p>
        </w:tc>
        <w:tc>
          <w:tcPr>
            <w:tcW w:w="4894" w:type="dxa"/>
            <w:tcBorders>
              <w:tl2br w:val="nil"/>
              <w:tr2bl w:val="nil"/>
            </w:tcBorders>
            <w:shd w:val="clear" w:color="auto" w:fill="auto"/>
            <w:vAlign w:val="center"/>
          </w:tcPr>
          <w:p w14:paraId="1FADE9D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YAP1-MAML2</w:t>
            </w:r>
          </w:p>
        </w:tc>
      </w:tr>
      <w:tr w14:paraId="5286080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24ABB578">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伴有神经内分泌分化复合性血管内皮瘤</w:t>
            </w:r>
          </w:p>
        </w:tc>
        <w:tc>
          <w:tcPr>
            <w:tcW w:w="4894" w:type="dxa"/>
            <w:tcBorders>
              <w:tl2br w:val="nil"/>
              <w:tr2bl w:val="nil"/>
            </w:tcBorders>
            <w:shd w:val="clear" w:color="auto" w:fill="auto"/>
            <w:vAlign w:val="center"/>
          </w:tcPr>
          <w:p w14:paraId="21503E7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PTBP1-MAML2</w:t>
            </w:r>
          </w:p>
        </w:tc>
      </w:tr>
      <w:tr w14:paraId="4B849F1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78B4108F">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先天性梭形细胞横纹肌肉瘤</w:t>
            </w:r>
          </w:p>
        </w:tc>
        <w:tc>
          <w:tcPr>
            <w:tcW w:w="4894" w:type="dxa"/>
            <w:tcBorders>
              <w:tl2br w:val="nil"/>
              <w:tr2bl w:val="nil"/>
            </w:tcBorders>
            <w:shd w:val="clear" w:color="auto" w:fill="auto"/>
            <w:vAlign w:val="center"/>
          </w:tcPr>
          <w:p w14:paraId="5B9804B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SRF-NCOA2</w:t>
            </w:r>
          </w:p>
        </w:tc>
      </w:tr>
      <w:tr w14:paraId="3ACA253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ACC91D5">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597282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TEAD1-NCOA2</w:t>
            </w:r>
          </w:p>
        </w:tc>
      </w:tr>
      <w:tr w14:paraId="3E0A6C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E670B6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E7D493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VGLL2-NCOA2</w:t>
            </w:r>
          </w:p>
        </w:tc>
      </w:tr>
      <w:tr w14:paraId="689211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B67C65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ED1D3C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VGLL2-CITED2</w:t>
            </w:r>
          </w:p>
        </w:tc>
      </w:tr>
      <w:tr w14:paraId="6DD983C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06E458C2">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骨上皮样和梭形细胞横纹肌肉瘤</w:t>
            </w:r>
          </w:p>
        </w:tc>
        <w:tc>
          <w:tcPr>
            <w:tcW w:w="4894" w:type="dxa"/>
            <w:tcBorders>
              <w:tl2br w:val="nil"/>
              <w:tr2bl w:val="nil"/>
            </w:tcBorders>
            <w:shd w:val="clear" w:color="auto" w:fill="auto"/>
            <w:vAlign w:val="center"/>
          </w:tcPr>
          <w:p w14:paraId="54B7F83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EWSR1-TFCP2</w:t>
            </w:r>
          </w:p>
        </w:tc>
      </w:tr>
      <w:tr w14:paraId="1123AE4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B0704A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492C21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FUS-TFCP2</w:t>
            </w:r>
          </w:p>
        </w:tc>
      </w:tr>
      <w:tr w14:paraId="4970081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869F08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619471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MEIS1-NCOA2</w:t>
            </w:r>
          </w:p>
        </w:tc>
      </w:tr>
      <w:tr w14:paraId="569C2FB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3C56AEC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NTRK重排梭形细胞肿瘤</w:t>
            </w:r>
          </w:p>
        </w:tc>
        <w:tc>
          <w:tcPr>
            <w:tcW w:w="4894" w:type="dxa"/>
            <w:tcBorders>
              <w:tl2br w:val="nil"/>
              <w:tr2bl w:val="nil"/>
            </w:tcBorders>
            <w:shd w:val="clear" w:color="auto" w:fill="auto"/>
            <w:vAlign w:val="center"/>
          </w:tcPr>
          <w:p w14:paraId="6F2EF85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LMNA-NTRK1</w:t>
            </w:r>
          </w:p>
        </w:tc>
      </w:tr>
      <w:tr w14:paraId="4897BE4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36279A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BE212D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TPR-NTRK1</w:t>
            </w:r>
          </w:p>
        </w:tc>
      </w:tr>
      <w:tr w14:paraId="67C8624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9AD8C1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89069C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TPM3-NTRK1</w:t>
            </w:r>
          </w:p>
        </w:tc>
      </w:tr>
      <w:tr w14:paraId="2C756F1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9D624A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2B106B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SPECC1L-NTRK2</w:t>
            </w:r>
          </w:p>
        </w:tc>
      </w:tr>
      <w:tr w14:paraId="10C24C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ED4AEE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BD141B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STRN-NTRK2</w:t>
            </w:r>
          </w:p>
        </w:tc>
      </w:tr>
      <w:tr w14:paraId="5B0DF02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CFD12A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22C4D8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EML4(EMAL4)-NTRK3</w:t>
            </w:r>
          </w:p>
        </w:tc>
      </w:tr>
      <w:tr w14:paraId="37CFD5B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7E14C2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207A49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7A2750A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0E6022C6">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其他双表达CD34和S-100的梭形细胞肿瘤</w:t>
            </w:r>
          </w:p>
        </w:tc>
        <w:tc>
          <w:tcPr>
            <w:tcW w:w="4894" w:type="dxa"/>
            <w:tcBorders>
              <w:tl2br w:val="nil"/>
              <w:tr2bl w:val="nil"/>
            </w:tcBorders>
            <w:shd w:val="clear" w:color="auto" w:fill="auto"/>
            <w:vAlign w:val="center"/>
          </w:tcPr>
          <w:p w14:paraId="4F628F5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SEPTIN7(SEPT7)-BRAF</w:t>
            </w:r>
          </w:p>
        </w:tc>
      </w:tr>
      <w:tr w14:paraId="7CBDFC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877EAF5">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2EB904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CUX1-BRAF</w:t>
            </w:r>
          </w:p>
        </w:tc>
      </w:tr>
      <w:tr w14:paraId="0DA397E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D55A4A3">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2EA8F2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CDC42SE2-BRAF</w:t>
            </w:r>
          </w:p>
        </w:tc>
      </w:tr>
      <w:tr w14:paraId="3E106B5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97E5A5E">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7E88EE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PDZRN3-RAF1</w:t>
            </w:r>
          </w:p>
        </w:tc>
      </w:tr>
      <w:tr w14:paraId="6B6B825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DB5637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692302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SLMAP-RAF1</w:t>
            </w:r>
          </w:p>
        </w:tc>
      </w:tr>
      <w:tr w14:paraId="4BA4D1D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2DBC27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3E36AC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TMF1-RAF1</w:t>
            </w:r>
          </w:p>
        </w:tc>
      </w:tr>
      <w:tr w14:paraId="348B4AD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A8A092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780651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MTAP-RAF1</w:t>
            </w:r>
          </w:p>
        </w:tc>
      </w:tr>
      <w:tr w14:paraId="1F70C53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E57A61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4D93F4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PPP1CB-ALK</w:t>
            </w:r>
          </w:p>
        </w:tc>
      </w:tr>
      <w:tr w14:paraId="560777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D6F487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68E232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TFG-RET</w:t>
            </w:r>
          </w:p>
        </w:tc>
      </w:tr>
      <w:tr w14:paraId="25C0C1D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8D9CBC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15BFCE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MYH10-RET</w:t>
            </w:r>
          </w:p>
        </w:tc>
      </w:tr>
      <w:tr w14:paraId="5535994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2DE9B0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9D3035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NCOA4-RET</w:t>
            </w:r>
          </w:p>
        </w:tc>
      </w:tr>
      <w:tr w14:paraId="160FEC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3C67AB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DE2A93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VCL-RET</w:t>
            </w:r>
          </w:p>
        </w:tc>
      </w:tr>
      <w:tr w14:paraId="58B621B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DEBD42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9BB01E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CLIP2-RET</w:t>
            </w:r>
          </w:p>
        </w:tc>
      </w:tr>
      <w:tr w14:paraId="0C718D8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943B99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DB5C5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KIAA1217-RET</w:t>
            </w:r>
          </w:p>
        </w:tc>
      </w:tr>
      <w:tr w14:paraId="5EBEB87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5D3AFB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36D2A7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KHDRBS1-RET</w:t>
            </w:r>
          </w:p>
        </w:tc>
      </w:tr>
      <w:tr w14:paraId="04196C3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D2645B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0E3588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SPECC1L-RET</w:t>
            </w:r>
          </w:p>
        </w:tc>
      </w:tr>
      <w:tr w14:paraId="20B0480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D400FA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B32780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CCDC6-RET</w:t>
            </w:r>
          </w:p>
        </w:tc>
      </w:tr>
      <w:tr w14:paraId="2A085F3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182D329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EWSR1-非ETS融合肉瘤</w:t>
            </w:r>
          </w:p>
        </w:tc>
        <w:tc>
          <w:tcPr>
            <w:tcW w:w="4894" w:type="dxa"/>
            <w:tcBorders>
              <w:tl2br w:val="nil"/>
              <w:tr2bl w:val="nil"/>
            </w:tcBorders>
            <w:shd w:val="clear" w:color="auto" w:fill="auto"/>
            <w:vAlign w:val="center"/>
          </w:tcPr>
          <w:p w14:paraId="46C251F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EWSR1-NFATC2</w:t>
            </w:r>
          </w:p>
        </w:tc>
      </w:tr>
      <w:tr w14:paraId="42F30DB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AB9DCC0">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DC0D7C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FUS-NFATC2</w:t>
            </w:r>
          </w:p>
        </w:tc>
      </w:tr>
      <w:tr w14:paraId="54D9231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B452D3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5EAF87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w:t>
            </w:r>
          </w:p>
        </w:tc>
      </w:tr>
      <w:tr w14:paraId="5A22DD9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3AB90A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E55314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716376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D3129B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4428D4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EWSR1-SP3</w:t>
            </w:r>
          </w:p>
        </w:tc>
      </w:tr>
      <w:tr w14:paraId="7CD511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1C6BD7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07A392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EWSR1-SMARCA5</w:t>
            </w:r>
          </w:p>
        </w:tc>
      </w:tr>
      <w:tr w14:paraId="3AF27DF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221E4C8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BCOR重排肉瘤</w:t>
            </w:r>
          </w:p>
        </w:tc>
        <w:tc>
          <w:tcPr>
            <w:tcW w:w="4894" w:type="dxa"/>
            <w:tcBorders>
              <w:tl2br w:val="nil"/>
              <w:tr2bl w:val="nil"/>
            </w:tcBorders>
            <w:shd w:val="clear" w:color="auto" w:fill="auto"/>
            <w:vAlign w:val="center"/>
          </w:tcPr>
          <w:p w14:paraId="0C4DAE5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72497A5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5C2EC5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1F5760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BCOR-MAML3</w:t>
            </w:r>
          </w:p>
        </w:tc>
      </w:tr>
      <w:tr w14:paraId="51A37F0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2792D80">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947B8F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08251FD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A055BD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BFAE35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YWHAE-NUTM2B</w:t>
            </w:r>
          </w:p>
        </w:tc>
      </w:tr>
      <w:tr w14:paraId="3114A6E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70D56BD6">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GLI1重排/扩增恶性上皮样肿瘤</w:t>
            </w:r>
          </w:p>
        </w:tc>
        <w:tc>
          <w:tcPr>
            <w:tcW w:w="4894" w:type="dxa"/>
            <w:tcBorders>
              <w:tl2br w:val="nil"/>
              <w:tr2bl w:val="nil"/>
            </w:tcBorders>
            <w:shd w:val="clear" w:color="auto" w:fill="auto"/>
            <w:vAlign w:val="center"/>
          </w:tcPr>
          <w:p w14:paraId="7721F3B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ACTB-GLI1</w:t>
            </w:r>
          </w:p>
        </w:tc>
      </w:tr>
      <w:tr w14:paraId="1295EDD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4A288B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EA37F7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MALAT1-GLI1</w:t>
            </w:r>
          </w:p>
        </w:tc>
      </w:tr>
      <w:tr w14:paraId="70A673C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61527C0">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3A7896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PTCH1-GLI1</w:t>
            </w:r>
          </w:p>
        </w:tc>
      </w:tr>
      <w:tr w14:paraId="4456836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12529977">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胃母细胞瘤/胃丛状纤维黏液瘤</w:t>
            </w:r>
          </w:p>
        </w:tc>
        <w:tc>
          <w:tcPr>
            <w:tcW w:w="4894" w:type="dxa"/>
            <w:tcBorders>
              <w:tl2br w:val="nil"/>
              <w:tr2bl w:val="nil"/>
            </w:tcBorders>
            <w:shd w:val="clear" w:color="auto" w:fill="auto"/>
            <w:vAlign w:val="center"/>
          </w:tcPr>
          <w:p w14:paraId="4D5304E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MALAT1-GLI1</w:t>
            </w:r>
          </w:p>
        </w:tc>
      </w:tr>
      <w:tr w14:paraId="4CDF3D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2A2C117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野生型胃肠道间质瘤</w:t>
            </w:r>
          </w:p>
        </w:tc>
        <w:tc>
          <w:tcPr>
            <w:tcW w:w="4894" w:type="dxa"/>
            <w:tcBorders>
              <w:tl2br w:val="nil"/>
              <w:tr2bl w:val="nil"/>
            </w:tcBorders>
            <w:shd w:val="clear" w:color="auto" w:fill="auto"/>
            <w:vAlign w:val="center"/>
          </w:tcPr>
          <w:p w14:paraId="1D79C2C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FGFR1-HOOK3</w:t>
            </w:r>
          </w:p>
        </w:tc>
      </w:tr>
      <w:tr w14:paraId="277DA3B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E47DC20">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86B754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FGFR1-TACC1</w:t>
            </w:r>
          </w:p>
        </w:tc>
      </w:tr>
      <w:tr w14:paraId="074EB8B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13BB5B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B1D6F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63DD83B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6325BBB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富于细胞性肌样肿瘤</w:t>
            </w:r>
          </w:p>
        </w:tc>
        <w:tc>
          <w:tcPr>
            <w:tcW w:w="4894" w:type="dxa"/>
            <w:tcBorders>
              <w:tl2br w:val="nil"/>
              <w:tr2bl w:val="nil"/>
            </w:tcBorders>
            <w:shd w:val="clear" w:color="auto" w:fill="auto"/>
            <w:vAlign w:val="center"/>
          </w:tcPr>
          <w:p w14:paraId="123C0DE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SRF-ICA1L</w:t>
            </w:r>
          </w:p>
        </w:tc>
      </w:tr>
      <w:tr w14:paraId="638359C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4D75921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肌上皮瘤样玻璃样变肿瘤</w:t>
            </w:r>
          </w:p>
        </w:tc>
        <w:tc>
          <w:tcPr>
            <w:tcW w:w="4894" w:type="dxa"/>
            <w:tcBorders>
              <w:tl2br w:val="nil"/>
              <w:tr2bl w:val="nil"/>
            </w:tcBorders>
            <w:shd w:val="clear" w:color="auto" w:fill="auto"/>
            <w:vAlign w:val="center"/>
          </w:tcPr>
          <w:p w14:paraId="3AD36DE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OGT-FOXO3</w:t>
            </w:r>
          </w:p>
        </w:tc>
      </w:tr>
      <w:tr w14:paraId="45D822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6596068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部分不能分类的圆细胞肉瘤</w:t>
            </w:r>
          </w:p>
        </w:tc>
        <w:tc>
          <w:tcPr>
            <w:tcW w:w="4894" w:type="dxa"/>
            <w:tcBorders>
              <w:tl2br w:val="nil"/>
              <w:tr2bl w:val="nil"/>
            </w:tcBorders>
            <w:shd w:val="clear" w:color="auto" w:fill="auto"/>
            <w:vAlign w:val="center"/>
          </w:tcPr>
          <w:p w14:paraId="7915F6A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EWSR1-CREB1(CREB)</w:t>
            </w:r>
          </w:p>
        </w:tc>
      </w:tr>
      <w:tr w14:paraId="29E4B2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2F427AF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肾脏原始梭形细胞肉瘤</w:t>
            </w:r>
          </w:p>
        </w:tc>
        <w:tc>
          <w:tcPr>
            <w:tcW w:w="4894" w:type="dxa"/>
            <w:tcBorders>
              <w:tl2br w:val="nil"/>
              <w:tr2bl w:val="nil"/>
            </w:tcBorders>
            <w:shd w:val="clear" w:color="auto" w:fill="auto"/>
            <w:vAlign w:val="center"/>
          </w:tcPr>
          <w:p w14:paraId="7EF8F9E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MEIS1-NCOA2</w:t>
            </w:r>
          </w:p>
        </w:tc>
      </w:tr>
    </w:tbl>
    <w:p w14:paraId="369CC51B">
      <w:pPr>
        <w:rPr>
          <w:rFonts w:ascii="Times New Roman" w:hAnsi="Times New Roman" w:eastAsia="微软雅黑" w:cs="Times New Roman"/>
          <w:sz w:val="30"/>
          <w:lang w:eastAsia="zh-CN"/>
        </w:rPr>
      </w:pPr>
      <w:r>
        <w:rPr>
          <w:rFonts w:ascii="Times New Roman" w:hAnsi="Times New Roman" w:eastAsia="微软雅黑" w:cs="Times New Roman"/>
          <w:color w:val="000000"/>
          <w:sz w:val="18"/>
          <w:szCs w:val="18"/>
          <w:lang w:eastAsia="zh-Hans" w:bidi="ar"/>
        </w:rPr>
        <w:t>参考指南：骨与软组织肿瘤二代测序中国专家共识（2021年版）</w:t>
      </w:r>
    </w:p>
    <w:p w14:paraId="51DD0088">
      <w:pPr>
        <w:rPr>
          <w:rFonts w:ascii="Times New Roman" w:hAnsi="Times New Roman"/>
          <w:sz w:val="30"/>
          <w:lang w:eastAsia="zh-CN"/>
        </w:rPr>
      </w:pPr>
      <w:r>
        <w:rPr>
          <w:rFonts w:hint="eastAsia" w:ascii="Times New Roman" w:hAnsi="Times New Roman"/>
          <w:sz w:val="30"/>
          <w:lang w:eastAsia="zh-CN"/>
        </w:rPr>
        <w:br w:type="page"/>
      </w:r>
    </w:p>
    <w:p w14:paraId="4B32BD58">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kern w:val="0"/>
          <w:sz w:val="28"/>
          <w:szCs w:val="28"/>
          <w:lang w:val="en-US" w:eastAsia="zh-CN" w:bidi="ar"/>
        </w:rPr>
      </w:pPr>
      <w:r>
        <w:rPr>
          <w:rFonts w:hint="default" w:ascii="Times New Roman" w:hAnsi="Times New Roman" w:eastAsia="微软雅黑" w:cs="Times New Roman"/>
          <w:kern w:val="0"/>
          <w:sz w:val="28"/>
          <w:szCs w:val="28"/>
          <w:lang w:val="en-US" w:eastAsia="zh-CN" w:bidi="ar"/>
        </w:rPr>
        <w:t>{% endif %}</w:t>
      </w:r>
    </w:p>
    <w:p w14:paraId="04E83D01">
      <w:pPr>
        <w:pStyle w:val="3"/>
        <w:numPr>
          <w:ilvl w:val="255"/>
          <w:numId w:val="0"/>
        </w:numPr>
        <w:jc w:val="left"/>
        <w:rPr>
          <w:rFonts w:hint="eastAsia" w:ascii="Times New Roman" w:hAnsi="Times New Roman" w:eastAsia="微软雅黑" w:cs="Times New Roman"/>
          <w:color w:val="auto"/>
          <w:sz w:val="30"/>
          <w:lang w:eastAsia="zh-CN"/>
        </w:rPr>
      </w:pPr>
      <w:r>
        <w:rPr>
          <w:rFonts w:hint="eastAsia" w:ascii="Times New Roman" w:hAnsi="Times New Roman" w:eastAsia="微软雅黑" w:cs="Times New Roman"/>
          <w:color w:val="auto"/>
          <w:sz w:val="30"/>
          <w:lang w:eastAsia="zh-CN"/>
        </w:rPr>
        <w:t>检测基因列表（1166个基因）</w:t>
      </w:r>
    </w:p>
    <w:tbl>
      <w:tblPr>
        <w:tblStyle w:val="9"/>
        <w:tblpPr w:leftFromText="181" w:rightFromText="181" w:vertAnchor="text" w:horzAnchor="page" w:tblpXSpec="center" w:tblpY="58"/>
        <w:tblOverlap w:val="never"/>
        <w:tblW w:w="9931" w:type="dxa"/>
        <w:jc w:val="center"/>
        <w:tblBorders>
          <w:top w:val="single" w:color="64B7CE" w:sz="18" w:space="0"/>
          <w:left w:val="none" w:color="auto" w:sz="0" w:space="0"/>
          <w:bottom w:val="single" w:color="64B7CE" w:sz="18"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1212"/>
        <w:gridCol w:w="1202"/>
        <w:gridCol w:w="1257"/>
        <w:gridCol w:w="1225"/>
        <w:gridCol w:w="1323"/>
        <w:gridCol w:w="1236"/>
        <w:gridCol w:w="1202"/>
        <w:gridCol w:w="1274"/>
      </w:tblGrid>
      <w:tr w14:paraId="1957C64D">
        <w:tblPrEx>
          <w:tblBorders>
            <w:top w:val="single" w:color="64B7CE" w:sz="18" w:space="0"/>
            <w:left w:val="none" w:color="auto" w:sz="0" w:space="0"/>
            <w:bottom w:val="single" w:color="64B7CE"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6" w:hRule="atLeast"/>
          <w:jc w:val="center"/>
        </w:trPr>
        <w:tc>
          <w:tcPr>
            <w:tcW w:w="9931" w:type="dxa"/>
            <w:gridSpan w:val="8"/>
            <w:tcBorders>
              <w:tl2br w:val="nil"/>
              <w:tr2bl w:val="nil"/>
            </w:tcBorders>
            <w:shd w:val="clear" w:color="auto" w:fill="auto"/>
            <w:noWrap/>
            <w:vAlign w:val="center"/>
          </w:tcPr>
          <w:p w14:paraId="6476678F">
            <w:pPr>
              <w:widowControl/>
              <w:jc w:val="center"/>
              <w:textAlignment w:val="bottom"/>
              <w:rPr>
                <w:rFonts w:ascii="Times New Roman" w:hAnsi="Times New Roman" w:cs="Times New Roman"/>
                <w:i/>
                <w:iCs/>
                <w:color w:val="000000"/>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genes(8,18,True) %}</w:t>
            </w:r>
          </w:p>
        </w:tc>
      </w:tr>
      <w:tr w14:paraId="074CEB0D">
        <w:tblPrEx>
          <w:tblBorders>
            <w:top w:val="single" w:color="64B7CE" w:sz="18" w:space="0"/>
            <w:left w:val="none" w:color="auto" w:sz="0" w:space="0"/>
            <w:bottom w:val="single" w:color="64B7CE"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6" w:hRule="atLeast"/>
          <w:jc w:val="center"/>
        </w:trPr>
        <w:tc>
          <w:tcPr>
            <w:tcW w:w="1212" w:type="dxa"/>
            <w:tcBorders>
              <w:tl2br w:val="nil"/>
              <w:tr2bl w:val="nil"/>
            </w:tcBorders>
            <w:shd w:val="clear" w:color="auto" w:fill="auto"/>
            <w:noWrap/>
            <w:vAlign w:val="center"/>
          </w:tcPr>
          <w:p w14:paraId="50D88960">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Gene[0] }}</w:t>
            </w:r>
          </w:p>
        </w:tc>
        <w:tc>
          <w:tcPr>
            <w:tcW w:w="1202" w:type="dxa"/>
            <w:tcBorders>
              <w:tl2br w:val="nil"/>
              <w:tr2bl w:val="nil"/>
            </w:tcBorders>
            <w:shd w:val="clear" w:color="auto" w:fill="auto"/>
            <w:noWrap/>
            <w:vAlign w:val="center"/>
          </w:tcPr>
          <w:p w14:paraId="22C01183">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Gene[1] }}</w:t>
            </w:r>
          </w:p>
        </w:tc>
        <w:tc>
          <w:tcPr>
            <w:tcW w:w="1257" w:type="dxa"/>
            <w:tcBorders>
              <w:tl2br w:val="nil"/>
              <w:tr2bl w:val="nil"/>
            </w:tcBorders>
            <w:shd w:val="clear" w:color="auto" w:fill="auto"/>
            <w:noWrap/>
            <w:vAlign w:val="center"/>
          </w:tcPr>
          <w:p w14:paraId="7C056B6B">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Gene[2] }}</w:t>
            </w:r>
          </w:p>
        </w:tc>
        <w:tc>
          <w:tcPr>
            <w:tcW w:w="1225" w:type="dxa"/>
            <w:tcBorders>
              <w:tl2br w:val="nil"/>
              <w:tr2bl w:val="nil"/>
            </w:tcBorders>
            <w:shd w:val="clear" w:color="auto" w:fill="auto"/>
            <w:noWrap/>
            <w:vAlign w:val="center"/>
          </w:tcPr>
          <w:p w14:paraId="23A3745F">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Gene[3] }}</w:t>
            </w:r>
          </w:p>
        </w:tc>
        <w:tc>
          <w:tcPr>
            <w:tcW w:w="1323" w:type="dxa"/>
            <w:tcBorders>
              <w:tl2br w:val="nil"/>
              <w:tr2bl w:val="nil"/>
            </w:tcBorders>
            <w:shd w:val="clear" w:color="auto" w:fill="auto"/>
            <w:noWrap/>
            <w:vAlign w:val="center"/>
          </w:tcPr>
          <w:p w14:paraId="44F05928">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Gene[4] }}</w:t>
            </w:r>
          </w:p>
        </w:tc>
        <w:tc>
          <w:tcPr>
            <w:tcW w:w="1236" w:type="dxa"/>
            <w:tcBorders>
              <w:tl2br w:val="nil"/>
              <w:tr2bl w:val="nil"/>
            </w:tcBorders>
            <w:shd w:val="clear" w:color="auto" w:fill="auto"/>
            <w:noWrap/>
            <w:vAlign w:val="center"/>
          </w:tcPr>
          <w:p w14:paraId="53C0F0F7">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Gene[5] }}</w:t>
            </w:r>
          </w:p>
        </w:tc>
        <w:tc>
          <w:tcPr>
            <w:tcW w:w="1202" w:type="dxa"/>
            <w:tcBorders>
              <w:tl2br w:val="nil"/>
              <w:tr2bl w:val="nil"/>
            </w:tcBorders>
            <w:shd w:val="clear" w:color="auto" w:fill="auto"/>
            <w:noWrap/>
            <w:vAlign w:val="center"/>
          </w:tcPr>
          <w:p w14:paraId="02B2E46A">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Gene[6] }}</w:t>
            </w:r>
          </w:p>
        </w:tc>
        <w:tc>
          <w:tcPr>
            <w:tcW w:w="0" w:type="auto"/>
            <w:tcBorders>
              <w:tl2br w:val="nil"/>
              <w:tr2bl w:val="nil"/>
            </w:tcBorders>
            <w:shd w:val="clear" w:color="auto" w:fill="auto"/>
            <w:noWrap/>
            <w:vAlign w:val="center"/>
          </w:tcPr>
          <w:p w14:paraId="703FD39D">
            <w:pPr>
              <w:widowControl/>
              <w:jc w:val="center"/>
              <w:textAlignment w:val="bottom"/>
              <w:rPr>
                <w:rFonts w:ascii="Times New Roman" w:hAnsi="Times New Roman" w:cs="Times New Roman"/>
                <w:i/>
                <w:iCs/>
                <w:color w:val="000000"/>
                <w:sz w:val="18"/>
                <w:szCs w:val="18"/>
              </w:rPr>
            </w:pPr>
            <w:r>
              <w:rPr>
                <w:rFonts w:hint="eastAsia" w:ascii="Times New Roman" w:hAnsi="Times New Roman" w:cs="Times New Roman"/>
                <w:i/>
                <w:iCs/>
                <w:color w:val="000000"/>
                <w:sz w:val="18"/>
                <w:szCs w:val="18"/>
                <w:lang w:eastAsia="zh-CN" w:bidi="ar"/>
              </w:rPr>
              <w:t>{{r Gene[7] }}</w:t>
            </w:r>
          </w:p>
        </w:tc>
      </w:tr>
      <w:tr w14:paraId="021E027C">
        <w:tblPrEx>
          <w:tblBorders>
            <w:top w:val="single" w:color="64B7CE" w:sz="18" w:space="0"/>
            <w:left w:val="none" w:color="auto" w:sz="0" w:space="0"/>
            <w:bottom w:val="single" w:color="64B7CE"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6" w:hRule="atLeast"/>
          <w:jc w:val="center"/>
        </w:trPr>
        <w:tc>
          <w:tcPr>
            <w:tcW w:w="9931" w:type="dxa"/>
            <w:gridSpan w:val="8"/>
            <w:tcBorders>
              <w:tl2br w:val="nil"/>
              <w:tr2bl w:val="nil"/>
            </w:tcBorders>
            <w:shd w:val="clear" w:color="auto" w:fill="auto"/>
            <w:noWrap/>
            <w:vAlign w:val="center"/>
          </w:tcPr>
          <w:p w14:paraId="09DC6749">
            <w:pPr>
              <w:jc w:val="center"/>
              <w:rPr>
                <w:rFonts w:ascii="Times New Roman" w:hAnsi="Times New Roman" w:cs="Times New Roman"/>
                <w:i/>
                <w:iCs/>
                <w:color w:val="000000"/>
                <w:sz w:val="18"/>
                <w:szCs w:val="18"/>
              </w:rPr>
            </w:pPr>
            <w:r>
              <w:rPr>
                <w:rFonts w:hint="eastAsia" w:ascii="Times New Roman" w:hAnsi="Times New Roman" w:eastAsia="微软雅黑" w:cs="Times New Roman"/>
                <w:sz w:val="18"/>
                <w:szCs w:val="18"/>
                <w:lang w:eastAsia="zh-CN"/>
              </w:rPr>
              <w:t>{%tr endfor%}</w:t>
            </w:r>
          </w:p>
        </w:tc>
      </w:tr>
    </w:tbl>
    <w:p w14:paraId="72500CBA">
      <w:pPr>
        <w:rPr>
          <w:rFonts w:ascii="Times New Roman" w:hAnsi="Times New Roman"/>
          <w:sz w:val="30"/>
          <w:lang w:eastAsia="zh-CN"/>
        </w:rPr>
      </w:pPr>
      <w:r>
        <w:rPr>
          <w:rFonts w:hint="default" w:ascii="Times New Roman" w:hAnsi="Times New Roman" w:eastAsia="微软雅黑" w:cs="Times New Roman"/>
          <w:lang w:eastAsia="zh-CN"/>
        </w:rPr>
        <w:br w:type="page"/>
      </w:r>
    </w:p>
    <w:p w14:paraId="6A99746F">
      <w:pPr>
        <w:pStyle w:val="3"/>
        <w:numPr>
          <w:ilvl w:val="255"/>
          <w:numId w:val="0"/>
        </w:numPr>
        <w:jc w:val="left"/>
        <w:rPr>
          <w:rFonts w:hint="eastAsia" w:ascii="Times New Roman" w:hAnsi="Times New Roman" w:eastAsia="微软雅黑" w:cs="Times New Roman"/>
          <w:color w:val="auto"/>
          <w:sz w:val="30"/>
          <w:lang w:eastAsia="zh-CN"/>
        </w:rPr>
      </w:pPr>
      <w:r>
        <w:rPr>
          <w:rFonts w:hint="eastAsia" w:ascii="Times New Roman" w:hAnsi="Times New Roman" w:eastAsia="微软雅黑" w:cs="Times New Roman"/>
          <w:color w:val="auto"/>
          <w:sz w:val="30"/>
          <w:lang w:eastAsia="zh-CN"/>
        </w:rPr>
        <w:t>检测方法与局限性</w:t>
      </w:r>
    </w:p>
    <w:p w14:paraId="4A8014E4">
      <w:pPr>
        <w:rPr>
          <w:highlight w:val="yellow"/>
          <w:lang w:eastAsia="zh-CN"/>
        </w:rPr>
      </w:pPr>
    </w:p>
    <w:p w14:paraId="7CEE7C49">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4519404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3F2B22C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353105E6">
      <w:pPr>
        <w:rPr>
          <w:rFonts w:ascii="Times New Roman" w:hAnsi="Times New Roman" w:eastAsia="微软雅黑" w:cs="Times New Roman"/>
          <w:bCs/>
          <w:sz w:val="21"/>
          <w:szCs w:val="21"/>
          <w:lang w:eastAsia="zh-CN"/>
        </w:rPr>
      </w:pPr>
    </w:p>
    <w:p w14:paraId="1FD118C1">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02445D7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63415C3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7C0E2CD6">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p w14:paraId="51615306">
      <w:pPr>
        <w:pStyle w:val="3"/>
        <w:numPr>
          <w:ilvl w:val="255"/>
          <w:numId w:val="0"/>
        </w:numPr>
        <w:jc w:val="left"/>
        <w:rPr>
          <w:rFonts w:hint="eastAsia" w:ascii="Times New Roman" w:hAnsi="Times New Roman" w:eastAsia="微软雅黑" w:cs="Times New Roman"/>
          <w:color w:val="auto"/>
          <w:sz w:val="30"/>
          <w:lang w:eastAsia="zh-CN"/>
        </w:rPr>
      </w:pPr>
      <w:r>
        <w:rPr>
          <w:rFonts w:hint="eastAsia" w:ascii="Times New Roman" w:hAnsi="Times New Roman" w:eastAsia="微软雅黑" w:cs="Times New Roman"/>
          <w:color w:val="auto"/>
          <w:sz w:val="30"/>
          <w:lang w:eastAsia="zh-CN"/>
        </w:rPr>
        <w:t>参考文献</w:t>
      </w:r>
    </w:p>
    <w:bookmarkEnd w:id="24"/>
    <w:bookmarkEnd w:id="25"/>
    <w:bookmarkEnd w:id="26"/>
    <w:bookmarkEnd w:id="27"/>
    <w:bookmarkEnd w:id="28"/>
    <w:bookmarkEnd w:id="29"/>
    <w:bookmarkEnd w:id="30"/>
    <w:p w14:paraId="7D4F7BBB">
      <w:pPr>
        <w:keepNext w:val="0"/>
        <w:keepLines w:val="0"/>
        <w:pageBreakBefore w:val="0"/>
        <w:widowControl w:val="0"/>
        <w:suppressLineNumbers w:val="0"/>
        <w:kinsoku/>
        <w:wordWrap/>
        <w:overflowPunct/>
        <w:topLinePunct w:val="0"/>
        <w:autoSpaceDE/>
        <w:autoSpaceDN/>
        <w:bidi w:val="0"/>
        <w:spacing w:before="0" w:beforeAutospacing="0" w:after="95" w:afterLines="30" w:afterAutospacing="0" w:line="240" w:lineRule="auto"/>
        <w:ind w:left="0" w:right="0"/>
        <w:jc w:val="left"/>
        <w:textAlignment w:val="auto"/>
        <w:rPr>
          <w:rFonts w:hint="eastAsia" w:ascii="Times New Roman" w:hAnsi="Times New Roman" w:cs="Times New Roman"/>
          <w:sz w:val="15"/>
          <w:szCs w:val="15"/>
          <w:lang w:eastAsia="zh-CN"/>
        </w:rPr>
      </w:pPr>
      <w:r>
        <w:rPr>
          <w:rFonts w:hint="default" w:ascii="Times New Roman" w:hAnsi="Times New Roman" w:cs="Times New Roman"/>
          <w:sz w:val="15"/>
          <w:szCs w:val="15"/>
          <w:lang w:val="en-US" w:eastAsia="zh-CN"/>
        </w:rPr>
        <w:t xml:space="preserve">{% if </w:t>
      </w:r>
      <w:r>
        <w:rPr>
          <w:rFonts w:hint="eastAsia" w:ascii="Times New Roman" w:hAnsi="Times New Roman" w:cs="Times New Roman"/>
          <w:sz w:val="15"/>
          <w:szCs w:val="15"/>
          <w:lang w:val="en-US" w:eastAsia="zh-CN"/>
        </w:rPr>
        <w:t xml:space="preserve">3620 in diseaseIdList </w:t>
      </w:r>
      <w:r>
        <w:rPr>
          <w:rFonts w:hint="default" w:ascii="Times New Roman" w:hAnsi="Times New Roman" w:cs="Times New Roman"/>
          <w:sz w:val="15"/>
          <w:szCs w:val="15"/>
          <w:lang w:val="en-US" w:eastAsia="zh-CN"/>
        </w:rPr>
        <w:t>%}</w:t>
      </w:r>
      <w:r>
        <w:rPr>
          <w:rFonts w:hint="eastAsia" w:ascii="Times New Roman" w:hAnsi="Times New Roman" w:cs="Times New Roman"/>
          <w:sz w:val="15"/>
          <w:szCs w:val="15"/>
          <w:lang w:eastAsia="zh-CN"/>
        </w:rPr>
        <w:t>NCCN临床实践指南：中枢神经系统肿瘤（</w:t>
      </w:r>
      <w:r>
        <w:rPr>
          <w:rFonts w:hint="eastAsia" w:ascii="Times New Roman" w:hAnsi="Times New Roman" w:cs="Times New Roman"/>
          <w:sz w:val="15"/>
          <w:szCs w:val="15"/>
          <w:lang w:val="en-US" w:eastAsia="zh-CN"/>
        </w:rPr>
        <w:t>2025</w:t>
      </w:r>
      <w:r>
        <w:rPr>
          <w:rFonts w:hint="eastAsia" w:ascii="Times New Roman" w:hAnsi="Times New Roman" w:cs="Times New Roman"/>
          <w:sz w:val="15"/>
          <w:szCs w:val="15"/>
          <w:lang w:eastAsia="zh-CN"/>
        </w:rPr>
        <w:t>）</w:t>
      </w:r>
    </w:p>
    <w:p w14:paraId="57DF88EC">
      <w:pPr>
        <w:keepNext w:val="0"/>
        <w:keepLines w:val="0"/>
        <w:pageBreakBefore w:val="0"/>
        <w:widowControl/>
        <w:kinsoku/>
        <w:wordWrap/>
        <w:overflowPunct/>
        <w:topLinePunct w:val="0"/>
        <w:autoSpaceDE/>
        <w:autoSpaceDN/>
        <w:bidi w:val="0"/>
        <w:adjustRightInd w:val="0"/>
        <w:snapToGrid w:val="0"/>
        <w:spacing w:after="95" w:afterLines="3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2022年版《脑胶质瘤中国肿瘤整合诊治指南》</w:t>
      </w:r>
    </w:p>
    <w:p w14:paraId="7E8D1566">
      <w:pPr>
        <w:keepNext w:val="0"/>
        <w:keepLines w:val="0"/>
        <w:pageBreakBefore w:val="0"/>
        <w:widowControl/>
        <w:kinsoku/>
        <w:wordWrap/>
        <w:overflowPunct/>
        <w:topLinePunct w:val="0"/>
        <w:autoSpaceDE/>
        <w:autoSpaceDN/>
        <w:bidi w:val="0"/>
        <w:adjustRightInd w:val="0"/>
        <w:snapToGrid w:val="0"/>
        <w:spacing w:after="95" w:afterLines="30" w:line="240" w:lineRule="auto"/>
        <w:jc w:val="both"/>
        <w:textAlignment w:val="auto"/>
        <w:rPr>
          <w:rFonts w:hint="default"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The 2021 WHO Classification of Tumors of the Central Nervous System: a summary Neuro-Oncology 23(8), 1231–1251, 2021 | doi:10.1093/neuonc/noab106</w:t>
      </w:r>
    </w:p>
    <w:p w14:paraId="5771ACEE">
      <w:pPr>
        <w:keepNext w:val="0"/>
        <w:keepLines w:val="0"/>
        <w:pageBreakBefore w:val="0"/>
        <w:widowControl/>
        <w:kinsoku/>
        <w:wordWrap/>
        <w:overflowPunct/>
        <w:topLinePunct w:val="0"/>
        <w:autoSpaceDE/>
        <w:autoSpaceDN/>
        <w:bidi w:val="0"/>
        <w:adjustRightInd w:val="0"/>
        <w:snapToGrid w:val="0"/>
        <w:spacing w:after="95" w:afterLines="3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Comprehensive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Genomic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Profiling</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282</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Pediatric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Low</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High</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Grade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Gliomas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Reveals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Genomic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Drivers,Tumor</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Mutational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Burden,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Hypermutation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Signatures.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PMID:28912153</w:t>
      </w:r>
    </w:p>
    <w:p w14:paraId="1525612A">
      <w:pPr>
        <w:keepNext w:val="0"/>
        <w:keepLines w:val="0"/>
        <w:pageBreakBefore w:val="0"/>
        <w:widowControl/>
        <w:kinsoku/>
        <w:wordWrap/>
        <w:overflowPunct/>
        <w:topLinePunct w:val="0"/>
        <w:autoSpaceDE/>
        <w:autoSpaceDN/>
        <w:bidi w:val="0"/>
        <w:adjustRightInd w:val="0"/>
        <w:snapToGrid w:val="0"/>
        <w:spacing w:after="95" w:afterLines="3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ChapmanPB,HauschildA,RobertCetal.ImprovedsurvivalwithvemurafenibinmelanomaWithBRAFV600Emutation[J].</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New</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England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Journal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Medicine,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2011,364(26):2507-2516.</w:t>
      </w:r>
    </w:p>
    <w:p w14:paraId="06D8A17A">
      <w:pPr>
        <w:keepNext w:val="0"/>
        <w:keepLines w:val="0"/>
        <w:pageBreakBefore w:val="0"/>
        <w:widowControl/>
        <w:kinsoku/>
        <w:wordWrap/>
        <w:overflowPunct/>
        <w:topLinePunct w:val="0"/>
        <w:autoSpaceDE/>
        <w:autoSpaceDN/>
        <w:bidi w:val="0"/>
        <w:adjustRightInd w:val="0"/>
        <w:snapToGrid w:val="0"/>
        <w:spacing w:after="95" w:afterLines="3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High-gradeglioma：ESMO</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Clinical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Practice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Guidelines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fordiagnosis,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treatment</w:t>
      </w:r>
      <w:r>
        <w:rPr>
          <w:rFonts w:hint="eastAsia" w:ascii="Times New Roman" w:hAnsi="Times New Roman" w:cs="Times New Roman"/>
          <w:sz w:val="15"/>
          <w:szCs w:val="15"/>
          <w:lang w:val="en-US" w:eastAsia="zh-CN"/>
        </w:rPr>
        <w:t xml:space="preserve"> a</w:t>
      </w:r>
      <w:r>
        <w:rPr>
          <w:rFonts w:hint="eastAsia" w:ascii="Times New Roman" w:hAnsi="Times New Roman" w:cs="Times New Roman"/>
          <w:sz w:val="15"/>
          <w:szCs w:val="15"/>
          <w:lang w:eastAsia="zh-CN"/>
        </w:rPr>
        <w:t>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follow-up.AnnalsofOncology00:1-9,2014.</w:t>
      </w:r>
    </w:p>
    <w:p w14:paraId="39926A41">
      <w:pPr>
        <w:keepNext w:val="0"/>
        <w:keepLines w:val="0"/>
        <w:pageBreakBefore w:val="0"/>
        <w:widowControl/>
        <w:kinsoku/>
        <w:wordWrap/>
        <w:overflowPunct/>
        <w:topLinePunct w:val="0"/>
        <w:autoSpaceDE/>
        <w:autoSpaceDN/>
        <w:bidi w:val="0"/>
        <w:adjustRightInd w:val="0"/>
        <w:snapToGrid w:val="0"/>
        <w:spacing w:after="95" w:afterLines="3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KillelaPJ,YanH,BignerDD,etal.Mutations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IDH1,</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IDH2,</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the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TERT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promoter</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define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clinically</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distinct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subgroup</w:t>
      </w:r>
      <w:r>
        <w:rPr>
          <w:rFonts w:hint="eastAsia" w:ascii="Times New Roman" w:hAnsi="Times New Roman" w:cs="Times New Roman"/>
          <w:sz w:val="15"/>
          <w:szCs w:val="15"/>
          <w:lang w:val="en-US" w:eastAsia="zh-CN"/>
        </w:rPr>
        <w:t xml:space="preserve">s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adult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malignant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gliomas.Oncotarget2014;5(6):1515-1525.</w:t>
      </w:r>
    </w:p>
    <w:p w14:paraId="7F73C0B8">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LukeJJ,HodiFS.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Ipilimumab,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vemurafenib,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da</w:t>
      </w:r>
      <w:r>
        <w:rPr>
          <w:rFonts w:hint="eastAsia" w:ascii="Times New Roman" w:hAnsi="Times New Roman" w:cs="Times New Roman"/>
          <w:sz w:val="15"/>
          <w:szCs w:val="15"/>
          <w:lang w:val="en-US" w:eastAsia="zh-CN"/>
        </w:rPr>
        <w:t>braf</w:t>
      </w:r>
      <w:r>
        <w:rPr>
          <w:rFonts w:hint="eastAsia" w:ascii="Times New Roman" w:hAnsi="Times New Roman" w:cs="Times New Roman"/>
          <w:sz w:val="15"/>
          <w:szCs w:val="15"/>
          <w:lang w:eastAsia="zh-CN"/>
        </w:rPr>
        <w:t>enib,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trametinib: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synergistic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competitors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the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clinical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management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BRAF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Mutant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malignant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melanoma[J].</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Theoncologist,2013,18(6):717-725.</w:t>
      </w:r>
    </w:p>
    <w:p w14:paraId="0CBE2845">
      <w:pPr>
        <w:pStyle w:val="26"/>
        <w:keepNext w:val="0"/>
        <w:keepLines w:val="0"/>
        <w:pageBreakBefore w:val="0"/>
        <w:widowControl/>
        <w:kinsoku/>
        <w:wordWrap/>
        <w:overflowPunct/>
        <w:topLinePunct w:val="0"/>
        <w:autoSpaceDE/>
        <w:autoSpaceDN/>
        <w:bidi w:val="0"/>
        <w:adjustRightInd w:val="0"/>
        <w:snapToGrid w:val="0"/>
        <w:spacing w:after="95" w:afterLines="30" w:line="240" w:lineRule="auto"/>
        <w:ind w:firstLine="0" w:firstLineChars="0"/>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eastAsia="zh-CN"/>
        </w:rPr>
        <w:t>DubbinkHJ,AtmodimedjoPN,VanMR,etal.Diagnostic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Detection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eastAsia="微软雅黑" w:cs="Times New Roman"/>
          <w:sz w:val="15"/>
          <w:szCs w:val="15"/>
          <w:lang w:eastAsia="zh-CN"/>
        </w:rPr>
        <w:t>Allelic</w:t>
      </w:r>
      <w:r>
        <w:rPr>
          <w:rFonts w:hint="eastAsia" w:ascii="Times New Roman" w:hAnsi="Times New Roman" w:eastAsia="微软雅黑" w:cs="Times New Roman"/>
          <w:sz w:val="15"/>
          <w:szCs w:val="15"/>
          <w:lang w:val="en-US" w:eastAsia="zh-CN"/>
        </w:rPr>
        <w:t xml:space="preserve"> </w:t>
      </w:r>
      <w:r>
        <w:rPr>
          <w:rFonts w:hint="eastAsia" w:ascii="Times New Roman" w:hAnsi="Times New Roman" w:cs="Times New Roman"/>
          <w:sz w:val="15"/>
          <w:szCs w:val="15"/>
          <w:lang w:eastAsia="zh-CN"/>
        </w:rPr>
        <w:t>Losses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Imbalances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by</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Next-Generation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Sequencing:</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1P/19Q</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Co-deletion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Analysis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Gliomas.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[J].</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JournalofMolecularDiagnostics,2016,18(5):775-78</w:t>
      </w:r>
      <w:r>
        <w:rPr>
          <w:rFonts w:hint="eastAsia" w:ascii="Times New Roman" w:hAnsi="Times New Roman" w:cs="Times New Roman"/>
          <w:sz w:val="15"/>
          <w:szCs w:val="15"/>
          <w:lang w:val="en-US" w:eastAsia="zh-CN"/>
        </w:rPr>
        <w:t>6</w:t>
      </w:r>
    </w:p>
    <w:p w14:paraId="4D8BCA0B">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val="en-US" w:eastAsia="zh-CN"/>
        </w:rPr>
        <w:t xml:space="preserve">{% </w:t>
      </w:r>
      <w:r>
        <w:rPr>
          <w:rFonts w:hint="eastAsia" w:ascii="Times New Roman" w:hAnsi="Times New Roman" w:cs="Times New Roman"/>
          <w:sz w:val="15"/>
          <w:szCs w:val="15"/>
          <w:lang w:val="en-US" w:eastAsia="zh-CN"/>
        </w:rPr>
        <w:t>el</w:t>
      </w:r>
      <w:r>
        <w:rPr>
          <w:rFonts w:hint="default" w:ascii="Times New Roman" w:hAnsi="Times New Roman" w:cs="Times New Roman"/>
          <w:sz w:val="15"/>
          <w:szCs w:val="15"/>
          <w:lang w:val="en-US" w:eastAsia="zh-CN"/>
        </w:rPr>
        <w:t xml:space="preserve">if </w:t>
      </w:r>
      <w:r>
        <w:rPr>
          <w:rFonts w:hint="eastAsia" w:ascii="Times New Roman" w:hAnsi="Times New Roman" w:cs="Times New Roman"/>
          <w:sz w:val="15"/>
          <w:szCs w:val="15"/>
          <w:lang w:val="en-US" w:eastAsia="zh-CN"/>
        </w:rPr>
        <w:t xml:space="preserve">60463 in diseaseIdList </w:t>
      </w:r>
      <w:r>
        <w:rPr>
          <w:rFonts w:hint="default" w:ascii="Times New Roman" w:hAnsi="Times New Roman" w:cs="Times New Roman"/>
          <w:sz w:val="15"/>
          <w:szCs w:val="15"/>
          <w:lang w:val="en-US" w:eastAsia="zh-CN"/>
        </w:rPr>
        <w:t>%}</w:t>
      </w:r>
      <w:r>
        <w:rPr>
          <w:rFonts w:hint="default" w:ascii="Times New Roman" w:hAnsi="Times New Roman" w:cs="Times New Roman"/>
          <w:sz w:val="15"/>
          <w:szCs w:val="15"/>
          <w:lang w:eastAsia="zh-CN"/>
        </w:rPr>
        <w:t>KEES U R，MULCAHY M T，WILLOUGHBY M L. Intrathoracic</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carcinoma in an 11⁃year⁃old girl showing a translocation t（15；19）［J］.Am J Pediatr Hematol Oncol，1991，13</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：459⁃464.</w:t>
      </w:r>
    </w:p>
    <w:p w14:paraId="0C470735">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CHAU N G，MA C，DANGA K，et al.An Anatomical Site and Genetic⁃Based Prognostic Model for Patients With Nuclear Protein in Testis（NUT）Midline Carcinoma：Analysis of 124 Patients［J］.JNCI Cancer</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Spectr，2020，4（2）：pkz94.</w:t>
      </w:r>
    </w:p>
    <w:p w14:paraId="7A3661DF">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CHARLAB R，RACZ R.The expanding universe of NUTM1 fusions</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in pediatric cancer［J］.Clin Transl Sci，2023，16（8）：1331⁃1339.</w:t>
      </w:r>
    </w:p>
    <w:p w14:paraId="4E779724">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COSTA B A，MARAVEYAS A，WILKOFF M H，et al.Primary Pulmonary</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NUT Carcinoma：Case Illustration and Updated Review of Literature［J］.Clin Lung Cancer，2022，23</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：e296⁃e300.</w:t>
      </w:r>
    </w:p>
    <w:p w14:paraId="6490D240">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VIRARKAR M，MALLERY M，SALEH M，et al.Clinical，Radiographic，Pathologic Characterization and Survival Outcomes of Nuclear Protein of</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the Testis Carcinoma［J］.J Comput Assist Tomogr，2021，45</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3</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431⁃441.</w:t>
      </w:r>
    </w:p>
    <w:p w14:paraId="2C377F23">
      <w:pPr>
        <w:pStyle w:val="26"/>
        <w:keepNext w:val="0"/>
        <w:keepLines w:val="0"/>
        <w:pageBreakBefore w:val="0"/>
        <w:widowControl/>
        <w:kinsoku/>
        <w:wordWrap/>
        <w:overflowPunct/>
        <w:topLinePunct w:val="0"/>
        <w:autoSpaceDE/>
        <w:autoSpaceDN/>
        <w:bidi w:val="0"/>
        <w:adjustRightInd w:val="0"/>
        <w:snapToGrid w:val="0"/>
        <w:spacing w:after="95" w:afterLines="30" w:line="240" w:lineRule="auto"/>
        <w:ind w:firstLine="0" w:firstLineChars="0"/>
        <w:jc w:val="both"/>
        <w:textAlignment w:val="auto"/>
        <w:rPr>
          <w:rFonts w:hint="eastAsia" w:ascii="Times New Roman" w:hAnsi="Times New Roman" w:cs="Times New Roman"/>
          <w:sz w:val="15"/>
          <w:szCs w:val="15"/>
          <w:lang w:eastAsia="zh-CN"/>
        </w:rPr>
      </w:pPr>
      <w:r>
        <w:rPr>
          <w:rFonts w:hint="default" w:ascii="Times New Roman" w:hAnsi="Times New Roman" w:cs="Times New Roman"/>
          <w:sz w:val="15"/>
          <w:szCs w:val="15"/>
          <w:lang w:eastAsia="zh-CN"/>
        </w:rPr>
        <w:t>中线（NUT）癌诊断与治疗专家共识（2023版</w:t>
      </w:r>
      <w:r>
        <w:rPr>
          <w:rFonts w:hint="eastAsia" w:ascii="Times New Roman" w:hAnsi="Times New Roman" w:cs="Times New Roman"/>
          <w:sz w:val="15"/>
          <w:szCs w:val="15"/>
          <w:lang w:eastAsia="zh-CN"/>
        </w:rPr>
        <w:t>）</w:t>
      </w:r>
    </w:p>
    <w:p w14:paraId="5D3EA672">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eastAsia" w:ascii="Times New Roman" w:hAnsi="Times New Roman" w:cs="Times New Roman"/>
          <w:sz w:val="15"/>
          <w:szCs w:val="15"/>
          <w:lang w:val="en-US" w:eastAsia="zh-CN"/>
        </w:rPr>
      </w:pPr>
      <w:r>
        <w:rPr>
          <w:rFonts w:hint="default" w:ascii="Times New Roman" w:hAnsi="Times New Roman" w:cs="Times New Roman"/>
          <w:sz w:val="15"/>
          <w:szCs w:val="15"/>
          <w:lang w:val="en-US" w:eastAsia="zh-CN"/>
        </w:rPr>
        <w:t xml:space="preserve">{% </w:t>
      </w:r>
      <w:r>
        <w:rPr>
          <w:rFonts w:hint="eastAsia" w:ascii="Times New Roman" w:hAnsi="Times New Roman" w:cs="Times New Roman"/>
          <w:sz w:val="15"/>
          <w:szCs w:val="15"/>
          <w:lang w:val="en-US" w:eastAsia="zh-CN"/>
        </w:rPr>
        <w:t>el</w:t>
      </w:r>
      <w:r>
        <w:rPr>
          <w:rFonts w:hint="default" w:ascii="Times New Roman" w:hAnsi="Times New Roman" w:cs="Times New Roman"/>
          <w:sz w:val="15"/>
          <w:szCs w:val="15"/>
          <w:lang w:val="en-US" w:eastAsia="zh-CN"/>
        </w:rPr>
        <w:t xml:space="preserve">if </w:t>
      </w:r>
      <w:r>
        <w:rPr>
          <w:rFonts w:hint="eastAsia" w:ascii="Times New Roman" w:hAnsi="Times New Roman" w:cs="Times New Roman"/>
          <w:sz w:val="15"/>
          <w:szCs w:val="15"/>
          <w:lang w:val="en-US" w:eastAsia="zh-CN"/>
        </w:rPr>
        <w:t xml:space="preserve">263 in diseaseIdList </w:t>
      </w:r>
      <w:r>
        <w:rPr>
          <w:rFonts w:hint="default" w:ascii="Times New Roman" w:hAnsi="Times New Roman" w:cs="Times New Roman"/>
          <w:sz w:val="15"/>
          <w:szCs w:val="15"/>
          <w:lang w:val="en-US" w:eastAsia="zh-CN"/>
        </w:rPr>
        <w:t>%}</w:t>
      </w:r>
      <w:r>
        <w:rPr>
          <w:rFonts w:hint="default" w:ascii="Times New Roman" w:hAnsi="Times New Roman" w:cs="Times New Roman"/>
          <w:sz w:val="15"/>
          <w:szCs w:val="15"/>
          <w:lang w:eastAsia="zh-CN"/>
        </w:rPr>
        <w:t>WH</w:t>
      </w:r>
      <w:r>
        <w:rPr>
          <w:rFonts w:hint="eastAsia" w:ascii="Times New Roman" w:hAnsi="Times New Roman" w:cs="Times New Roman"/>
          <w:sz w:val="15"/>
          <w:szCs w:val="15"/>
          <w:lang w:val="en-US" w:eastAsia="zh-CN"/>
        </w:rPr>
        <w:t>O</w:t>
      </w:r>
      <w:r>
        <w:rPr>
          <w:rFonts w:hint="default" w:ascii="Times New Roman" w:hAnsi="Times New Roman" w:cs="Times New Roman"/>
          <w:sz w:val="15"/>
          <w:szCs w:val="15"/>
          <w:lang w:eastAsia="zh-CN"/>
        </w:rPr>
        <w:t xml:space="preserve"> Classification of Tumours Editorial Board. WHO classifica-tion of tumours. Urinary and male genital tumours [ M]. 5th ed,Lyon:IARC Press,2022 :72 -84</w:t>
      </w:r>
      <w:r>
        <w:rPr>
          <w:rFonts w:hint="eastAsia" w:ascii="Times New Roman" w:hAnsi="Times New Roman" w:cs="Times New Roman"/>
          <w:sz w:val="15"/>
          <w:szCs w:val="15"/>
          <w:lang w:val="en-US" w:eastAsia="zh-CN"/>
        </w:rPr>
        <w:t>.</w:t>
      </w:r>
    </w:p>
    <w:p w14:paraId="142578A2">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Pei J, Cooper H, Flieder D B,et al. NEAT1-TFE3 and KAT6A.TFE3 renal cell carcinomas, new members of MiT family transloca-tion renal cell carcinoma[J]. Mod Pathol, 2019,32(5):710-716.</w:t>
      </w:r>
    </w:p>
    <w:p w14:paraId="6EEECC2E">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Wang X T, Xia Q Y, Ye S B, et al. RNA sequencing of Xpl1translocation-associated cancers reveals novel gene fusions and dis-tinctive clinicopathologic correlations[ 」]. Mod Pathol, 2018 ,31(9):1346 -1360.</w:t>
      </w:r>
    </w:p>
    <w:p w14:paraId="35DF696F">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Wang XM,Shao L,Xiao H,et al. Lessons from 801 clinicalTFE3/TFEB FISH assays performed on renal cell carcinoma suspi-cious forMiTF family aberrations[」]. Am J Clin Pathol, 2023 ,160(6):549 -554.</w:t>
      </w:r>
    </w:p>
    <w:p w14:paraId="0FCD5146">
      <w:pPr>
        <w:pStyle w:val="26"/>
        <w:keepNext w:val="0"/>
        <w:keepLines w:val="0"/>
        <w:pageBreakBefore w:val="0"/>
        <w:widowControl/>
        <w:kinsoku/>
        <w:wordWrap/>
        <w:overflowPunct/>
        <w:topLinePunct w:val="0"/>
        <w:autoSpaceDE/>
        <w:autoSpaceDN/>
        <w:bidi w:val="0"/>
        <w:adjustRightInd w:val="0"/>
        <w:snapToGrid w:val="0"/>
        <w:spacing w:after="95" w:afterLines="30" w:line="240" w:lineRule="auto"/>
        <w:ind w:firstLine="0" w:firstLineChars="0"/>
        <w:jc w:val="both"/>
        <w:textAlignment w:val="auto"/>
        <w:rPr>
          <w:rFonts w:hint="default" w:ascii="Times New Roman" w:hAnsi="Times New Roman" w:cs="Times New Roman"/>
          <w:sz w:val="15"/>
          <w:szCs w:val="15"/>
          <w:lang w:val="en-US" w:eastAsia="zh-CN"/>
        </w:rPr>
      </w:pPr>
      <w:r>
        <w:rPr>
          <w:rFonts w:hint="default" w:ascii="Times New Roman" w:hAnsi="Times New Roman" w:cs="Times New Roman"/>
          <w:sz w:val="15"/>
          <w:szCs w:val="15"/>
          <w:lang w:eastAsia="zh-CN"/>
        </w:rPr>
        <w:t>Xia QY, Wang XT, Fang R, et al. Clinicopathologic and molee-ular analysis of the TFEB fusion variant reveals new members ofTFEB translocation renal cell carcinomas ( RCCs): expanding thegenomic spectrum[」]. Am JSurg Pathol,2020,44(4):477 -48</w:t>
      </w:r>
      <w:r>
        <w:rPr>
          <w:rFonts w:hint="eastAsia" w:ascii="Times New Roman" w:hAnsi="Times New Roman" w:cs="Times New Roman"/>
          <w:sz w:val="15"/>
          <w:szCs w:val="15"/>
          <w:lang w:val="en-US" w:eastAsia="zh-CN"/>
        </w:rPr>
        <w:t>9</w:t>
      </w:r>
    </w:p>
    <w:p w14:paraId="138C9DD0">
      <w:pPr>
        <w:pStyle w:val="27"/>
        <w:keepNext w:val="0"/>
        <w:keepLines w:val="0"/>
        <w:pageBreakBefore w:val="0"/>
        <w:kinsoku/>
        <w:wordWrap/>
        <w:overflowPunct/>
        <w:topLinePunct w:val="0"/>
        <w:autoSpaceDE/>
        <w:autoSpaceDN/>
        <w:bidi w:val="0"/>
        <w:adjustRightInd w:val="0"/>
        <w:snapToGrid w:val="0"/>
        <w:spacing w:after="95" w:afterLines="30" w:line="240" w:lineRule="auto"/>
        <w:ind w:firstLine="0" w:firstLineChars="0"/>
        <w:jc w:val="both"/>
        <w:textAlignment w:val="auto"/>
        <w:rPr>
          <w:rFonts w:ascii="Times New Roman" w:hAnsi="Times New Roman" w:eastAsia="微软雅黑" w:cs="Times New Roman"/>
          <w:sz w:val="15"/>
          <w:szCs w:val="15"/>
        </w:rPr>
      </w:pPr>
      <w:r>
        <w:rPr>
          <w:rFonts w:hint="default" w:ascii="Times New Roman" w:hAnsi="Times New Roman" w:cs="Times New Roman"/>
          <w:sz w:val="15"/>
          <w:szCs w:val="15"/>
          <w:lang w:val="en-US" w:eastAsia="zh-CN"/>
        </w:rPr>
        <w:t xml:space="preserve">{% </w:t>
      </w:r>
      <w:r>
        <w:rPr>
          <w:rFonts w:hint="eastAsia" w:ascii="Times New Roman" w:hAnsi="Times New Roman" w:cs="Times New Roman"/>
          <w:sz w:val="15"/>
          <w:szCs w:val="15"/>
          <w:lang w:val="en-US" w:eastAsia="zh-CN"/>
        </w:rPr>
        <w:t>el</w:t>
      </w:r>
      <w:r>
        <w:rPr>
          <w:rFonts w:hint="default" w:ascii="Times New Roman" w:hAnsi="Times New Roman" w:cs="Times New Roman"/>
          <w:sz w:val="15"/>
          <w:szCs w:val="15"/>
          <w:lang w:val="en-US" w:eastAsia="zh-CN"/>
        </w:rPr>
        <w:t xml:space="preserve">if </w:t>
      </w:r>
      <w:r>
        <w:rPr>
          <w:rFonts w:hint="eastAsia" w:ascii="Times New Roman" w:hAnsi="Times New Roman" w:cs="Times New Roman"/>
          <w:sz w:val="15"/>
          <w:szCs w:val="15"/>
          <w:lang w:val="en-US" w:eastAsia="zh-CN"/>
        </w:rPr>
        <w:t xml:space="preserve">1115 in diseaseIdList </w:t>
      </w:r>
      <w:r>
        <w:rPr>
          <w:rFonts w:hint="default" w:ascii="Times New Roman" w:hAnsi="Times New Roman" w:cs="Times New Roman"/>
          <w:sz w:val="15"/>
          <w:szCs w:val="15"/>
          <w:lang w:val="en-US" w:eastAsia="zh-CN"/>
        </w:rPr>
        <w:t>%}</w:t>
      </w:r>
      <w:r>
        <w:rPr>
          <w:rFonts w:ascii="Times New Roman" w:hAnsi="Times New Roman" w:eastAsia="微软雅黑" w:cs="Times New Roman"/>
          <w:sz w:val="15"/>
          <w:szCs w:val="15"/>
        </w:rPr>
        <w:t>Riggi N, Cironi L, Provero P, et al. Development of Ewing's sarcoma from primary bone marrow-derived mesenchymal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progenitor cells. Cancer Res. 2005;65(24):11459-11468.[PMID:16357154]</w:t>
      </w:r>
    </w:p>
    <w:p w14:paraId="27514A69">
      <w:pPr>
        <w:pStyle w:val="27"/>
        <w:keepNext w:val="0"/>
        <w:keepLines w:val="0"/>
        <w:pageBreakBefore w:val="0"/>
        <w:kinsoku/>
        <w:wordWrap/>
        <w:overflowPunct/>
        <w:topLinePunct w:val="0"/>
        <w:autoSpaceDE/>
        <w:autoSpaceDN/>
        <w:bidi w:val="0"/>
        <w:adjustRightInd w:val="0"/>
        <w:snapToGrid w:val="0"/>
        <w:spacing w:after="95" w:afterLines="30" w:line="240" w:lineRule="auto"/>
        <w:ind w:firstLine="0" w:firstLineChars="0"/>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Jeon IS, Davis JN, Braun BS, et al. A variant Ewing's sarcoma translocation (7;22) fuses the EWS gene to the ETS gene</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ETV1. Oncogene. 1995;10(6):1229-1234.[PMID:7700648]</w:t>
      </w:r>
    </w:p>
    <w:p w14:paraId="5D6AE1E5">
      <w:pPr>
        <w:pStyle w:val="27"/>
        <w:keepNext w:val="0"/>
        <w:keepLines w:val="0"/>
        <w:pageBreakBefore w:val="0"/>
        <w:kinsoku/>
        <w:wordWrap/>
        <w:overflowPunct/>
        <w:topLinePunct w:val="0"/>
        <w:autoSpaceDE/>
        <w:autoSpaceDN/>
        <w:bidi w:val="0"/>
        <w:adjustRightInd w:val="0"/>
        <w:snapToGrid w:val="0"/>
        <w:spacing w:after="95" w:afterLines="30" w:line="240" w:lineRule="auto"/>
        <w:ind w:firstLine="0"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Riggi N, Knoechel B, Gillespie SM, et al. EWS-FLI1 utilizes divergent chromatin remodeling mechanisms to directly</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activate or repress enhancer elements in Ewing sarcoma. Cancer Cell. 2014;26(5):668-681.[PMID:25453903]</w:t>
      </w:r>
    </w:p>
    <w:p w14:paraId="64BF22FB">
      <w:pPr>
        <w:pStyle w:val="27"/>
        <w:keepNext w:val="0"/>
        <w:keepLines w:val="0"/>
        <w:pageBreakBefore w:val="0"/>
        <w:kinsoku/>
        <w:wordWrap/>
        <w:overflowPunct/>
        <w:topLinePunct w:val="0"/>
        <w:autoSpaceDE/>
        <w:autoSpaceDN/>
        <w:bidi w:val="0"/>
        <w:adjustRightInd w:val="0"/>
        <w:snapToGrid w:val="0"/>
        <w:spacing w:after="95" w:afterLines="30" w:line="240" w:lineRule="auto"/>
        <w:ind w:firstLine="0"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Soft tissue and bone tumours / edited by WHO Classification of Tumours Editorial Board.（2020）.</w:t>
      </w:r>
    </w:p>
    <w:p w14:paraId="4FF0FAEB">
      <w:pPr>
        <w:pStyle w:val="27"/>
        <w:keepNext w:val="0"/>
        <w:keepLines w:val="0"/>
        <w:pageBreakBefore w:val="0"/>
        <w:kinsoku/>
        <w:wordWrap/>
        <w:overflowPunct/>
        <w:topLinePunct w:val="0"/>
        <w:autoSpaceDE/>
        <w:autoSpaceDN/>
        <w:bidi w:val="0"/>
        <w:adjustRightInd w:val="0"/>
        <w:snapToGrid w:val="0"/>
        <w:spacing w:after="95" w:afterLines="30" w:line="240" w:lineRule="auto"/>
        <w:ind w:firstLine="0" w:firstLineChars="0"/>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lang w:eastAsia="zh-Hans"/>
        </w:rPr>
        <w:t xml:space="preserve">NCCN Guidelines </w:t>
      </w:r>
      <w:r>
        <w:rPr>
          <w:rFonts w:hint="eastAsia" w:ascii="Times New Roman" w:hAnsi="Times New Roman" w:eastAsia="微软雅黑" w:cs="Times New Roman"/>
          <w:sz w:val="15"/>
          <w:szCs w:val="15"/>
          <w:lang w:val="en-US" w:eastAsia="zh-CN"/>
        </w:rPr>
        <w:t>2025</w:t>
      </w:r>
      <w:r>
        <w:rPr>
          <w:rFonts w:ascii="Times New Roman" w:hAnsi="Times New Roman" w:eastAsia="微软雅黑" w:cs="Times New Roman"/>
          <w:sz w:val="15"/>
          <w:szCs w:val="15"/>
          <w:lang w:eastAsia="zh-Hans"/>
        </w:rPr>
        <w:t xml:space="preserve"> Soft Tissue Sarcoma.</w:t>
      </w:r>
    </w:p>
    <w:p w14:paraId="1996CF5E">
      <w:pPr>
        <w:pStyle w:val="27"/>
        <w:keepNext w:val="0"/>
        <w:keepLines w:val="0"/>
        <w:pageBreakBefore w:val="0"/>
        <w:kinsoku/>
        <w:wordWrap/>
        <w:overflowPunct/>
        <w:topLinePunct w:val="0"/>
        <w:autoSpaceDE/>
        <w:autoSpaceDN/>
        <w:bidi w:val="0"/>
        <w:adjustRightInd w:val="0"/>
        <w:snapToGrid w:val="0"/>
        <w:spacing w:after="95" w:afterLines="30" w:line="240" w:lineRule="auto"/>
        <w:ind w:firstLine="0" w:firstLineChars="0"/>
        <w:jc w:val="both"/>
        <w:textAlignment w:val="auto"/>
        <w:rPr>
          <w:rFonts w:ascii="Times New Roman" w:hAnsi="Times New Roman" w:eastAsia="微软雅黑" w:cs="Times New Roman"/>
          <w:sz w:val="15"/>
          <w:szCs w:val="15"/>
          <w:highlight w:val="none"/>
          <w:lang w:eastAsia="zh-CN"/>
        </w:rPr>
      </w:pPr>
      <w:r>
        <w:rPr>
          <w:rFonts w:ascii="Times New Roman" w:hAnsi="Times New Roman" w:eastAsia="微软雅黑" w:cs="Times New Roman"/>
          <w:sz w:val="15"/>
          <w:szCs w:val="15"/>
          <w:highlight w:val="none"/>
          <w:lang w:eastAsia="zh-Hans"/>
        </w:rPr>
        <w:t>中国临床肿瘤学会（CSCO）软组织肉瘤诊疗指南202</w:t>
      </w:r>
      <w:r>
        <w:rPr>
          <w:rFonts w:hint="eastAsia" w:ascii="Times New Roman" w:hAnsi="Times New Roman" w:eastAsia="微软雅黑" w:cs="Times New Roman"/>
          <w:sz w:val="15"/>
          <w:szCs w:val="15"/>
          <w:highlight w:val="none"/>
          <w:lang w:val="en-US" w:eastAsia="zh-CN"/>
        </w:rPr>
        <w:t>2</w:t>
      </w:r>
      <w:r>
        <w:rPr>
          <w:rFonts w:ascii="Times New Roman" w:hAnsi="Times New Roman" w:eastAsia="微软雅黑" w:cs="Times New Roman"/>
          <w:sz w:val="15"/>
          <w:szCs w:val="15"/>
          <w:highlight w:val="none"/>
          <w:lang w:eastAsia="zh-Hans"/>
        </w:rPr>
        <w:t>.</w:t>
      </w:r>
    </w:p>
    <w:p w14:paraId="3F458897">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eastAsia" w:ascii="Times New Roman" w:hAnsi="Times New Roman" w:cs="Times New Roman"/>
          <w:sz w:val="15"/>
          <w:szCs w:val="15"/>
          <w:lang w:val="en-US" w:eastAsia="zh-CN"/>
        </w:rPr>
      </w:pPr>
      <w:r>
        <w:rPr>
          <w:rFonts w:ascii="Times New Roman" w:hAnsi="Times New Roman" w:eastAsia="微软雅黑" w:cs="Times New Roman"/>
          <w:sz w:val="15"/>
          <w:szCs w:val="15"/>
          <w:lang w:eastAsia="zh-CN"/>
        </w:rPr>
        <w:t>《骨与软组织肿瘤二代测序中国专家共识（2021 年版）》,中国抗癌协会肉瘤专业委员会.中国肿瘤临床2021年第48卷第20期.</w:t>
      </w:r>
    </w:p>
    <w:p w14:paraId="127D986C">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eastAsia" w:ascii="Times New Roman" w:hAnsi="Times New Roman" w:cs="Times New Roman"/>
          <w:sz w:val="15"/>
          <w:szCs w:val="15"/>
          <w:lang w:val="en-US" w:eastAsia="zh-CN"/>
        </w:rPr>
        <w:t>{% else %}</w:t>
      </w:r>
      <w:r>
        <w:rPr>
          <w:rFonts w:hint="default" w:ascii="Times New Roman" w:hAnsi="Times New Roman" w:cs="Times New Roman"/>
          <w:sz w:val="15"/>
          <w:szCs w:val="15"/>
          <w:lang w:eastAsia="zh-CN"/>
        </w:rPr>
        <w:t xml:space="preserve">Shaw AT, Bauer TM, de Marinis F, et al. First-line lorlatinib or crizotinib in advanced ALK-positive lung cancer. N Engl J Med. 2020;383(21):2018-2029. </w:t>
      </w:r>
    </w:p>
    <w:p w14:paraId="2EB17811">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Drusbosky LM, Rodriguez E, Dawar R, et al. Therapeutic strategies in RET gene rearranged non-small cell lung cancer. J Hematol Oncol. 2021;14(1):50.</w:t>
      </w:r>
    </w:p>
    <w:p w14:paraId="60C9EDB3">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Li W, Guo L, Liu Y, Dong L, et al.</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 xml:space="preserve">Potential Unreliability of Uncommon ALK, ROS1, and RET Genomic Breakpoints in Predicting the Efficacy of Targeted Therapy in NSCLC. J Thorac Oncol. 2021 Mar;16(3):404-418. doi: 10.1016/j.jtho.2020.10.156. Epub 2020 Nov 26. </w:t>
      </w:r>
    </w:p>
    <w:p w14:paraId="15442F5F">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Li W, Liu Y, Li W, et al. Intergenic Breakpoints Identified by DNA Sequencing Confound Targetable Kinase Fusion Detection in NSCLC. J Thorac Oncol. 2020 Jul;15(7):1223-1231. doi: 10.1016/j.jtho.2020.02.023. Epub 2020 Mar 7.</w:t>
      </w:r>
    </w:p>
    <w:p w14:paraId="154CD193">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Majewski IJ, Mittempergher L, Davidson NM, et al. Identification of recurrent FGFR3 fusion genes in lung cancer through kinome-centred RNA sequencing. J Pathol. 2013 Jul;230(3):270-6. doi: 10.1002/path.4209. PMID: 23661334.</w:t>
      </w:r>
    </w:p>
    <w:p w14:paraId="39FE750E">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val="en-US" w:eastAsia="zh-CN"/>
        </w:rPr>
      </w:pPr>
      <w:r>
        <w:rPr>
          <w:rFonts w:hint="default" w:ascii="Times New Roman" w:hAnsi="Times New Roman" w:cs="Times New Roman"/>
          <w:sz w:val="15"/>
          <w:szCs w:val="15"/>
          <w:lang w:eastAsia="zh-CN"/>
        </w:rPr>
        <w:t>《中国实体瘤 NTRK 融合基因临床治疗专家共识》</w:t>
      </w:r>
      <w:r>
        <w:rPr>
          <w:rFonts w:hint="eastAsia" w:ascii="Times New Roman" w:hAnsi="Times New Roman" w:cs="Times New Roman"/>
          <w:sz w:val="15"/>
          <w:szCs w:val="15"/>
          <w:lang w:val="en-US" w:eastAsia="zh-CN"/>
        </w:rPr>
        <w:t>2022.9.</w:t>
      </w:r>
    </w:p>
    <w:p w14:paraId="0B3B134D">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highlight w:val="none"/>
          <w:lang w:eastAsia="zh-CN"/>
        </w:rPr>
      </w:pPr>
      <w:r>
        <w:rPr>
          <w:rFonts w:hint="default" w:ascii="Times New Roman" w:hAnsi="Times New Roman" w:cs="Times New Roman"/>
          <w:sz w:val="15"/>
          <w:szCs w:val="15"/>
          <w:highlight w:val="none"/>
          <w:lang w:eastAsia="zh-CN"/>
        </w:rPr>
        <w:t>中国临床肿瘤学会（CSCO）软组织肉瘤诊疗指南202</w:t>
      </w:r>
      <w:r>
        <w:rPr>
          <w:rFonts w:hint="eastAsia" w:ascii="Times New Roman" w:hAnsi="Times New Roman" w:cs="Times New Roman"/>
          <w:sz w:val="15"/>
          <w:szCs w:val="15"/>
          <w:highlight w:val="none"/>
          <w:lang w:val="en-US" w:eastAsia="zh-CN"/>
        </w:rPr>
        <w:t>2</w:t>
      </w:r>
      <w:r>
        <w:rPr>
          <w:rFonts w:hint="default" w:ascii="Times New Roman" w:hAnsi="Times New Roman" w:cs="Times New Roman"/>
          <w:sz w:val="15"/>
          <w:szCs w:val="15"/>
          <w:highlight w:val="none"/>
          <w:lang w:eastAsia="zh-CN"/>
        </w:rPr>
        <w:t xml:space="preserve">. </w:t>
      </w:r>
    </w:p>
    <w:p w14:paraId="1108C6F6">
      <w:pPr>
        <w:pStyle w:val="26"/>
        <w:keepNext w:val="0"/>
        <w:keepLines w:val="0"/>
        <w:pageBreakBefore w:val="0"/>
        <w:widowControl/>
        <w:kinsoku/>
        <w:wordWrap/>
        <w:overflowPunct/>
        <w:topLinePunct w:val="0"/>
        <w:autoSpaceDE/>
        <w:autoSpaceDN/>
        <w:bidi w:val="0"/>
        <w:adjustRightInd w:val="0"/>
        <w:snapToGrid w:val="0"/>
        <w:spacing w:after="95" w:afterLines="30" w:line="240" w:lineRule="auto"/>
        <w:ind w:firstLine="0" w:firstLineChars="0"/>
        <w:jc w:val="both"/>
        <w:textAlignment w:val="auto"/>
        <w:rPr>
          <w:rFonts w:hint="eastAsia" w:ascii="Times New Roman" w:hAnsi="Times New Roman" w:cs="Times New Roman"/>
          <w:sz w:val="15"/>
          <w:szCs w:val="15"/>
          <w:lang w:val="en-US" w:eastAsia="zh-CN"/>
        </w:rPr>
      </w:pPr>
      <w:r>
        <w:rPr>
          <w:rFonts w:hint="default" w:ascii="Times New Roman" w:hAnsi="Times New Roman" w:cs="Times New Roman"/>
          <w:sz w:val="15"/>
          <w:szCs w:val="15"/>
          <w:lang w:eastAsia="zh-CN"/>
        </w:rPr>
        <w:t>《骨与软组织肿瘤二代测序中国专家共识（2021 年版）</w:t>
      </w:r>
      <w:r>
        <w:rPr>
          <w:rFonts w:hint="eastAsia" w:ascii="Times New Roman" w:hAnsi="Times New Roman" w:cs="Times New Roman"/>
          <w:sz w:val="15"/>
          <w:szCs w:val="15"/>
          <w:lang w:eastAsia="zh-CN"/>
        </w:rPr>
        <w:t>》</w:t>
      </w:r>
      <w:r>
        <w:rPr>
          <w:rFonts w:hint="eastAsia" w:ascii="Times New Roman" w:hAnsi="Times New Roman" w:cs="Times New Roman"/>
          <w:sz w:val="15"/>
          <w:szCs w:val="15"/>
          <w:lang w:val="en-US" w:eastAsia="zh-CN"/>
        </w:rPr>
        <w:t>{% endif %}</w:t>
      </w:r>
    </w:p>
    <w:sectPr>
      <w:headerReference r:id="rId5" w:type="default"/>
      <w:footerReference r:id="rId6" w:type="default"/>
      <w:pgSz w:w="11906" w:h="16839"/>
      <w:pgMar w:top="2041" w:right="1080" w:bottom="334" w:left="1080" w:header="227" w:footer="113"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A7BAF">
    <w:pPr>
      <w:pStyle w:val="5"/>
      <w:tabs>
        <w:tab w:val="left" w:pos="5611"/>
        <w:tab w:val="clear" w:pos="4153"/>
      </w:tabs>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859155" cy="287655"/>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859155" cy="2876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7764AE">
                          <w:pPr>
                            <w:pStyle w:val="5"/>
                            <w:rPr>
                              <w:color w:val="auto"/>
                              <w:sz w:val="16"/>
                              <w:szCs w:val="16"/>
                            </w:rPr>
                          </w:pPr>
                          <w:r>
                            <w:rPr>
                              <w:rFonts w:hint="eastAsia" w:ascii="微软雅黑" w:hAnsi="微软雅黑" w:eastAsia="微软雅黑" w:cs="微软雅黑"/>
                              <w:color w:val="auto"/>
                              <w:sz w:val="16"/>
                              <w:szCs w:val="16"/>
                            </w:rPr>
                            <w:t xml:space="preserve">第 </w:t>
                          </w:r>
                          <w:r>
                            <w:rPr>
                              <w:rFonts w:hint="eastAsia" w:ascii="微软雅黑" w:hAnsi="微软雅黑" w:eastAsia="微软雅黑" w:cs="微软雅黑"/>
                              <w:color w:val="auto"/>
                              <w:sz w:val="16"/>
                              <w:szCs w:val="16"/>
                            </w:rPr>
                            <w:fldChar w:fldCharType="begin"/>
                          </w:r>
                          <w:r>
                            <w:rPr>
                              <w:rFonts w:hint="eastAsia" w:ascii="微软雅黑" w:hAnsi="微软雅黑" w:eastAsia="微软雅黑" w:cs="微软雅黑"/>
                              <w:color w:val="auto"/>
                              <w:sz w:val="16"/>
                              <w:szCs w:val="16"/>
                            </w:rPr>
                            <w:instrText xml:space="preserve"> PAGE  \* MERGEFORMAT </w:instrText>
                          </w:r>
                          <w:r>
                            <w:rPr>
                              <w:rFonts w:hint="eastAsia" w:ascii="微软雅黑" w:hAnsi="微软雅黑" w:eastAsia="微软雅黑" w:cs="微软雅黑"/>
                              <w:color w:val="auto"/>
                              <w:sz w:val="16"/>
                              <w:szCs w:val="16"/>
                            </w:rPr>
                            <w:fldChar w:fldCharType="separate"/>
                          </w:r>
                          <w:r>
                            <w:rPr>
                              <w:rFonts w:hint="eastAsia" w:ascii="微软雅黑" w:hAnsi="微软雅黑" w:eastAsia="微软雅黑" w:cs="微软雅黑"/>
                              <w:color w:val="auto"/>
                              <w:sz w:val="16"/>
                              <w:szCs w:val="16"/>
                            </w:rPr>
                            <w:t>1</w:t>
                          </w:r>
                          <w:r>
                            <w:rPr>
                              <w:rFonts w:hint="eastAsia" w:ascii="微软雅黑" w:hAnsi="微软雅黑" w:eastAsia="微软雅黑" w:cs="微软雅黑"/>
                              <w:color w:val="auto"/>
                              <w:sz w:val="16"/>
                              <w:szCs w:val="16"/>
                            </w:rPr>
                            <w:fldChar w:fldCharType="end"/>
                          </w:r>
                          <w:r>
                            <w:rPr>
                              <w:rFonts w:hint="eastAsia" w:ascii="微软雅黑" w:hAnsi="微软雅黑" w:eastAsia="微软雅黑" w:cs="微软雅黑"/>
                              <w:color w:val="auto"/>
                              <w:sz w:val="16"/>
                              <w:szCs w:val="16"/>
                            </w:rPr>
                            <w:t xml:space="preserve"> 页 共 </w:t>
                          </w:r>
                          <w:r>
                            <w:rPr>
                              <w:rFonts w:hint="eastAsia" w:ascii="微软雅黑" w:hAnsi="微软雅黑" w:eastAsia="微软雅黑" w:cs="微软雅黑"/>
                              <w:color w:val="auto"/>
                              <w:sz w:val="16"/>
                              <w:szCs w:val="16"/>
                            </w:rPr>
                            <w:fldChar w:fldCharType="begin"/>
                          </w:r>
                          <w:r>
                            <w:rPr>
                              <w:rFonts w:hint="eastAsia" w:ascii="微软雅黑" w:hAnsi="微软雅黑" w:eastAsia="微软雅黑" w:cs="微软雅黑"/>
                              <w:color w:val="auto"/>
                              <w:sz w:val="16"/>
                              <w:szCs w:val="16"/>
                            </w:rPr>
                            <w:instrText xml:space="preserve"> NUMPAGES  \* MERGEFORMAT </w:instrText>
                          </w:r>
                          <w:r>
                            <w:rPr>
                              <w:rFonts w:hint="eastAsia" w:ascii="微软雅黑" w:hAnsi="微软雅黑" w:eastAsia="微软雅黑" w:cs="微软雅黑"/>
                              <w:color w:val="auto"/>
                              <w:sz w:val="16"/>
                              <w:szCs w:val="16"/>
                            </w:rPr>
                            <w:fldChar w:fldCharType="separate"/>
                          </w:r>
                          <w:r>
                            <w:rPr>
                              <w:rFonts w:hint="eastAsia" w:ascii="微软雅黑" w:hAnsi="微软雅黑" w:eastAsia="微软雅黑" w:cs="微软雅黑"/>
                              <w:color w:val="auto"/>
                              <w:sz w:val="16"/>
                              <w:szCs w:val="16"/>
                            </w:rPr>
                            <w:t>7</w:t>
                          </w:r>
                          <w:r>
                            <w:rPr>
                              <w:rFonts w:hint="eastAsia" w:ascii="微软雅黑" w:hAnsi="微软雅黑" w:eastAsia="微软雅黑" w:cs="微软雅黑"/>
                              <w:color w:val="auto"/>
                              <w:sz w:val="16"/>
                              <w:szCs w:val="16"/>
                            </w:rPr>
                            <w:fldChar w:fldCharType="end"/>
                          </w:r>
                          <w:r>
                            <w:rPr>
                              <w:rFonts w:hint="eastAsia" w:ascii="微软雅黑" w:hAnsi="微软雅黑" w:eastAsia="微软雅黑" w:cs="微软雅黑"/>
                              <w:color w:val="auto"/>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top:0pt;height:22.65pt;width:67.65pt;mso-position-horizontal:center;mso-position-horizontal-relative:margin;z-index:251659264;mso-width-relative:page;mso-height-relative:page;" filled="f" stroked="f" coordsize="21600,21600" o:gfxdata="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233TR0wAAAAQBAAAPAAAAAAAAAAEAIAAAACIAAABkcnMvZG93bnJldi54bWxQSwEC&#10;FAAUAAAACACHTuJAPXqeuzICAABXBAAADgAAAAAAAAABACAAAAAiAQAAZHJzL2Uyb0RvYy54bWxQ&#10;SwUGAAAAAAYABgBZAQAAxgUAAAAA&#10;">
              <v:fill on="f" focussize="0,0"/>
              <v:stroke on="f" weight="0.5pt"/>
              <v:imagedata o:title=""/>
              <o:lock v:ext="edit" aspectratio="f"/>
              <v:textbox inset="0mm,0mm,0mm,0mm">
                <w:txbxContent>
                  <w:p w14:paraId="537764AE">
                    <w:pPr>
                      <w:pStyle w:val="5"/>
                      <w:rPr>
                        <w:color w:val="auto"/>
                        <w:sz w:val="16"/>
                        <w:szCs w:val="16"/>
                      </w:rPr>
                    </w:pPr>
                    <w:r>
                      <w:rPr>
                        <w:rFonts w:hint="eastAsia" w:ascii="微软雅黑" w:hAnsi="微软雅黑" w:eastAsia="微软雅黑" w:cs="微软雅黑"/>
                        <w:color w:val="auto"/>
                        <w:sz w:val="16"/>
                        <w:szCs w:val="16"/>
                      </w:rPr>
                      <w:t xml:space="preserve">第 </w:t>
                    </w:r>
                    <w:r>
                      <w:rPr>
                        <w:rFonts w:hint="eastAsia" w:ascii="微软雅黑" w:hAnsi="微软雅黑" w:eastAsia="微软雅黑" w:cs="微软雅黑"/>
                        <w:color w:val="auto"/>
                        <w:sz w:val="16"/>
                        <w:szCs w:val="16"/>
                      </w:rPr>
                      <w:fldChar w:fldCharType="begin"/>
                    </w:r>
                    <w:r>
                      <w:rPr>
                        <w:rFonts w:hint="eastAsia" w:ascii="微软雅黑" w:hAnsi="微软雅黑" w:eastAsia="微软雅黑" w:cs="微软雅黑"/>
                        <w:color w:val="auto"/>
                        <w:sz w:val="16"/>
                        <w:szCs w:val="16"/>
                      </w:rPr>
                      <w:instrText xml:space="preserve"> PAGE  \* MERGEFORMAT </w:instrText>
                    </w:r>
                    <w:r>
                      <w:rPr>
                        <w:rFonts w:hint="eastAsia" w:ascii="微软雅黑" w:hAnsi="微软雅黑" w:eastAsia="微软雅黑" w:cs="微软雅黑"/>
                        <w:color w:val="auto"/>
                        <w:sz w:val="16"/>
                        <w:szCs w:val="16"/>
                      </w:rPr>
                      <w:fldChar w:fldCharType="separate"/>
                    </w:r>
                    <w:r>
                      <w:rPr>
                        <w:rFonts w:hint="eastAsia" w:ascii="微软雅黑" w:hAnsi="微软雅黑" w:eastAsia="微软雅黑" w:cs="微软雅黑"/>
                        <w:color w:val="auto"/>
                        <w:sz w:val="16"/>
                        <w:szCs w:val="16"/>
                      </w:rPr>
                      <w:t>1</w:t>
                    </w:r>
                    <w:r>
                      <w:rPr>
                        <w:rFonts w:hint="eastAsia" w:ascii="微软雅黑" w:hAnsi="微软雅黑" w:eastAsia="微软雅黑" w:cs="微软雅黑"/>
                        <w:color w:val="auto"/>
                        <w:sz w:val="16"/>
                        <w:szCs w:val="16"/>
                      </w:rPr>
                      <w:fldChar w:fldCharType="end"/>
                    </w:r>
                    <w:r>
                      <w:rPr>
                        <w:rFonts w:hint="eastAsia" w:ascii="微软雅黑" w:hAnsi="微软雅黑" w:eastAsia="微软雅黑" w:cs="微软雅黑"/>
                        <w:color w:val="auto"/>
                        <w:sz w:val="16"/>
                        <w:szCs w:val="16"/>
                      </w:rPr>
                      <w:t xml:space="preserve"> 页 共 </w:t>
                    </w:r>
                    <w:r>
                      <w:rPr>
                        <w:rFonts w:hint="eastAsia" w:ascii="微软雅黑" w:hAnsi="微软雅黑" w:eastAsia="微软雅黑" w:cs="微软雅黑"/>
                        <w:color w:val="auto"/>
                        <w:sz w:val="16"/>
                        <w:szCs w:val="16"/>
                      </w:rPr>
                      <w:fldChar w:fldCharType="begin"/>
                    </w:r>
                    <w:r>
                      <w:rPr>
                        <w:rFonts w:hint="eastAsia" w:ascii="微软雅黑" w:hAnsi="微软雅黑" w:eastAsia="微软雅黑" w:cs="微软雅黑"/>
                        <w:color w:val="auto"/>
                        <w:sz w:val="16"/>
                        <w:szCs w:val="16"/>
                      </w:rPr>
                      <w:instrText xml:space="preserve"> NUMPAGES  \* MERGEFORMAT </w:instrText>
                    </w:r>
                    <w:r>
                      <w:rPr>
                        <w:rFonts w:hint="eastAsia" w:ascii="微软雅黑" w:hAnsi="微软雅黑" w:eastAsia="微软雅黑" w:cs="微软雅黑"/>
                        <w:color w:val="auto"/>
                        <w:sz w:val="16"/>
                        <w:szCs w:val="16"/>
                      </w:rPr>
                      <w:fldChar w:fldCharType="separate"/>
                    </w:r>
                    <w:r>
                      <w:rPr>
                        <w:rFonts w:hint="eastAsia" w:ascii="微软雅黑" w:hAnsi="微软雅黑" w:eastAsia="微软雅黑" w:cs="微软雅黑"/>
                        <w:color w:val="auto"/>
                        <w:sz w:val="16"/>
                        <w:szCs w:val="16"/>
                      </w:rPr>
                      <w:t>7</w:t>
                    </w:r>
                    <w:r>
                      <w:rPr>
                        <w:rFonts w:hint="eastAsia" w:ascii="微软雅黑" w:hAnsi="微软雅黑" w:eastAsia="微软雅黑" w:cs="微软雅黑"/>
                        <w:color w:val="auto"/>
                        <w:sz w:val="16"/>
                        <w:szCs w:val="16"/>
                      </w:rPr>
                      <w:fldChar w:fldCharType="end"/>
                    </w:r>
                    <w:r>
                      <w:rPr>
                        <w:rFonts w:hint="eastAsia" w:ascii="微软雅黑" w:hAnsi="微软雅黑" w:eastAsia="微软雅黑" w:cs="微软雅黑"/>
                        <w:color w:val="auto"/>
                        <w:sz w:val="16"/>
                        <w:szCs w:val="16"/>
                      </w:rPr>
                      <w:t xml:space="preserve"> 页</w:t>
                    </w:r>
                  </w:p>
                </w:txbxContent>
              </v:textbox>
            </v:shape>
          </w:pict>
        </mc:Fallback>
      </mc:AlternateContent>
    </w:r>
    <w:r>
      <w:rPr>
        <w:rFonts w:hint="eastAsia" w:eastAsia="宋体"/>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DB4E95">
    <w:pPr>
      <w:spacing w:line="421" w:lineRule="auto"/>
      <w:rPr>
        <w:rFonts w:ascii="微软雅黑" w:hAnsi="微软雅黑" w:eastAsia="微软雅黑" w:cs="微软雅黑"/>
        <w:sz w:val="17"/>
        <w:szCs w:val="17"/>
      </w:rP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427134">
                          <w:pPr>
                            <w:pStyle w:val="5"/>
                            <w:rPr>
                              <w:rFonts w:ascii="微软雅黑" w:hAnsi="微软雅黑" w:eastAsia="微软雅黑" w:cs="微软雅黑"/>
                              <w:color w:val="auto"/>
                              <w:sz w:val="16"/>
                              <w:szCs w:val="16"/>
                            </w:rPr>
                          </w:pPr>
                          <w:r>
                            <w:rPr>
                              <w:rFonts w:hint="eastAsia" w:ascii="微软雅黑" w:hAnsi="微软雅黑" w:eastAsia="微软雅黑" w:cs="微软雅黑"/>
                              <w:color w:val="auto"/>
                              <w:sz w:val="16"/>
                              <w:szCs w:val="16"/>
                            </w:rPr>
                            <w:t xml:space="preserve">第 </w:t>
                          </w:r>
                          <w:r>
                            <w:rPr>
                              <w:rFonts w:hint="eastAsia" w:ascii="微软雅黑" w:hAnsi="微软雅黑" w:eastAsia="微软雅黑" w:cs="微软雅黑"/>
                              <w:color w:val="auto"/>
                              <w:sz w:val="16"/>
                              <w:szCs w:val="16"/>
                            </w:rPr>
                            <w:fldChar w:fldCharType="begin"/>
                          </w:r>
                          <w:r>
                            <w:rPr>
                              <w:rFonts w:hint="eastAsia" w:ascii="微软雅黑" w:hAnsi="微软雅黑" w:eastAsia="微软雅黑" w:cs="微软雅黑"/>
                              <w:color w:val="auto"/>
                              <w:sz w:val="16"/>
                              <w:szCs w:val="16"/>
                            </w:rPr>
                            <w:instrText xml:space="preserve"> PAGE  \* MERGEFORMAT </w:instrText>
                          </w:r>
                          <w:r>
                            <w:rPr>
                              <w:rFonts w:hint="eastAsia" w:ascii="微软雅黑" w:hAnsi="微软雅黑" w:eastAsia="微软雅黑" w:cs="微软雅黑"/>
                              <w:color w:val="auto"/>
                              <w:sz w:val="16"/>
                              <w:szCs w:val="16"/>
                            </w:rPr>
                            <w:fldChar w:fldCharType="separate"/>
                          </w:r>
                          <w:r>
                            <w:rPr>
                              <w:rFonts w:hint="eastAsia" w:ascii="微软雅黑" w:hAnsi="微软雅黑" w:eastAsia="微软雅黑" w:cs="微软雅黑"/>
                              <w:color w:val="auto"/>
                              <w:sz w:val="16"/>
                              <w:szCs w:val="16"/>
                            </w:rPr>
                            <w:t>6</w:t>
                          </w:r>
                          <w:r>
                            <w:rPr>
                              <w:rFonts w:hint="eastAsia" w:ascii="微软雅黑" w:hAnsi="微软雅黑" w:eastAsia="微软雅黑" w:cs="微软雅黑"/>
                              <w:color w:val="auto"/>
                              <w:sz w:val="16"/>
                              <w:szCs w:val="16"/>
                            </w:rPr>
                            <w:fldChar w:fldCharType="end"/>
                          </w:r>
                          <w:r>
                            <w:rPr>
                              <w:rFonts w:hint="eastAsia" w:ascii="微软雅黑" w:hAnsi="微软雅黑" w:eastAsia="微软雅黑" w:cs="微软雅黑"/>
                              <w:color w:val="auto"/>
                              <w:sz w:val="16"/>
                              <w:szCs w:val="16"/>
                            </w:rPr>
                            <w:t xml:space="preserve"> 页 共 </w:t>
                          </w:r>
                          <w:r>
                            <w:rPr>
                              <w:rFonts w:hint="eastAsia" w:ascii="微软雅黑" w:hAnsi="微软雅黑" w:eastAsia="微软雅黑" w:cs="微软雅黑"/>
                              <w:color w:val="auto"/>
                              <w:sz w:val="16"/>
                              <w:szCs w:val="16"/>
                            </w:rPr>
                            <w:fldChar w:fldCharType="begin"/>
                          </w:r>
                          <w:r>
                            <w:rPr>
                              <w:rFonts w:hint="eastAsia" w:ascii="微软雅黑" w:hAnsi="微软雅黑" w:eastAsia="微软雅黑" w:cs="微软雅黑"/>
                              <w:color w:val="auto"/>
                              <w:sz w:val="16"/>
                              <w:szCs w:val="16"/>
                            </w:rPr>
                            <w:instrText xml:space="preserve"> NUMPAGES  \* MERGEFORMAT </w:instrText>
                          </w:r>
                          <w:r>
                            <w:rPr>
                              <w:rFonts w:hint="eastAsia" w:ascii="微软雅黑" w:hAnsi="微软雅黑" w:eastAsia="微软雅黑" w:cs="微软雅黑"/>
                              <w:color w:val="auto"/>
                              <w:sz w:val="16"/>
                              <w:szCs w:val="16"/>
                            </w:rPr>
                            <w:fldChar w:fldCharType="separate"/>
                          </w:r>
                          <w:r>
                            <w:rPr>
                              <w:rFonts w:hint="eastAsia" w:ascii="微软雅黑" w:hAnsi="微软雅黑" w:eastAsia="微软雅黑" w:cs="微软雅黑"/>
                              <w:color w:val="auto"/>
                              <w:sz w:val="16"/>
                              <w:szCs w:val="16"/>
                            </w:rPr>
                            <w:t>7</w:t>
                          </w:r>
                          <w:r>
                            <w:rPr>
                              <w:rFonts w:hint="eastAsia" w:ascii="微软雅黑" w:hAnsi="微软雅黑" w:eastAsia="微软雅黑" w:cs="微软雅黑"/>
                              <w:color w:val="auto"/>
                              <w:sz w:val="16"/>
                              <w:szCs w:val="16"/>
                            </w:rPr>
                            <w:fldChar w:fldCharType="end"/>
                          </w:r>
                          <w:r>
                            <w:rPr>
                              <w:rFonts w:hint="eastAsia" w:ascii="微软雅黑" w:hAnsi="微软雅黑" w:eastAsia="微软雅黑" w:cs="微软雅黑"/>
                              <w:color w:val="auto"/>
                              <w:sz w:val="16"/>
                              <w:szCs w:val="16"/>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QaAL0tAgAAVwQAAA4AAABkcnMvZTJvRG9jLnhtbK1UzY7TMBC+I/EO&#10;lu80aRd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pkQzhYqfvn87&#10;/fh1+vmV4AwCtdbPEPdgERm6t6ZD2wznHoeRd1c5Fb9gROCHvMeLvKILhMdL08l0msPF4Rs2wM8e&#10;r1vnwzthFIlGQR3ql2Rlh40PfegQErNps26kTDWUmrQFvb56k6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EQaAL0tAgAAVwQAAA4AAAAAAAAAAQAgAAAAHwEAAGRycy9lMm9Eb2MueG1sUEsFBgAAAAAG&#10;AAYAWQEAAL4FAAAAAA==&#10;">
              <v:fill on="f" focussize="0,0"/>
              <v:stroke on="f" weight="0.5pt"/>
              <v:imagedata o:title=""/>
              <o:lock v:ext="edit" aspectratio="f"/>
              <v:textbox inset="0mm,0mm,0mm,0mm" style="mso-fit-shape-to-text:t;">
                <w:txbxContent>
                  <w:p w14:paraId="76427134">
                    <w:pPr>
                      <w:pStyle w:val="5"/>
                      <w:rPr>
                        <w:rFonts w:ascii="微软雅黑" w:hAnsi="微软雅黑" w:eastAsia="微软雅黑" w:cs="微软雅黑"/>
                        <w:color w:val="auto"/>
                        <w:sz w:val="16"/>
                        <w:szCs w:val="16"/>
                      </w:rPr>
                    </w:pPr>
                    <w:r>
                      <w:rPr>
                        <w:rFonts w:hint="eastAsia" w:ascii="微软雅黑" w:hAnsi="微软雅黑" w:eastAsia="微软雅黑" w:cs="微软雅黑"/>
                        <w:color w:val="auto"/>
                        <w:sz w:val="16"/>
                        <w:szCs w:val="16"/>
                      </w:rPr>
                      <w:t xml:space="preserve">第 </w:t>
                    </w:r>
                    <w:r>
                      <w:rPr>
                        <w:rFonts w:hint="eastAsia" w:ascii="微软雅黑" w:hAnsi="微软雅黑" w:eastAsia="微软雅黑" w:cs="微软雅黑"/>
                        <w:color w:val="auto"/>
                        <w:sz w:val="16"/>
                        <w:szCs w:val="16"/>
                      </w:rPr>
                      <w:fldChar w:fldCharType="begin"/>
                    </w:r>
                    <w:r>
                      <w:rPr>
                        <w:rFonts w:hint="eastAsia" w:ascii="微软雅黑" w:hAnsi="微软雅黑" w:eastAsia="微软雅黑" w:cs="微软雅黑"/>
                        <w:color w:val="auto"/>
                        <w:sz w:val="16"/>
                        <w:szCs w:val="16"/>
                      </w:rPr>
                      <w:instrText xml:space="preserve"> PAGE  \* MERGEFORMAT </w:instrText>
                    </w:r>
                    <w:r>
                      <w:rPr>
                        <w:rFonts w:hint="eastAsia" w:ascii="微软雅黑" w:hAnsi="微软雅黑" w:eastAsia="微软雅黑" w:cs="微软雅黑"/>
                        <w:color w:val="auto"/>
                        <w:sz w:val="16"/>
                        <w:szCs w:val="16"/>
                      </w:rPr>
                      <w:fldChar w:fldCharType="separate"/>
                    </w:r>
                    <w:r>
                      <w:rPr>
                        <w:rFonts w:hint="eastAsia" w:ascii="微软雅黑" w:hAnsi="微软雅黑" w:eastAsia="微软雅黑" w:cs="微软雅黑"/>
                        <w:color w:val="auto"/>
                        <w:sz w:val="16"/>
                        <w:szCs w:val="16"/>
                      </w:rPr>
                      <w:t>6</w:t>
                    </w:r>
                    <w:r>
                      <w:rPr>
                        <w:rFonts w:hint="eastAsia" w:ascii="微软雅黑" w:hAnsi="微软雅黑" w:eastAsia="微软雅黑" w:cs="微软雅黑"/>
                        <w:color w:val="auto"/>
                        <w:sz w:val="16"/>
                        <w:szCs w:val="16"/>
                      </w:rPr>
                      <w:fldChar w:fldCharType="end"/>
                    </w:r>
                    <w:r>
                      <w:rPr>
                        <w:rFonts w:hint="eastAsia" w:ascii="微软雅黑" w:hAnsi="微软雅黑" w:eastAsia="微软雅黑" w:cs="微软雅黑"/>
                        <w:color w:val="auto"/>
                        <w:sz w:val="16"/>
                        <w:szCs w:val="16"/>
                      </w:rPr>
                      <w:t xml:space="preserve"> 页 共 </w:t>
                    </w:r>
                    <w:r>
                      <w:rPr>
                        <w:rFonts w:hint="eastAsia" w:ascii="微软雅黑" w:hAnsi="微软雅黑" w:eastAsia="微软雅黑" w:cs="微软雅黑"/>
                        <w:color w:val="auto"/>
                        <w:sz w:val="16"/>
                        <w:szCs w:val="16"/>
                      </w:rPr>
                      <w:fldChar w:fldCharType="begin"/>
                    </w:r>
                    <w:r>
                      <w:rPr>
                        <w:rFonts w:hint="eastAsia" w:ascii="微软雅黑" w:hAnsi="微软雅黑" w:eastAsia="微软雅黑" w:cs="微软雅黑"/>
                        <w:color w:val="auto"/>
                        <w:sz w:val="16"/>
                        <w:szCs w:val="16"/>
                      </w:rPr>
                      <w:instrText xml:space="preserve"> NUMPAGES  \* MERGEFORMAT </w:instrText>
                    </w:r>
                    <w:r>
                      <w:rPr>
                        <w:rFonts w:hint="eastAsia" w:ascii="微软雅黑" w:hAnsi="微软雅黑" w:eastAsia="微软雅黑" w:cs="微软雅黑"/>
                        <w:color w:val="auto"/>
                        <w:sz w:val="16"/>
                        <w:szCs w:val="16"/>
                      </w:rPr>
                      <w:fldChar w:fldCharType="separate"/>
                    </w:r>
                    <w:r>
                      <w:rPr>
                        <w:rFonts w:hint="eastAsia" w:ascii="微软雅黑" w:hAnsi="微软雅黑" w:eastAsia="微软雅黑" w:cs="微软雅黑"/>
                        <w:color w:val="auto"/>
                        <w:sz w:val="16"/>
                        <w:szCs w:val="16"/>
                      </w:rPr>
                      <w:t>7</w:t>
                    </w:r>
                    <w:r>
                      <w:rPr>
                        <w:rFonts w:hint="eastAsia" w:ascii="微软雅黑" w:hAnsi="微软雅黑" w:eastAsia="微软雅黑" w:cs="微软雅黑"/>
                        <w:color w:val="auto"/>
                        <w:sz w:val="16"/>
                        <w:szCs w:val="16"/>
                      </w:rPr>
                      <w:fldChar w:fldCharType="end"/>
                    </w:r>
                    <w:r>
                      <w:rPr>
                        <w:rFonts w:hint="eastAsia" w:ascii="微软雅黑" w:hAnsi="微软雅黑" w:eastAsia="微软雅黑" w:cs="微软雅黑"/>
                        <w:color w:val="auto"/>
                        <w:sz w:val="16"/>
                        <w:szCs w:val="16"/>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F76C60">
    <w:pPr>
      <w:pBdr>
        <w:bottom w:val="none" w:color="auto" w:sz="0" w:space="0"/>
      </w:pBdr>
      <w:spacing w:before="150" w:line="185" w:lineRule="auto"/>
      <w:jc w:val="center"/>
      <w:rPr>
        <w:rFonts w:ascii="微软雅黑" w:hAnsi="微软雅黑" w:eastAsia="微软雅黑" w:cs="微软雅黑"/>
        <w:spacing w:val="11"/>
        <w:sz w:val="36"/>
        <w:szCs w:val="36"/>
        <w14:textOutline w14:w="6540" w14:cap="sq" w14:cmpd="sng" w14:algn="ctr">
          <w14:solidFill>
            <w14:srgbClr w14:val="000000"/>
          </w14:solidFill>
          <w14:prstDash w14:val="solid"/>
          <w14:bevel/>
        </w14:textOutline>
      </w:rPr>
    </w:pPr>
    <w:r>
      <w:rPr>
        <w:sz w:val="36"/>
        <w:szCs w:val="36"/>
      </w:rPr>
      <w:drawing>
        <wp:anchor distT="0" distB="0" distL="114300" distR="114300" simplePos="0" relativeHeight="251661312" behindDoc="0" locked="0" layoutInCell="1" allowOverlap="1">
          <wp:simplePos x="0" y="0"/>
          <wp:positionH relativeFrom="column">
            <wp:posOffset>166370</wp:posOffset>
          </wp:positionH>
          <wp:positionV relativeFrom="paragraph">
            <wp:posOffset>73025</wp:posOffset>
          </wp:positionV>
          <wp:extent cx="720090" cy="720090"/>
          <wp:effectExtent l="0" t="0" r="11430" b="11430"/>
          <wp:wrapNone/>
          <wp:docPr id="10" name="图片 10"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Pr>
        <w:rFonts w:hint="eastAsia" w:ascii="微软雅黑" w:hAnsi="微软雅黑" w:eastAsia="微软雅黑" w:cs="微软雅黑"/>
        <w:spacing w:val="11"/>
        <w:sz w:val="36"/>
        <w:szCs w:val="36"/>
        <w14:textOutline w14:w="6540" w14:cap="sq" w14:cmpd="sng" w14:algn="ctr">
          <w14:solidFill>
            <w14:srgbClr w14:val="000000"/>
          </w14:solidFill>
          <w14:prstDash w14:val="solid"/>
          <w14:bevel/>
        </w14:textOutline>
      </w:rPr>
      <w:t>山东第一医科大学附属肿瘤医院</w:t>
    </w:r>
  </w:p>
  <w:p w14:paraId="07B17F02">
    <w:pPr>
      <w:pBdr>
        <w:bottom w:val="none" w:color="auto" w:sz="0" w:space="0"/>
      </w:pBdr>
      <w:spacing w:before="150" w:line="185" w:lineRule="auto"/>
      <w:jc w:val="center"/>
    </w:pPr>
    <w:r>
      <mc:AlternateContent>
        <mc:Choice Requires="wps">
          <w:drawing>
            <wp:anchor distT="0" distB="0" distL="114300" distR="114300" simplePos="0" relativeHeight="251662336" behindDoc="0" locked="0" layoutInCell="1" allowOverlap="1">
              <wp:simplePos x="0" y="0"/>
              <wp:positionH relativeFrom="column">
                <wp:posOffset>22860</wp:posOffset>
              </wp:positionH>
              <wp:positionV relativeFrom="paragraph">
                <wp:posOffset>486410</wp:posOffset>
              </wp:positionV>
              <wp:extent cx="6136640" cy="635"/>
              <wp:effectExtent l="0" t="0" r="0" b="0"/>
              <wp:wrapNone/>
              <wp:docPr id="13" name="直接连接符 13"/>
              <wp:cNvGraphicFramePr/>
              <a:graphic xmlns:a="http://schemas.openxmlformats.org/drawingml/2006/main">
                <a:graphicData uri="http://schemas.microsoft.com/office/word/2010/wordprocessingShape">
                  <wps:wsp>
                    <wps:cNvCnPr/>
                    <wps:spPr>
                      <a:xfrm flipV="1">
                        <a:off x="0" y="0"/>
                        <a:ext cx="6136640" cy="6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1.8pt;margin-top:38.3pt;height:0.05pt;width:483.2pt;z-index:251662336;mso-width-relative:page;mso-height-relative:page;" filled="f" stroked="t" coordsize="21600,21600" o:gfxdata="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4+nw11QAAAAcBAAAPAAAAAAAAAAEAIAAAACIAAABkcnMvZG93bnJldi54bWxQ&#10;SwECFAAUAAAACACHTuJAZRO/B/oBAADhAwAADgAAAAAAAAABACAAAAAkAQAAZHJzL2Uyb0RvYy54&#10;bWxQSwUGAAAAAAYABgBZAQAAkAUAAAAA&#10;">
              <v:fill on="f" focussize="0,0"/>
              <v:stroke color="#000000 [3200]" joinstyle="round"/>
              <v:imagedata o:title=""/>
              <o:lock v:ext="edit" aspectratio="f"/>
            </v:line>
          </w:pict>
        </mc:Fallback>
      </mc:AlternateContent>
    </w:r>
    <w:r>
      <w:rPr>
        <w:rFonts w:hint="eastAsia" w:ascii="微软雅黑" w:hAnsi="微软雅黑" w:eastAsia="微软雅黑" w:cs="微软雅黑"/>
        <w:spacing w:val="11"/>
        <w:sz w:val="36"/>
        <w:szCs w:val="36"/>
        <w14:textOutline w14:w="6540" w14:cap="sq" w14:cmpd="sng" w14:algn="ctr">
          <w14:solidFill>
            <w14:srgbClr w14:val="000000"/>
          </w14:solidFill>
          <w14:prstDash w14:val="solid"/>
          <w14:bevel/>
        </w14:textOutline>
      </w:rPr>
      <w:t>（</w:t>
    </w:r>
    <w:r>
      <w:rPr>
        <w:rFonts w:ascii="微软雅黑" w:hAnsi="微软雅黑" w:eastAsia="微软雅黑" w:cs="微软雅黑"/>
        <w:spacing w:val="11"/>
        <w:sz w:val="36"/>
        <w:szCs w:val="36"/>
        <w14:textOutline w14:w="6540" w14:cap="sq" w14:cmpd="sng" w14:algn="ctr">
          <w14:solidFill>
            <w14:srgbClr w14:val="000000"/>
          </w14:solidFill>
          <w14:prstDash w14:val="solid"/>
          <w14:bevel/>
        </w14:textOutline>
      </w:rPr>
      <w:t>山</w:t>
    </w:r>
    <w:r>
      <w:rPr>
        <w:rFonts w:ascii="微软雅黑" w:hAnsi="微软雅黑" w:eastAsia="微软雅黑" w:cs="微软雅黑"/>
        <w:spacing w:val="7"/>
        <w:sz w:val="36"/>
        <w:szCs w:val="36"/>
        <w14:textOutline w14:w="6540" w14:cap="sq" w14:cmpd="sng" w14:algn="ctr">
          <w14:solidFill>
            <w14:srgbClr w14:val="000000"/>
          </w14:solidFill>
          <w14:prstDash w14:val="solid"/>
          <w14:bevel/>
        </w14:textOutline>
      </w:rPr>
      <w:t>东省肿瘤医院</w:t>
    </w:r>
    <w:r>
      <w:rPr>
        <w:rFonts w:hint="eastAsia" w:ascii="微软雅黑" w:hAnsi="微软雅黑" w:eastAsia="微软雅黑" w:cs="微软雅黑"/>
        <w:spacing w:val="7"/>
        <w:sz w:val="36"/>
        <w:szCs w:val="36"/>
        <w14:textOutline w14:w="6540" w14:cap="sq" w14:cmpd="sng" w14:algn="ctr">
          <w14:solidFill>
            <w14:srgbClr w14:val="000000"/>
          </w14:solidFill>
          <w14:prstDash w14:val="solid"/>
          <w14:bevel/>
        </w14:textOutline>
      </w:rPr>
      <w:t>）分子病理</w:t>
    </w:r>
    <w:r>
      <w:rPr>
        <w:rFonts w:ascii="微软雅黑" w:hAnsi="微软雅黑" w:eastAsia="微软雅黑" w:cs="微软雅黑"/>
        <w:spacing w:val="7"/>
        <w:sz w:val="36"/>
        <w:szCs w:val="36"/>
        <w14:textOutline w14:w="6540" w14:cap="sq" w14:cmpd="sng" w14:algn="ctr">
          <w14:solidFill>
            <w14:srgbClr w14:val="000000"/>
          </w14:solidFill>
          <w14:prstDash w14:val="solid"/>
          <w14:bevel/>
        </w14:textOutline>
      </w:rPr>
      <w:t>基因检测报告单</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B14C6C">
    <w:pPr>
      <w:pBdr>
        <w:bottom w:val="none" w:color="auto" w:sz="0" w:space="0"/>
      </w:pBdr>
      <w:spacing w:before="150" w:line="185" w:lineRule="auto"/>
      <w:jc w:val="center"/>
      <w:rPr>
        <w:rFonts w:ascii="微软雅黑" w:hAnsi="微软雅黑" w:eastAsia="微软雅黑" w:cs="微软雅黑"/>
        <w:spacing w:val="11"/>
        <w:sz w:val="36"/>
        <w:szCs w:val="36"/>
        <w14:textOutline w14:w="6540" w14:cap="sq" w14:cmpd="sng" w14:algn="ctr">
          <w14:solidFill>
            <w14:srgbClr w14:val="000000"/>
          </w14:solidFill>
          <w14:prstDash w14:val="solid"/>
          <w14:bevel/>
        </w14:textOutline>
      </w:rPr>
    </w:pPr>
    <w:r>
      <w:rPr>
        <w:sz w:val="36"/>
        <w:szCs w:val="36"/>
      </w:rPr>
      <w:drawing>
        <wp:anchor distT="0" distB="0" distL="114300" distR="114300" simplePos="0" relativeHeight="251663360" behindDoc="0" locked="0" layoutInCell="1" allowOverlap="1">
          <wp:simplePos x="0" y="0"/>
          <wp:positionH relativeFrom="column">
            <wp:posOffset>166370</wp:posOffset>
          </wp:positionH>
          <wp:positionV relativeFrom="paragraph">
            <wp:posOffset>73025</wp:posOffset>
          </wp:positionV>
          <wp:extent cx="720090" cy="720090"/>
          <wp:effectExtent l="0" t="0" r="11430" b="11430"/>
          <wp:wrapNone/>
          <wp:docPr id="15" name="图片 15"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Pr>
        <w:rFonts w:hint="eastAsia" w:ascii="微软雅黑" w:hAnsi="微软雅黑" w:eastAsia="微软雅黑" w:cs="微软雅黑"/>
        <w:spacing w:val="11"/>
        <w:sz w:val="36"/>
        <w:szCs w:val="36"/>
        <w14:textOutline w14:w="6540" w14:cap="sq" w14:cmpd="sng" w14:algn="ctr">
          <w14:solidFill>
            <w14:srgbClr w14:val="000000"/>
          </w14:solidFill>
          <w14:prstDash w14:val="solid"/>
          <w14:bevel/>
        </w14:textOutline>
      </w:rPr>
      <w:t>山东第一医科大学附属肿瘤医院</w:t>
    </w:r>
  </w:p>
  <w:p w14:paraId="3AF03163">
    <w:pPr>
      <w:pBdr>
        <w:bottom w:val="none" w:color="auto" w:sz="0" w:space="0"/>
      </w:pBdr>
      <w:spacing w:before="150" w:line="185" w:lineRule="auto"/>
      <w:jc w:val="center"/>
      <w:rPr>
        <w:rFonts w:ascii="微软雅黑" w:hAnsi="微软雅黑" w:eastAsia="微软雅黑" w:cs="微软雅黑"/>
        <w:spacing w:val="7"/>
        <w:sz w:val="36"/>
        <w:szCs w:val="36"/>
        <w14:textOutline w14:w="6540" w14:cap="sq" w14:cmpd="sng" w14:algn="ctr">
          <w14:solidFill>
            <w14:srgbClr w14:val="000000"/>
          </w14:solidFill>
          <w14:prstDash w14:val="solid"/>
          <w14:bevel/>
        </w14:textOutline>
      </w:rPr>
    </w:pPr>
    <w:r>
      <w:rPr>
        <w:rFonts w:hint="eastAsia" w:ascii="微软雅黑" w:hAnsi="微软雅黑" w:eastAsia="微软雅黑" w:cs="微软雅黑"/>
        <w:spacing w:val="11"/>
        <w:sz w:val="36"/>
        <w:szCs w:val="36"/>
        <w14:textOutline w14:w="6540" w14:cap="sq" w14:cmpd="sng" w14:algn="ctr">
          <w14:solidFill>
            <w14:srgbClr w14:val="000000"/>
          </w14:solidFill>
          <w14:prstDash w14:val="solid"/>
          <w14:bevel/>
        </w14:textOutline>
      </w:rPr>
      <w:t>（</w:t>
    </w:r>
    <w:r>
      <w:rPr>
        <w:rFonts w:ascii="微软雅黑" w:hAnsi="微软雅黑" w:eastAsia="微软雅黑" w:cs="微软雅黑"/>
        <w:spacing w:val="11"/>
        <w:sz w:val="36"/>
        <w:szCs w:val="36"/>
        <w14:textOutline w14:w="6540" w14:cap="sq" w14:cmpd="sng" w14:algn="ctr">
          <w14:solidFill>
            <w14:srgbClr w14:val="000000"/>
          </w14:solidFill>
          <w14:prstDash w14:val="solid"/>
          <w14:bevel/>
        </w14:textOutline>
      </w:rPr>
      <w:t>山</w:t>
    </w:r>
    <w:r>
      <w:rPr>
        <w:rFonts w:ascii="微软雅黑" w:hAnsi="微软雅黑" w:eastAsia="微软雅黑" w:cs="微软雅黑"/>
        <w:spacing w:val="7"/>
        <w:sz w:val="36"/>
        <w:szCs w:val="36"/>
        <w14:textOutline w14:w="6540" w14:cap="sq" w14:cmpd="sng" w14:algn="ctr">
          <w14:solidFill>
            <w14:srgbClr w14:val="000000"/>
          </w14:solidFill>
          <w14:prstDash w14:val="solid"/>
          <w14:bevel/>
        </w14:textOutline>
      </w:rPr>
      <w:t>东省肿瘤医院</w:t>
    </w:r>
    <w:r>
      <w:rPr>
        <w:rFonts w:hint="eastAsia" w:ascii="微软雅黑" w:hAnsi="微软雅黑" w:eastAsia="微软雅黑" w:cs="微软雅黑"/>
        <w:spacing w:val="7"/>
        <w:sz w:val="36"/>
        <w:szCs w:val="36"/>
        <w14:textOutline w14:w="6540" w14:cap="sq" w14:cmpd="sng" w14:algn="ctr">
          <w14:solidFill>
            <w14:srgbClr w14:val="000000"/>
          </w14:solidFill>
          <w14:prstDash w14:val="solid"/>
          <w14:bevel/>
        </w14:textOutline>
      </w:rPr>
      <w:t>）分子病理</w:t>
    </w:r>
    <w:r>
      <w:rPr>
        <w:rFonts w:ascii="微软雅黑" w:hAnsi="微软雅黑" w:eastAsia="微软雅黑" w:cs="微软雅黑"/>
        <w:spacing w:val="7"/>
        <w:sz w:val="36"/>
        <w:szCs w:val="36"/>
        <w14:textOutline w14:w="6540" w14:cap="sq" w14:cmpd="sng" w14:algn="ctr">
          <w14:solidFill>
            <w14:srgbClr w14:val="000000"/>
          </w14:solidFill>
          <w14:prstDash w14:val="solid"/>
          <w14:bevel/>
        </w14:textOutline>
      </w:rPr>
      <w:t>基因检测报告单</w:t>
    </w:r>
  </w:p>
  <w:p w14:paraId="32B4EFD4">
    <w:pPr>
      <w:keepNext w:val="0"/>
      <w:keepLines w:val="0"/>
      <w:pageBreakBefore w:val="0"/>
      <w:widowControl/>
      <w:pBdr>
        <w:bottom w:val="none" w:color="auto" w:sz="0" w:space="0"/>
      </w:pBdr>
      <w:kinsoku w:val="0"/>
      <w:wordWrap/>
      <w:overflowPunct/>
      <w:topLinePunct w:val="0"/>
      <w:bidi w:val="0"/>
      <w:adjustRightInd w:val="0"/>
      <w:snapToGrid w:val="0"/>
      <w:spacing w:before="0" w:beforeLines="50" w:line="185" w:lineRule="auto"/>
      <w:ind w:left="63" w:leftChars="30"/>
      <w:jc w:val="left"/>
      <w:textAlignment w:val="baseline"/>
      <w:rPr>
        <w:rFonts w:hint="eastAsia" w:ascii="微软雅黑" w:hAnsi="微软雅黑" w:eastAsia="微软雅黑" w:cs="微软雅黑"/>
        <w:color w:val="4BACC6" w:themeColor="accent5"/>
        <w:spacing w:val="7"/>
        <w:sz w:val="24"/>
        <w:szCs w:val="24"/>
        <w:lang w:val="en-US" w:eastAsia="zh-CN"/>
        <w14:shadow w14:blurRad="50800" w14:dist="50800" w14:dir="5400000" w14:sx="1000" w14:sy="1000" w14:kx="0" w14:ky="0" w14:algn="ctr">
          <w14:srgbClr w14:val="43B3A5"/>
        </w14:shadow>
        <w14:textFill>
          <w14:solidFill>
            <w14:schemeClr w14:val="accent5"/>
          </w14:solidFill>
        </w14:textFill>
      </w:rPr>
    </w:pPr>
    <w:r>
      <mc:AlternateContent>
        <mc:Choice Requires="wps">
          <w:drawing>
            <wp:anchor distT="0" distB="0" distL="114300" distR="114300" simplePos="0" relativeHeight="251664384" behindDoc="0" locked="0" layoutInCell="1" allowOverlap="1">
              <wp:simplePos x="0" y="0"/>
              <wp:positionH relativeFrom="column">
                <wp:posOffset>22860</wp:posOffset>
              </wp:positionH>
              <wp:positionV relativeFrom="paragraph">
                <wp:posOffset>287020</wp:posOffset>
              </wp:positionV>
              <wp:extent cx="6136640" cy="635"/>
              <wp:effectExtent l="0" t="0" r="0" b="0"/>
              <wp:wrapNone/>
              <wp:docPr id="16" name="直接连接符 16"/>
              <wp:cNvGraphicFramePr/>
              <a:graphic xmlns:a="http://schemas.openxmlformats.org/drawingml/2006/main">
                <a:graphicData uri="http://schemas.microsoft.com/office/word/2010/wordprocessingShape">
                  <wps:wsp>
                    <wps:cNvCnPr/>
                    <wps:spPr>
                      <a:xfrm flipV="1">
                        <a:off x="0" y="0"/>
                        <a:ext cx="6136640" cy="6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1.8pt;margin-top:22.6pt;height:0.05pt;width:483.2pt;z-index:251664384;mso-width-relative:page;mso-height-relative:page;" filled="f" stroked="t" coordsize="21600,21600" o:gfxdata="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jX3on1QAAAAcBAAAPAAAAAAAAAAEAIAAAACIAAABkcnMvZG93bnJldi54bWxQ&#10;SwECFAAUAAAACACHTuJAhRlFVfoBAADhAwAADgAAAAAAAAABACAAAAAkAQAAZHJzL2Uyb0RvYy54&#10;bWxQSwUGAAAAAAYABgBZAQAAkAUAAAAA&#10;">
              <v:fill on="f" focussize="0,0"/>
              <v:stroke color="#000000 [3200]" joinstyle="round"/>
              <v:imagedata o:title=""/>
              <o:lock v:ext="edit" aspectratio="f"/>
            </v:line>
          </w:pict>
        </mc:Fallback>
      </mc:AlternateContent>
    </w:r>
    <w:r>
      <w:rPr>
        <w:rFonts w:hint="eastAsia" w:ascii="微软雅黑" w:hAnsi="微软雅黑" w:eastAsia="微软雅黑" w:cs="微软雅黑"/>
        <w:color w:val="4BACC6" w:themeColor="accent5"/>
        <w:spacing w:val="7"/>
        <w:sz w:val="24"/>
        <w:szCs w:val="24"/>
        <w14:shadow w14:blurRad="50800" w14:dist="50800" w14:dir="5400000" w14:sx="1000" w14:sy="1000" w14:kx="0" w14:ky="0" w14:algn="ctr">
          <w14:srgbClr w14:val="43B3A5"/>
        </w14:shadow>
        <w14:textFill>
          <w14:solidFill>
            <w14:schemeClr w14:val="accent5"/>
          </w14:solidFill>
        </w14:textFill>
      </w:rPr>
      <w:t>姓名：{{ client }}</w:t>
    </w:r>
    <w:r>
      <w:rPr>
        <w:rFonts w:hint="eastAsia" w:ascii="微软雅黑" w:hAnsi="微软雅黑" w:eastAsia="微软雅黑" w:cs="微软雅黑"/>
        <w:color w:val="4BACC6" w:themeColor="accent5"/>
        <w:spacing w:val="7"/>
        <w:sz w:val="24"/>
        <w:szCs w:val="24"/>
        <w:lang w:val="en-US" w:eastAsia="zh-CN"/>
        <w14:shadow w14:blurRad="50800" w14:dist="50800" w14:dir="5400000" w14:sx="1000" w14:sy="1000" w14:kx="0" w14:ky="0" w14:algn="ctr">
          <w14:srgbClr w14:val="43B3A5"/>
        </w14:shadow>
        <w14:textFill>
          <w14:solidFill>
            <w14:schemeClr w14:val="accent5"/>
          </w14:solidFill>
        </w14:textFill>
      </w:rPr>
      <w:t xml:space="preserve">                                                             </w:t>
    </w:r>
    <w:r>
      <w:rPr>
        <w:rFonts w:hint="eastAsia" w:ascii="微软雅黑" w:hAnsi="微软雅黑" w:eastAsia="微软雅黑" w:cs="微软雅黑"/>
        <w:color w:val="4BACC6" w:themeColor="accent5"/>
        <w:spacing w:val="7"/>
        <w:sz w:val="24"/>
        <w:szCs w:val="24"/>
        <w14:shadow w14:blurRad="50800" w14:dist="50800" w14:dir="5400000" w14:sx="1000" w14:sy="1000" w14:kx="0" w14:ky="0" w14:algn="ctr">
          <w14:srgbClr w14:val="43B3A5"/>
        </w14:shadow>
        <w14:textFill>
          <w14:solidFill>
            <w14:schemeClr w14:val="accent5"/>
          </w14:solidFill>
        </w14:textFill>
      </w:rPr>
      <w:t>标本号：</w:t>
    </w:r>
    <w:r>
      <w:rPr>
        <w:rFonts w:hint="default" w:ascii="微软雅黑" w:hAnsi="微软雅黑" w:eastAsia="微软雅黑" w:cs="微软雅黑"/>
        <w:color w:val="4BACC6" w:themeColor="accent5"/>
        <w:spacing w:val="7"/>
        <w:sz w:val="24"/>
        <w:szCs w:val="24"/>
        <w14:shadow w14:blurRad="50800" w14:dist="50800" w14:dir="5400000" w14:sx="1000" w14:sy="1000" w14:kx="0" w14:ky="0" w14:algn="ctr">
          <w14:srgbClr w14:val="43B3A5"/>
        </w14:shadow>
        <w14:textFill>
          <w14:solidFill>
            <w14:schemeClr w14:val="accent5"/>
          </w14:solidFill>
        </w14:textFill>
      </w:rPr>
      <w:t xml:space="preserve">{{ </w:t>
    </w:r>
    <w:r>
      <w:rPr>
        <w:rFonts w:hint="eastAsia" w:ascii="微软雅黑" w:hAnsi="微软雅黑" w:eastAsia="微软雅黑" w:cs="微软雅黑"/>
        <w:color w:val="4BACC6" w:themeColor="accent5"/>
        <w:spacing w:val="7"/>
        <w:sz w:val="24"/>
        <w:szCs w:val="24"/>
        <w:lang w:val="en-US" w:eastAsia="zh-CN"/>
        <w14:shadow w14:blurRad="50800" w14:dist="50800" w14:dir="5400000" w14:sx="1000" w14:sy="1000" w14:kx="0" w14:ky="0" w14:algn="ctr">
          <w14:srgbClr w14:val="43B3A5"/>
        </w14:shadow>
        <w14:textFill>
          <w14:solidFill>
            <w14:schemeClr w14:val="accent5"/>
          </w14:solidFill>
        </w14:textFill>
      </w:rPr>
      <w:t>sample.FAMILYFIRST</w:t>
    </w:r>
    <w:r>
      <w:rPr>
        <w:rFonts w:hint="default" w:ascii="微软雅黑" w:hAnsi="微软雅黑" w:eastAsia="微软雅黑" w:cs="微软雅黑"/>
        <w:color w:val="4BACC6" w:themeColor="accent5"/>
        <w:spacing w:val="7"/>
        <w:sz w:val="24"/>
        <w:szCs w:val="24"/>
        <w:lang w:val="en-US" w:eastAsia="zh-CN"/>
        <w14:shadow w14:blurRad="50800" w14:dist="50800" w14:dir="5400000" w14:sx="1000" w14:sy="1000" w14:kx="0" w14:ky="0" w14:algn="ctr">
          <w14:srgbClr w14:val="43B3A5"/>
        </w14:shadow>
        <w14:textFill>
          <w14:solidFill>
            <w14:schemeClr w14:val="accent5"/>
          </w14:solidFill>
        </w14:textFill>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abstractNum w:abstractNumId="0">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1">
    <w:nsid w:val="9CED26BD"/>
    <w:multiLevelType w:val="multilevel"/>
    <w:tmpl w:val="9CED26B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3">
    <w:nsid w:val="12167FD4"/>
    <w:multiLevelType w:val="multilevel"/>
    <w:tmpl w:val="12167FD4"/>
    <w:lvl w:ilvl="0" w:tentative="0">
      <w:start w:val="1"/>
      <w:numFmt w:val="decimal"/>
      <w:lvlText w:val="%1."/>
      <w:lvlJc w:val="left"/>
      <w:pPr>
        <w:ind w:left="420" w:hanging="420"/>
      </w:pPr>
      <w:rPr>
        <w:rFonts w:hint="default"/>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19D0AF6"/>
    <w:multiLevelType w:val="singleLevel"/>
    <w:tmpl w:val="219D0AF6"/>
    <w:lvl w:ilvl="0" w:tentative="0">
      <w:start w:val="1"/>
      <w:numFmt w:val="decimal"/>
      <w:suff w:val="space"/>
      <w:lvlText w:val="%1."/>
      <w:lvlJc w:val="left"/>
    </w:lvl>
  </w:abstractNum>
  <w:abstractNum w:abstractNumId="5">
    <w:nsid w:val="3267C012"/>
    <w:multiLevelType w:val="singleLevel"/>
    <w:tmpl w:val="3267C012"/>
    <w:lvl w:ilvl="0" w:tentative="0">
      <w:start w:val="1"/>
      <w:numFmt w:val="decimal"/>
      <w:lvlText w:val="%1."/>
      <w:lvlJc w:val="left"/>
      <w:pPr>
        <w:tabs>
          <w:tab w:val="left" w:pos="312"/>
        </w:tabs>
      </w:pPr>
    </w:lvl>
  </w:abstractNum>
  <w:abstractNum w:abstractNumId="6">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7">
    <w:nsid w:val="4727A939"/>
    <w:multiLevelType w:val="singleLevel"/>
    <w:tmpl w:val="4727A939"/>
    <w:lvl w:ilvl="0" w:tentative="0">
      <w:start w:val="1"/>
      <w:numFmt w:val="decimal"/>
      <w:lvlText w:val="%1."/>
      <w:lvlJc w:val="left"/>
      <w:pPr>
        <w:tabs>
          <w:tab w:val="left" w:pos="312"/>
        </w:tabs>
      </w:pPr>
    </w:lvl>
  </w:abstractNum>
  <w:abstractNum w:abstractNumId="8">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64416983"/>
    <w:multiLevelType w:val="multilevel"/>
    <w:tmpl w:val="64416983"/>
    <w:lvl w:ilvl="0" w:tentative="0">
      <w:start w:val="1"/>
      <w:numFmt w:val="bullet"/>
      <w:pStyle w:val="3"/>
      <w:lvlText w:val=""/>
      <w:lvlJc w:val="left"/>
      <w:pPr>
        <w:ind w:left="832" w:hanging="420"/>
      </w:pPr>
      <w:rPr>
        <w:rFonts w:hint="default" w:ascii="Wingdings" w:hAnsi="Wingdings" w:eastAsia="宋体"/>
        <w:u w:val="none" w:color="auto"/>
      </w:rPr>
    </w:lvl>
    <w:lvl w:ilvl="1" w:tentative="0">
      <w:start w:val="1"/>
      <w:numFmt w:val="bullet"/>
      <w:lvlText w:val=""/>
      <w:lvlJc w:val="left"/>
      <w:pPr>
        <w:ind w:left="1252" w:hanging="420"/>
      </w:pPr>
      <w:rPr>
        <w:rFonts w:hint="default" w:ascii="Wingdings" w:hAnsi="Wingdings" w:eastAsia="宋体"/>
        <w:u w:val="none" w:color="auto"/>
      </w:rPr>
    </w:lvl>
    <w:lvl w:ilvl="2" w:tentative="0">
      <w:start w:val="1"/>
      <w:numFmt w:val="bullet"/>
      <w:lvlText w:val=""/>
      <w:lvlJc w:val="left"/>
      <w:pPr>
        <w:ind w:left="1672" w:hanging="420"/>
      </w:pPr>
      <w:rPr>
        <w:rFonts w:hint="default" w:ascii="Wingdings" w:hAnsi="Wingdings" w:eastAsia="宋体"/>
        <w:u w:val="none" w:color="auto"/>
      </w:rPr>
    </w:lvl>
    <w:lvl w:ilvl="3" w:tentative="0">
      <w:start w:val="1"/>
      <w:numFmt w:val="bullet"/>
      <w:lvlText w:val=""/>
      <w:lvlJc w:val="left"/>
      <w:pPr>
        <w:ind w:left="2092" w:hanging="420"/>
      </w:pPr>
      <w:rPr>
        <w:rFonts w:hint="default" w:ascii="Wingdings" w:hAnsi="Wingdings" w:eastAsia="宋体"/>
        <w:u w:val="none" w:color="auto"/>
      </w:rPr>
    </w:lvl>
    <w:lvl w:ilvl="4" w:tentative="0">
      <w:start w:val="1"/>
      <w:numFmt w:val="bullet"/>
      <w:lvlText w:val=""/>
      <w:lvlJc w:val="left"/>
      <w:pPr>
        <w:ind w:left="2512" w:hanging="420"/>
      </w:pPr>
      <w:rPr>
        <w:rFonts w:hint="default" w:ascii="Wingdings" w:hAnsi="Wingdings" w:eastAsia="宋体"/>
        <w:u w:val="none" w:color="auto"/>
      </w:rPr>
    </w:lvl>
    <w:lvl w:ilvl="5" w:tentative="0">
      <w:start w:val="1"/>
      <w:numFmt w:val="bullet"/>
      <w:lvlText w:val=""/>
      <w:lvlJc w:val="left"/>
      <w:pPr>
        <w:ind w:left="2932" w:hanging="420"/>
      </w:pPr>
      <w:rPr>
        <w:rFonts w:hint="default" w:ascii="Wingdings" w:hAnsi="Wingdings" w:eastAsia="宋体"/>
        <w:u w:val="none" w:color="auto"/>
      </w:rPr>
    </w:lvl>
    <w:lvl w:ilvl="6" w:tentative="0">
      <w:start w:val="1"/>
      <w:numFmt w:val="bullet"/>
      <w:lvlText w:val=""/>
      <w:lvlJc w:val="left"/>
      <w:pPr>
        <w:ind w:left="3352" w:hanging="420"/>
      </w:pPr>
      <w:rPr>
        <w:rFonts w:hint="default" w:ascii="Wingdings" w:hAnsi="Wingdings" w:eastAsia="宋体"/>
        <w:u w:val="none" w:color="auto"/>
      </w:rPr>
    </w:lvl>
    <w:lvl w:ilvl="7" w:tentative="0">
      <w:start w:val="1"/>
      <w:numFmt w:val="bullet"/>
      <w:lvlText w:val=""/>
      <w:lvlJc w:val="left"/>
      <w:pPr>
        <w:ind w:left="3772" w:hanging="420"/>
      </w:pPr>
      <w:rPr>
        <w:rFonts w:hint="default" w:ascii="Wingdings" w:hAnsi="Wingdings" w:eastAsia="宋体"/>
        <w:u w:val="none" w:color="auto"/>
      </w:rPr>
    </w:lvl>
    <w:lvl w:ilvl="8" w:tentative="0">
      <w:start w:val="1"/>
      <w:numFmt w:val="bullet"/>
      <w:lvlText w:val=""/>
      <w:lvlJc w:val="left"/>
      <w:pPr>
        <w:ind w:left="4192" w:hanging="420"/>
      </w:pPr>
      <w:rPr>
        <w:rFonts w:hint="default" w:ascii="Wingdings" w:hAnsi="Wingdings" w:eastAsia="宋体"/>
        <w:u w:val="none" w:color="auto"/>
      </w:rPr>
    </w:lvl>
  </w:abstractNum>
  <w:num w:numId="1">
    <w:abstractNumId w:val="8"/>
  </w:num>
  <w:num w:numId="2">
    <w:abstractNumId w:val="9"/>
  </w:num>
  <w:num w:numId="3">
    <w:abstractNumId w:val="3"/>
  </w:num>
  <w:num w:numId="4">
    <w:abstractNumId w:val="1"/>
  </w:num>
  <w:num w:numId="5">
    <w:abstractNumId w:val="6"/>
  </w:num>
  <w:num w:numId="6">
    <w:abstractNumId w:val="4"/>
  </w:num>
  <w:num w:numId="7">
    <w:abstractNumId w:val="0"/>
  </w:num>
  <w:num w:numId="8">
    <w:abstractNumId w:val="7"/>
  </w:num>
  <w:num w:numId="9">
    <w:abstractNumId w:val="5"/>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spaceForUL/>
    <w:ulTrailSpace/>
    <w:doNotExpandShiftReturn/>
    <w:doNotWrapTextWithPunct/>
    <w:doNotUseEastAsianBreakRules/>
    <w:useFELayout/>
    <w:doNotUseIndentAsNumberingTabStop/>
    <w:compatSetting w:name="compatibilityMode" w:uri="http://schemas.microsoft.com/office/word" w:val="14"/>
  </w:compat>
  <w:docVars>
    <w:docVar w:name="commondata" w:val="eyJoZGlkIjoiOWNlMzBiNGU0NTdjYmY3MGE0OGEyOGE2MGFiNjFhMTYifQ=="/>
  </w:docVars>
  <w:rsids>
    <w:rsidRoot w:val="00172A27"/>
    <w:rsid w:val="000E54B6"/>
    <w:rsid w:val="00120B55"/>
    <w:rsid w:val="001F6F2C"/>
    <w:rsid w:val="00250C97"/>
    <w:rsid w:val="002874ED"/>
    <w:rsid w:val="00317E3A"/>
    <w:rsid w:val="00351550"/>
    <w:rsid w:val="004843C8"/>
    <w:rsid w:val="004D2111"/>
    <w:rsid w:val="00543C9A"/>
    <w:rsid w:val="00762E27"/>
    <w:rsid w:val="007A6B77"/>
    <w:rsid w:val="008304F3"/>
    <w:rsid w:val="00893DF1"/>
    <w:rsid w:val="009C571A"/>
    <w:rsid w:val="00A02066"/>
    <w:rsid w:val="00B42520"/>
    <w:rsid w:val="00BD25E9"/>
    <w:rsid w:val="00C90D5A"/>
    <w:rsid w:val="00DB342E"/>
    <w:rsid w:val="00E349C0"/>
    <w:rsid w:val="00F11F81"/>
    <w:rsid w:val="00FF321A"/>
    <w:rsid w:val="011D24F9"/>
    <w:rsid w:val="014E44A2"/>
    <w:rsid w:val="0174109E"/>
    <w:rsid w:val="018067FB"/>
    <w:rsid w:val="01CF1530"/>
    <w:rsid w:val="01D41F8E"/>
    <w:rsid w:val="03C14327"/>
    <w:rsid w:val="04C33561"/>
    <w:rsid w:val="057543E6"/>
    <w:rsid w:val="05C84C14"/>
    <w:rsid w:val="05FC28AF"/>
    <w:rsid w:val="07106220"/>
    <w:rsid w:val="07677B15"/>
    <w:rsid w:val="07F201D3"/>
    <w:rsid w:val="08B63BCD"/>
    <w:rsid w:val="09075A53"/>
    <w:rsid w:val="0965433A"/>
    <w:rsid w:val="09AE0090"/>
    <w:rsid w:val="0A165F4E"/>
    <w:rsid w:val="0A265674"/>
    <w:rsid w:val="0A2950EA"/>
    <w:rsid w:val="0A7C3C8A"/>
    <w:rsid w:val="0AB75440"/>
    <w:rsid w:val="0ACE1EBB"/>
    <w:rsid w:val="0AED2C3C"/>
    <w:rsid w:val="0BBC2B25"/>
    <w:rsid w:val="0BC24A47"/>
    <w:rsid w:val="0CA74A68"/>
    <w:rsid w:val="0CC32C78"/>
    <w:rsid w:val="0D5E3EEF"/>
    <w:rsid w:val="0D7A458C"/>
    <w:rsid w:val="0D815DD4"/>
    <w:rsid w:val="0DBE0DD6"/>
    <w:rsid w:val="0DC57426"/>
    <w:rsid w:val="0E3B2427"/>
    <w:rsid w:val="0F033777"/>
    <w:rsid w:val="0F983616"/>
    <w:rsid w:val="0FA9089C"/>
    <w:rsid w:val="106A1B7C"/>
    <w:rsid w:val="108B5D62"/>
    <w:rsid w:val="11DD071C"/>
    <w:rsid w:val="12F40DF6"/>
    <w:rsid w:val="13317763"/>
    <w:rsid w:val="145207CE"/>
    <w:rsid w:val="147C6B5F"/>
    <w:rsid w:val="14B720DC"/>
    <w:rsid w:val="157A126A"/>
    <w:rsid w:val="15CA4620"/>
    <w:rsid w:val="16152998"/>
    <w:rsid w:val="1668115A"/>
    <w:rsid w:val="16ED2BE0"/>
    <w:rsid w:val="16FA2753"/>
    <w:rsid w:val="173E5DC6"/>
    <w:rsid w:val="174C2319"/>
    <w:rsid w:val="1871105F"/>
    <w:rsid w:val="19200BE6"/>
    <w:rsid w:val="198527A8"/>
    <w:rsid w:val="19A36A6E"/>
    <w:rsid w:val="1A1C6BE5"/>
    <w:rsid w:val="1AA924FB"/>
    <w:rsid w:val="1BA86B8C"/>
    <w:rsid w:val="1BF00484"/>
    <w:rsid w:val="1C1F23FA"/>
    <w:rsid w:val="1C5F3784"/>
    <w:rsid w:val="1CA67605"/>
    <w:rsid w:val="1CCF6870"/>
    <w:rsid w:val="1E3F65B2"/>
    <w:rsid w:val="1E5C12DD"/>
    <w:rsid w:val="1EB4768C"/>
    <w:rsid w:val="1EB90843"/>
    <w:rsid w:val="1F2D2F0F"/>
    <w:rsid w:val="202B4E35"/>
    <w:rsid w:val="21116B5E"/>
    <w:rsid w:val="21D36BA1"/>
    <w:rsid w:val="2208618E"/>
    <w:rsid w:val="223643DF"/>
    <w:rsid w:val="225001D1"/>
    <w:rsid w:val="23DB0C49"/>
    <w:rsid w:val="259D2343"/>
    <w:rsid w:val="26500679"/>
    <w:rsid w:val="269E134D"/>
    <w:rsid w:val="26B86D11"/>
    <w:rsid w:val="27111B1F"/>
    <w:rsid w:val="27642678"/>
    <w:rsid w:val="27F84A8D"/>
    <w:rsid w:val="287F6F5C"/>
    <w:rsid w:val="289B6D20"/>
    <w:rsid w:val="29B1166C"/>
    <w:rsid w:val="29E11819"/>
    <w:rsid w:val="29F64FFC"/>
    <w:rsid w:val="2A181417"/>
    <w:rsid w:val="2A187669"/>
    <w:rsid w:val="2A4A4EF9"/>
    <w:rsid w:val="2A574325"/>
    <w:rsid w:val="2AB3483A"/>
    <w:rsid w:val="2B1304E7"/>
    <w:rsid w:val="2B172E21"/>
    <w:rsid w:val="2B261911"/>
    <w:rsid w:val="2BBF5FEE"/>
    <w:rsid w:val="2D300825"/>
    <w:rsid w:val="2D633A81"/>
    <w:rsid w:val="2E0F2B31"/>
    <w:rsid w:val="2E2353EE"/>
    <w:rsid w:val="2E2E1597"/>
    <w:rsid w:val="2E4A7977"/>
    <w:rsid w:val="2EE31E01"/>
    <w:rsid w:val="2FDE346C"/>
    <w:rsid w:val="2FF77A64"/>
    <w:rsid w:val="304E16EE"/>
    <w:rsid w:val="3089479E"/>
    <w:rsid w:val="308E5F8F"/>
    <w:rsid w:val="31322DBE"/>
    <w:rsid w:val="31851A63"/>
    <w:rsid w:val="329F26D5"/>
    <w:rsid w:val="32C37971"/>
    <w:rsid w:val="32CC4746"/>
    <w:rsid w:val="33446DD8"/>
    <w:rsid w:val="343E5F1E"/>
    <w:rsid w:val="34921653"/>
    <w:rsid w:val="35411821"/>
    <w:rsid w:val="3558570A"/>
    <w:rsid w:val="35E01B68"/>
    <w:rsid w:val="364C66D0"/>
    <w:rsid w:val="36BE7CAC"/>
    <w:rsid w:val="37A22D7D"/>
    <w:rsid w:val="384B29B7"/>
    <w:rsid w:val="384F6DD5"/>
    <w:rsid w:val="38BE13DB"/>
    <w:rsid w:val="3A035A45"/>
    <w:rsid w:val="3ACB4F85"/>
    <w:rsid w:val="3B9701D8"/>
    <w:rsid w:val="3C132951"/>
    <w:rsid w:val="3C294860"/>
    <w:rsid w:val="3D041D1A"/>
    <w:rsid w:val="3E2C3159"/>
    <w:rsid w:val="3E861FB6"/>
    <w:rsid w:val="3EA27573"/>
    <w:rsid w:val="3EC81EEB"/>
    <w:rsid w:val="3EEA1E08"/>
    <w:rsid w:val="3F185CE9"/>
    <w:rsid w:val="3F2A77CA"/>
    <w:rsid w:val="3F524B18"/>
    <w:rsid w:val="3F8F3AD1"/>
    <w:rsid w:val="3FAFA3CA"/>
    <w:rsid w:val="3FB3156E"/>
    <w:rsid w:val="3FC03C8B"/>
    <w:rsid w:val="41EA1493"/>
    <w:rsid w:val="42242411"/>
    <w:rsid w:val="426F7296"/>
    <w:rsid w:val="428A2FB8"/>
    <w:rsid w:val="42A653BA"/>
    <w:rsid w:val="43513AA8"/>
    <w:rsid w:val="435F0C7D"/>
    <w:rsid w:val="43C57E2B"/>
    <w:rsid w:val="43D971F8"/>
    <w:rsid w:val="43E47415"/>
    <w:rsid w:val="45337484"/>
    <w:rsid w:val="45A12EEB"/>
    <w:rsid w:val="46EB3CE3"/>
    <w:rsid w:val="473F6ED0"/>
    <w:rsid w:val="490742A2"/>
    <w:rsid w:val="4929734E"/>
    <w:rsid w:val="4A4554B8"/>
    <w:rsid w:val="4B1A3CAD"/>
    <w:rsid w:val="4B3F77E1"/>
    <w:rsid w:val="4B894B75"/>
    <w:rsid w:val="4BB943B0"/>
    <w:rsid w:val="4BCF5981"/>
    <w:rsid w:val="4C0641B8"/>
    <w:rsid w:val="4D69341E"/>
    <w:rsid w:val="4D8502C3"/>
    <w:rsid w:val="4DFD73D7"/>
    <w:rsid w:val="4E4F7871"/>
    <w:rsid w:val="4F5F2F6A"/>
    <w:rsid w:val="4F8B6063"/>
    <w:rsid w:val="4FE145CA"/>
    <w:rsid w:val="51885E41"/>
    <w:rsid w:val="52CC2C1B"/>
    <w:rsid w:val="52E971EF"/>
    <w:rsid w:val="53B35B89"/>
    <w:rsid w:val="53CB1124"/>
    <w:rsid w:val="542D7176"/>
    <w:rsid w:val="54460539"/>
    <w:rsid w:val="54C8232F"/>
    <w:rsid w:val="56982E14"/>
    <w:rsid w:val="570D067D"/>
    <w:rsid w:val="587027DB"/>
    <w:rsid w:val="5919394F"/>
    <w:rsid w:val="593914DD"/>
    <w:rsid w:val="59741916"/>
    <w:rsid w:val="59C65FA8"/>
    <w:rsid w:val="59EF5ACC"/>
    <w:rsid w:val="5A2C16F3"/>
    <w:rsid w:val="5A956208"/>
    <w:rsid w:val="5B070B67"/>
    <w:rsid w:val="5B0A0784"/>
    <w:rsid w:val="5B314CD8"/>
    <w:rsid w:val="5B9E6586"/>
    <w:rsid w:val="5DF6091C"/>
    <w:rsid w:val="5E543EED"/>
    <w:rsid w:val="5E581014"/>
    <w:rsid w:val="5EAF522C"/>
    <w:rsid w:val="5EFFB4A3"/>
    <w:rsid w:val="5F2711D9"/>
    <w:rsid w:val="5F4E5A01"/>
    <w:rsid w:val="5FC36057"/>
    <w:rsid w:val="5FD359E1"/>
    <w:rsid w:val="5FDD67C9"/>
    <w:rsid w:val="5FDE1B4F"/>
    <w:rsid w:val="5FFE462F"/>
    <w:rsid w:val="62315E81"/>
    <w:rsid w:val="627079CF"/>
    <w:rsid w:val="631B1054"/>
    <w:rsid w:val="631B2214"/>
    <w:rsid w:val="631D6B7A"/>
    <w:rsid w:val="638210D3"/>
    <w:rsid w:val="63FD00F7"/>
    <w:rsid w:val="64D91518"/>
    <w:rsid w:val="64E336E7"/>
    <w:rsid w:val="650C303D"/>
    <w:rsid w:val="65424949"/>
    <w:rsid w:val="65A417D5"/>
    <w:rsid w:val="65B654C1"/>
    <w:rsid w:val="67076652"/>
    <w:rsid w:val="677156E7"/>
    <w:rsid w:val="67AF7A5F"/>
    <w:rsid w:val="68AE7413"/>
    <w:rsid w:val="69AA5692"/>
    <w:rsid w:val="6B380BB3"/>
    <w:rsid w:val="6C0B1393"/>
    <w:rsid w:val="6C1967B3"/>
    <w:rsid w:val="6C6C62EA"/>
    <w:rsid w:val="6DB66549"/>
    <w:rsid w:val="6E535B46"/>
    <w:rsid w:val="6EC71099"/>
    <w:rsid w:val="6ED0518A"/>
    <w:rsid w:val="6F3E67F6"/>
    <w:rsid w:val="6F5E47A3"/>
    <w:rsid w:val="6F8566E4"/>
    <w:rsid w:val="6F902885"/>
    <w:rsid w:val="6FB122C2"/>
    <w:rsid w:val="6FB645DF"/>
    <w:rsid w:val="6FDD7DBD"/>
    <w:rsid w:val="700A7EA9"/>
    <w:rsid w:val="70191889"/>
    <w:rsid w:val="7071793C"/>
    <w:rsid w:val="70952446"/>
    <w:rsid w:val="71467BE4"/>
    <w:rsid w:val="72161365"/>
    <w:rsid w:val="72695938"/>
    <w:rsid w:val="727004B9"/>
    <w:rsid w:val="729F16E9"/>
    <w:rsid w:val="73666CC9"/>
    <w:rsid w:val="74A27847"/>
    <w:rsid w:val="75274930"/>
    <w:rsid w:val="75BA294F"/>
    <w:rsid w:val="76982C90"/>
    <w:rsid w:val="770E2215"/>
    <w:rsid w:val="775A6197"/>
    <w:rsid w:val="78744ECD"/>
    <w:rsid w:val="78EE3961"/>
    <w:rsid w:val="795D1F6F"/>
    <w:rsid w:val="79B04BC9"/>
    <w:rsid w:val="79ED6E4F"/>
    <w:rsid w:val="7A734602"/>
    <w:rsid w:val="7A7C52F7"/>
    <w:rsid w:val="7A9C019B"/>
    <w:rsid w:val="7B262062"/>
    <w:rsid w:val="7B2F068D"/>
    <w:rsid w:val="7C5D6D81"/>
    <w:rsid w:val="7CE04A49"/>
    <w:rsid w:val="7D4071CA"/>
    <w:rsid w:val="7DDA593C"/>
    <w:rsid w:val="7EBE700C"/>
    <w:rsid w:val="7EDC0E7F"/>
    <w:rsid w:val="7F1255AA"/>
    <w:rsid w:val="7F3E014D"/>
    <w:rsid w:val="FEF4D9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zh-CN" w:bidi="ar-SA"/>
    </w:rPr>
  </w:style>
  <w:style w:type="paragraph" w:styleId="2">
    <w:name w:val="heading 1"/>
    <w:basedOn w:val="1"/>
    <w:next w:val="1"/>
    <w:link w:val="25"/>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unhideWhenUsed/>
    <w:qFormat/>
    <w:uiPriority w:val="1"/>
    <w:pPr>
      <w:numPr>
        <w:ilvl w:val="0"/>
        <w:numId w:val="2"/>
      </w:numPr>
      <w:spacing w:beforeLines="0" w:afterLines="0"/>
      <w:ind w:left="832" w:hanging="420"/>
      <w:jc w:val="center"/>
      <w:outlineLvl w:val="1"/>
    </w:pPr>
    <w:rPr>
      <w:rFonts w:hint="eastAsia" w:ascii="Times New Roman" w:hAnsi="Times New Roman" w:eastAsia="Times New Roman" w:cs="黑体"/>
      <w:b/>
      <w:color w:val="00B050"/>
      <w:sz w:val="24"/>
      <w:szCs w:val="30"/>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Body Text"/>
    <w:basedOn w:val="1"/>
    <w:qFormat/>
    <w:uiPriority w:val="1"/>
    <w:rPr>
      <w:sz w:val="18"/>
      <w:szCs w:val="18"/>
    </w:rPr>
  </w:style>
  <w:style w:type="paragraph" w:styleId="5">
    <w:name w:val="footer"/>
    <w:basedOn w:val="1"/>
    <w:qFormat/>
    <w:uiPriority w:val="0"/>
    <w:pPr>
      <w:tabs>
        <w:tab w:val="center" w:pos="4153"/>
        <w:tab w:val="right" w:pos="8306"/>
      </w:tabs>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jc w:val="both"/>
    </w:pPr>
    <w:rPr>
      <w:sz w:val="18"/>
    </w:rPr>
  </w:style>
  <w:style w:type="paragraph" w:styleId="7">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
    <w:name w:val="Table Normal"/>
    <w:semiHidden/>
    <w:unhideWhenUsed/>
    <w:qFormat/>
    <w:uiPriority w:val="0"/>
    <w:tblPr>
      <w:tblCellMar>
        <w:top w:w="0" w:type="dxa"/>
        <w:left w:w="0" w:type="dxa"/>
        <w:bottom w:w="0" w:type="dxa"/>
        <w:right w:w="0" w:type="dxa"/>
      </w:tblCellMar>
    </w:tblPr>
  </w:style>
  <w:style w:type="paragraph" w:customStyle="1" w:styleId="13">
    <w:name w:val="Table Paragraph"/>
    <w:basedOn w:val="1"/>
    <w:autoRedefine/>
    <w:qFormat/>
    <w:uiPriority w:val="1"/>
  </w:style>
  <w:style w:type="table" w:customStyle="1" w:styleId="14">
    <w:name w:val="Table Normal1"/>
    <w:autoRedefine/>
    <w:unhideWhenUsed/>
    <w:qFormat/>
    <w:uiPriority w:val="2"/>
    <w:tblPr>
      <w:tblCellMar>
        <w:top w:w="0" w:type="dxa"/>
        <w:left w:w="0" w:type="dxa"/>
        <w:bottom w:w="0" w:type="dxa"/>
        <w:right w:w="0" w:type="dxa"/>
      </w:tblCellMar>
    </w:tblPr>
  </w:style>
  <w:style w:type="character" w:customStyle="1" w:styleId="15">
    <w:name w:val="font21"/>
    <w:basedOn w:val="11"/>
    <w:autoRedefine/>
    <w:qFormat/>
    <w:uiPriority w:val="0"/>
    <w:rPr>
      <w:rFonts w:hint="eastAsia" w:ascii="微软雅黑" w:hAnsi="微软雅黑" w:eastAsia="微软雅黑" w:cs="微软雅黑"/>
      <w:b/>
      <w:bCs/>
      <w:color w:val="FFFFFF"/>
      <w:sz w:val="21"/>
      <w:szCs w:val="21"/>
      <w:u w:val="none"/>
    </w:rPr>
  </w:style>
  <w:style w:type="character" w:customStyle="1" w:styleId="16">
    <w:name w:val="font101"/>
    <w:basedOn w:val="11"/>
    <w:autoRedefine/>
    <w:qFormat/>
    <w:uiPriority w:val="0"/>
    <w:rPr>
      <w:rFonts w:hint="default" w:ascii="Times New Roman" w:hAnsi="Times New Roman" w:cs="Times New Roman"/>
      <w:b/>
      <w:bCs/>
      <w:color w:val="000000"/>
      <w:sz w:val="21"/>
      <w:szCs w:val="21"/>
      <w:u w:val="none"/>
    </w:rPr>
  </w:style>
  <w:style w:type="character" w:customStyle="1" w:styleId="17">
    <w:name w:val="font51"/>
    <w:basedOn w:val="11"/>
    <w:autoRedefine/>
    <w:qFormat/>
    <w:uiPriority w:val="0"/>
    <w:rPr>
      <w:rFonts w:hint="eastAsia" w:ascii="微软雅黑" w:hAnsi="微软雅黑" w:eastAsia="微软雅黑" w:cs="微软雅黑"/>
      <w:color w:val="000000"/>
      <w:sz w:val="21"/>
      <w:szCs w:val="21"/>
      <w:u w:val="none"/>
    </w:rPr>
  </w:style>
  <w:style w:type="character" w:customStyle="1" w:styleId="18">
    <w:name w:val="font31"/>
    <w:basedOn w:val="11"/>
    <w:autoRedefine/>
    <w:qFormat/>
    <w:uiPriority w:val="0"/>
    <w:rPr>
      <w:rFonts w:hint="eastAsia" w:ascii="微软雅黑" w:hAnsi="微软雅黑" w:eastAsia="微软雅黑" w:cs="微软雅黑"/>
      <w:b/>
      <w:bCs/>
      <w:color w:val="000000"/>
      <w:sz w:val="21"/>
      <w:szCs w:val="21"/>
      <w:u w:val="none"/>
    </w:rPr>
  </w:style>
  <w:style w:type="character" w:customStyle="1" w:styleId="19">
    <w:name w:val="font61"/>
    <w:basedOn w:val="11"/>
    <w:autoRedefine/>
    <w:qFormat/>
    <w:uiPriority w:val="0"/>
    <w:rPr>
      <w:rFonts w:hint="default" w:ascii="Times New Roman" w:hAnsi="Times New Roman" w:cs="Times New Roman"/>
      <w:color w:val="000000"/>
      <w:sz w:val="21"/>
      <w:szCs w:val="21"/>
      <w:u w:val="none"/>
    </w:rPr>
  </w:style>
  <w:style w:type="paragraph" w:customStyle="1" w:styleId="20">
    <w:name w:val="样式1"/>
    <w:basedOn w:val="4"/>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1">
    <w:name w:val="列出段落1"/>
    <w:basedOn w:val="1"/>
    <w:autoRedefine/>
    <w:unhideWhenUsed/>
    <w:qFormat/>
    <w:uiPriority w:val="34"/>
    <w:pPr>
      <w:spacing w:before="42"/>
      <w:ind w:left="1699" w:hanging="380"/>
    </w:pPr>
    <w:rPr>
      <w:sz w:val="24"/>
    </w:rPr>
  </w:style>
  <w:style w:type="paragraph" w:customStyle="1" w:styleId="2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2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2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25">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26">
    <w:name w:val="msolistparagraph"/>
    <w:basedOn w:val="1"/>
    <w:autoRedefine/>
    <w:qFormat/>
    <w:uiPriority w:val="0"/>
    <w:pPr>
      <w:ind w:firstLine="420" w:firstLineChars="200"/>
    </w:pPr>
    <w:rPr>
      <w:rFonts w:hint="eastAsia" w:cs="Times New Roman"/>
      <w:lang w:eastAsia="zh-CN"/>
    </w:rPr>
  </w:style>
  <w:style w:type="paragraph" w:styleId="27">
    <w:name w:val="List Paragraph"/>
    <w:basedOn w:val="1"/>
    <w:autoRedefine/>
    <w:qFormat/>
    <w:uiPriority w:val="99"/>
    <w:pPr>
      <w:ind w:firstLine="420" w:firstLineChars="200"/>
    </w:pPr>
  </w:style>
  <w:style w:type="character" w:customStyle="1" w:styleId="28">
    <w:name w:val="font11"/>
    <w:autoRedefine/>
    <w:qFormat/>
    <w:uiPriority w:val="0"/>
    <w:rPr>
      <w:rFonts w:hint="eastAsia" w:ascii="微软雅黑" w:hAnsi="微软雅黑" w:eastAsia="微软雅黑" w:cs="微软雅黑"/>
      <w:b/>
      <w:bCs/>
      <w:color w:val="FFFFFF"/>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numbering.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4036</Words>
  <Characters>9106</Characters>
  <Lines>61</Lines>
  <Paragraphs>17</Paragraphs>
  <TotalTime>0</TotalTime>
  <ScaleCrop>false</ScaleCrop>
  <LinksUpToDate>false</LinksUpToDate>
  <CharactersWithSpaces>9820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2023-07-18T23:10:00Z</dcterms:created>
  <dc:creator>松 下</dc:creator>
  <cp:lastModifiedBy>yolo</cp:lastModifiedBy>
  <cp:lastPrinted>2023-07-26T10:47:00Z</cp:lastPrinted>
  <dcterms:modified xsi:type="dcterms:W3CDTF">2025-12-12T03:31:17Z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wqlLaW5nc29mdCBQREYgdG8gV1BTIDgw</vt:lpwstr>
  </property>
  <property fmtid="{D5CDD505-2E9C-101B-9397-08002B2CF9AE}" pid="3" name="Created">
    <vt:filetime>2023-07-21T08:55:36Z</vt:filetime>
  </property>
  <property fmtid="{D5CDD505-2E9C-101B-9397-08002B2CF9AE}" pid="4" name="KSOProductBuildVer">
    <vt:lpwstr>2052-12.1.0.24034</vt:lpwstr>
  </property>
  <property fmtid="{D5CDD505-2E9C-101B-9397-08002B2CF9AE}" pid="5" name="ICV">
    <vt:lpwstr>F0BA19A65A90A077D3173868FFE6205A_43</vt:lpwstr>
  </property>
  <property fmtid="{D5CDD505-2E9C-101B-9397-08002B2CF9AE}" pid="6" name="KSOTemplateDocerSaveRecord">
    <vt:lpwstr>eyJoZGlkIjoiNzhjODRmNWJhZTVkNTI1OGI2YWZlNjVkNDIwMWYwMDkiLCJ1c2VySWQiOiIzMTAxODgzOTQifQ==</vt:lpwstr>
  </property>
</Properties>
</file>