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bookmarkStart w:id="49" w:name="_GoBack"/>
      <w:bookmarkEnd w:id="49"/>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w:t>
            </w:r>
            <w:r>
              <w:rPr>
                <w:rFonts w:hint="eastAsia" w:ascii="宋体" w:hAnsi="宋体" w:eastAsia="宋体" w:cs="宋体"/>
                <w:kern w:val="0"/>
                <w:sz w:val="24"/>
                <w:szCs w:val="24"/>
                <w:lang w:val="en-US" w:eastAsia="zh-CN"/>
              </w:rPr>
              <w:t>188</w:t>
            </w:r>
            <w:r>
              <w:rPr>
                <w:rFonts w:hint="eastAsia" w:ascii="宋体" w:hAnsi="宋体" w:eastAsia="宋体" w:cs="宋体"/>
                <w:kern w:val="0"/>
                <w:sz w:val="24"/>
                <w:szCs w:val="24"/>
                <w:lang w:eastAsia="zh-Hans"/>
              </w:rPr>
              <w:t>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检测188</w:t>
            </w:r>
            <w:r>
              <w:rPr>
                <w:rFonts w:hint="eastAsia" w:ascii="宋体" w:hAnsi="宋体" w:eastAsia="宋体" w:cs="宋体"/>
                <w:kern w:val="0"/>
                <w:sz w:val="24"/>
                <w:szCs w:val="24"/>
                <w:lang w:eastAsia="zh-CN"/>
              </w:rPr>
              <w:t>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9EFA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D124D5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if endometrialCarcinoma == True %}</w:t>
            </w:r>
          </w:p>
        </w:tc>
      </w:tr>
      <w:tr w14:paraId="5C02B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52F961A0">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子宫内膜癌分子分型</w:t>
            </w:r>
          </w:p>
        </w:tc>
        <w:tc>
          <w:tcPr>
            <w:tcW w:w="3432" w:type="dxa"/>
            <w:gridSpan w:val="3"/>
            <w:tcBorders>
              <w:top w:val="single" w:color="000000" w:themeColor="text1" w:sz="4" w:space="0"/>
              <w:left w:val="nil"/>
              <w:bottom w:val="single" w:color="000000" w:themeColor="text1" w:sz="4" w:space="0"/>
              <w:right w:val="nil"/>
            </w:tcBorders>
            <w:vAlign w:val="center"/>
          </w:tcPr>
          <w:p w14:paraId="7E1A0AD5">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eastAsia" w:ascii="Times New Roman" w:hAnsi="Times New Roman" w:eastAsia="宋体" w:cs="Times New Roman"/>
                <w:b w:val="0"/>
                <w:bCs/>
                <w:color w:val="000000" w:themeColor="text1"/>
                <w:kern w:val="0"/>
                <w:sz w:val="21"/>
                <w:szCs w:val="21"/>
                <w:lang w:val="en-US" w:eastAsia="zh-CN"/>
                <w14:textFill>
                  <w14:solidFill>
                    <w14:schemeClr w14:val="tx1"/>
                  </w14:solidFill>
                </w14:textFill>
              </w:rPr>
              <w:t>分子分型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F69F75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summaryOfRresults.tcga }}</w:t>
            </w:r>
          </w:p>
        </w:tc>
      </w:tr>
      <w:tr w14:paraId="7F53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D995F7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{%tr endif %}</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71C8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right w:val="nil"/>
            </w:tcBorders>
            <w:vAlign w:val="center"/>
          </w:tcPr>
          <w:p w14:paraId="4E4FF96B">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067B0652">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kern w:val="0"/>
                <w:sz w:val="21"/>
                <w:szCs w:val="21"/>
                <w:lang w:val="en-US"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07860C7">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50317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EA9A152">
            <w:pPr>
              <w:pStyle w:val="28"/>
              <w:keepNext w:val="0"/>
              <w:keepLines w:val="0"/>
              <w:pageBreakBefore w:val="0"/>
              <w:widowControl w:val="0"/>
              <w:tabs>
                <w:tab w:val="left" w:pos="937"/>
              </w:tabs>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lang w:val="en-US" w:eastAsia="zh-CN"/>
              </w:rPr>
            </w:pPr>
            <w:r>
              <w:rPr>
                <w:rFonts w:hint="default" w:ascii="Times New Roman" w:hAnsi="Times New Roman" w:eastAsia="微软雅黑" w:cs="Times New Roman"/>
                <w:b w:val="0"/>
                <w:bCs w:val="0"/>
                <w:color w:val="auto"/>
                <w:sz w:val="21"/>
                <w:szCs w:val="21"/>
                <w:lang w:val="en-US" w:eastAsia="zh-CN" w:bidi="ar-SA"/>
              </w:rPr>
              <w:t>{%</w:t>
            </w:r>
            <w:r>
              <w:rPr>
                <w:rFonts w:hint="default" w:ascii="Times New Roman" w:hAnsi="Times New Roman" w:eastAsia="宋体" w:cs="Times New Roman"/>
                <w:b w:val="0"/>
                <w:bCs w:val="0"/>
                <w:sz w:val="21"/>
                <w:szCs w:val="21"/>
                <w:lang w:eastAsia="zh-CN"/>
              </w:rPr>
              <w:t>tr i</w:t>
            </w:r>
            <w:r>
              <w:rPr>
                <w:rFonts w:hint="default" w:ascii="Times New Roman" w:hAnsi="Times New Roman" w:eastAsia="微软雅黑" w:cs="Times New Roman"/>
                <w:b w:val="0"/>
                <w:bCs w:val="0"/>
                <w:color w:val="auto"/>
                <w:sz w:val="21"/>
                <w:szCs w:val="21"/>
                <w:lang w:val="en-US" w:eastAsia="zh-CN" w:bidi="ar-SA"/>
              </w:rPr>
              <w:t>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tc>
      </w:tr>
      <w:tr w14:paraId="0A33D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right w:val="nil"/>
            </w:tcBorders>
            <w:vAlign w:val="center"/>
          </w:tcPr>
          <w:p w14:paraId="3F315568">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default" w:ascii="Times New Roman" w:hAnsi="Times New Roman" w:eastAsia="宋体" w:cs="Times New Roman"/>
                <w:b w:val="0"/>
                <w:bCs/>
                <w:color w:val="000000" w:themeColor="text1"/>
                <w:kern w:val="0"/>
                <w:sz w:val="21"/>
                <w:szCs w:val="21"/>
                <w:highlight w:val="none"/>
                <w:lang w:eastAsia="zh-CN"/>
                <w14:textFill>
                  <w14:solidFill>
                    <w14:schemeClr w14:val="tx1"/>
                  </w14:solidFill>
                </w14:textFill>
              </w:rPr>
              <w:t>预后评估</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0E8CD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summaryOfRresults.prognosticEvaluationSize</w:t>
            </w:r>
            <w:r>
              <w:rPr>
                <w:rFonts w:hint="eastAsia" w:ascii="宋体" w:hAnsi="宋体" w:eastAsia="宋体" w:cs="宋体"/>
                <w:sz w:val="21"/>
                <w:szCs w:val="21"/>
                <w:highlight w:val="none"/>
                <w:lang w:val="en-US" w:eastAsia="zh-CN"/>
              </w:rPr>
              <w:t>}}个{% else %}未见变异{% endif %}</w:t>
            </w:r>
          </w:p>
        </w:tc>
      </w:tr>
      <w:tr w14:paraId="22C8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5763510">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sz w:val="21"/>
                <w:szCs w:val="21"/>
                <w:lang w:eastAsia="zh-CN"/>
              </w:rPr>
              <w:t>{%tr endif %}</w:t>
            </w:r>
          </w:p>
        </w:tc>
      </w:tr>
      <w:tr w14:paraId="4772B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right w:val="single" w:color="000000" w:themeColor="text1" w:sz="4" w:space="0"/>
            </w:tcBorders>
            <w:vAlign w:val="center"/>
          </w:tcPr>
          <w:p w14:paraId="2C8CB6E5">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sz w:val="21"/>
                <w:szCs w:val="21"/>
                <w:lang w:eastAsia="zh-CN"/>
              </w:rPr>
            </w:pPr>
            <w:r>
              <w:rPr>
                <w:rFonts w:hint="default" w:ascii="Times New Roman" w:hAnsi="Times New Roman" w:eastAsia="宋体" w:cs="Times New Roman"/>
                <w:b w:val="0"/>
                <w:bCs w:val="0"/>
                <w:sz w:val="21"/>
                <w:szCs w:val="21"/>
                <w:lang w:eastAsia="zh-CN"/>
              </w:rPr>
              <w:t>{%tr if prostateCancerFlag == True %}</w:t>
            </w:r>
          </w:p>
        </w:tc>
      </w:tr>
      <w:tr w14:paraId="49CE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right w:val="nil"/>
            </w:tcBorders>
            <w:vAlign w:val="center"/>
          </w:tcPr>
          <w:p w14:paraId="483DEF71">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内分泌相关</w:t>
            </w:r>
          </w:p>
        </w:tc>
        <w:tc>
          <w:tcPr>
            <w:tcW w:w="3432" w:type="dxa"/>
            <w:gridSpan w:val="3"/>
            <w:tcBorders>
              <w:top w:val="single" w:color="000000" w:themeColor="text1" w:sz="4" w:space="0"/>
              <w:left w:val="nil"/>
              <w:bottom w:val="single" w:color="000000" w:themeColor="text1" w:sz="4" w:space="0"/>
              <w:right w:val="nil"/>
            </w:tcBorders>
            <w:vAlign w:val="center"/>
          </w:tcPr>
          <w:p w14:paraId="549FDA99">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内分泌治疗相关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9B9038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summaryOfRresults.endocrineTherapySize</w:t>
            </w:r>
            <w:r>
              <w:rPr>
                <w:rFonts w:hint="eastAsia" w:ascii="宋体" w:hAnsi="宋体" w:eastAsia="宋体" w:cs="宋体"/>
                <w:sz w:val="21"/>
                <w:szCs w:val="21"/>
                <w:highlight w:val="none"/>
                <w:lang w:val="en-US" w:eastAsia="zh-CN"/>
              </w:rPr>
              <w:t>}}个{% else %}未见变异{% endif %}</w:t>
            </w:r>
          </w:p>
        </w:tc>
      </w:tr>
      <w:tr w14:paraId="4E71A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left w:val="single" w:color="000000" w:themeColor="text1" w:sz="4" w:space="0"/>
              <w:bottom w:val="single" w:color="000000" w:themeColor="text1" w:sz="4" w:space="0"/>
              <w:right w:val="nil"/>
            </w:tcBorders>
            <w:vAlign w:val="center"/>
          </w:tcPr>
          <w:p w14:paraId="498C25C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4646DAFC">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神经内分泌分化相关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0DBEBD1B">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highlight w:val="none"/>
                <w:lang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bidi="ar-SA"/>
              </w:rPr>
              <w:t xml:space="preserv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summaryOfRresults.endocrineDifferentiationSize</w:t>
            </w:r>
            <w:r>
              <w:rPr>
                <w:rFonts w:hint="eastAsia" w:ascii="宋体" w:hAnsi="宋体" w:eastAsia="宋体" w:cs="宋体"/>
                <w:sz w:val="21"/>
                <w:szCs w:val="21"/>
                <w:highlight w:val="none"/>
                <w:lang w:val="en-US" w:eastAsia="zh-CN"/>
              </w:rPr>
              <w:t>}}个{% else %}未见变异{% endif %}</w:t>
            </w:r>
          </w:p>
        </w:tc>
      </w:tr>
      <w:tr w14:paraId="72648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F106A3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{%tr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22F37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494CCDB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同源重</w:t>
            </w:r>
            <w:r>
              <w:rPr>
                <w:rFonts w:hint="eastAsia" w:ascii="宋体" w:hAnsi="宋体" w:eastAsia="宋体" w:cs="宋体"/>
                <w:sz w:val="21"/>
                <w:szCs w:val="21"/>
                <w:highlight w:val="none"/>
                <w:lang w:val="en-US" w:eastAsia="zh-CN"/>
              </w:rPr>
              <w:t>组修复（HRR）基</w:t>
            </w:r>
            <w:r>
              <w:rPr>
                <w:rFonts w:hint="default" w:ascii="宋体" w:hAnsi="宋体" w:eastAsia="宋体" w:cs="宋体"/>
                <w:sz w:val="21"/>
                <w:szCs w:val="21"/>
                <w:highlight w:val="none"/>
                <w:lang w:val="en-US" w:eastAsia="zh-CN"/>
              </w:rPr>
              <w:t>因检测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56D884">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宋体" w:hAnsi="宋体" w:eastAsia="宋体" w:cs="宋体"/>
                <w:sz w:val="21"/>
                <w:szCs w:val="21"/>
                <w:highlight w:val="none"/>
                <w:lang w:val="en-US" w:eastAsia="zh-CN"/>
              </w:rPr>
            </w:pPr>
            <w:r>
              <w:rPr>
                <w:rFonts w:hint="eastAsia" w:ascii="宋体" w:hAnsi="宋体" w:eastAsia="宋体" w:cs="宋体"/>
                <w:sz w:val="21"/>
                <w:szCs w:val="21"/>
                <w:highlight w:val="none"/>
                <w:lang w:val="en-US" w:eastAsia="zh-CN"/>
              </w:rPr>
              <w:t xml:space="preserve">{%if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lang w:val="en-US" w:eastAsia="zh-CN" w:bidi="ar-SA"/>
              </w:rPr>
              <w:t xml:space="preserve"> </w:t>
            </w:r>
            <w:r>
              <w:rPr>
                <w:rFonts w:hint="eastAsia" w:ascii="宋体" w:hAnsi="宋体" w:eastAsia="宋体" w:cs="宋体"/>
                <w:sz w:val="21"/>
                <w:szCs w:val="21"/>
                <w:highlight w:val="none"/>
                <w:lang w:val="en-US" w:eastAsia="zh-CN"/>
              </w:rPr>
              <w:t>!=0 %}{{</w:t>
            </w:r>
            <w:r>
              <w:rPr>
                <w:rFonts w:hint="default" w:ascii="宋体" w:hAnsi="宋体" w:eastAsia="宋体" w:cs="宋体"/>
                <w:sz w:val="21"/>
                <w:szCs w:val="21"/>
                <w:highlight w:val="none"/>
                <w:lang w:val="en-US" w:eastAsia="zh-CN"/>
              </w:rPr>
              <w:t>summaryOfRresults.HRRDetectedGeneCount</w:t>
            </w:r>
            <w:r>
              <w:rPr>
                <w:rFonts w:hint="eastAsia" w:ascii="宋体" w:hAnsi="宋体" w:eastAsia="宋体" w:cs="宋体"/>
                <w:sz w:val="21"/>
                <w:szCs w:val="21"/>
                <w:highlight w:val="none"/>
                <w:lang w:val="en-US" w:eastAsia="zh-CN"/>
              </w:rPr>
              <w:t>}}个{% else %}未见变异{% endif %}</w:t>
            </w:r>
          </w:p>
        </w:tc>
      </w:tr>
      <w:tr w14:paraId="6CF3B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FECFEC1">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urinaryProstateDisease != ‘’%}</w:t>
            </w:r>
          </w:p>
        </w:tc>
      </w:tr>
      <w:tr w14:paraId="5F05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236D9D7D">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预后相关</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D9C487C">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详见“预后相关基因检测结果及解析”部分</w:t>
            </w:r>
          </w:p>
        </w:tc>
      </w:tr>
      <w:tr w14:paraId="4683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756BD6">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65995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F1BBE2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8"/>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20"/>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2DC94AE6">
      <w:pPr>
        <w:keepNext w:val="0"/>
        <w:keepLines w:val="0"/>
        <w:pageBreakBefore w:val="0"/>
        <w:widowControl w:val="0"/>
        <w:kinsoku/>
        <w:wordWrap/>
        <w:overflowPunct/>
        <w:topLinePunct w:val="0"/>
        <w:autoSpaceDE/>
        <w:autoSpaceDN/>
        <w:bidi w:val="0"/>
        <w:adjustRightInd/>
        <w:snapToGrid/>
        <w:spacing w:line="240" w:lineRule="auto"/>
        <w:textAlignment w:val="auto"/>
        <w:rPr>
          <w:rFonts w:ascii="Gotham Book" w:hAnsi="Gotham Book" w:eastAsia="方正德赛黑简体 512B" w:cs="Times New Roman"/>
          <w:color w:val="006CB6"/>
          <w:sz w:val="21"/>
          <w:szCs w:val="21"/>
        </w:rPr>
      </w:pPr>
      <w:bookmarkStart w:id="0" w:name="_Toc30305"/>
      <w:bookmarkStart w:id="1" w:name="_Toc149837259"/>
      <w:r>
        <w:rPr>
          <w:rFonts w:hint="eastAsia" w:ascii="Times New Roman" w:hAnsi="Times New Roman" w:eastAsia="微软雅黑" w:cs="Times New Roman"/>
          <w:sz w:val="21"/>
          <w:szCs w:val="21"/>
          <w:lang w:eastAsia="zh-CN"/>
        </w:rPr>
        <w:t>{% if endometrialCarcinoma == True %}</w:t>
      </w:r>
    </w:p>
    <w:p w14:paraId="23FF8760">
      <w:pPr>
        <w:keepNext w:val="0"/>
        <w:keepLines w:val="0"/>
        <w:pageBreakBefore w:val="0"/>
        <w:widowControl w:val="0"/>
        <w:kinsoku/>
        <w:wordWrap/>
        <w:overflowPunct/>
        <w:topLinePunct w:val="0"/>
        <w:autoSpaceDE/>
        <w:autoSpaceDN/>
        <w:bidi w:val="0"/>
        <w:adjustRightInd/>
        <w:snapToGrid/>
        <w:spacing w:before="157" w:beforeLines="50" w:after="157" w:afterLines="50" w:line="240" w:lineRule="auto"/>
        <w:textAlignment w:val="auto"/>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990" name="同侧圆角矩形 990"/>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t9KpNgAAAAEAQAADwAAAAAAAAABACAAAAAiAAAAZHJzL2Rvd25yZXYueG1sUEsBAhQAFAAAAAgA&#10;h07iQGgl50qXAgAAHAUAAA4AAAAAAAAAAQAgAAAAJwEAAGRycy9lMm9Eb2MueG1sUEsFBgAAAAAG&#10;AAYAWQEAADA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709B15D7">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子宫内膜癌分子分型检测结果</w:t>
                      </w:r>
                    </w:p>
                  </w:txbxContent>
                </v:textbox>
                <w10:wrap type="none"/>
                <w10:anchorlock/>
              </v:shape>
            </w:pict>
          </mc:Fallback>
        </mc:AlternateContent>
      </w:r>
    </w:p>
    <w:p w14:paraId="29DA0E1B">
      <w:pPr>
        <w:jc w:val="both"/>
        <w:rPr>
          <w:rFonts w:hint="eastAsia" w:ascii="宋体" w:hAnsi="宋体" w:eastAsia="宋体" w:cs="宋体"/>
          <w:b/>
          <w:bCs/>
          <w:sz w:val="15"/>
          <w:szCs w:val="15"/>
          <w:highlight w:val="none"/>
          <w:lang w:eastAsia="zh-CN"/>
        </w:rPr>
      </w:pPr>
    </w:p>
    <w:tbl>
      <w:tblPr>
        <w:tblStyle w:val="1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564"/>
        <w:gridCol w:w="7299"/>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nil"/>
              <w:bottom w:val="single" w:color="auto" w:sz="4" w:space="0"/>
              <w:right w:val="nil"/>
            </w:tcBorders>
            <w:shd w:val="clear" w:color="auto" w:fill="00D392"/>
            <w:vAlign w:val="center"/>
          </w:tcPr>
          <w:p w14:paraId="0061701D">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检测项目</w:t>
            </w:r>
          </w:p>
        </w:tc>
        <w:tc>
          <w:tcPr>
            <w:tcW w:w="7299" w:type="dxa"/>
            <w:tcBorders>
              <w:top w:val="nil"/>
              <w:left w:val="nil"/>
              <w:bottom w:val="single" w:color="auto" w:sz="4" w:space="0"/>
            </w:tcBorders>
            <w:shd w:val="clear" w:color="auto" w:fill="00D392"/>
            <w:vAlign w:val="center"/>
          </w:tcPr>
          <w:p w14:paraId="47BA4C0E">
            <w:pPr>
              <w:spacing w:before="13" w:line="252" w:lineRule="auto"/>
              <w:ind w:right="174"/>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2564" w:type="dxa"/>
            <w:tcBorders>
              <w:top w:val="single" w:color="auto" w:sz="4" w:space="0"/>
              <w:bottom w:val="single" w:color="auto" w:sz="4" w:space="0"/>
              <w:right w:val="nil"/>
            </w:tcBorders>
            <w:shd w:val="clear" w:color="auto" w:fill="auto"/>
            <w:vAlign w:val="center"/>
          </w:tcPr>
          <w:p w14:paraId="750775B7">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分子分型</w:t>
            </w:r>
          </w:p>
        </w:tc>
        <w:tc>
          <w:tcPr>
            <w:tcW w:w="7299" w:type="dxa"/>
            <w:tcBorders>
              <w:top w:val="single" w:color="auto" w:sz="4" w:space="0"/>
              <w:left w:val="nil"/>
              <w:bottom w:val="single" w:color="auto" w:sz="4" w:space="0"/>
            </w:tcBorders>
            <w:shd w:val="clear" w:color="auto" w:fill="auto"/>
            <w:vAlign w:val="center"/>
          </w:tcPr>
          <w:p w14:paraId="573091EF">
            <w:pPr>
              <w:spacing w:before="13" w:line="252" w:lineRule="auto"/>
              <w:ind w:right="174"/>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summaryOfRresults.tcga }}</w:t>
            </w:r>
          </w:p>
        </w:tc>
      </w:tr>
    </w:tbl>
    <w:p w14:paraId="53CB529F">
      <w:pPr>
        <w:numPr>
          <w:ilvl w:val="0"/>
          <w:numId w:val="0"/>
        </w:numPr>
        <w:ind w:leftChars="0"/>
        <w:rPr>
          <w:rFonts w:hint="default" w:ascii="Times New Roman" w:hAnsi="Times New Roman" w:eastAsia="微软雅黑" w:cs="Times New Roman"/>
          <w:sz w:val="24"/>
          <w:szCs w:val="24"/>
          <w:lang w:eastAsia="zh-CN"/>
        </w:rPr>
      </w:pPr>
    </w:p>
    <w:p w14:paraId="726EA21D">
      <w:pPr>
        <w:numPr>
          <w:ilvl w:val="0"/>
          <w:numId w:val="0"/>
        </w:numPr>
        <w:ind w:leftChars="0"/>
        <w:rPr>
          <w:rFonts w:hint="default" w:ascii="Times New Roman" w:hAnsi="Times New Roman" w:eastAsia="微软雅黑" w:cs="Times New Roman"/>
          <w:sz w:val="24"/>
          <w:szCs w:val="24"/>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eastAsia" w:ascii="宋体" w:hAnsi="宋体" w:eastAsia="宋体" w:cs="宋体"/>
          <w:b/>
          <w:bCs/>
          <w:sz w:val="30"/>
          <w:highlight w:val="none"/>
          <w:lang w:eastAsia="zh-CN"/>
        </w:rPr>
      </w:pPr>
      <w:r>
        <w:rPr>
          <w:rFonts w:hint="eastAsia" w:ascii="宋体" w:hAnsi="宋体" w:eastAsia="宋体" w:cs="宋体"/>
          <w:b/>
          <w:bCs/>
          <w:sz w:val="18"/>
          <w:highlight w:val="none"/>
          <w:lang w:eastAsia="zh-CN"/>
        </w:rPr>
        <w:t>图：子宫内膜癌分子分型规则（参考NCCN Guidelines Version 3.2025 Endometrial Carcinoma）</w:t>
      </w:r>
    </w:p>
    <w:p w14:paraId="605B6A89">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1"/>
          <w:szCs w:val="21"/>
          <w:lang w:val="en-US" w:eastAsia="zh-CN"/>
        </w:rPr>
      </w:pPr>
      <w:r>
        <w:rPr>
          <w:rFonts w:hint="eastAsia"/>
          <w:color w:val="00D392"/>
          <w:sz w:val="30"/>
          <w:lang w:eastAsia="zh-CN"/>
        </w:rPr>
        <w:br w:type="page"/>
      </w:r>
      <w:r>
        <w:rPr>
          <w:rFonts w:hint="eastAsia" w:ascii="Times New Roman" w:hAnsi="Times New Roman" w:eastAsia="微软雅黑" w:cs="Times New Roman"/>
          <w:sz w:val="21"/>
          <w:szCs w:val="21"/>
          <w:lang w:eastAsia="zh-CN"/>
        </w:rPr>
        <w:t>{% endif %}</w:t>
      </w:r>
      <w:bookmarkStart w:id="2" w:name="_Toc17828"/>
      <w:r>
        <w:rPr>
          <w:rFonts w:hint="default" w:ascii="Times New Roman" w:hAnsi="Times New Roman" w:eastAsia="微软雅黑" w:cs="Times New Roman"/>
          <w:b w:val="0"/>
          <w:bCs w:val="0"/>
          <w:color w:val="auto"/>
          <w:sz w:val="21"/>
          <w:szCs w:val="21"/>
          <w:lang w:val="en-US" w:eastAsia="zh-CN" w:bidi="ar-SA"/>
        </w:rPr>
        <w:t>{% if</w:t>
      </w:r>
      <w:r>
        <w:rPr>
          <w:rStyle w:val="15"/>
          <w:rFonts w:hint="eastAsia" w:ascii="Times New Roman" w:hAnsi="Times New Roman" w:eastAsia="微软雅黑" w:cs="Times New Roman"/>
          <w:color w:val="auto"/>
          <w:sz w:val="21"/>
          <w:szCs w:val="21"/>
          <w:lang w:val="en-US" w:eastAsia="zh-CN"/>
        </w:rPr>
        <w:t xml:space="preserve"> disease.ThyroidCarcinoma </w:t>
      </w:r>
      <w:r>
        <w:rPr>
          <w:rFonts w:hint="default" w:ascii="Times New Roman" w:hAnsi="Times New Roman" w:eastAsia="微软雅黑" w:cs="Times New Roman"/>
          <w:b w:val="0"/>
          <w:bCs w:val="0"/>
          <w:color w:val="auto"/>
          <w:sz w:val="21"/>
          <w:szCs w:val="21"/>
          <w:lang w:val="en-US" w:eastAsia="zh-CN" w:bidi="ar-SA"/>
        </w:rPr>
        <w:t>%}</w:t>
      </w:r>
    </w:p>
    <w:p w14:paraId="40B8A00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1"/>
          <w:szCs w:val="21"/>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7" name="同侧圆角矩形 7"/>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8WIZHpYCAAAY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22DF2874">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甲状腺癌热点基因检测结果</w:t>
                      </w:r>
                    </w:p>
                  </w:txbxContent>
                </v:textbox>
                <w10:wrap type="none"/>
                <w10:anchorlock/>
              </v:shape>
            </w:pict>
          </mc:Fallback>
        </mc:AlternateContent>
      </w:r>
    </w:p>
    <w:bookmarkEnd w:id="2"/>
    <w:p w14:paraId="2096E5C7">
      <w:pPr>
        <w:rPr>
          <w:rFonts w:hint="default"/>
          <w:lang w:val="en-US" w:eastAsia="zh-CN"/>
        </w:rPr>
      </w:pPr>
    </w:p>
    <w:tbl>
      <w:tblPr>
        <w:tblStyle w:val="12"/>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single" w:color="000000" w:themeColor="text1" w:sz="4" w:space="0"/>
              <w:right w:val="nil"/>
            </w:tcBorders>
            <w:shd w:val="clear" w:color="auto" w:fill="00D392"/>
            <w:vAlign w:val="center"/>
          </w:tcPr>
          <w:p w14:paraId="748D8ED3">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标志物</w:t>
            </w:r>
          </w:p>
        </w:tc>
        <w:tc>
          <w:tcPr>
            <w:tcW w:w="2385" w:type="dxa"/>
            <w:tcBorders>
              <w:top w:val="nil"/>
              <w:left w:val="nil"/>
              <w:bottom w:val="single" w:color="000000" w:themeColor="text1" w:sz="4" w:space="0"/>
              <w:right w:val="nil"/>
            </w:tcBorders>
            <w:shd w:val="clear" w:color="auto" w:fill="00D392"/>
            <w:vAlign w:val="center"/>
          </w:tcPr>
          <w:p w14:paraId="6EE608B1">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变异类型</w:t>
            </w:r>
          </w:p>
        </w:tc>
        <w:tc>
          <w:tcPr>
            <w:tcW w:w="2925" w:type="dxa"/>
            <w:tcBorders>
              <w:top w:val="nil"/>
              <w:left w:val="nil"/>
              <w:bottom w:val="single" w:color="000000" w:themeColor="text1" w:sz="4" w:space="0"/>
              <w:right w:val="nil"/>
            </w:tcBorders>
            <w:shd w:val="clear" w:color="auto" w:fill="00D392"/>
            <w:vAlign w:val="center"/>
          </w:tcPr>
          <w:p w14:paraId="7AD98A46">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临床意义</w:t>
            </w:r>
          </w:p>
        </w:tc>
        <w:tc>
          <w:tcPr>
            <w:tcW w:w="2286" w:type="dxa"/>
            <w:tcBorders>
              <w:top w:val="nil"/>
              <w:left w:val="nil"/>
              <w:bottom w:val="single" w:color="000000" w:themeColor="text1" w:sz="4" w:space="0"/>
            </w:tcBorders>
            <w:shd w:val="clear" w:color="auto" w:fill="00D392"/>
            <w:vAlign w:val="center"/>
          </w:tcPr>
          <w:p w14:paraId="346DC97A">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7EB1C72D">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for tip in thyroidCancerHotAllGeneDrugTipLineStr %}</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3931FE28">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tip.gene }}</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417EC05F">
            <w:pPr>
              <w:spacing w:before="2"/>
              <w:ind w:left="116" w:right="116"/>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tip.type }}</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67CA5726">
            <w:pPr>
              <w:jc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 tip.meaning }}</w:t>
            </w:r>
          </w:p>
        </w:tc>
        <w:tc>
          <w:tcPr>
            <w:tcW w:w="2286" w:type="dxa"/>
            <w:tcBorders>
              <w:top w:val="single" w:color="000000" w:themeColor="text1" w:sz="4" w:space="0"/>
              <w:left w:val="nil"/>
              <w:bottom w:val="single" w:color="000000" w:themeColor="text1" w:sz="4" w:space="0"/>
            </w:tcBorders>
            <w:shd w:val="clear" w:color="auto" w:fill="auto"/>
            <w:vAlign w:val="center"/>
          </w:tcPr>
          <w:p w14:paraId="6134DF2F">
            <w:pPr>
              <w:ind w:left="162" w:right="163"/>
              <w:jc w:val="center"/>
              <w:rPr>
                <w:rFonts w:hint="eastAsia" w:ascii="宋体" w:hAnsi="宋体" w:eastAsia="宋体" w:cs="宋体"/>
                <w:color w:val="FF0000"/>
                <w:sz w:val="18"/>
                <w:szCs w:val="18"/>
                <w:lang w:val="en-US" w:eastAsia="zh-CN" w:bidi="ar"/>
              </w:rPr>
            </w:pPr>
            <w:r>
              <w:rPr>
                <w:rFonts w:hint="eastAsia" w:ascii="宋体" w:hAnsi="宋体" w:eastAsia="宋体" w:cs="宋体"/>
                <w:color w:val="000000"/>
                <w:sz w:val="18"/>
                <w:szCs w:val="18"/>
                <w:lang w:eastAsia="zh-CN" w:bidi="ar"/>
              </w:rPr>
              <w:t>{% if tip.situation == ‘未检出’ %}{{ tip.situation }}</w:t>
            </w:r>
            <w:r>
              <w:rPr>
                <w:rFonts w:hint="eastAsia" w:ascii="宋体" w:hAnsi="宋体" w:eastAsia="宋体" w:cs="宋体"/>
                <w:color w:val="000000"/>
                <w:sz w:val="18"/>
                <w:szCs w:val="18"/>
                <w:lang w:val="en-US" w:eastAsia="zh-CN" w:bidi="ar"/>
              </w:rPr>
              <w:t>{% else %}</w:t>
            </w:r>
            <w:r>
              <w:rPr>
                <w:rFonts w:hint="eastAsia" w:ascii="宋体" w:hAnsi="宋体" w:eastAsia="宋体" w:cs="宋体"/>
                <w:color w:val="FF0000"/>
                <w:sz w:val="18"/>
                <w:szCs w:val="18"/>
                <w:lang w:eastAsia="zh-CN" w:bidi="ar"/>
              </w:rPr>
              <w:t>{{ tip.situation }}</w:t>
            </w:r>
            <w:r>
              <w:rPr>
                <w:rFonts w:hint="eastAsia" w:ascii="宋体" w:hAnsi="宋体" w:eastAsia="宋体" w:cs="宋体"/>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000000" w:themeColor="text1" w:sz="4" w:space="0"/>
              <w:bottom w:val="single" w:color="000000" w:themeColor="text1" w:sz="4" w:space="0"/>
            </w:tcBorders>
            <w:shd w:val="clear" w:color="auto" w:fill="auto"/>
            <w:vAlign w:val="center"/>
          </w:tcPr>
          <w:p w14:paraId="1893661B">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{%tr endfor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000000" w:themeColor="text1" w:sz="4" w:space="0"/>
              <w:bottom w:val="single" w:color="000000" w:themeColor="text1" w:sz="4" w:space="0"/>
              <w:right w:val="nil"/>
            </w:tcBorders>
            <w:shd w:val="clear" w:color="auto" w:fill="auto"/>
            <w:vAlign w:val="center"/>
          </w:tcPr>
          <w:p w14:paraId="1DD01015">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MSI</w:t>
            </w:r>
          </w:p>
        </w:tc>
        <w:tc>
          <w:tcPr>
            <w:tcW w:w="2385" w:type="dxa"/>
            <w:tcBorders>
              <w:top w:val="single" w:color="000000" w:themeColor="text1" w:sz="4" w:space="0"/>
              <w:left w:val="nil"/>
              <w:bottom w:val="single" w:color="000000" w:themeColor="text1" w:sz="4" w:space="0"/>
              <w:right w:val="nil"/>
            </w:tcBorders>
            <w:shd w:val="clear" w:color="auto" w:fill="auto"/>
            <w:vAlign w:val="center"/>
          </w:tcPr>
          <w:p w14:paraId="7F898A33">
            <w:pPr>
              <w:widowControl/>
              <w:jc w:val="center"/>
              <w:textAlignment w:val="center"/>
              <w:rPr>
                <w:rFonts w:hint="eastAsia" w:ascii="宋体" w:hAnsi="宋体" w:eastAsia="宋体" w:cs="宋体"/>
                <w:color w:val="000000"/>
                <w:sz w:val="18"/>
                <w:szCs w:val="18"/>
                <w:lang w:val="en-US" w:eastAsia="zh-CN" w:bidi="ar"/>
              </w:rPr>
            </w:pPr>
            <w:r>
              <w:rPr>
                <w:rFonts w:hint="eastAsia" w:ascii="宋体" w:hAnsi="宋体" w:eastAsia="宋体" w:cs="宋体"/>
                <w:color w:val="000000"/>
                <w:sz w:val="18"/>
                <w:szCs w:val="18"/>
                <w:lang w:val="en-US" w:eastAsia="zh-CN" w:bidi="ar"/>
              </w:rPr>
              <w:t>不稳定性</w:t>
            </w:r>
          </w:p>
        </w:tc>
        <w:tc>
          <w:tcPr>
            <w:tcW w:w="2925" w:type="dxa"/>
            <w:tcBorders>
              <w:top w:val="single" w:color="000000" w:themeColor="text1" w:sz="4" w:space="0"/>
              <w:left w:val="nil"/>
              <w:bottom w:val="single" w:color="000000" w:themeColor="text1" w:sz="4" w:space="0"/>
              <w:right w:val="nil"/>
            </w:tcBorders>
            <w:shd w:val="clear" w:color="auto" w:fill="auto"/>
            <w:vAlign w:val="center"/>
          </w:tcPr>
          <w:p w14:paraId="71ADADFC">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分型、免疫用药</w:t>
            </w:r>
          </w:p>
        </w:tc>
        <w:tc>
          <w:tcPr>
            <w:tcW w:w="2286" w:type="dxa"/>
            <w:tcBorders>
              <w:top w:val="single" w:color="000000" w:themeColor="text1" w:sz="4" w:space="0"/>
              <w:left w:val="nil"/>
              <w:bottom w:val="single" w:color="000000" w:themeColor="text1" w:sz="4" w:space="0"/>
            </w:tcBorders>
            <w:shd w:val="clear" w:color="auto" w:fill="auto"/>
            <w:vAlign w:val="center"/>
          </w:tcPr>
          <w:p w14:paraId="3F5904E1">
            <w:pPr>
              <w:widowControl/>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auto"/>
                <w:sz w:val="18"/>
                <w:szCs w:val="18"/>
                <w:lang w:eastAsia="zh-CN" w:bidi="ar"/>
              </w:rPr>
              <w:t xml:space="preserve">{% if summaryOfRresults.msi_status </w:t>
            </w:r>
            <w:r>
              <w:rPr>
                <w:rFonts w:hint="eastAsia" w:ascii="宋体" w:hAnsi="宋体" w:eastAsia="宋体" w:cs="宋体"/>
                <w:color w:val="auto"/>
                <w:sz w:val="18"/>
                <w:szCs w:val="18"/>
                <w:lang w:val="en-US" w:eastAsia="zh-CN" w:bidi="ar"/>
              </w:rPr>
              <w:t>=</w:t>
            </w:r>
            <w:r>
              <w:rPr>
                <w:rFonts w:hint="eastAsia" w:ascii="宋体" w:hAnsi="宋体" w:eastAsia="宋体" w:cs="宋体"/>
                <w:color w:val="auto"/>
                <w:sz w:val="18"/>
                <w:szCs w:val="18"/>
                <w:lang w:eastAsia="zh-CN" w:bidi="ar"/>
              </w:rPr>
              <w:t>= ‘</w:t>
            </w:r>
            <w:r>
              <w:rPr>
                <w:rFonts w:hint="eastAsia" w:ascii="宋体" w:hAnsi="宋体" w:eastAsia="宋体" w:cs="宋体"/>
                <w:color w:val="auto"/>
                <w:sz w:val="18"/>
                <w:szCs w:val="18"/>
                <w:lang w:val="en-US" w:eastAsia="zh-CN" w:bidi="ar"/>
              </w:rPr>
              <w:t>MSS</w:t>
            </w:r>
            <w:r>
              <w:rPr>
                <w:rFonts w:hint="eastAsia" w:ascii="宋体" w:hAnsi="宋体" w:eastAsia="宋体" w:cs="宋体"/>
                <w:color w:val="auto"/>
                <w:sz w:val="18"/>
                <w:szCs w:val="18"/>
                <w:lang w:eastAsia="zh-CN" w:bidi="ar"/>
              </w:rPr>
              <w:t>’ %}</w:t>
            </w:r>
            <w:r>
              <w:rPr>
                <w:rFonts w:hint="eastAsia" w:ascii="宋体" w:hAnsi="宋体" w:eastAsia="宋体" w:cs="宋体"/>
                <w:color w:val="000000"/>
                <w:sz w:val="18"/>
                <w:szCs w:val="18"/>
                <w:lang w:eastAsia="zh-CN" w:bidi="ar"/>
              </w:rPr>
              <w:t>{{ summaryOfRresults.msi_status }}</w:t>
            </w:r>
            <w:r>
              <w:rPr>
                <w:rFonts w:hint="eastAsia" w:ascii="宋体" w:hAnsi="宋体" w:eastAsia="宋体" w:cs="宋体"/>
                <w:color w:val="auto"/>
                <w:sz w:val="18"/>
                <w:szCs w:val="18"/>
                <w:lang w:eastAsia="zh-CN" w:bidi="ar"/>
              </w:rPr>
              <w:t>{%else%}</w:t>
            </w:r>
            <w:r>
              <w:rPr>
                <w:rFonts w:hint="eastAsia" w:ascii="宋体" w:hAnsi="宋体" w:eastAsia="宋体" w:cs="宋体"/>
                <w:color w:val="FF0000"/>
                <w:sz w:val="18"/>
                <w:szCs w:val="18"/>
                <w:lang w:eastAsia="zh-CN" w:bidi="ar"/>
              </w:rPr>
              <w:t>{{summaryOfRresults.msi_status }}</w:t>
            </w:r>
            <w:r>
              <w:rPr>
                <w:rFonts w:hint="eastAsia" w:ascii="宋体" w:hAnsi="宋体" w:eastAsia="宋体" w:cs="宋体"/>
                <w:color w:val="auto"/>
                <w:sz w:val="18"/>
                <w:szCs w:val="18"/>
                <w:lang w:eastAsia="zh-CN" w:bidi="ar"/>
              </w:rPr>
              <w:t>{% endif</w:t>
            </w:r>
            <w:r>
              <w:rPr>
                <w:rFonts w:hint="eastAsia" w:ascii="宋体" w:hAnsi="宋体" w:eastAsia="宋体" w:cs="宋体"/>
                <w:color w:val="auto"/>
                <w:sz w:val="18"/>
                <w:szCs w:val="18"/>
                <w:lang w:val="en-US" w:eastAsia="zh-CN" w:bidi="ar"/>
              </w:rPr>
              <w:t xml:space="preserve"> </w:t>
            </w:r>
            <w:r>
              <w:rPr>
                <w:rFonts w:hint="eastAsia" w:ascii="宋体" w:hAnsi="宋体" w:eastAsia="宋体" w:cs="宋体"/>
                <w:color w:val="auto"/>
                <w:sz w:val="18"/>
                <w:szCs w:val="18"/>
                <w:lang w:eastAsia="zh-CN" w:bidi="ar"/>
              </w:rPr>
              <w:t>%}</w:t>
            </w:r>
          </w:p>
        </w:tc>
      </w:tr>
    </w:tbl>
    <w:p w14:paraId="64DE8D8E">
      <w:pPr>
        <w:rPr>
          <w:rFonts w:hint="eastAsia" w:ascii="宋体" w:hAnsi="宋体" w:eastAsia="宋体" w:cs="宋体"/>
          <w:sz w:val="13"/>
          <w:szCs w:val="13"/>
          <w:lang w:eastAsia="zh-CN"/>
        </w:rPr>
      </w:pPr>
    </w:p>
    <w:p w14:paraId="7A924BEF">
      <w:pPr>
        <w:rPr>
          <w:rFonts w:hint="eastAsia" w:ascii="宋体" w:hAnsi="宋体" w:eastAsia="宋体" w:cs="宋体"/>
          <w:sz w:val="13"/>
          <w:szCs w:val="13"/>
          <w:lang w:eastAsia="zh-CN"/>
        </w:rPr>
      </w:pPr>
      <w:r>
        <w:rPr>
          <w:rFonts w:hint="eastAsia" w:ascii="宋体" w:hAnsi="宋体" w:eastAsia="宋体" w:cs="宋体"/>
          <w:sz w:val="13"/>
          <w:szCs w:val="13"/>
          <w:lang w:eastAsia="zh-CN"/>
        </w:rPr>
        <w:t>参考文献：</w:t>
      </w:r>
    </w:p>
    <w:p w14:paraId="126960D5">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NCCN 《甲状腺癌临床实践指南》（</w:t>
      </w:r>
      <w:r>
        <w:rPr>
          <w:rFonts w:hint="eastAsia" w:ascii="宋体" w:hAnsi="宋体" w:eastAsia="宋体" w:cs="宋体"/>
          <w:color w:val="000000"/>
          <w:sz w:val="13"/>
          <w:szCs w:val="13"/>
          <w:lang w:val="en-US" w:eastAsia="zh-CN" w:bidi="ar"/>
        </w:rPr>
        <w:t>2025</w:t>
      </w:r>
      <w:r>
        <w:rPr>
          <w:rFonts w:hint="eastAsia" w:ascii="宋体" w:hAnsi="宋体" w:eastAsia="宋体" w:cs="宋体"/>
          <w:color w:val="000000"/>
          <w:sz w:val="13"/>
          <w:szCs w:val="13"/>
          <w:lang w:eastAsia="zh-CN" w:bidi="ar"/>
        </w:rPr>
        <w:t>）；</w:t>
      </w:r>
    </w:p>
    <w:p w14:paraId="7B03D309">
      <w:pPr>
        <w:widowControl/>
        <w:numPr>
          <w:ilvl w:val="0"/>
          <w:numId w:val="2"/>
        </w:numPr>
        <w:rPr>
          <w:rFonts w:hint="eastAsia" w:ascii="宋体" w:hAnsi="宋体" w:eastAsia="宋体" w:cs="宋体"/>
          <w:color w:val="000000"/>
          <w:sz w:val="13"/>
          <w:szCs w:val="13"/>
          <w:lang w:val="en-US" w:eastAsia="zh-CN" w:bidi="ar"/>
        </w:rPr>
      </w:pPr>
      <w:r>
        <w:rPr>
          <w:rFonts w:hint="eastAsia" w:ascii="宋体" w:hAnsi="宋体" w:eastAsia="宋体" w:cs="宋体"/>
          <w:color w:val="000000"/>
          <w:sz w:val="13"/>
          <w:szCs w:val="13"/>
          <w:lang w:eastAsia="zh-CN" w:bidi="ar"/>
        </w:rPr>
        <w:t>CSCO 《分化型甲状腺癌诊疗指南202</w:t>
      </w:r>
      <w:r>
        <w:rPr>
          <w:rFonts w:hint="eastAsia" w:ascii="宋体" w:hAnsi="宋体" w:eastAsia="宋体" w:cs="宋体"/>
          <w:color w:val="000000"/>
          <w:sz w:val="13"/>
          <w:szCs w:val="13"/>
          <w:lang w:val="en-US" w:eastAsia="zh-CN" w:bidi="ar"/>
        </w:rPr>
        <w:t>1</w:t>
      </w:r>
      <w:r>
        <w:rPr>
          <w:rFonts w:hint="eastAsia" w:ascii="宋体" w:hAnsi="宋体" w:eastAsia="宋体" w:cs="宋体"/>
          <w:color w:val="000000"/>
          <w:sz w:val="13"/>
          <w:szCs w:val="13"/>
          <w:lang w:eastAsia="zh-CN" w:bidi="ar"/>
        </w:rPr>
        <w:t>》；</w:t>
      </w:r>
    </w:p>
    <w:p w14:paraId="33AAC7CD">
      <w:pPr>
        <w:widowControl/>
        <w:numPr>
          <w:ilvl w:val="0"/>
          <w:numId w:val="2"/>
        </w:numPr>
        <w:rPr>
          <w:rFonts w:hint="eastAsia" w:ascii="宋体" w:hAnsi="宋体" w:eastAsia="宋体" w:cs="宋体"/>
          <w:color w:val="000000"/>
          <w:sz w:val="13"/>
          <w:szCs w:val="13"/>
          <w:lang w:eastAsia="zh-CN" w:bidi="ar"/>
        </w:rPr>
      </w:pPr>
      <w:r>
        <w:rPr>
          <w:rFonts w:hint="eastAsia" w:ascii="宋体" w:hAnsi="宋体" w:eastAsia="宋体" w:cs="宋体"/>
          <w:color w:val="000000"/>
          <w:sz w:val="13"/>
          <w:szCs w:val="13"/>
          <w:lang w:eastAsia="zh-CN" w:bidi="ar"/>
        </w:rPr>
        <w:t>《甲状腺癌基因检测与临床应用广东专家共识（2020版）》。</w:t>
      </w:r>
    </w:p>
    <w:p w14:paraId="595C685C">
      <w:pPr>
        <w:rPr>
          <w:rFonts w:hint="eastAsia" w:ascii="宋体" w:hAnsi="宋体" w:eastAsia="宋体" w:cs="宋体"/>
          <w:b w:val="0"/>
          <w:bCs w:val="0"/>
          <w:color w:val="auto"/>
          <w:sz w:val="24"/>
          <w:szCs w:val="24"/>
          <w:lang w:val="en-US" w:eastAsia="zh-CN" w:bidi="ar-SA"/>
        </w:rPr>
      </w:pPr>
      <w:r>
        <w:rPr>
          <w:rFonts w:hint="eastAsia" w:ascii="宋体" w:hAnsi="宋体" w:eastAsia="宋体" w:cs="宋体"/>
          <w:color w:val="000000"/>
          <w:sz w:val="13"/>
          <w:szCs w:val="13"/>
          <w:lang w:eastAsia="zh-CN" w:bidi="ar"/>
        </w:rPr>
        <w:br w:type="page"/>
      </w:r>
      <w:r>
        <w:rPr>
          <w:rFonts w:hint="eastAsia" w:ascii="宋体" w:hAnsi="宋体" w:eastAsia="宋体" w:cs="宋体"/>
          <w:b w:val="0"/>
          <w:bCs w:val="0"/>
          <w:color w:val="auto"/>
          <w:sz w:val="24"/>
          <w:szCs w:val="24"/>
          <w:lang w:val="en-US" w:eastAsia="zh-CN" w:bidi="ar-SA"/>
        </w:rPr>
        <w:t>{% endif %}</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9"/>
        <w:tblW w:w="4990"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left w:val="nil"/>
              <w:right w:val="nil"/>
            </w:tcBorders>
            <w:shd w:val="clear" w:color="auto" w:fill="00D392"/>
            <w:vAlign w:val="center"/>
          </w:tcPr>
          <w:p w14:paraId="15607CC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op w:val="nil"/>
              <w:left w:val="nil"/>
              <w:right w:val="nil"/>
            </w:tcBorders>
            <w:shd w:val="clear" w:color="auto" w:fill="00D392"/>
            <w:vAlign w:val="center"/>
          </w:tcPr>
          <w:p w14:paraId="68AAE5F8">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eastAsia" w:ascii="Times New Roman" w:hAnsi="Times New Roman" w:eastAsia="宋体" w:cs="Times New Roman"/>
                <w:b/>
                <w:color w:val="FFFFFF" w:themeColor="background1"/>
                <w:sz w:val="18"/>
                <w:szCs w:val="18"/>
                <w:lang w:val="en-US" w:eastAsia="zh-CN"/>
                <w14:textFill>
                  <w14:solidFill>
                    <w14:schemeClr w14:val="bg1"/>
                  </w14:solidFill>
                </w14:textFill>
              </w:rPr>
              <w:t>检测</w:t>
            </w:r>
            <w:r>
              <w:rPr>
                <w:rFonts w:hint="default" w:ascii="Times New Roman" w:hAnsi="Times New Roman" w:eastAsia="宋体" w:cs="Times New Roman"/>
                <w:b/>
                <w:color w:val="FFFFFF" w:themeColor="background1"/>
                <w:sz w:val="18"/>
                <w:szCs w:val="18"/>
                <w14:textFill>
                  <w14:solidFill>
                    <w14:schemeClr w14:val="bg1"/>
                  </w14:solidFill>
                </w14:textFill>
              </w:rPr>
              <w:t>基因</w:t>
            </w:r>
          </w:p>
        </w:tc>
        <w:tc>
          <w:tcPr>
            <w:tcW w:w="815" w:type="pct"/>
            <w:tcBorders>
              <w:top w:val="nil"/>
              <w:left w:val="nil"/>
              <w:right w:val="nil"/>
            </w:tcBorders>
            <w:shd w:val="clear" w:color="auto" w:fill="00D392"/>
            <w:vAlign w:val="center"/>
          </w:tcPr>
          <w:p w14:paraId="288938A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op w:val="nil"/>
              <w:left w:val="nil"/>
              <w:right w:val="nil"/>
            </w:tcBorders>
            <w:shd w:val="clear" w:color="auto" w:fill="00D392"/>
            <w:vAlign w:val="center"/>
          </w:tcPr>
          <w:p w14:paraId="26B822D5">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op w:val="nil"/>
              <w:left w:val="nil"/>
              <w:right w:val="nil"/>
            </w:tcBorders>
            <w:shd w:val="clear" w:color="auto" w:fill="00D392"/>
            <w:vAlign w:val="center"/>
          </w:tcPr>
          <w:p w14:paraId="0A99E90E">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op w:val="nil"/>
              <w:left w:val="nil"/>
              <w:right w:val="nil"/>
            </w:tcBorders>
            <w:shd w:val="clear" w:color="auto" w:fill="00D392"/>
            <w:vAlign w:val="center"/>
          </w:tcPr>
          <w:p w14:paraId="58D5CADF">
            <w:pPr>
              <w:pStyle w:val="28"/>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6"/>
            <w:tcBorders>
              <w:left w:val="nil"/>
              <w:right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906" w:type="dxa"/>
            <w:tcBorders>
              <w:left w:val="nil"/>
              <w:right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left w:val="nil"/>
              <w:right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tip.comutation1 }}</w:t>
            </w:r>
          </w:p>
        </w:tc>
        <w:tc>
          <w:tcPr>
            <w:tcW w:w="1608" w:type="dxa"/>
            <w:tcBorders>
              <w:left w:val="nil"/>
              <w:right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tip.comutation }}</w:t>
            </w:r>
          </w:p>
        </w:tc>
        <w:tc>
          <w:tcPr>
            <w:tcW w:w="937" w:type="dxa"/>
            <w:tcBorders>
              <w:left w:val="nil"/>
              <w:right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left w:val="nil"/>
              <w:right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left w:val="nil"/>
              <w:right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5000" w:type="pct"/>
            <w:gridSpan w:val="6"/>
            <w:tcBorders>
              <w:left w:val="nil"/>
              <w:right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02" w:hRule="atLeast"/>
          <w:jc w:val="center"/>
        </w:trPr>
        <w:tc>
          <w:tcPr>
            <w:tcW w:w="5000" w:type="pct"/>
            <w:gridSpan w:val="6"/>
            <w:tcBorders>
              <w:left w:val="nil"/>
              <w:right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0" w:hRule="atLeast"/>
          <w:jc w:val="center"/>
        </w:trPr>
        <w:tc>
          <w:tcPr>
            <w:tcW w:w="459" w:type="pct"/>
            <w:tcBorders>
              <w:left w:val="nil"/>
              <w:right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left w:val="nil"/>
              <w:right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left w:val="nil"/>
              <w:right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left w:val="nil"/>
              <w:right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left w:val="nil"/>
              <w:right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left w:val="nil"/>
              <w:right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6"/>
            <w:tcBorders>
              <w:left w:val="nil"/>
              <w:right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left w:val="nil"/>
              <w:right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628" w:hRule="atLeast"/>
          <w:jc w:val="center"/>
        </w:trPr>
        <w:tc>
          <w:tcPr>
            <w:tcW w:w="5000" w:type="pct"/>
            <w:gridSpan w:val="6"/>
            <w:tcBorders>
              <w:left w:val="nil"/>
              <w:right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6"/>
            <w:tcBorders>
              <w:left w:val="nil"/>
              <w:right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9"/>
        <w:tblW w:w="9864" w:type="dxa"/>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498" w:type="pct"/>
            <w:tcBorders>
              <w:top w:val="nil"/>
              <w:left w:val="nil"/>
              <w:right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op w:val="nil"/>
              <w:left w:val="nil"/>
              <w:right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op w:val="nil"/>
              <w:left w:val="nil"/>
              <w:right w:val="nil"/>
            </w:tcBorders>
            <w:shd w:val="clear" w:color="auto" w:fill="00D392"/>
            <w:vAlign w:val="center"/>
          </w:tcPr>
          <w:p w14:paraId="387719B0">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op w:val="nil"/>
              <w:left w:val="nil"/>
              <w:right w:val="nil"/>
            </w:tcBorders>
            <w:shd w:val="clear" w:color="auto" w:fill="00D392"/>
            <w:vAlign w:val="center"/>
          </w:tcPr>
          <w:p w14:paraId="3BB43E24">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op w:val="nil"/>
              <w:left w:val="nil"/>
              <w:right w:val="nil"/>
            </w:tcBorders>
            <w:shd w:val="clear" w:color="auto" w:fill="00D392"/>
            <w:vAlign w:val="center"/>
          </w:tcPr>
          <w:p w14:paraId="73CCE6A3">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op w:val="nil"/>
              <w:left w:val="nil"/>
              <w:right w:val="nil"/>
            </w:tcBorders>
            <w:shd w:val="clear" w:color="auto" w:fill="00D392"/>
            <w:vAlign w:val="center"/>
          </w:tcPr>
          <w:p w14:paraId="6485F1D1">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op w:val="nil"/>
              <w:left w:val="nil"/>
              <w:right w:val="nil"/>
            </w:tcBorders>
            <w:shd w:val="clear" w:color="auto" w:fill="00D392"/>
            <w:vAlign w:val="center"/>
          </w:tcPr>
          <w:p w14:paraId="29833753">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8"/>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498" w:type="pct"/>
            <w:tcBorders>
              <w:left w:val="nil"/>
              <w:right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left w:val="nil"/>
              <w:right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left w:val="nil"/>
              <w:right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left w:val="nil"/>
              <w:right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left w:val="nil"/>
              <w:right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left w:val="nil"/>
              <w:right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left w:val="nil"/>
              <w:right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67" w:hRule="atLeast"/>
          <w:jc w:val="center"/>
        </w:trPr>
        <w:tc>
          <w:tcPr>
            <w:tcW w:w="5000" w:type="pct"/>
            <w:gridSpan w:val="7"/>
            <w:tcBorders>
              <w:left w:val="nil"/>
              <w:right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F5B9A01">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11" name="同侧圆角矩形 11"/>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36000" tIns="0" rIns="36000" bIns="0" numCol="1" spcCol="0" rtlCol="0" fromWordArt="0" anchor="b" anchorCtr="0" forceAA="0" compatLnSpc="1">
                        <a:noAutofit/>
                      </wps:bodyPr>
                    </wps:wsp>
                  </a:graphicData>
                </a:graphic>
              </wp:inline>
            </w:drawing>
          </mc:Choice>
          <mc:Fallback>
            <w:pict>
              <v:shape id="_x0000_s1026" o:spid="_x0000_s1026" style="height:23.4pt;width:492.95pt;v-text-anchor:bottom;" fillcolor="#18CF96" filled="t" stroked="t" coordsize="6260465,297180" o:gfxdata="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30qk2AAAAAQBAAAPAAAAAAAAAAEAIAAAACIAAABkcnMvZG93bnJldi54bWxQSwECFAAUAAAACACH&#10;TuJAkUsxlpYCAAAaBQAADgAAAAAAAAABACAAAAAnAQAAZHJzL2Uyb0RvYy54bWxQSwUGAAAAAAYA&#10;BgBZAQAALwY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682DD0EA">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CFDEC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highlight w:val="none"/>
          <w:lang w:eastAsia="zh-CN"/>
        </w:rPr>
        <w:t>{% endif %}</w:t>
      </w:r>
      <w:bookmarkStart w:id="3" w:name="_Toc20137"/>
      <w:bookmarkStart w:id="4"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3AC7A068">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1740" cy="314325"/>
                <wp:effectExtent l="4445" t="4445" r="18415" b="16510"/>
                <wp:docPr id="6" name="同侧圆角矩形 6"/>
                <wp:cNvGraphicFramePr/>
                <a:graphic xmlns:a="http://schemas.openxmlformats.org/drawingml/2006/main">
                  <a:graphicData uri="http://schemas.microsoft.com/office/word/2010/wordprocessingShape">
                    <wps:wsp>
                      <wps:cNvSpPr/>
                      <wps:spPr>
                        <a:xfrm>
                          <a:off x="0" y="0"/>
                          <a:ext cx="6301740" cy="314325"/>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4.75pt;width:496.2pt;v-text-anchor:middle;" fillcolor="#18CF96" filled="t" stroked="t" coordsize="6301740,314325" o:gfxdata="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KfkkrtUAAAAE&#10;AQAADwAAAAAAAAABACAAAAAiAAAAZHJzL2Rvd25yZXYueG1sUEsBAhQAFAAAAAgAh07iQORytJWR&#10;AgAAGgUAAA4AAAAAAAAAAQAgAAAAJAEAAGRycy9lMm9Eb2MueG1sUEsFBgAAAAAGAAYAWQEAACcG&#10;AAAAAA==&#10;" path="m52388,0l6249351,0c6278284,0,6301739,23455,6301739,52388l6301740,314325,6301740,314325,0,314325,0,314325,0,52388c0,23455,23455,0,52388,0xe">
                <v:path textboxrect="0,0,6301740,314325" o:connectlocs="6301740,157162;3150870,314325;0,157162;3150870,0" o:connectangles="0,82,164,247"/>
                <v:fill on="t" focussize="0,0"/>
                <v:stroke weight="0.5pt" color="#18CF96 [3204]" miterlimit="8" joinstyle="miter"/>
                <v:imagedata o:title=""/>
                <o:lock v:ext="edit" aspectratio="f"/>
                <v:textbox inset="1mm,0mm,1mm,0mm">
                  <w:txbxContent>
                    <w:p w14:paraId="2774521E">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内分泌相关</w:t>
                      </w:r>
                    </w:p>
                  </w:txbxContent>
                </v:textbox>
                <w10:wrap type="none"/>
                <w10:anchorlock/>
              </v:shape>
            </w:pict>
          </mc:Fallback>
        </mc:AlternateContent>
      </w:r>
    </w:p>
    <w:bookmarkEnd w:id="3"/>
    <w:bookmarkEnd w:id="4"/>
    <w:p w14:paraId="65E3491D">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内分泌治疗相关基因检测结果及临床意义提示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4E6CB6EB">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5C65E45C">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73" w:type="dxa"/>
            <w:tcBorders>
              <w:top w:val="nil"/>
              <w:left w:val="nil"/>
              <w:bottom w:val="single" w:color="000000" w:themeColor="text1" w:sz="4" w:space="0"/>
              <w:right w:val="nil"/>
            </w:tcBorders>
            <w:shd w:val="clear" w:color="auto" w:fill="00D392"/>
            <w:vAlign w:val="center"/>
          </w:tcPr>
          <w:p w14:paraId="707A2E02">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702" w:type="dxa"/>
            <w:tcBorders>
              <w:top w:val="nil"/>
              <w:left w:val="nil"/>
              <w:bottom w:val="single" w:color="000000" w:themeColor="text1" w:sz="4" w:space="0"/>
              <w:right w:val="nil"/>
            </w:tcBorders>
            <w:shd w:val="clear" w:color="auto" w:fill="00D392"/>
            <w:vAlign w:val="center"/>
          </w:tcPr>
          <w:p w14:paraId="42F6399A">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43F6ED3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APC</w:t>
            </w:r>
          </w:p>
          <w:p w14:paraId="144C003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22DA90A">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et.APC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03C445F0">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single" w:color="000000" w:themeColor="text1" w:sz="4" w:space="0"/>
              <w:left w:val="nil"/>
              <w:bottom w:val="single" w:color="000000" w:themeColor="text1" w:sz="4" w:space="0"/>
            </w:tcBorders>
            <w:shd w:val="clear" w:color="auto" w:fill="auto"/>
            <w:vAlign w:val="center"/>
          </w:tcPr>
          <w:p w14:paraId="5252D7F1">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17058013">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AR</w:t>
            </w:r>
          </w:p>
          <w:p w14:paraId="1E0885D3">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sz w:val="18"/>
                <w:szCs w:val="18"/>
                <w:lang w:eastAsia="zh-CN"/>
              </w:rPr>
              <w:t>突变和扩增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B7B89E5">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et.AR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1501998">
            <w:pPr>
              <w:widowControl/>
              <w:snapToGrid w:val="0"/>
              <w:spacing w:line="240" w:lineRule="atLeast"/>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068431D6">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27148695</w:t>
            </w:r>
          </w:p>
          <w:p w14:paraId="1F76F78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28604629</w:t>
            </w:r>
          </w:p>
          <w:p w14:paraId="6294A9D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23580326</w:t>
            </w:r>
          </w:p>
          <w:p w14:paraId="7B3D39E1">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6719CE67">
            <w:pPr>
              <w:widowControl/>
              <w:snapToGrid w:val="0"/>
              <w:spacing w:line="240" w:lineRule="atLeast"/>
              <w:jc w:val="center"/>
              <w:textAlignment w:val="center"/>
              <w:rPr>
                <w:rFonts w:hint="eastAsia" w:ascii="宋体" w:hAnsi="宋体" w:eastAsia="宋体" w:cs="宋体"/>
                <w:b/>
                <w:bCs/>
                <w:color w:val="000000"/>
                <w:sz w:val="18"/>
                <w:szCs w:val="18"/>
                <w:lang w:eastAsia="zh-CN"/>
              </w:rPr>
            </w:pPr>
            <w:r>
              <w:rPr>
                <w:rFonts w:hint="eastAsia" w:ascii="宋体" w:hAnsi="宋体" w:eastAsia="宋体" w:cs="宋体"/>
                <w:b/>
                <w:bCs/>
                <w:color w:val="000000"/>
                <w:sz w:val="18"/>
                <w:szCs w:val="18"/>
                <w:lang w:eastAsia="zh-CN"/>
              </w:rPr>
              <w:t>CTNNB1</w:t>
            </w:r>
          </w:p>
          <w:p w14:paraId="130E5E18">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体系突变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197DFC7">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et.CTNNB1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DD71E26">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去势抵抗性前列腺癌临床研究提示，WNT/</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连环蛋白信号通路的激活与阿比特龙/恩扎卢胺的疗效较差相关。CTNNB1基因编码产物是</w:t>
            </w:r>
            <w:r>
              <w:rPr>
                <w:rFonts w:hint="eastAsia" w:ascii="宋体" w:hAnsi="宋体" w:eastAsia="宋体" w:cs="宋体"/>
                <w:color w:val="000000"/>
                <w:sz w:val="18"/>
                <w:szCs w:val="18"/>
              </w:rPr>
              <w:t>β</w:t>
            </w:r>
            <w:r>
              <w:rPr>
                <w:rFonts w:hint="eastAsia" w:ascii="宋体" w:hAnsi="宋体" w:eastAsia="宋体" w:cs="宋体"/>
                <w:color w:val="000000"/>
                <w:sz w:val="18"/>
                <w:szCs w:val="18"/>
                <w:lang w:eastAsia="zh-CN"/>
              </w:rPr>
              <w:t>连环蛋白，是与WNT信号通路相关的一种转录激活因子。</w:t>
            </w:r>
          </w:p>
        </w:tc>
        <w:tc>
          <w:tcPr>
            <w:tcW w:w="1702" w:type="dxa"/>
            <w:tcBorders>
              <w:top w:val="single" w:color="000000" w:themeColor="text1" w:sz="4" w:space="0"/>
              <w:left w:val="nil"/>
              <w:bottom w:val="single" w:color="000000" w:themeColor="text1" w:sz="4" w:space="0"/>
            </w:tcBorders>
            <w:shd w:val="clear" w:color="auto" w:fill="auto"/>
            <w:vAlign w:val="center"/>
          </w:tcPr>
          <w:p w14:paraId="1C0F141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22617422</w:t>
            </w:r>
          </w:p>
          <w:p w14:paraId="31AA9B84">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31BA754">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FOXA1</w:t>
            </w:r>
          </w:p>
          <w:p w14:paraId="2797607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5A2D6E5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et.FOXA1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571D729B">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前列腺癌临床研究提示，FOXA1突变型患者的无生化复发生存期更短，更易发生转移进展。</w:t>
            </w:r>
          </w:p>
        </w:tc>
        <w:tc>
          <w:tcPr>
            <w:tcW w:w="1702" w:type="dxa"/>
            <w:tcBorders>
              <w:top w:val="single" w:color="000000" w:themeColor="text1" w:sz="4" w:space="0"/>
              <w:left w:val="nil"/>
              <w:bottom w:val="single" w:color="000000" w:themeColor="text1" w:sz="4" w:space="0"/>
            </w:tcBorders>
            <w:shd w:val="clear" w:color="auto" w:fill="auto"/>
            <w:vAlign w:val="center"/>
          </w:tcPr>
          <w:p w14:paraId="567FBF57">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CE5180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PTEN</w:t>
            </w:r>
          </w:p>
          <w:p w14:paraId="2409846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3755EC1">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et.PTEN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6EA7D55D">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去势抵抗性前列腺癌临床研究提示，PTEN蛋白功能的缺失与阿比特龙疗效较差相关。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297F1C48">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E61204E">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SPOP</w:t>
            </w:r>
          </w:p>
          <w:p w14:paraId="2E03B4DA">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0188E09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et.SPOP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2AB1CC5E">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SPOP基因编码CUL3泛素连接酶复合体中的接头蛋白，该基因部分突变会导致前列腺癌细胞的增殖和侵袭。</w:t>
            </w:r>
          </w:p>
        </w:tc>
        <w:tc>
          <w:tcPr>
            <w:tcW w:w="1702" w:type="dxa"/>
            <w:tcBorders>
              <w:top w:val="single" w:color="000000" w:themeColor="text1" w:sz="4" w:space="0"/>
              <w:left w:val="nil"/>
              <w:bottom w:val="single" w:color="000000" w:themeColor="text1" w:sz="4" w:space="0"/>
            </w:tcBorders>
            <w:shd w:val="clear" w:color="auto" w:fill="auto"/>
            <w:vAlign w:val="center"/>
          </w:tcPr>
          <w:p w14:paraId="225BBF90">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25766326</w:t>
            </w:r>
          </w:p>
          <w:p w14:paraId="21E5DF8B">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BA16B8">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TP53</w:t>
            </w:r>
          </w:p>
          <w:p w14:paraId="4532614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31D720E6">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et.TP53 }}</w:t>
            </w:r>
          </w:p>
        </w:tc>
        <w:tc>
          <w:tcPr>
            <w:tcW w:w="5673" w:type="dxa"/>
            <w:tcBorders>
              <w:top w:val="single" w:color="000000" w:themeColor="text1" w:sz="4" w:space="0"/>
              <w:left w:val="nil"/>
              <w:bottom w:val="single" w:color="000000" w:themeColor="text1" w:sz="4" w:space="0"/>
              <w:right w:val="nil"/>
            </w:tcBorders>
            <w:shd w:val="clear" w:color="auto" w:fill="auto"/>
            <w:vAlign w:val="center"/>
          </w:tcPr>
          <w:p w14:paraId="79752C25">
            <w:pPr>
              <w:widowControl/>
              <w:snapToGrid w:val="0"/>
              <w:spacing w:line="240" w:lineRule="atLeast"/>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前列腺癌临床研究提示，TP53失活突变与抗雄激素治疗效果较差相关。</w:t>
            </w:r>
          </w:p>
        </w:tc>
        <w:tc>
          <w:tcPr>
            <w:tcW w:w="1702" w:type="dxa"/>
            <w:tcBorders>
              <w:top w:val="single" w:color="000000" w:themeColor="text1" w:sz="4" w:space="0"/>
              <w:left w:val="nil"/>
              <w:bottom w:val="single" w:color="000000" w:themeColor="text1" w:sz="4" w:space="0"/>
            </w:tcBorders>
            <w:shd w:val="clear" w:color="auto" w:fill="auto"/>
            <w:vAlign w:val="center"/>
          </w:tcPr>
          <w:p w14:paraId="32D2689D">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5E18EC0A">
            <w:pPr>
              <w:widowControl/>
              <w:snapToGrid w:val="0"/>
              <w:spacing w:line="240" w:lineRule="atLeast"/>
              <w:jc w:val="center"/>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29367197</w:t>
            </w:r>
          </w:p>
        </w:tc>
      </w:tr>
    </w:tbl>
    <w:p w14:paraId="6D876EE2">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1F87206">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前列腺癌内分泌治疗相关基因突变检测对于提示内分泌药物疗效和预后情况有一定的作用。</w:t>
      </w:r>
    </w:p>
    <w:p w14:paraId="784A3BEC">
      <w:pPr>
        <w:numPr>
          <w:ilvl w:val="0"/>
          <w:numId w:val="3"/>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67638F1">
      <w:pPr>
        <w:rPr>
          <w:rFonts w:hint="eastAsia" w:ascii="宋体" w:hAnsi="宋体" w:eastAsia="宋体" w:cs="宋体"/>
          <w:sz w:val="30"/>
          <w:lang w:eastAsia="zh-CN"/>
        </w:rPr>
      </w:pPr>
      <w:r>
        <w:rPr>
          <w:rFonts w:hint="eastAsia" w:ascii="宋体" w:hAnsi="宋体" w:eastAsia="宋体" w:cs="宋体"/>
          <w:sz w:val="30"/>
          <w:lang w:eastAsia="zh-CN"/>
        </w:rPr>
        <w:br w:type="page"/>
      </w:r>
    </w:p>
    <w:p w14:paraId="10FD3067">
      <w:pPr>
        <w:spacing w:before="120" w:beforeLines="50" w:after="192" w:afterLines="80"/>
        <w:rPr>
          <w:rFonts w:hint="eastAsia" w:ascii="宋体" w:hAnsi="宋体" w:eastAsia="宋体" w:cs="宋体"/>
          <w:b/>
          <w:sz w:val="24"/>
          <w:szCs w:val="24"/>
          <w:lang w:eastAsia="zh-CN"/>
        </w:rPr>
      </w:pPr>
      <w:r>
        <w:rPr>
          <w:rFonts w:hint="eastAsia" w:ascii="宋体" w:hAnsi="宋体" w:eastAsia="宋体" w:cs="宋体"/>
          <w:b/>
          <w:sz w:val="24"/>
          <w:szCs w:val="24"/>
          <w:lang w:eastAsia="zh-CN"/>
        </w:rPr>
        <w:t>神经内分泌分化相关基因检测结果及临床意义提示</w:t>
      </w:r>
    </w:p>
    <w:tbl>
      <w:tblPr>
        <w:tblStyle w:val="12"/>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single" w:color="000000" w:themeColor="text1" w:sz="4" w:space="0"/>
              <w:right w:val="nil"/>
            </w:tcBorders>
            <w:shd w:val="clear" w:color="auto" w:fill="00D392"/>
            <w:vAlign w:val="center"/>
          </w:tcPr>
          <w:p w14:paraId="2A945637">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分子标记物</w:t>
            </w:r>
          </w:p>
        </w:tc>
        <w:tc>
          <w:tcPr>
            <w:tcW w:w="1135" w:type="dxa"/>
            <w:tcBorders>
              <w:top w:val="nil"/>
              <w:left w:val="nil"/>
              <w:bottom w:val="single" w:color="000000" w:themeColor="text1" w:sz="4" w:space="0"/>
              <w:right w:val="nil"/>
            </w:tcBorders>
            <w:shd w:val="clear" w:color="auto" w:fill="00D392"/>
            <w:vAlign w:val="center"/>
          </w:tcPr>
          <w:p w14:paraId="326C0B5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5683" w:type="dxa"/>
            <w:tcBorders>
              <w:top w:val="nil"/>
              <w:left w:val="nil"/>
              <w:bottom w:val="single" w:color="000000" w:themeColor="text1" w:sz="4" w:space="0"/>
              <w:right w:val="nil"/>
            </w:tcBorders>
            <w:shd w:val="clear" w:color="auto" w:fill="00D392"/>
            <w:vAlign w:val="center"/>
          </w:tcPr>
          <w:p w14:paraId="3003AA08">
            <w:pPr>
              <w:widowControl/>
              <w:snapToGrid w:val="0"/>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临床意义</w:t>
            </w:r>
          </w:p>
        </w:tc>
        <w:tc>
          <w:tcPr>
            <w:tcW w:w="1692" w:type="dxa"/>
            <w:tcBorders>
              <w:top w:val="nil"/>
              <w:left w:val="nil"/>
              <w:bottom w:val="single" w:color="000000" w:themeColor="text1" w:sz="4" w:space="0"/>
              <w:right w:val="nil"/>
            </w:tcBorders>
            <w:shd w:val="clear" w:color="auto" w:fill="00D392"/>
            <w:vAlign w:val="center"/>
          </w:tcPr>
          <w:p w14:paraId="3AB151FF">
            <w:pPr>
              <w:widowControl/>
              <w:snapToGrid w:val="0"/>
              <w:jc w:val="center"/>
              <w:textAlignment w:val="center"/>
              <w:rPr>
                <w:rStyle w:val="31"/>
                <w:rFonts w:hint="eastAsia" w:ascii="宋体" w:hAnsi="宋体" w:eastAsia="宋体" w:cs="宋体"/>
                <w:sz w:val="18"/>
                <w:szCs w:val="18"/>
                <w:lang w:eastAsia="zh-CN" w:bidi="ar"/>
              </w:rPr>
            </w:pPr>
            <w:r>
              <w:rPr>
                <w:rStyle w:val="31"/>
                <w:rFonts w:hint="eastAsia" w:ascii="宋体" w:hAnsi="宋体" w:eastAsia="宋体" w:cs="宋体"/>
                <w:sz w:val="18"/>
                <w:szCs w:val="18"/>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3C155B3E">
            <w:pPr>
              <w:widowControl/>
              <w:snapToGrid w:val="0"/>
              <w:spacing w:line="240" w:lineRule="atLeast"/>
              <w:jc w:val="center"/>
              <w:textAlignment w:val="center"/>
              <w:rPr>
                <w:rFonts w:hint="eastAsia" w:ascii="宋体" w:hAnsi="宋体" w:eastAsia="宋体" w:cs="宋体"/>
                <w:sz w:val="18"/>
                <w:szCs w:val="18"/>
              </w:rPr>
            </w:pPr>
            <w:r>
              <w:rPr>
                <w:rFonts w:hint="eastAsia" w:ascii="宋体" w:hAnsi="宋体" w:eastAsia="宋体" w:cs="宋体"/>
                <w:b/>
                <w:bCs/>
                <w:color w:val="000000"/>
                <w:sz w:val="18"/>
                <w:szCs w:val="18"/>
                <w:lang w:eastAsia="zh-CN"/>
              </w:rPr>
              <w:t>AURKA</w:t>
            </w:r>
          </w:p>
          <w:p w14:paraId="48BF3723">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17F68300">
            <w:pPr>
              <w:widowControl/>
              <w:snapToGrid w:val="0"/>
              <w:spacing w:line="240" w:lineRule="atLeast"/>
              <w:jc w:val="center"/>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 ed.AURKA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1FCA960C">
            <w:pPr>
              <w:widowControl/>
              <w:snapToGrid w:val="0"/>
              <w:spacing w:line="240" w:lineRule="atLeast"/>
              <w:jc w:val="both"/>
              <w:textAlignment w:val="center"/>
              <w:rPr>
                <w:rFonts w:hint="eastAsia" w:ascii="宋体" w:hAnsi="宋体" w:eastAsia="宋体" w:cs="宋体"/>
                <w:color w:val="000000"/>
                <w:sz w:val="18"/>
                <w:szCs w:val="18"/>
                <w:lang w:eastAsia="zh-CN"/>
              </w:rPr>
            </w:pPr>
            <w:r>
              <w:rPr>
                <w:rFonts w:hint="eastAsia" w:ascii="宋体" w:hAnsi="宋体" w:eastAsia="宋体" w:cs="宋体"/>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single" w:color="000000" w:themeColor="text1" w:sz="4" w:space="0"/>
              <w:left w:val="nil"/>
              <w:bottom w:val="single" w:color="000000" w:themeColor="text1" w:sz="4" w:space="0"/>
            </w:tcBorders>
            <w:shd w:val="clear" w:color="auto" w:fill="auto"/>
            <w:vAlign w:val="center"/>
          </w:tcPr>
          <w:p w14:paraId="4DC7F19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25128228</w:t>
            </w:r>
          </w:p>
          <w:p w14:paraId="59AA23F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692B8C3F">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0A46E17F">
            <w:pPr>
              <w:widowControl/>
              <w:snapToGrid w:val="0"/>
              <w:spacing w:line="240" w:lineRule="atLeast"/>
              <w:jc w:val="center"/>
              <w:textAlignment w:val="center"/>
              <w:rPr>
                <w:rFonts w:hint="eastAsia" w:ascii="宋体" w:hAnsi="宋体" w:eastAsia="宋体" w:cs="宋体"/>
                <w:sz w:val="18"/>
                <w:szCs w:val="18"/>
              </w:rPr>
            </w:pPr>
            <w:r>
              <w:rPr>
                <w:rStyle w:val="32"/>
                <w:rFonts w:hint="eastAsia" w:ascii="宋体" w:hAnsi="宋体" w:eastAsia="宋体" w:cs="宋体"/>
                <w:sz w:val="18"/>
                <w:szCs w:val="18"/>
                <w:lang w:eastAsia="zh-CN" w:bidi="ar"/>
              </w:rPr>
              <w:t>MYCN</w:t>
            </w:r>
          </w:p>
          <w:p w14:paraId="22A4763C">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扩增</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2CABBCC4">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ed.MYCN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CC919B4">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有研究发现，AURKA和MYCN扩增是激素治疗后肿瘤发展为治疗相关NEPC(t-NEPC)风险的先兆。</w:t>
            </w:r>
          </w:p>
        </w:tc>
        <w:tc>
          <w:tcPr>
            <w:tcW w:w="1692" w:type="dxa"/>
            <w:tcBorders>
              <w:top w:val="single" w:color="000000" w:themeColor="text1" w:sz="4" w:space="0"/>
              <w:left w:val="nil"/>
              <w:bottom w:val="single" w:color="000000" w:themeColor="text1" w:sz="4" w:space="0"/>
            </w:tcBorders>
            <w:shd w:val="clear" w:color="auto" w:fill="auto"/>
            <w:vAlign w:val="center"/>
          </w:tcPr>
          <w:p w14:paraId="3F120727">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27080339</w:t>
            </w:r>
          </w:p>
          <w:p w14:paraId="1F0769B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single" w:color="000000" w:themeColor="text1" w:sz="4" w:space="0"/>
              <w:bottom w:val="single" w:color="000000" w:themeColor="text1" w:sz="4" w:space="0"/>
              <w:right w:val="nil"/>
            </w:tcBorders>
            <w:shd w:val="clear" w:color="auto" w:fill="auto"/>
            <w:vAlign w:val="center"/>
          </w:tcPr>
          <w:p w14:paraId="714A84A9">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RB1</w:t>
            </w:r>
            <w:r>
              <w:rPr>
                <w:rStyle w:val="32"/>
                <w:rFonts w:hint="eastAsia" w:ascii="宋体" w:hAnsi="宋体" w:eastAsia="宋体" w:cs="宋体"/>
                <w:b w:val="0"/>
                <w:bCs w:val="0"/>
                <w:sz w:val="18"/>
                <w:szCs w:val="18"/>
                <w:lang w:eastAsia="zh-CN" w:bidi="ar"/>
              </w:rPr>
              <w:t>和</w:t>
            </w:r>
          </w:p>
          <w:p w14:paraId="69A7CCD1">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sz w:val="18"/>
                <w:szCs w:val="18"/>
                <w:lang w:eastAsia="zh-CN" w:bidi="ar"/>
              </w:rPr>
              <w:t>TP53</w:t>
            </w:r>
          </w:p>
          <w:p w14:paraId="347A8736">
            <w:pPr>
              <w:widowControl/>
              <w:snapToGrid w:val="0"/>
              <w:spacing w:line="240" w:lineRule="atLeast"/>
              <w:jc w:val="center"/>
              <w:textAlignment w:val="center"/>
              <w:rPr>
                <w:rStyle w:val="32"/>
                <w:rFonts w:hint="eastAsia" w:ascii="宋体" w:hAnsi="宋体" w:eastAsia="宋体" w:cs="宋体"/>
                <w:sz w:val="18"/>
                <w:szCs w:val="18"/>
                <w:lang w:eastAsia="zh-CN" w:bidi="ar"/>
              </w:rPr>
            </w:pPr>
            <w:r>
              <w:rPr>
                <w:rStyle w:val="32"/>
                <w:rFonts w:hint="eastAsia" w:ascii="宋体" w:hAnsi="宋体" w:eastAsia="宋体" w:cs="宋体"/>
                <w:b w:val="0"/>
                <w:bCs w:val="0"/>
                <w:sz w:val="18"/>
                <w:szCs w:val="18"/>
                <w:lang w:eastAsia="zh-CN" w:bidi="ar"/>
              </w:rPr>
              <w:t>共突变</w:t>
            </w:r>
          </w:p>
        </w:tc>
        <w:tc>
          <w:tcPr>
            <w:tcW w:w="1135" w:type="dxa"/>
            <w:tcBorders>
              <w:top w:val="single" w:color="000000" w:themeColor="text1" w:sz="4" w:space="0"/>
              <w:left w:val="nil"/>
              <w:bottom w:val="single" w:color="000000" w:themeColor="text1" w:sz="4" w:space="0"/>
              <w:right w:val="nil"/>
            </w:tcBorders>
            <w:shd w:val="clear" w:color="auto" w:fill="auto"/>
            <w:vAlign w:val="center"/>
          </w:tcPr>
          <w:p w14:paraId="49647922">
            <w:pPr>
              <w:widowControl/>
              <w:snapToGrid w:val="0"/>
              <w:spacing w:line="240" w:lineRule="atLeast"/>
              <w:jc w:val="center"/>
              <w:textAlignment w:val="center"/>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ed.RB1 }}</w:t>
            </w:r>
          </w:p>
        </w:tc>
        <w:tc>
          <w:tcPr>
            <w:tcW w:w="5683" w:type="dxa"/>
            <w:tcBorders>
              <w:top w:val="single" w:color="000000" w:themeColor="text1" w:sz="4" w:space="0"/>
              <w:left w:val="nil"/>
              <w:bottom w:val="single" w:color="000000" w:themeColor="text1" w:sz="4" w:space="0"/>
              <w:right w:val="nil"/>
            </w:tcBorders>
            <w:shd w:val="clear" w:color="auto" w:fill="auto"/>
            <w:vAlign w:val="center"/>
          </w:tcPr>
          <w:p w14:paraId="3102C29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op w:val="single" w:color="000000" w:themeColor="text1" w:sz="4" w:space="0"/>
              <w:left w:val="nil"/>
              <w:bottom w:val="single" w:color="000000" w:themeColor="text1" w:sz="4" w:space="0"/>
            </w:tcBorders>
            <w:shd w:val="clear" w:color="auto" w:fill="auto"/>
            <w:vAlign w:val="center"/>
          </w:tcPr>
          <w:p w14:paraId="63F8F42C">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28059767</w:t>
            </w:r>
          </w:p>
          <w:p w14:paraId="3C16596A">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28059768</w:t>
            </w:r>
          </w:p>
          <w:p w14:paraId="5D5AD356">
            <w:pPr>
              <w:widowControl/>
              <w:snapToGrid w:val="0"/>
              <w:spacing w:line="240" w:lineRule="atLeast"/>
              <w:jc w:val="both"/>
              <w:textAlignment w:val="center"/>
              <w:rPr>
                <w:rFonts w:hint="eastAsia" w:ascii="宋体" w:hAnsi="宋体" w:eastAsia="宋体" w:cs="宋体"/>
                <w:color w:val="000000"/>
                <w:sz w:val="18"/>
                <w:szCs w:val="18"/>
                <w:lang w:eastAsia="zh-CN" w:bidi="ar"/>
              </w:rPr>
            </w:pPr>
            <w:r>
              <w:rPr>
                <w:rFonts w:hint="eastAsia" w:ascii="宋体" w:hAnsi="宋体" w:eastAsia="宋体" w:cs="宋体"/>
                <w:color w:val="000000"/>
                <w:sz w:val="18"/>
                <w:szCs w:val="18"/>
                <w:lang w:eastAsia="zh-CN" w:bidi="ar"/>
              </w:rPr>
              <w:t>PMID</w:t>
            </w:r>
            <w:r>
              <w:rPr>
                <w:rFonts w:hint="eastAsia" w:ascii="宋体" w:hAnsi="宋体" w:eastAsia="宋体" w:cs="宋体"/>
                <w:bCs/>
                <w:sz w:val="18"/>
                <w:szCs w:val="18"/>
                <w:lang w:eastAsia="zh-CN"/>
              </w:rPr>
              <w:t xml:space="preserve">: </w:t>
            </w:r>
            <w:r>
              <w:rPr>
                <w:rFonts w:hint="eastAsia" w:ascii="宋体" w:hAnsi="宋体" w:eastAsia="宋体" w:cs="宋体"/>
                <w:color w:val="000000"/>
                <w:sz w:val="18"/>
                <w:szCs w:val="18"/>
                <w:lang w:eastAsia="zh-CN" w:bidi="ar"/>
              </w:rPr>
              <w:t>29460922</w:t>
            </w:r>
          </w:p>
        </w:tc>
      </w:tr>
    </w:tbl>
    <w:p w14:paraId="11718538">
      <w:pPr>
        <w:spacing w:before="47"/>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4D011DD0">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4"/>
        </w:numPr>
        <w:rPr>
          <w:rFonts w:hint="eastAsia" w:ascii="宋体" w:hAnsi="宋体" w:eastAsia="宋体" w:cs="宋体"/>
          <w:sz w:val="13"/>
          <w:szCs w:val="13"/>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eastAsia" w:ascii="宋体" w:hAnsi="宋体" w:eastAsia="宋体" w:cs="宋体"/>
          <w:sz w:val="18"/>
          <w:szCs w:val="18"/>
          <w:lang w:eastAsia="zh-CN"/>
        </w:rPr>
        <w:br w:type="page"/>
      </w:r>
      <w:r>
        <w:rPr>
          <w:rFonts w:hint="eastAsia" w:ascii="Times New Roman" w:hAnsi="Times New Roman" w:eastAsia="微软雅黑" w:cs="Times New Roman"/>
          <w:sz w:val="24"/>
          <w:szCs w:val="24"/>
          <w:highlight w:val="none"/>
          <w:lang w:eastAsia="zh-CN"/>
        </w:rPr>
        <w:t>{% endif %}</w:t>
      </w:r>
      <w:bookmarkStart w:id="5" w:name="_Toc8577"/>
      <w:bookmarkStart w:id="6" w:name="_Toc20859"/>
      <w:bookmarkStart w:id="7" w:name="_Toc17242"/>
      <w:r>
        <w:rPr>
          <w:rFonts w:hint="default" w:ascii="Times New Roman" w:hAnsi="Times New Roman" w:eastAsia="微软雅黑" w:cs="Times New Roman"/>
          <w:sz w:val="24"/>
          <w:szCs w:val="24"/>
          <w:lang w:eastAsia="zh-CN"/>
        </w:rPr>
        <w:t>{%if</w:t>
      </w:r>
      <w:r>
        <w:rPr>
          <w:rStyle w:val="15"/>
          <w:rFonts w:hint="eastAsia" w:ascii="Times New Roman" w:hAnsi="Times New Roman" w:eastAsia="微软雅黑" w:cs="Times New Roman"/>
          <w:color w:val="auto"/>
          <w:sz w:val="24"/>
          <w:szCs w:val="24"/>
          <w:lang w:val="en-US" w:eastAsia="zh-CN"/>
        </w:rPr>
        <w:t xml:space="preserve"> disease.ThyroidCarcinoma</w:t>
      </w:r>
      <w:r>
        <w:rPr>
          <w:rFonts w:hint="default" w:ascii="Times New Roman" w:hAnsi="Times New Roman" w:eastAsia="微软雅黑" w:cs="Times New Roman"/>
          <w:sz w:val="24"/>
          <w:szCs w:val="24"/>
          <w:lang w:eastAsia="zh-CN"/>
        </w:rPr>
        <w:t>%}</w:t>
      </w:r>
    </w:p>
    <w:p w14:paraId="3D13D5ED">
      <w:pPr>
        <w:rPr>
          <w:rFonts w:hint="default" w:ascii="Times New Roman" w:hAnsi="Times New Roman" w:eastAsia="微软雅黑" w:cs="Times New Roman"/>
          <w:sz w:val="24"/>
          <w:szCs w:val="24"/>
          <w:highlight w:val="none"/>
          <w:lang w:val="en-US" w:eastAsia="zh-CN"/>
        </w:rPr>
      </w:pPr>
    </w:p>
    <w:p w14:paraId="5BD6441C">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9" name="同侧圆角矩形 9"/>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C/qR+m0wAA&#10;AAQBAAAPAAAAAAAAAAEAIAAAACIAAABkcnMvZG93bnJldi54bWxQSwECFAAUAAAACACHTuJACE5n&#10;MJUCAAAaBQAADgAAAAAAAAABACAAAAAiAQAAZHJzL2Uyb0RvYy54bWxQSwUGAAAAAAYABgBZAQAA&#10;KQY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6F68CB63">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预后评估</w:t>
                      </w:r>
                    </w:p>
                  </w:txbxContent>
                </v:textbox>
                <w10:wrap type="none"/>
                <w10:anchorlock/>
              </v:shape>
            </w:pict>
          </mc:Fallback>
        </mc:AlternateContent>
      </w:r>
    </w:p>
    <w:bookmarkEnd w:id="5"/>
    <w:bookmarkEnd w:id="6"/>
    <w:bookmarkEnd w:id="7"/>
    <w:p w14:paraId="090A9E6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p>
    <w:tbl>
      <w:tblPr>
        <w:tblStyle w:val="29"/>
        <w:tblW w:w="9978" w:type="dxa"/>
        <w:tblInd w:w="0" w:type="dxa"/>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Layout w:type="fixed"/>
        <w:tblCellMar>
          <w:top w:w="0" w:type="dxa"/>
          <w:left w:w="0" w:type="dxa"/>
          <w:bottom w:w="0" w:type="dxa"/>
          <w:right w:w="0" w:type="dxa"/>
        </w:tblCellMar>
      </w:tblPr>
      <w:tblGrid>
        <w:gridCol w:w="966"/>
        <w:gridCol w:w="1407"/>
        <w:gridCol w:w="1033"/>
        <w:gridCol w:w="6572"/>
      </w:tblGrid>
      <w:tr w14:paraId="737793D4">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605" w:hRule="exact"/>
          <w:tblHeader/>
        </w:trPr>
        <w:tc>
          <w:tcPr>
            <w:tcW w:w="966" w:type="dxa"/>
            <w:tcBorders>
              <w:top w:val="nil"/>
              <w:right w:val="nil"/>
            </w:tcBorders>
            <w:shd w:val="clear" w:color="auto" w:fill="00D392"/>
            <w:vAlign w:val="center"/>
          </w:tcPr>
          <w:p w14:paraId="64B71DD2">
            <w:pPr>
              <w:pStyle w:val="28"/>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1407" w:type="dxa"/>
            <w:tcBorders>
              <w:top w:val="nil"/>
              <w:left w:val="nil"/>
              <w:right w:val="nil"/>
            </w:tcBorders>
            <w:shd w:val="clear" w:color="auto" w:fill="00D392"/>
            <w:vAlign w:val="center"/>
          </w:tcPr>
          <w:p w14:paraId="6BAA705E">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1033" w:type="dxa"/>
            <w:tcBorders>
              <w:top w:val="nil"/>
              <w:left w:val="nil"/>
              <w:right w:val="nil"/>
            </w:tcBorders>
            <w:shd w:val="clear" w:color="auto" w:fill="00D392"/>
            <w:vAlign w:val="center"/>
          </w:tcPr>
          <w:p w14:paraId="4F0FBFA2">
            <w:pPr>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变异丰度</w:t>
            </w:r>
          </w:p>
        </w:tc>
        <w:tc>
          <w:tcPr>
            <w:tcW w:w="6572" w:type="dxa"/>
            <w:tcBorders>
              <w:top w:val="nil"/>
              <w:left w:val="nil"/>
            </w:tcBorders>
            <w:shd w:val="clear" w:color="auto" w:fill="00D392"/>
            <w:vAlign w:val="center"/>
          </w:tcPr>
          <w:p w14:paraId="2F21F968">
            <w:pPr>
              <w:pStyle w:val="28"/>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r>
      <w:tr w14:paraId="28B5C73A">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195B4F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prognosticEvaluation != [] %}</w:t>
            </w:r>
          </w:p>
        </w:tc>
      </w:tr>
      <w:tr w14:paraId="7918F225">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3C697B0">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prognosticEvaluation %}</w:t>
            </w:r>
          </w:p>
        </w:tc>
      </w:tr>
      <w:tr w14:paraId="634F3109">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6FC6EE51">
            <w:pPr>
              <w:ind w:left="162" w:right="163"/>
              <w:jc w:val="center"/>
              <w:rPr>
                <w:rFonts w:hint="eastAsia" w:ascii="宋体" w:hAnsi="宋体" w:eastAsia="宋体" w:cs="宋体"/>
                <w:b/>
                <w:sz w:val="18"/>
                <w:szCs w:val="18"/>
              </w:rPr>
            </w:pPr>
            <w:r>
              <w:rPr>
                <w:rFonts w:hint="eastAsia" w:ascii="宋体" w:hAnsi="宋体" w:eastAsia="宋体" w:cs="宋体"/>
                <w:b w:val="0"/>
                <w:bCs/>
                <w:sz w:val="18"/>
                <w:szCs w:val="18"/>
                <w:lang w:eastAsia="zh-CN"/>
              </w:rPr>
              <w:t>{{ tip.gene }}</w:t>
            </w:r>
          </w:p>
        </w:tc>
        <w:tc>
          <w:tcPr>
            <w:tcW w:w="1407" w:type="dxa"/>
            <w:tcBorders>
              <w:left w:val="nil"/>
              <w:right w:val="nil"/>
            </w:tcBorders>
            <w:shd w:val="clear" w:color="auto" w:fill="auto"/>
            <w:vAlign w:val="center"/>
          </w:tcPr>
          <w:p w14:paraId="2B07E59A">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1033" w:type="dxa"/>
            <w:tcBorders>
              <w:left w:val="nil"/>
              <w:right w:val="nil"/>
            </w:tcBorders>
            <w:shd w:val="clear" w:color="auto" w:fill="auto"/>
            <w:vAlign w:val="center"/>
          </w:tcPr>
          <w:p w14:paraId="149CB13B">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6572" w:type="dxa"/>
            <w:tcBorders>
              <w:left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eastAsia" w:ascii="宋体" w:hAnsi="宋体" w:eastAsia="宋体" w:cs="宋体"/>
                <w:sz w:val="18"/>
                <w:szCs w:val="18"/>
                <w:lang w:eastAsia="zh-CN"/>
              </w:rPr>
            </w:pPr>
            <w:r>
              <w:rPr>
                <w:rFonts w:hint="eastAsia" w:ascii="宋体" w:hAnsi="宋体" w:eastAsia="宋体" w:cs="宋体"/>
                <w:bCs/>
                <w:sz w:val="18"/>
                <w:szCs w:val="18"/>
                <w:lang w:eastAsia="zh-CN"/>
              </w:rPr>
              <w:t xml:space="preserve">{{ </w:t>
            </w:r>
            <w:r>
              <w:rPr>
                <w:rFonts w:hint="eastAsia" w:ascii="宋体" w:hAnsi="宋体" w:eastAsia="宋体" w:cs="宋体"/>
                <w:sz w:val="18"/>
                <w:szCs w:val="18"/>
                <w:lang w:eastAsia="zh-CN"/>
              </w:rPr>
              <w:t>tip</w:t>
            </w:r>
            <w:r>
              <w:rPr>
                <w:rFonts w:hint="eastAsia" w:ascii="宋体" w:hAnsi="宋体" w:eastAsia="宋体" w:cs="宋体"/>
                <w:bCs/>
                <w:sz w:val="18"/>
                <w:szCs w:val="18"/>
                <w:lang w:eastAsia="zh-CN"/>
              </w:rPr>
              <w:t>.prognosis_evaluation }}</w:t>
            </w:r>
          </w:p>
        </w:tc>
      </w:tr>
      <w:tr w14:paraId="41779B62">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063A0EA5">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8CFB20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27F4601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19068E36">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66" w:type="dxa"/>
            <w:tcBorders>
              <w:right w:val="nil"/>
            </w:tcBorders>
            <w:shd w:val="clear" w:color="auto" w:fill="auto"/>
            <w:vAlign w:val="center"/>
          </w:tcPr>
          <w:p w14:paraId="79B95414">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w:t>
            </w:r>
          </w:p>
        </w:tc>
        <w:tc>
          <w:tcPr>
            <w:tcW w:w="1407" w:type="dxa"/>
            <w:tcBorders>
              <w:left w:val="nil"/>
              <w:right w:val="nil"/>
            </w:tcBorders>
            <w:shd w:val="clear" w:color="auto" w:fill="auto"/>
            <w:vAlign w:val="center"/>
          </w:tcPr>
          <w:p w14:paraId="0D6EC623">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1033" w:type="dxa"/>
            <w:tcBorders>
              <w:left w:val="nil"/>
              <w:right w:val="nil"/>
            </w:tcBorders>
            <w:shd w:val="clear" w:color="auto" w:fill="auto"/>
            <w:vAlign w:val="center"/>
          </w:tcPr>
          <w:p w14:paraId="17C6C6A7">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c>
          <w:tcPr>
            <w:tcW w:w="6572" w:type="dxa"/>
            <w:tcBorders>
              <w:left w:val="nil"/>
            </w:tcBorders>
            <w:shd w:val="clear" w:color="auto" w:fill="auto"/>
            <w:vAlign w:val="center"/>
          </w:tcPr>
          <w:p w14:paraId="636CE058">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w:t>
            </w:r>
          </w:p>
        </w:tc>
      </w:tr>
      <w:tr w14:paraId="71D416D0">
        <w:tblPrEx>
          <w:tblBorders>
            <w:top w:val="single" w:color="00B050" w:sz="18" w:space="0"/>
            <w:left w:val="none" w:color="auto" w:sz="0" w:space="0"/>
            <w:bottom w:val="single" w:color="auto" w:sz="4" w:space="0"/>
            <w:right w:val="none" w:color="auto" w:sz="0" w:space="0"/>
            <w:insideH w:val="single" w:color="auto" w:sz="4" w:space="0"/>
            <w:insideV w:val="dotted" w:color="00B050" w:sz="4" w:space="0"/>
          </w:tblBorders>
          <w:tblCellMar>
            <w:top w:w="0" w:type="dxa"/>
            <w:left w:w="0" w:type="dxa"/>
            <w:bottom w:w="0" w:type="dxa"/>
            <w:right w:w="0" w:type="dxa"/>
          </w:tblCellMar>
        </w:tblPrEx>
        <w:trPr>
          <w:cantSplit/>
          <w:trHeight w:val="567" w:hRule="atLeast"/>
        </w:trPr>
        <w:tc>
          <w:tcPr>
            <w:tcW w:w="9978" w:type="dxa"/>
            <w:gridSpan w:val="4"/>
            <w:shd w:val="clear" w:color="auto" w:fill="auto"/>
            <w:vAlign w:val="center"/>
          </w:tcPr>
          <w:p w14:paraId="747795CF">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2E709E74">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28B34ECA">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1F180563">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F144295">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668832F1">
            <w:pPr>
              <w:widowControl/>
              <w:snapToGrid w:val="0"/>
              <w:spacing w:line="240" w:lineRule="auto"/>
              <w:jc w:val="center"/>
              <w:textAlignment w:val="center"/>
              <w:rPr>
                <w:rFonts w:hint="eastAsia" w:ascii="宋体" w:hAnsi="宋体" w:eastAsia="宋体" w:cs="宋体"/>
                <w:b/>
                <w:bCs/>
                <w:color w:val="FFFFFF"/>
                <w:sz w:val="18"/>
                <w:szCs w:val="18"/>
              </w:rPr>
            </w:pPr>
            <w:r>
              <w:rPr>
                <w:rStyle w:val="31"/>
                <w:rFonts w:hint="eastAsia" w:ascii="宋体" w:hAnsi="宋体" w:eastAsia="宋体" w:cs="宋体"/>
                <w:sz w:val="18"/>
                <w:szCs w:val="18"/>
                <w:lang w:eastAsia="zh-CN" w:bidi="ar"/>
              </w:rPr>
              <w:t>检测意义</w:t>
            </w:r>
          </w:p>
        </w:tc>
      </w:tr>
      <w:tr w14:paraId="507AE34F">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4" w:hRule="atLeast"/>
        </w:trPr>
        <w:tc>
          <w:tcPr>
            <w:tcW w:w="2980" w:type="dxa"/>
            <w:gridSpan w:val="2"/>
            <w:shd w:val="clear" w:color="auto" w:fill="auto"/>
            <w:vAlign w:val="center"/>
          </w:tcPr>
          <w:p w14:paraId="5AE50A0D">
            <w:pPr>
              <w:widowControl/>
              <w:snapToGrid w:val="0"/>
              <w:jc w:val="center"/>
              <w:textAlignment w:val="center"/>
              <w:rPr>
                <w:rFonts w:hint="eastAsia" w:ascii="宋体" w:hAnsi="宋体" w:eastAsia="宋体" w:cs="宋体"/>
                <w:b/>
                <w:bCs/>
                <w:color w:val="000000"/>
                <w:sz w:val="18"/>
                <w:szCs w:val="18"/>
                <w:lang w:eastAsia="zh-CN"/>
              </w:rPr>
            </w:pPr>
            <w:r>
              <w:rPr>
                <w:rStyle w:val="32"/>
                <w:rFonts w:hint="eastAsia" w:ascii="宋体" w:hAnsi="宋体" w:eastAsia="宋体" w:cs="宋体"/>
                <w:sz w:val="18"/>
                <w:szCs w:val="18"/>
                <w:lang w:eastAsia="zh-CN" w:bidi="ar"/>
              </w:rPr>
              <w:t>微卫星不稳定（</w:t>
            </w:r>
            <w:r>
              <w:rPr>
                <w:rStyle w:val="33"/>
                <w:rFonts w:hint="eastAsia" w:ascii="宋体" w:hAnsi="宋体" w:eastAsia="宋体" w:cs="宋体"/>
                <w:sz w:val="18"/>
                <w:szCs w:val="18"/>
                <w:lang w:eastAsia="zh-CN" w:bidi="ar"/>
              </w:rPr>
              <w:t>MSI</w:t>
            </w:r>
            <w:r>
              <w:rPr>
                <w:rStyle w:val="32"/>
                <w:rFonts w:hint="eastAsia" w:ascii="宋体" w:hAnsi="宋体" w:eastAsia="宋体" w:cs="宋体"/>
                <w:sz w:val="18"/>
                <w:szCs w:val="18"/>
                <w:lang w:eastAsia="zh-CN" w:bidi="ar"/>
              </w:rPr>
              <w:t>）</w:t>
            </w:r>
          </w:p>
        </w:tc>
        <w:tc>
          <w:tcPr>
            <w:tcW w:w="3209" w:type="dxa"/>
            <w:shd w:val="clear" w:color="auto" w:fill="auto"/>
            <w:vAlign w:val="center"/>
          </w:tcPr>
          <w:p w14:paraId="3D9ECCAE">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shd w:val="clear" w:color="auto" w:fill="auto"/>
            <w:vAlign w:val="center"/>
          </w:tcPr>
          <w:p w14:paraId="5DFDFC30">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7"/>
                <w:rFonts w:hint="eastAsia" w:ascii="宋体" w:hAnsi="宋体" w:eastAsia="宋体" w:cs="宋体"/>
                <w:sz w:val="18"/>
                <w:szCs w:val="18"/>
                <w:lang w:eastAsia="zh-CN" w:bidi="ar"/>
              </w:rPr>
              <w:t>微卫星不稳定型（</w:t>
            </w:r>
            <w:r>
              <w:rPr>
                <w:rStyle w:val="34"/>
                <w:rFonts w:hint="eastAsia" w:ascii="宋体" w:hAnsi="宋体" w:eastAsia="宋体" w:cs="宋体"/>
                <w:sz w:val="18"/>
                <w:szCs w:val="18"/>
                <w:lang w:eastAsia="zh-CN" w:bidi="ar"/>
              </w:rPr>
              <w:t>MSI-H</w:t>
            </w:r>
            <w:r>
              <w:rPr>
                <w:rStyle w:val="37"/>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5BD137C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BE7A36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705D0F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B6FDB64">
            <w:pPr>
              <w:widowControl/>
              <w:snapToGrid w:val="0"/>
              <w:jc w:val="center"/>
              <w:textAlignment w:val="center"/>
              <w:rPr>
                <w:rStyle w:val="32"/>
                <w:rFonts w:hint="eastAsia" w:ascii="宋体" w:hAnsi="宋体" w:eastAsia="宋体" w:cs="宋体"/>
                <w:sz w:val="18"/>
                <w:szCs w:val="18"/>
                <w:highlight w:val="none"/>
                <w:lang w:val="en-US" w:eastAsia="zh-CN" w:bidi="ar"/>
              </w:rPr>
            </w:pPr>
            <w:r>
              <w:rPr>
                <w:rStyle w:val="32"/>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442931BA">
            <w:pPr>
              <w:snapToGrid w:val="0"/>
              <w:jc w:val="left"/>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38B3AD8A">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0627966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7A257C7D">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29674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4E8F03DA">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B1FE30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3B6619AF">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A68288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27D0D7A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6AE860F7">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C23EF5A">
            <w:pPr>
              <w:widowControl/>
              <w:snapToGrid w:val="0"/>
              <w:jc w:val="center"/>
              <w:textAlignment w:val="center"/>
              <w:rPr>
                <w:rStyle w:val="32"/>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35AAD20D">
            <w:pPr>
              <w:snapToGrid w:val="0"/>
              <w:jc w:val="both"/>
              <w:rPr>
                <w:rFonts w:hint="eastAsia" w:ascii="宋体" w:hAnsi="宋体" w:eastAsia="宋体" w:cs="宋体"/>
                <w:sz w:val="18"/>
                <w:szCs w:val="18"/>
                <w:lang w:eastAsia="zh-CN"/>
              </w:rPr>
            </w:pPr>
            <w:r>
              <w:rPr>
                <w:rStyle w:val="37"/>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227FA1E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3D474B60">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DCD9262">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34E49CC8">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23841897">
            <w:pPr>
              <w:widowControl/>
              <w:snapToGrid w:val="0"/>
              <w:jc w:val="center"/>
              <w:textAlignment w:val="center"/>
              <w:rPr>
                <w:rStyle w:val="32"/>
                <w:rFonts w:hint="eastAsia" w:ascii="宋体" w:hAnsi="宋体" w:eastAsia="宋体" w:cs="宋体"/>
                <w:sz w:val="18"/>
                <w:szCs w:val="18"/>
                <w:highlight w:val="yellow"/>
                <w:lang w:eastAsia="zh-CN" w:bidi="ar"/>
              </w:rPr>
            </w:pPr>
            <w:r>
              <w:rPr>
                <w:rStyle w:val="32"/>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13D26644">
            <w:pPr>
              <w:snapToGrid w:val="0"/>
              <w:jc w:val="left"/>
              <w:rPr>
                <w:rStyle w:val="32"/>
                <w:rFonts w:hint="eastAsia" w:ascii="宋体" w:hAnsi="宋体" w:eastAsia="宋体" w:cs="宋体"/>
                <w:sz w:val="18"/>
                <w:szCs w:val="18"/>
                <w:highlight w:val="none"/>
                <w:lang w:val="en-US" w:eastAsia="zh-CN" w:bidi="ar"/>
              </w:rPr>
            </w:pPr>
            <w:r>
              <w:rPr>
                <w:rStyle w:val="37"/>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9F9B374">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157BCF1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0FA4D5FF">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09E3A7B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F447AA1">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8783D2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7466511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5B51F79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6E7ACC91">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638A8AAD">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D798F2C">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5896DB0">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0B44FA67">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4"/>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A2622A">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86978FF">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7CD35DB1">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1C4C8BB2">
            <w:pPr>
              <w:widowControl/>
              <w:snapToGrid w:val="0"/>
              <w:jc w:val="center"/>
              <w:textAlignment w:val="center"/>
              <w:rPr>
                <w:rStyle w:val="32"/>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3DB67EC1">
            <w:pPr>
              <w:snapToGrid w:val="0"/>
              <w:jc w:val="left"/>
              <w:rPr>
                <w:rStyle w:val="32"/>
                <w:rFonts w:hint="eastAsia" w:ascii="宋体" w:hAnsi="宋体" w:eastAsia="宋体" w:cs="宋体"/>
                <w:sz w:val="18"/>
                <w:szCs w:val="18"/>
                <w:highlight w:val="yellow"/>
                <w:lang w:eastAsia="zh-CN" w:bidi="ar"/>
              </w:rPr>
            </w:pPr>
            <w:r>
              <w:rPr>
                <w:rStyle w:val="37"/>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4619CC9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4"/>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76674BD6">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151BE82">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1F0E1729">
        <w:tblPrEx>
          <w:tblBorders>
            <w:top w:val="none" w:color="auto" w:sz="0" w:space="0"/>
            <w:left w:val="none" w:color="auto" w:sz="0" w:space="0"/>
            <w:bottom w:val="single" w:color="000000" w:themeColor="text1"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61FB97A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181A04">
      <w:pPr>
        <w:numPr>
          <w:ilvl w:val="0"/>
          <w:numId w:val="0"/>
        </w:numPr>
        <w:ind w:leftChars="0"/>
        <w:rPr>
          <w:sz w:val="28"/>
          <w:lang w:eastAsia="zh-CN"/>
        </w:rPr>
      </w:pPr>
    </w:p>
    <w:p w14:paraId="7DF32DC3">
      <w:pPr>
        <w:rPr>
          <w:sz w:val="28"/>
          <w:lang w:eastAsia="zh-CN"/>
        </w:rPr>
      </w:pPr>
      <w:r>
        <w:rPr>
          <w:sz w:val="28"/>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9"/>
        <w:tblW w:w="9844" w:type="dxa"/>
        <w:jc w:val="center"/>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right w:val="nil"/>
            </w:tcBorders>
            <w:shd w:val="clear" w:color="auto" w:fill="00D392"/>
            <w:vAlign w:val="center"/>
          </w:tcPr>
          <w:p w14:paraId="39713585">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检测基因</w:t>
            </w:r>
          </w:p>
        </w:tc>
        <w:tc>
          <w:tcPr>
            <w:tcW w:w="789" w:type="dxa"/>
            <w:tcBorders>
              <w:top w:val="nil"/>
              <w:left w:val="nil"/>
              <w:right w:val="nil"/>
            </w:tcBorders>
            <w:shd w:val="clear" w:color="auto" w:fill="00D392"/>
            <w:vAlign w:val="center"/>
          </w:tcPr>
          <w:p w14:paraId="256DDDEB">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op w:val="nil"/>
              <w:left w:val="nil"/>
              <w:right w:val="nil"/>
            </w:tcBorders>
            <w:shd w:val="clear" w:color="auto" w:fill="00D392"/>
            <w:vAlign w:val="center"/>
          </w:tcPr>
          <w:p w14:paraId="7DFF37E5">
            <w:pPr>
              <w:pStyle w:val="28"/>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op w:val="nil"/>
              <w:left w:val="nil"/>
              <w:right w:val="nil"/>
            </w:tcBorders>
            <w:shd w:val="clear" w:color="auto" w:fill="00D392"/>
            <w:vAlign w:val="center"/>
          </w:tcPr>
          <w:p w14:paraId="7BDB64D6">
            <w:pPr>
              <w:pStyle w:val="28"/>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op w:val="nil"/>
              <w:left w:val="nil"/>
              <w:right w:val="nil"/>
            </w:tcBorders>
            <w:shd w:val="clear" w:color="auto" w:fill="00D392"/>
            <w:vAlign w:val="center"/>
          </w:tcPr>
          <w:p w14:paraId="66B1A257">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op w:val="nil"/>
              <w:left w:val="nil"/>
              <w:right w:val="nil"/>
            </w:tcBorders>
            <w:shd w:val="clear" w:color="auto" w:fill="00D392"/>
            <w:vAlign w:val="center"/>
          </w:tcPr>
          <w:p w14:paraId="7632D6CE">
            <w:pPr>
              <w:pStyle w:val="28"/>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op w:val="nil"/>
              <w:left w:val="nil"/>
            </w:tcBorders>
            <w:shd w:val="clear" w:color="auto" w:fill="00D392"/>
            <w:vAlign w:val="center"/>
          </w:tcPr>
          <w:p w14:paraId="30DF5A02">
            <w:pPr>
              <w:pStyle w:val="28"/>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right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left w:val="nil"/>
              <w:right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left w:val="nil"/>
              <w:right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left w:val="nil"/>
              <w:right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left w:val="nil"/>
              <w:right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left w:val="nil"/>
              <w:right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left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single" w:color="A4A4A4" w:sz="4"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7"/>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9"/>
        <w:tblW w:w="5035" w:type="pct"/>
        <w:jc w:val="center"/>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right w:val="nil"/>
            </w:tcBorders>
            <w:shd w:val="clear" w:color="auto" w:fill="00D392"/>
            <w:vAlign w:val="center"/>
          </w:tcPr>
          <w:p w14:paraId="71C8F92D">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检测基因</w:t>
            </w:r>
          </w:p>
        </w:tc>
        <w:tc>
          <w:tcPr>
            <w:tcW w:w="895" w:type="pct"/>
            <w:tcBorders>
              <w:top w:val="nil"/>
              <w:left w:val="nil"/>
              <w:right w:val="nil"/>
            </w:tcBorders>
            <w:shd w:val="clear" w:color="auto" w:fill="00D392"/>
            <w:vAlign w:val="center"/>
          </w:tcPr>
          <w:p w14:paraId="3D47E0B2">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op w:val="nil"/>
              <w:left w:val="nil"/>
              <w:right w:val="nil"/>
            </w:tcBorders>
            <w:shd w:val="clear" w:color="auto" w:fill="00D392"/>
            <w:vAlign w:val="center"/>
          </w:tcPr>
          <w:p w14:paraId="7B148605">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op w:val="nil"/>
              <w:left w:val="nil"/>
              <w:right w:val="nil"/>
            </w:tcBorders>
            <w:shd w:val="clear" w:color="auto" w:fill="00D392"/>
            <w:vAlign w:val="center"/>
          </w:tcPr>
          <w:p w14:paraId="5E37BECE">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op w:val="nil"/>
              <w:left w:val="nil"/>
              <w:right w:val="nil"/>
            </w:tcBorders>
            <w:shd w:val="clear" w:color="auto" w:fill="00D392"/>
            <w:vAlign w:val="center"/>
          </w:tcPr>
          <w:p w14:paraId="46E9E82B">
            <w:pPr>
              <w:pStyle w:val="28"/>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op w:val="nil"/>
              <w:left w:val="nil"/>
              <w:right w:val="nil"/>
            </w:tcBorders>
            <w:shd w:val="clear" w:color="auto" w:fill="00D392"/>
            <w:vAlign w:val="center"/>
          </w:tcPr>
          <w:p w14:paraId="7CF212D7">
            <w:pPr>
              <w:pStyle w:val="28"/>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left w:val="nil"/>
              <w:right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1286" w:type="dxa"/>
            <w:tcBorders>
              <w:left w:val="nil"/>
              <w:bottom w:val="single" w:color="auto" w:sz="4" w:space="0"/>
              <w:right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left w:val="nil"/>
              <w:bottom w:val="single" w:color="auto" w:sz="4" w:space="0"/>
              <w:right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left w:val="nil"/>
              <w:bottom w:val="single" w:color="auto" w:sz="4" w:space="0"/>
              <w:right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left w:val="nil"/>
              <w:bottom w:val="single" w:color="auto" w:sz="4" w:space="0"/>
              <w:right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left w:val="nil"/>
              <w:bottom w:val="single" w:color="auto" w:sz="4" w:space="0"/>
              <w:right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left w:val="nil"/>
              <w:bottom w:val="single" w:color="auto" w:sz="4" w:space="0"/>
              <w:right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5000" w:type="pct"/>
            <w:gridSpan w:val="6"/>
            <w:tcBorders>
              <w:top w:val="single" w:color="auto" w:sz="4" w:space="0"/>
              <w:left w:val="nil"/>
              <w:right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single" w:color="00B050"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0" w:hRule="atLeast"/>
          <w:jc w:val="center"/>
        </w:trPr>
        <w:tc>
          <w:tcPr>
            <w:tcW w:w="9942" w:type="dxa"/>
            <w:gridSpan w:val="6"/>
            <w:tcBorders>
              <w:left w:val="nil"/>
              <w:right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E543822">
      <w:pPr>
        <w:rPr>
          <w:rFonts w:hint="default" w:ascii="Times New Roman" w:hAnsi="Times New Roman" w:eastAsia="微软雅黑" w:cs="Times New Roman"/>
          <w:sz w:val="24"/>
          <w:szCs w:val="24"/>
          <w:lang w:val="en-US" w:eastAsia="zh-CN"/>
        </w:rPr>
      </w:pPr>
    </w:p>
    <w:p w14:paraId="45EBB5E0">
      <w:pPr>
        <w:rPr>
          <w:rFonts w:hint="default" w:ascii="Times New Roman" w:hAnsi="Times New Roman" w:eastAsia="微软雅黑" w:cs="Times New Roman"/>
          <w:sz w:val="24"/>
          <w:szCs w:val="24"/>
          <w:lang w:val="en-US"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10" name="同侧圆角矩形 10"/>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BLwBrG0gAAAAQB&#10;AAAPAAAAAAAAAAEAIAAAACIAAABkcnMvZG93bnJldi54bWxQSwECFAAUAAAACACHTuJAUxaaJ5MC&#10;AAAcBQAADgAAAAAAAAABACAAAAAhAQAAZHJzL2Uyb0RvYy54bWxQSwUGAAAAAAYABgBZAQAAJgYA&#10;A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7A44ED38">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同源重组修复（HRR）基因检测结果</w:t>
                      </w:r>
                    </w:p>
                  </w:txbxContent>
                </v:textbox>
                <w10:wrap type="none"/>
                <w10:anchorlock/>
              </v:shape>
            </w:pict>
          </mc:Fallback>
        </mc:AlternateContent>
      </w:r>
    </w:p>
    <w:p w14:paraId="4DAAA5F2">
      <w:pPr>
        <w:rPr>
          <w:rFonts w:hint="eastAsia" w:ascii="宋体" w:hAnsi="宋体" w:eastAsia="宋体" w:cs="宋体"/>
          <w:lang w:val="en-US" w:eastAsia="zh-CN"/>
        </w:rPr>
      </w:pP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2497"/>
        <w:gridCol w:w="6323"/>
      </w:tblGrid>
      <w:tr w14:paraId="2E3E3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single" w:color="000000" w:themeColor="text1" w:sz="4" w:space="0"/>
              <w:right w:val="nil"/>
            </w:tcBorders>
            <w:shd w:val="clear" w:color="auto" w:fill="00D392"/>
            <w:vAlign w:val="center"/>
          </w:tcPr>
          <w:p w14:paraId="74332122">
            <w:pPr>
              <w:widowControl/>
              <w:snapToGrid w:val="0"/>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2497" w:type="dxa"/>
            <w:tcBorders>
              <w:top w:val="nil"/>
              <w:left w:val="nil"/>
              <w:bottom w:val="single" w:color="000000" w:themeColor="text1" w:sz="4" w:space="0"/>
              <w:right w:val="nil"/>
            </w:tcBorders>
            <w:shd w:val="clear" w:color="auto" w:fill="00D392"/>
            <w:vAlign w:val="center"/>
          </w:tcPr>
          <w:p w14:paraId="594D02FD">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eastAsia="zh-CN" w:bidi="ar"/>
              </w:rPr>
              <w:t>检测结果</w:t>
            </w:r>
          </w:p>
        </w:tc>
        <w:tc>
          <w:tcPr>
            <w:tcW w:w="6323" w:type="dxa"/>
            <w:tcBorders>
              <w:top w:val="nil"/>
              <w:left w:val="nil"/>
              <w:bottom w:val="single" w:color="000000" w:themeColor="text1" w:sz="4" w:space="0"/>
            </w:tcBorders>
            <w:shd w:val="clear" w:color="auto" w:fill="00D392"/>
            <w:vAlign w:val="center"/>
          </w:tcPr>
          <w:p w14:paraId="0FE03148">
            <w:pPr>
              <w:widowControl/>
              <w:snapToGrid w:val="0"/>
              <w:jc w:val="center"/>
              <w:textAlignment w:val="center"/>
              <w:rPr>
                <w:rFonts w:hint="eastAsia" w:ascii="宋体" w:hAnsi="宋体" w:eastAsia="宋体" w:cs="宋体"/>
                <w:b/>
                <w:bCs/>
                <w:color w:val="FFFFFF"/>
                <w:sz w:val="18"/>
                <w:szCs w:val="18"/>
                <w:lang w:eastAsia="zh-CN"/>
              </w:rPr>
            </w:pPr>
            <w:r>
              <w:rPr>
                <w:rStyle w:val="31"/>
                <w:rFonts w:hint="eastAsia" w:ascii="宋体" w:hAnsi="宋体" w:eastAsia="宋体" w:cs="宋体"/>
                <w:sz w:val="18"/>
                <w:szCs w:val="18"/>
                <w:lang w:val="en-US" w:eastAsia="zh-CN" w:bidi="ar"/>
              </w:rPr>
              <w:t>临床</w:t>
            </w:r>
            <w:r>
              <w:rPr>
                <w:rStyle w:val="31"/>
                <w:rFonts w:hint="eastAsia" w:ascii="宋体" w:hAnsi="宋体" w:eastAsia="宋体" w:cs="宋体"/>
                <w:sz w:val="18"/>
                <w:szCs w:val="18"/>
                <w:lang w:eastAsia="zh-CN" w:bidi="ar"/>
              </w:rPr>
              <w:t>意义</w:t>
            </w:r>
          </w:p>
        </w:tc>
      </w:tr>
      <w:tr w14:paraId="65D34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19BDA69D">
            <w:pPr>
              <w:pStyle w:val="10"/>
              <w:keepNext w:val="0"/>
              <w:keepLines w:val="0"/>
              <w:widowControl/>
              <w:suppressLineNumbers w:val="0"/>
              <w:jc w:val="both"/>
              <w:rPr>
                <w:rFonts w:hint="eastAsia" w:ascii="宋体" w:hAnsi="宋体" w:eastAsia="宋体" w:cs="宋体"/>
                <w:color w:val="auto"/>
                <w:sz w:val="18"/>
                <w:szCs w:val="18"/>
                <w:lang w:val="en-US" w:eastAsia="zh-CN"/>
              </w:rPr>
            </w:pPr>
            <w:r>
              <w:rPr>
                <w:rFonts w:hint="eastAsia" w:ascii="宋体" w:hAnsi="宋体" w:eastAsia="宋体" w:cs="宋体"/>
                <w:color w:val="auto"/>
                <w:sz w:val="18"/>
                <w:szCs w:val="18"/>
                <w:lang w:val="en-US" w:eastAsia="zh-CN"/>
              </w:rPr>
              <w:t>{%tr if HRRInfo.BRCA1 == ‘-’ and HRRInfo.BRCA2 == ‘-’%}</w:t>
            </w:r>
          </w:p>
        </w:tc>
      </w:tr>
      <w:tr w14:paraId="08CD3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C277B9C">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042073E">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6651D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9273627">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BRCA2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24F89F0">
            <w:pPr>
              <w:pStyle w:val="10"/>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40E5B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73ABFF2F">
            <w:pPr>
              <w:pStyle w:val="10"/>
              <w:keepNext w:val="0"/>
              <w:keepLines w:val="0"/>
              <w:widowControl/>
              <w:suppressLineNumbers w:val="0"/>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237B1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FECC6A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1FF02E5">
            <w:pPr>
              <w:pStyle w:val="10"/>
              <w:keepNext w:val="0"/>
              <w:keepLines w:val="0"/>
              <w:widowControl/>
              <w:suppressLineNumbers w:val="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HRRInfo.BRCA1 ==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BRCA1|</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7BF0C09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{{HRRInfo.clinical_significance_desc1}}</w:t>
            </w:r>
          </w:p>
        </w:tc>
      </w:tr>
      <w:tr w14:paraId="32B54C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7E07FE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BRCA2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CE963A8">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BRCA2|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73AF60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8991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D3C016D">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{%tr endif %}</w:t>
            </w:r>
          </w:p>
        </w:tc>
      </w:tr>
      <w:tr w14:paraId="088CA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602FC39F">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color w:val="auto"/>
                <w:sz w:val="18"/>
                <w:szCs w:val="18"/>
                <w:lang w:val="en-US" w:eastAsia="zh-CN"/>
              </w:rPr>
              <w:t>{%tr if HRRInfo.clinical_significance_desc2 == ‘-’%}</w:t>
            </w:r>
          </w:p>
        </w:tc>
      </w:tr>
      <w:tr w14:paraId="3F36E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2062CBA">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D8223C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70715E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BD03D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AD6D305">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F3AD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3EF0A21">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C42F99F">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2DD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8FC72C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04CE1D">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6ABC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DE8B19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32BBF89B">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0C9889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C2A896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450887F4">
            <w:pPr>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84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C0D9DF2">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13471DC5">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C858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5E4862D">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03042D3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237BE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0BEB8B8">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7572F6BD">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BAAD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881CB2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235E0971">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3C4A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2FD32DB4">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50EAD5F8">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5AC58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58DFE7B9">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D3289C4">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310E6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F3CCB6C">
            <w:pPr>
              <w:widowControl/>
              <w:snapToGrid w:val="0"/>
              <w:jc w:val="center"/>
              <w:textAlignment w:val="center"/>
              <w:rPr>
                <w:rFonts w:hint="eastAsia" w:ascii="宋体" w:hAnsi="宋体" w:eastAsia="宋体" w:cs="宋体"/>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8820" w:type="dxa"/>
            <w:gridSpan w:val="2"/>
            <w:tcBorders>
              <w:top w:val="single" w:color="000000" w:themeColor="text1" w:sz="4" w:space="0"/>
              <w:left w:val="nil"/>
              <w:bottom w:val="single" w:color="000000" w:themeColor="text1" w:sz="4" w:space="0"/>
            </w:tcBorders>
            <w:shd w:val="clear" w:color="auto" w:fill="auto"/>
            <w:vAlign w:val="center"/>
          </w:tcPr>
          <w:p w14:paraId="6B51ABAA">
            <w:pPr>
              <w:keepNext w:val="0"/>
              <w:keepLines w:val="0"/>
              <w:widowControl/>
              <w:suppressLineNumbers w:val="0"/>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未见变异</w:t>
            </w:r>
          </w:p>
        </w:tc>
      </w:tr>
      <w:tr w14:paraId="1633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40416A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1536A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A81D874">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ATM</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3598B0E">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 xml:space="preserve">ATM </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ATM |</w:t>
            </w:r>
            <w:r>
              <w:rPr>
                <w:rStyle w:val="37"/>
                <w:rFonts w:hint="eastAsia" w:ascii="宋体" w:hAnsi="宋体" w:eastAsia="宋体" w:cs="宋体"/>
                <w:b w:val="0"/>
                <w:bCs w:val="0"/>
                <w:sz w:val="18"/>
                <w:szCs w:val="18"/>
                <w:lang w:val="en-US" w:eastAsia="zh-CN" w:bidi="ar"/>
              </w:rPr>
              <w:t>splitlines}}{% endif %}</w:t>
            </w:r>
          </w:p>
        </w:tc>
        <w:tc>
          <w:tcPr>
            <w:tcW w:w="6323" w:type="dxa"/>
            <w:vMerge w:val="restart"/>
            <w:tcBorders>
              <w:top w:val="single" w:color="000000" w:themeColor="text1" w:sz="4" w:space="0"/>
              <w:left w:val="nil"/>
              <w:bottom w:val="single" w:color="000000" w:themeColor="text1" w:sz="4" w:space="0"/>
            </w:tcBorders>
            <w:shd w:val="clear" w:color="auto" w:fill="auto"/>
            <w:vAlign w:val="center"/>
          </w:tcPr>
          <w:p w14:paraId="451C8134">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{{HRRInfo.clinical_significance_desc2}}</w:t>
            </w:r>
          </w:p>
        </w:tc>
      </w:tr>
      <w:tr w14:paraId="72053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5E16BF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BARD1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1F42DE0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BARD1|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004073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68F06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1156D95">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BRIP1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DAAE9D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BRIP1|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4909426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8C5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E4A18D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CDK12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60F43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CDK12|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E845CCD">
            <w:pPr>
              <w:pStyle w:val="10"/>
              <w:keepNext w:val="0"/>
              <w:keepLines w:val="0"/>
              <w:widowControl/>
              <w:suppressLineNumbers w:val="0"/>
              <w:rPr>
                <w:rFonts w:hint="eastAsia" w:ascii="宋体" w:hAnsi="宋体" w:eastAsia="宋体" w:cs="宋体"/>
                <w:color w:val="000000"/>
                <w:sz w:val="18"/>
                <w:szCs w:val="18"/>
                <w:lang w:val="en-US" w:eastAsia="zh-CN"/>
              </w:rPr>
            </w:pPr>
          </w:p>
        </w:tc>
      </w:tr>
      <w:tr w14:paraId="00DDC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174C0FDC">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CHEK1</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4BF924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CHEK1|</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238CFF1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4E6B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4288100">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CHEK2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378B7A3">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CHEK2|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09AC210">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93E0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6B89B847">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FANCL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9ECDA0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FANCL|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169CBB55">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1812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2843EB2">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PALB2</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3F822A15">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PALB2|</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9CE43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5FE2E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A1873D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PPP2R2A</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63F6A4B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PPP2R2A|</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6A10E9A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6F4EF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0D19439D">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RAD51B</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579E750">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RAD51B|</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02714949">
            <w:pPr>
              <w:pStyle w:val="10"/>
              <w:keepNext w:val="0"/>
              <w:keepLines w:val="0"/>
              <w:widowControl/>
              <w:suppressLineNumbers w:val="0"/>
              <w:rPr>
                <w:rFonts w:hint="eastAsia" w:ascii="宋体" w:hAnsi="宋体" w:eastAsia="宋体" w:cs="宋体"/>
                <w:color w:val="000000"/>
                <w:sz w:val="18"/>
                <w:szCs w:val="18"/>
                <w:lang w:val="en-US" w:eastAsia="zh-CN"/>
              </w:rPr>
            </w:pPr>
          </w:p>
        </w:tc>
      </w:tr>
      <w:tr w14:paraId="2710E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72CD69F3">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RAD51C</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4A8FCFE1">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RAD51C|</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CB9EBB8">
            <w:pPr>
              <w:pStyle w:val="10"/>
              <w:keepNext w:val="0"/>
              <w:keepLines w:val="0"/>
              <w:widowControl/>
              <w:suppressLineNumbers w:val="0"/>
              <w:rPr>
                <w:rFonts w:hint="eastAsia" w:ascii="宋体" w:hAnsi="宋体" w:eastAsia="宋体" w:cs="宋体"/>
                <w:color w:val="000000"/>
                <w:sz w:val="18"/>
                <w:szCs w:val="18"/>
                <w:lang w:val="en-US" w:eastAsia="zh-CN"/>
              </w:rPr>
            </w:pPr>
          </w:p>
        </w:tc>
      </w:tr>
      <w:tr w14:paraId="3A7C3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36278386">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RAD51D</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2DB7047A">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RAD51D|</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79F0DBCE">
            <w:pPr>
              <w:pStyle w:val="10"/>
              <w:keepNext w:val="0"/>
              <w:keepLines w:val="0"/>
              <w:widowControl/>
              <w:suppressLineNumbers w:val="0"/>
              <w:rPr>
                <w:rFonts w:hint="eastAsia" w:ascii="宋体" w:hAnsi="宋体" w:eastAsia="宋体" w:cs="宋体"/>
                <w:color w:val="000000"/>
                <w:sz w:val="18"/>
                <w:szCs w:val="18"/>
                <w:lang w:val="en-US" w:eastAsia="zh-CN"/>
              </w:rPr>
            </w:pPr>
          </w:p>
        </w:tc>
      </w:tr>
      <w:tr w14:paraId="717E1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1118" w:type="dxa"/>
            <w:tcBorders>
              <w:top w:val="single" w:color="000000" w:themeColor="text1" w:sz="4" w:space="0"/>
              <w:bottom w:val="single" w:color="000000" w:themeColor="text1" w:sz="4" w:space="0"/>
              <w:right w:val="nil"/>
            </w:tcBorders>
            <w:shd w:val="clear" w:color="auto" w:fill="auto"/>
            <w:vAlign w:val="center"/>
          </w:tcPr>
          <w:p w14:paraId="424BB26E">
            <w:pPr>
              <w:widowControl/>
              <w:snapToGrid w:val="0"/>
              <w:jc w:val="center"/>
              <w:textAlignment w:val="center"/>
              <w:rPr>
                <w:rFonts w:hint="eastAsia" w:ascii="宋体" w:hAnsi="宋体" w:eastAsia="宋体" w:cs="宋体"/>
                <w:b w:val="0"/>
                <w:bCs w:val="0"/>
                <w:color w:val="000000"/>
                <w:sz w:val="18"/>
                <w:szCs w:val="18"/>
                <w:lang w:val="en-US" w:eastAsia="zh-CN"/>
              </w:rPr>
            </w:pPr>
            <w:r>
              <w:rPr>
                <w:rFonts w:hint="eastAsia" w:ascii="宋体" w:hAnsi="宋体" w:eastAsia="宋体" w:cs="宋体"/>
                <w:b w:val="0"/>
                <w:bCs w:val="0"/>
                <w:color w:val="000000"/>
                <w:sz w:val="18"/>
                <w:szCs w:val="18"/>
                <w:lang w:val="en-US" w:eastAsia="zh-CN"/>
              </w:rPr>
              <w:t>RAD54L</w:t>
            </w:r>
          </w:p>
        </w:tc>
        <w:tc>
          <w:tcPr>
            <w:tcW w:w="2497" w:type="dxa"/>
            <w:tcBorders>
              <w:top w:val="single" w:color="000000" w:themeColor="text1" w:sz="4" w:space="0"/>
              <w:left w:val="nil"/>
              <w:bottom w:val="single" w:color="000000" w:themeColor="text1" w:sz="4" w:space="0"/>
              <w:right w:val="nil"/>
            </w:tcBorders>
            <w:shd w:val="clear" w:color="auto" w:fill="auto"/>
            <w:vAlign w:val="center"/>
          </w:tcPr>
          <w:p w14:paraId="7A1010C6">
            <w:pPr>
              <w:pStyle w:val="10"/>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37"/>
                <w:rFonts w:hint="eastAsia" w:ascii="宋体" w:hAnsi="宋体" w:eastAsia="宋体" w:cs="宋体"/>
                <w:b w:val="0"/>
                <w:bCs w:val="0"/>
                <w:sz w:val="18"/>
                <w:szCs w:val="18"/>
                <w:lang w:val="en-US" w:eastAsia="zh-CN" w:bidi="ar"/>
              </w:rPr>
            </w:pPr>
            <w:r>
              <w:rPr>
                <w:rStyle w:val="37"/>
                <w:rFonts w:hint="eastAsia" w:ascii="宋体" w:hAnsi="宋体" w:eastAsia="宋体" w:cs="宋体"/>
                <w:b w:val="0"/>
                <w:bCs w:val="0"/>
                <w:sz w:val="18"/>
                <w:szCs w:val="18"/>
                <w:lang w:val="en-US" w:eastAsia="zh-CN" w:bidi="ar"/>
              </w:rPr>
              <w:t>{%if 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 ‘-’%}未见变异{% else %}{{</w:t>
            </w:r>
            <w:r>
              <w:rPr>
                <w:rFonts w:hint="eastAsia" w:ascii="宋体" w:hAnsi="宋体" w:eastAsia="宋体" w:cs="宋体"/>
                <w:b w:val="0"/>
                <w:bCs w:val="0"/>
                <w:color w:val="000000"/>
                <w:kern w:val="0"/>
                <w:sz w:val="18"/>
                <w:szCs w:val="18"/>
                <w:lang w:val="en-US" w:eastAsia="zh-CN" w:bidi="ar-SA"/>
              </w:rPr>
              <w:t>HRRInfo.</w:t>
            </w:r>
            <w:r>
              <w:rPr>
                <w:rFonts w:hint="eastAsia" w:ascii="宋体" w:hAnsi="宋体" w:eastAsia="宋体" w:cs="宋体"/>
                <w:b w:val="0"/>
                <w:bCs w:val="0"/>
                <w:color w:val="000000"/>
                <w:sz w:val="18"/>
                <w:szCs w:val="18"/>
                <w:lang w:val="en-US" w:eastAsia="zh-CN"/>
              </w:rPr>
              <w:t>RAD54L|</w:t>
            </w:r>
            <w:r>
              <w:rPr>
                <w:rStyle w:val="37"/>
                <w:rFonts w:hint="eastAsia" w:ascii="宋体" w:hAnsi="宋体" w:eastAsia="宋体" w:cs="宋体"/>
                <w:b w:val="0"/>
                <w:bCs w:val="0"/>
                <w:sz w:val="18"/>
                <w:szCs w:val="18"/>
                <w:lang w:val="en-US" w:eastAsia="zh-CN" w:bidi="ar"/>
              </w:rPr>
              <w:t>splitlines}}{% endif %}</w:t>
            </w:r>
          </w:p>
        </w:tc>
        <w:tc>
          <w:tcPr>
            <w:tcW w:w="6323" w:type="dxa"/>
            <w:vMerge w:val="continue"/>
            <w:tcBorders>
              <w:top w:val="single" w:color="000000" w:themeColor="text1" w:sz="4" w:space="0"/>
              <w:left w:val="nil"/>
              <w:bottom w:val="single" w:color="000000" w:themeColor="text1" w:sz="4" w:space="0"/>
            </w:tcBorders>
            <w:shd w:val="clear" w:color="auto" w:fill="auto"/>
            <w:vAlign w:val="center"/>
          </w:tcPr>
          <w:p w14:paraId="3F181191">
            <w:pPr>
              <w:pStyle w:val="10"/>
              <w:keepNext w:val="0"/>
              <w:keepLines w:val="0"/>
              <w:widowControl/>
              <w:suppressLineNumbers w:val="0"/>
              <w:rPr>
                <w:rFonts w:hint="eastAsia" w:ascii="宋体" w:hAnsi="宋体" w:eastAsia="宋体" w:cs="宋体"/>
                <w:color w:val="000000"/>
                <w:sz w:val="18"/>
                <w:szCs w:val="18"/>
                <w:lang w:val="en-US" w:eastAsia="zh-CN"/>
              </w:rPr>
            </w:pPr>
          </w:p>
        </w:tc>
      </w:tr>
      <w:tr w14:paraId="1EE62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jc w:val="center"/>
        </w:trPr>
        <w:tc>
          <w:tcPr>
            <w:tcW w:w="9938" w:type="dxa"/>
            <w:gridSpan w:val="3"/>
            <w:tcBorders>
              <w:top w:val="single" w:color="000000" w:themeColor="text1" w:sz="4" w:space="0"/>
              <w:bottom w:val="single" w:color="000000" w:themeColor="text1" w:sz="4" w:space="0"/>
            </w:tcBorders>
            <w:shd w:val="clear" w:color="auto" w:fill="auto"/>
            <w:vAlign w:val="center"/>
          </w:tcPr>
          <w:p w14:paraId="20FD5B2E">
            <w:pPr>
              <w:pStyle w:val="10"/>
              <w:keepNext w:val="0"/>
              <w:keepLines w:val="0"/>
              <w:widowControl/>
              <w:suppressLineNumbers w:val="0"/>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{%tr endif %}</w:t>
            </w:r>
          </w:p>
        </w:tc>
      </w:tr>
    </w:tbl>
    <w:p w14:paraId="7E592E8C">
      <w:pPr>
        <w:rPr>
          <w:rFonts w:hint="eastAsia" w:ascii="宋体" w:hAnsi="宋体" w:eastAsia="宋体" w:cs="宋体"/>
          <w:sz w:val="13"/>
          <w:szCs w:val="13"/>
          <w:lang w:val="en-US" w:eastAsia="zh-CN"/>
        </w:rPr>
      </w:pPr>
    </w:p>
    <w:p w14:paraId="4C95FA7C">
      <w:pPr>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注：HRR模块只报出HRR基因的体系I、II类，胚系P/LP突变，其他无意义或者意义未明的不在该模块展示</w:t>
      </w:r>
    </w:p>
    <w:p w14:paraId="752C876D">
      <w:pPr>
        <w:rPr>
          <w:rFonts w:hint="default"/>
          <w:lang w:val="en-US" w:eastAsia="zh-CN"/>
        </w:rPr>
      </w:pPr>
      <w:r>
        <w:rPr>
          <w:rFonts w:hint="default"/>
          <w:lang w:val="en-US"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w:t>
            </w:r>
            <w:r>
              <w:rPr>
                <w:rFonts w:hint="eastAsia" w:ascii="宋体" w:hAnsi="宋体" w:eastAsia="宋体" w:cs="宋体"/>
                <w:b/>
                <w:bCs w:val="0"/>
                <w:i/>
                <w:iCs/>
                <w:sz w:val="18"/>
                <w:szCs w:val="18"/>
                <w:lang w:val="en-US" w:eastAsia="zh-CN"/>
              </w:rPr>
              <w:t>1</w:t>
            </w:r>
            <w:r>
              <w:rPr>
                <w:rFonts w:hint="eastAsia" w:ascii="宋体" w:hAnsi="宋体" w:eastAsia="宋体" w:cs="宋体"/>
                <w:b/>
                <w:bCs w:val="0"/>
                <w:i/>
                <w:iCs/>
                <w:sz w:val="18"/>
                <w:szCs w:val="18"/>
                <w:lang w:eastAsia="zh-CN"/>
              </w:rPr>
              <w:t xml:space="preserve">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{{tdd.comutation}}</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5"/>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sz w:val="13"/>
          <w:szCs w:val="13"/>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709D7201">
      <w:pPr>
        <w:spacing w:before="26"/>
        <w:rPr>
          <w:rFonts w:hint="default" w:ascii="Times New Roman" w:hAnsi="Times New Roman" w:eastAsia="微软雅黑" w:cs="Times New Roman"/>
          <w:b/>
          <w:color w:val="000000" w:themeColor="text1"/>
          <w:sz w:val="21"/>
          <w:szCs w:val="21"/>
          <w:highlight w:val="yellow"/>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w:t>
      </w:r>
      <w:bookmarkStart w:id="8" w:name="_Toc1349"/>
      <w:bookmarkStart w:id="9" w:name="_Toc32694"/>
      <w:bookmarkStart w:id="10" w:name="_Toc29942"/>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w:t>
      </w:r>
      <w:r>
        <w:rPr>
          <w:rStyle w:val="15"/>
          <w:rFonts w:hint="eastAsia" w:ascii="Times New Roman" w:hAnsi="Times New Roman" w:eastAsia="微软雅黑" w:cs="Times New Roman"/>
          <w:color w:val="auto"/>
          <w:sz w:val="21"/>
          <w:szCs w:val="21"/>
          <w:lang w:val="en-US" w:eastAsia="zh-CN"/>
        </w:rPr>
        <w:t xml:space="preserve"> disease.ThyroidCarcinoma</w:t>
      </w:r>
      <w:r>
        <w:rPr>
          <w:rStyle w:val="15"/>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bidi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预后评估结果解析</w:t>
      </w:r>
      <w:bookmarkEnd w:id="8"/>
      <w:bookmarkEnd w:id="9"/>
      <w:bookmarkEnd w:id="10"/>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nil"/>
              <w:right w:val="nil"/>
            </w:tcBorders>
            <w:shd w:val="clear" w:color="auto" w:fill="00D392"/>
            <w:vAlign w:val="center"/>
          </w:tcPr>
          <w:p w14:paraId="226381E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247" w:type="dxa"/>
            <w:tcBorders>
              <w:top w:val="single" w:color="000000" w:themeColor="text1" w:sz="4" w:space="0"/>
              <w:left w:val="nil"/>
              <w:bottom w:val="single" w:color="000000" w:themeColor="text1" w:sz="4" w:space="0"/>
            </w:tcBorders>
            <w:vAlign w:val="center"/>
          </w:tcPr>
          <w:p w14:paraId="06689A2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279D4B4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 tdd.mutFreqType }}</w:t>
            </w:r>
          </w:p>
        </w:tc>
        <w:tc>
          <w:tcPr>
            <w:tcW w:w="8247" w:type="dxa"/>
            <w:tcBorders>
              <w:top w:val="single" w:color="000000" w:themeColor="text1" w:sz="4" w:space="0"/>
              <w:left w:val="nil"/>
              <w:bottom w:val="single" w:color="000000" w:themeColor="text1" w:sz="4" w:space="0"/>
            </w:tcBorders>
            <w:vAlign w:val="center"/>
          </w:tcPr>
          <w:p w14:paraId="209B9499">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nil"/>
              <w:bottom w:val="nil"/>
              <w:right w:val="nil"/>
            </w:tcBorders>
            <w:shd w:val="clear" w:color="auto" w:fill="00D392"/>
            <w:vAlign w:val="center"/>
          </w:tcPr>
          <w:p w14:paraId="674AF7C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w:t>
            </w:r>
          </w:p>
        </w:tc>
        <w:tc>
          <w:tcPr>
            <w:tcW w:w="8247" w:type="dxa"/>
            <w:tcBorders>
              <w:top w:val="single" w:color="000000" w:themeColor="text1" w:sz="4" w:space="0"/>
              <w:left w:val="nil"/>
              <w:bottom w:val="single" w:color="000000" w:themeColor="text1" w:sz="4" w:space="0"/>
            </w:tcBorders>
            <w:vAlign w:val="center"/>
          </w:tcPr>
          <w:p w14:paraId="5A29D042">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nil"/>
              <w:bottom w:val="nil"/>
              <w:right w:val="nil"/>
            </w:tcBorders>
            <w:shd w:val="clear" w:color="auto" w:fill="00D392"/>
            <w:vAlign w:val="center"/>
          </w:tcPr>
          <w:p w14:paraId="126D54D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预后评估说明</w:t>
            </w:r>
          </w:p>
        </w:tc>
        <w:tc>
          <w:tcPr>
            <w:tcW w:w="8247" w:type="dxa"/>
            <w:tcBorders>
              <w:top w:val="single" w:color="000000" w:themeColor="text1" w:sz="4" w:space="0"/>
              <w:left w:val="nil"/>
              <w:bottom w:val="single" w:color="000000" w:themeColor="text1" w:sz="4" w:space="0"/>
            </w:tcBorders>
            <w:vAlign w:val="center"/>
          </w:tcPr>
          <w:p w14:paraId="022C4A50">
            <w:pPr>
              <w:keepNext/>
              <w:spacing w:before="26"/>
              <w:rPr>
                <w:rFonts w:hint="eastAsia" w:ascii="宋体" w:hAnsi="宋体" w:eastAsia="宋体" w:cs="宋体"/>
                <w:sz w:val="18"/>
                <w:szCs w:val="18"/>
                <w:lang w:eastAsia="zh-CN"/>
              </w:rPr>
            </w:pPr>
            <w:r>
              <w:rPr>
                <w:rFonts w:hint="eastAsia" w:ascii="宋体" w:hAnsi="宋体" w:eastAsia="宋体" w:cs="宋体"/>
                <w:bCs/>
                <w:sz w:val="18"/>
                <w:szCs w:val="18"/>
                <w:lang w:eastAsia="zh-CN"/>
              </w:rPr>
              <w:t>{{ tdd.prognosis_assessment }}</w:t>
            </w:r>
          </w:p>
        </w:tc>
      </w:tr>
    </w:tbl>
    <w:p w14:paraId="57CB9987">
      <w:pPr>
        <w:rPr>
          <w:rFonts w:ascii="Times New Roman" w:hAnsi="Times New Roman" w:eastAsia="微软雅黑" w:cs="Times New Roman"/>
          <w:b/>
          <w:color w:val="45A3A7"/>
          <w:sz w:val="24"/>
          <w:szCs w:val="24"/>
          <w:lang w:eastAsia="zh-CN"/>
        </w:rPr>
      </w:pPr>
    </w:p>
    <w:p w14:paraId="19E7F69C">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p>
    <w:p w14:paraId="7A937682">
      <w:pP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p>
    <w:p w14:paraId="68106520">
      <w:pPr>
        <w:spacing w:before="26"/>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pPr>
      <w:r>
        <w:rPr>
          <w:rFonts w:hint="eastAsia" w:ascii="Times New Roman" w:hAnsi="Times New Roman" w:eastAsia="微软雅黑" w:cs="Times New Roman"/>
          <w:b/>
          <w:sz w:val="24"/>
          <w:szCs w:val="24"/>
          <w:lang w:val="en-US"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7C419247">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0B30A412">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p w14:paraId="504C5E26">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6A43231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4D96F20B">
      <w:pPr>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12" name="同侧圆角矩形 12"/>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BeqH2nV&#10;AAAABAEAAA8AAAAAAAAAAQAgAAAAIgAAAGRycy9kb3ducmV2LnhtbFBLAQIUABQAAAAIAIdO4kAp&#10;7C4wlQIAABwFAAAOAAAAAAAAAAEAIAAAACQBAABkcnMvZTJvRG9jLnhtbFBLBQYAAAAABgAGAFkB&#10;AAArBg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65E2DA9D">
                      <w:pPr>
                        <w:keepNext w:val="0"/>
                        <w:keepLines w:val="0"/>
                        <w:widowControl/>
                        <w:suppressLineNumbers w:val="0"/>
                        <w:jc w:val="left"/>
                        <w:rPr>
                          <w:rFonts w:hint="default"/>
                          <w:lang w:val="en-US" w:eastAsia="zh-CN"/>
                        </w:rPr>
                      </w:pPr>
                      <w:r>
                        <w:rPr>
                          <w:rFonts w:hint="eastAsia" w:ascii="黑体" w:hAnsi="宋体" w:eastAsia="黑体" w:cs="黑体"/>
                          <w:b/>
                          <w:bCs/>
                          <w:color w:val="FFFFFF"/>
                          <w:kern w:val="0"/>
                          <w:sz w:val="21"/>
                          <w:szCs w:val="21"/>
                          <w:lang w:val="en-US" w:eastAsia="zh-CN" w:bidi="ar"/>
                        </w:rPr>
                        <w:t>预后相关基因检测结果及解析</w:t>
                      </w:r>
                    </w:p>
                  </w:txbxContent>
                </v:textbox>
                <w10:wrap type="none"/>
                <w10:anchorlock/>
              </v:shape>
            </w:pict>
          </mc:Fallback>
        </mc:AlternateContent>
      </w:r>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4"/>
        <w:gridCol w:w="1102"/>
        <w:gridCol w:w="1161"/>
        <w:gridCol w:w="5400"/>
        <w:gridCol w:w="1311"/>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single" w:color="000000" w:themeColor="text1" w:sz="4" w:space="0"/>
              <w:right w:val="nil"/>
            </w:tcBorders>
            <w:shd w:val="clear" w:color="auto" w:fill="00D392"/>
            <w:vAlign w:val="center"/>
          </w:tcPr>
          <w:p w14:paraId="454F468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554" w:type="pct"/>
            <w:tcBorders>
              <w:top w:val="nil"/>
              <w:left w:val="nil"/>
              <w:bottom w:val="single" w:color="000000" w:themeColor="text1" w:sz="4" w:space="0"/>
              <w:right w:val="nil"/>
            </w:tcBorders>
            <w:shd w:val="clear" w:color="auto" w:fill="00D392"/>
            <w:vAlign w:val="center"/>
          </w:tcPr>
          <w:p w14:paraId="71A4A4DD">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584" w:type="pct"/>
            <w:tcBorders>
              <w:top w:val="nil"/>
              <w:left w:val="nil"/>
              <w:bottom w:val="single" w:color="000000" w:themeColor="text1" w:sz="4" w:space="0"/>
              <w:right w:val="nil"/>
            </w:tcBorders>
            <w:shd w:val="clear" w:color="auto" w:fill="00D392"/>
            <w:vAlign w:val="center"/>
          </w:tcPr>
          <w:p w14:paraId="5473B3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716" w:type="pct"/>
            <w:tcBorders>
              <w:top w:val="nil"/>
              <w:left w:val="nil"/>
              <w:bottom w:val="single" w:color="000000" w:themeColor="text1" w:sz="4" w:space="0"/>
              <w:right w:val="nil"/>
            </w:tcBorders>
            <w:shd w:val="clear" w:color="auto" w:fill="00D392"/>
            <w:vAlign w:val="center"/>
          </w:tcPr>
          <w:p w14:paraId="4ED056A1">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59" w:type="pct"/>
            <w:tcBorders>
              <w:top w:val="nil"/>
              <w:left w:val="nil"/>
              <w:bottom w:val="single" w:color="000000" w:themeColor="text1" w:sz="4" w:space="0"/>
            </w:tcBorders>
            <w:shd w:val="clear" w:color="auto" w:fill="00D392"/>
            <w:vAlign w:val="center"/>
          </w:tcPr>
          <w:p w14:paraId="60F9D609">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DBFEED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BAP1</w:t>
            </w:r>
          </w:p>
          <w:p w14:paraId="630B3B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65C7F6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2C955ED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up.BAP1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074748A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有研究发现从OS上评估，BAP1和TP53中一个突变或两个均突变（PBRM1无突变）的肾透明细胞癌（ccRCC）相较于野生型预后较差。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709BC1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7D8AE2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5A675C6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54206E7B">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7053B39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5701323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3F3D08E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CDKN2A 突变的 ccRCC、pRCC、chRCC 患者预后较差。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05ADC5C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B439750">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PBRM1</w:t>
            </w:r>
          </w:p>
          <w:p w14:paraId="51BEE53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22EF5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4D41C3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up.PBRM1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FEC3D3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A7B04F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151FD90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4AFA3AE1">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596EF69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3FC3FA3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0C82A5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2399F1C9">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有研究发现从OS上评估，PTEN 突变的肾嫌色细胞癌（chRCC）相较于野生型预后较差。</w:t>
            </w:r>
          </w:p>
        </w:tc>
        <w:tc>
          <w:tcPr>
            <w:tcW w:w="659" w:type="pct"/>
            <w:tcBorders>
              <w:top w:val="single" w:color="000000" w:themeColor="text1" w:sz="4" w:space="0"/>
              <w:left w:val="nil"/>
              <w:bottom w:val="single" w:color="000000" w:themeColor="text1" w:sz="4" w:space="0"/>
            </w:tcBorders>
            <w:shd w:val="clear" w:color="auto" w:fill="auto"/>
            <w:vAlign w:val="center"/>
          </w:tcPr>
          <w:p w14:paraId="2195EC0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7FD99F2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TERT</w:t>
            </w:r>
          </w:p>
          <w:p w14:paraId="04C9C6C8">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启动子突变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508BB8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6B1EF5E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up.TERT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6A98C92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有研究称，在肾透明细胞癌（ccRCC）患者中，TERT启动子突变与一些较差的预后相关。</w:t>
            </w:r>
          </w:p>
        </w:tc>
        <w:tc>
          <w:tcPr>
            <w:tcW w:w="659" w:type="pct"/>
            <w:tcBorders>
              <w:top w:val="single" w:color="000000" w:themeColor="text1" w:sz="4" w:space="0"/>
              <w:left w:val="nil"/>
              <w:bottom w:val="single" w:color="000000" w:themeColor="text1" w:sz="4" w:space="0"/>
            </w:tcBorders>
            <w:shd w:val="clear" w:color="auto" w:fill="auto"/>
            <w:vAlign w:val="center"/>
          </w:tcPr>
          <w:p w14:paraId="12B915D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single" w:color="000000" w:themeColor="text1" w:sz="4" w:space="0"/>
              <w:bottom w:val="single" w:color="000000" w:themeColor="text1" w:sz="4" w:space="0"/>
              <w:right w:val="nil"/>
            </w:tcBorders>
            <w:shd w:val="clear" w:color="auto" w:fill="auto"/>
            <w:vAlign w:val="center"/>
          </w:tcPr>
          <w:p w14:paraId="16E0380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62C947EA">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突变</w:t>
            </w:r>
          </w:p>
        </w:tc>
        <w:tc>
          <w:tcPr>
            <w:tcW w:w="554" w:type="pct"/>
            <w:tcBorders>
              <w:top w:val="single" w:color="000000" w:themeColor="text1" w:sz="4" w:space="0"/>
              <w:left w:val="nil"/>
              <w:bottom w:val="single" w:color="000000" w:themeColor="text1" w:sz="4" w:space="0"/>
              <w:right w:val="nil"/>
            </w:tcBorders>
            <w:shd w:val="clear" w:color="auto" w:fill="auto"/>
            <w:vAlign w:val="center"/>
          </w:tcPr>
          <w:p w14:paraId="4A2CE24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肾癌</w:t>
            </w:r>
          </w:p>
        </w:tc>
        <w:tc>
          <w:tcPr>
            <w:tcW w:w="584" w:type="pct"/>
            <w:tcBorders>
              <w:top w:val="single" w:color="000000" w:themeColor="text1" w:sz="4" w:space="0"/>
              <w:left w:val="nil"/>
              <w:bottom w:val="single" w:color="000000" w:themeColor="text1" w:sz="4" w:space="0"/>
              <w:right w:val="nil"/>
            </w:tcBorders>
            <w:shd w:val="clear" w:color="auto" w:fill="auto"/>
            <w:vAlign w:val="center"/>
          </w:tcPr>
          <w:p w14:paraId="1BB82F5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716" w:type="pct"/>
            <w:tcBorders>
              <w:top w:val="single" w:color="000000" w:themeColor="text1" w:sz="4" w:space="0"/>
              <w:left w:val="nil"/>
              <w:bottom w:val="single" w:color="000000" w:themeColor="text1" w:sz="4" w:space="0"/>
              <w:right w:val="nil"/>
            </w:tcBorders>
            <w:shd w:val="clear" w:color="auto" w:fill="auto"/>
            <w:vAlign w:val="center"/>
          </w:tcPr>
          <w:p w14:paraId="44BBCA21">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有研究发现，TP53 突变的肾透明细胞癌（ccRCC）及乳头状肾细胞癌（pRCC）预后可能较差。</w:t>
            </w:r>
          </w:p>
        </w:tc>
        <w:tc>
          <w:tcPr>
            <w:tcW w:w="659" w:type="pct"/>
            <w:tcBorders>
              <w:top w:val="single" w:color="000000" w:themeColor="text1" w:sz="4" w:space="0"/>
              <w:left w:val="nil"/>
              <w:bottom w:val="single" w:color="000000" w:themeColor="text1" w:sz="4" w:space="0"/>
            </w:tcBorders>
            <w:shd w:val="clear" w:color="auto" w:fill="auto"/>
            <w:vAlign w:val="center"/>
          </w:tcPr>
          <w:p w14:paraId="4FB336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28413127</w:t>
            </w:r>
          </w:p>
          <w:p w14:paraId="78F7F26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30416077</w:t>
            </w:r>
          </w:p>
          <w:p w14:paraId="0649334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21"/>
        <w:gridCol w:w="1277"/>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03427049">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56235895">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50A37C6F">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7" w:type="pct"/>
            <w:tcBorders>
              <w:top w:val="nil"/>
              <w:left w:val="nil"/>
              <w:bottom w:val="single" w:color="000000" w:themeColor="text1" w:sz="4" w:space="0"/>
              <w:right w:val="nil"/>
            </w:tcBorders>
            <w:shd w:val="clear" w:color="auto" w:fill="00D392"/>
            <w:vAlign w:val="center"/>
          </w:tcPr>
          <w:p w14:paraId="36FF5026">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2" w:type="pct"/>
            <w:tcBorders>
              <w:top w:val="nil"/>
              <w:left w:val="nil"/>
              <w:bottom w:val="single" w:color="000000" w:themeColor="text1" w:sz="4" w:space="0"/>
            </w:tcBorders>
            <w:shd w:val="clear" w:color="auto" w:fill="00D392"/>
            <w:vAlign w:val="center"/>
          </w:tcPr>
          <w:p w14:paraId="7D058DB0">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DE9FE4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3D7DB316">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AA3E3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9D2E8A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558458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single" w:color="000000" w:themeColor="text1" w:sz="4" w:space="0"/>
              <w:left w:val="nil"/>
              <w:bottom w:val="single" w:color="000000" w:themeColor="text1" w:sz="4" w:space="0"/>
            </w:tcBorders>
            <w:shd w:val="clear" w:color="auto" w:fill="auto"/>
            <w:vAlign w:val="center"/>
          </w:tcPr>
          <w:p w14:paraId="52629FF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B64E93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1EB639FF">
            <w:pPr>
              <w:spacing w:before="26"/>
              <w:jc w:val="center"/>
              <w:rPr>
                <w:rFonts w:hint="eastAsia" w:ascii="宋体" w:hAnsi="宋体" w:eastAsia="宋体" w:cs="宋体"/>
                <w:sz w:val="18"/>
                <w:lang w:eastAsia="zh-CN"/>
              </w:rPr>
            </w:pPr>
            <w:r>
              <w:rPr>
                <w:rFonts w:hint="eastAsia" w:ascii="宋体" w:hAnsi="宋体" w:eastAsia="宋体" w:cs="宋体"/>
                <w:bCs/>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82F8F2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21C34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88CB1E0">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op w:val="single" w:color="000000" w:themeColor="text1" w:sz="4" w:space="0"/>
              <w:left w:val="nil"/>
              <w:bottom w:val="single" w:color="000000" w:themeColor="text1" w:sz="4" w:space="0"/>
            </w:tcBorders>
            <w:shd w:val="clear" w:color="auto" w:fill="auto"/>
            <w:vAlign w:val="center"/>
          </w:tcPr>
          <w:p w14:paraId="159B3DA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6C1780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7E5CF6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0134482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胚系突变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1FB54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8E92A5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3A675F7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op w:val="single" w:color="000000" w:themeColor="text1" w:sz="4" w:space="0"/>
              <w:left w:val="nil"/>
              <w:bottom w:val="single" w:color="000000" w:themeColor="text1" w:sz="4" w:space="0"/>
            </w:tcBorders>
            <w:shd w:val="clear" w:color="auto" w:fill="auto"/>
            <w:vAlign w:val="center"/>
          </w:tcPr>
          <w:p w14:paraId="7710DF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27989354</w:t>
            </w:r>
          </w:p>
          <w:p w14:paraId="491480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23569316</w:t>
            </w:r>
          </w:p>
          <w:p w14:paraId="271D1C8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F11A2B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CDK12</w:t>
            </w:r>
          </w:p>
          <w:p w14:paraId="28B6B6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19ADE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45AF552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up.CDK12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3C3669D">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有临床研究发现，CDK12失活突变的患者无进展生存期（PFS）及总生存期（OS）更短，进展更快，更具侵袭性。</w:t>
            </w:r>
          </w:p>
        </w:tc>
        <w:tc>
          <w:tcPr>
            <w:tcW w:w="642" w:type="pct"/>
            <w:tcBorders>
              <w:top w:val="single" w:color="000000" w:themeColor="text1" w:sz="4" w:space="0"/>
              <w:left w:val="nil"/>
              <w:bottom w:val="single" w:color="000000" w:themeColor="text1" w:sz="4" w:space="0"/>
            </w:tcBorders>
            <w:shd w:val="clear" w:color="auto" w:fill="auto"/>
            <w:vAlign w:val="center"/>
          </w:tcPr>
          <w:p w14:paraId="230A74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31134918</w:t>
            </w:r>
          </w:p>
          <w:p w14:paraId="5D77007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31640893</w:t>
            </w:r>
          </w:p>
          <w:p w14:paraId="25038DE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59B5F0E">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TMPRSS2</w:t>
            </w:r>
            <w:r>
              <w:rPr>
                <w:rFonts w:hint="eastAsia" w:ascii="宋体" w:hAnsi="宋体" w:eastAsia="宋体" w:cs="宋体"/>
                <w:color w:val="000000" w:themeColor="text1"/>
                <w:sz w:val="18"/>
                <w:szCs w:val="18"/>
                <w:lang w:val="en-US" w:eastAsia="zh-CN"/>
                <w14:textFill>
                  <w14:solidFill>
                    <w14:schemeClr w14:val="tx1"/>
                  </w14:solidFill>
                </w14:textFill>
              </w:rPr>
              <w:t>-</w:t>
            </w:r>
            <w:r>
              <w:rPr>
                <w:rFonts w:hint="eastAsia" w:ascii="宋体" w:hAnsi="宋体" w:eastAsia="宋体" w:cs="宋体"/>
                <w:color w:val="000000" w:themeColor="text1"/>
                <w:sz w:val="18"/>
                <w:szCs w:val="18"/>
                <w:lang w:eastAsia="zh-CN"/>
                <w14:textFill>
                  <w14:solidFill>
                    <w14:schemeClr w14:val="tx1"/>
                  </w14:solidFill>
                </w14:textFill>
              </w:rPr>
              <w:t>ERG融合</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37CC17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A573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up.ERG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44F63994">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临床研究提示，在血液中检测到TMPRSS2-ERG融合的前列腺癌患者，无进展生存期（PFS）和总生存期（OS）较短。</w:t>
            </w:r>
          </w:p>
        </w:tc>
        <w:tc>
          <w:tcPr>
            <w:tcW w:w="642" w:type="pct"/>
            <w:tcBorders>
              <w:top w:val="single" w:color="000000" w:themeColor="text1" w:sz="4" w:space="0"/>
              <w:left w:val="nil"/>
              <w:bottom w:val="single" w:color="000000" w:themeColor="text1" w:sz="4" w:space="0"/>
            </w:tcBorders>
            <w:shd w:val="clear" w:color="auto" w:fill="auto"/>
            <w:vAlign w:val="center"/>
          </w:tcPr>
          <w:p w14:paraId="680F661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28520829</w:t>
            </w:r>
          </w:p>
          <w:p w14:paraId="63A5222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41891182">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FOXA1</w:t>
            </w:r>
          </w:p>
          <w:p w14:paraId="03BA0C5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370EB6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63AF6E7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up.FOXA1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667CBCF">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对上千例原发性前列腺癌数据回顾性分析发现，FOXA1突变相较于野生型，与更高的Gleason评分，更短的生化复发，更快的转移相关。</w:t>
            </w:r>
          </w:p>
        </w:tc>
        <w:tc>
          <w:tcPr>
            <w:tcW w:w="642" w:type="pct"/>
            <w:tcBorders>
              <w:top w:val="single" w:color="000000" w:themeColor="text1" w:sz="4" w:space="0"/>
              <w:left w:val="nil"/>
              <w:bottom w:val="single" w:color="000000" w:themeColor="text1" w:sz="4" w:space="0"/>
            </w:tcBorders>
            <w:shd w:val="clear" w:color="auto" w:fill="auto"/>
            <w:vAlign w:val="center"/>
          </w:tcPr>
          <w:p w14:paraId="16BD4FC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D7495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F654F3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突变和扩增</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3C2FAE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910A8A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10C1B536">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有研究发现，PIK3CA突变/扩增与较差的前列腺癌生存率、局部淋巴结转移、较高的原发肿瘤类别和较高的gleason评分相关。</w:t>
            </w:r>
          </w:p>
        </w:tc>
        <w:tc>
          <w:tcPr>
            <w:tcW w:w="642" w:type="pct"/>
            <w:tcBorders>
              <w:top w:val="single" w:color="000000" w:themeColor="text1" w:sz="4" w:space="0"/>
              <w:left w:val="nil"/>
              <w:bottom w:val="single" w:color="000000" w:themeColor="text1" w:sz="4" w:space="0"/>
            </w:tcBorders>
            <w:shd w:val="clear" w:color="auto" w:fill="auto"/>
            <w:vAlign w:val="center"/>
          </w:tcPr>
          <w:p w14:paraId="496E271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309408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48E8E2EB">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271C90F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81F48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26C930C5">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PTEN功能缺失的去势前列腺癌总生存期（OS）更短，阿比特龙响应时间更短，疾病进展更快，生化复发时间更短。</w:t>
            </w:r>
          </w:p>
        </w:tc>
        <w:tc>
          <w:tcPr>
            <w:tcW w:w="642" w:type="pct"/>
            <w:tcBorders>
              <w:top w:val="single" w:color="000000" w:themeColor="text1" w:sz="4" w:space="0"/>
              <w:left w:val="nil"/>
              <w:bottom w:val="single" w:color="000000" w:themeColor="text1" w:sz="4" w:space="0"/>
            </w:tcBorders>
            <w:shd w:val="clear" w:color="auto" w:fill="auto"/>
            <w:vAlign w:val="center"/>
          </w:tcPr>
          <w:p w14:paraId="0C8F8B2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25454616</w:t>
            </w:r>
          </w:p>
          <w:p w14:paraId="2D38EE4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p w14:paraId="1EFDBA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5E461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RB1</w:t>
            </w:r>
          </w:p>
          <w:p w14:paraId="3D37EB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1AC94F7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184EE3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up.RB1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7AD2D85A">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25A12F4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30928160</w:t>
            </w:r>
          </w:p>
          <w:p w14:paraId="0975BD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D07D3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421FEED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187D2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前列腺癌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553E04E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7" w:type="pct"/>
            <w:tcBorders>
              <w:top w:val="single" w:color="000000" w:themeColor="text1" w:sz="4" w:space="0"/>
              <w:left w:val="nil"/>
              <w:bottom w:val="single" w:color="000000" w:themeColor="text1" w:sz="4" w:space="0"/>
              <w:right w:val="nil"/>
            </w:tcBorders>
            <w:shd w:val="clear" w:color="auto" w:fill="auto"/>
            <w:vAlign w:val="center"/>
          </w:tcPr>
          <w:p w14:paraId="66F838DB">
            <w:pPr>
              <w:spacing w:before="26"/>
              <w:ind w:left="105" w:leftChars="50" w:right="105" w:rightChars="50"/>
              <w:rPr>
                <w:rFonts w:hint="eastAsia" w:ascii="宋体" w:hAnsi="宋体" w:eastAsia="宋体" w:cs="宋体"/>
                <w:bCs/>
                <w:sz w:val="18"/>
                <w:szCs w:val="18"/>
                <w:lang w:eastAsia="zh-CN"/>
              </w:rPr>
            </w:pPr>
            <w:r>
              <w:rPr>
                <w:rFonts w:hint="eastAsia" w:ascii="宋体" w:hAnsi="宋体" w:eastAsia="宋体" w:cs="宋体"/>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op w:val="single" w:color="000000" w:themeColor="text1" w:sz="4" w:space="0"/>
              <w:left w:val="nil"/>
              <w:bottom w:val="single" w:color="000000" w:themeColor="text1" w:sz="4" w:space="0"/>
            </w:tcBorders>
            <w:shd w:val="clear" w:color="auto" w:fill="auto"/>
            <w:vAlign w:val="center"/>
          </w:tcPr>
          <w:p w14:paraId="5D46B2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28059767</w:t>
            </w:r>
          </w:p>
          <w:p w14:paraId="65CD23D5">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2"/>
        <w:gridCol w:w="913"/>
        <w:gridCol w:w="915"/>
        <w:gridCol w:w="5911"/>
        <w:gridCol w:w="1287"/>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single" w:color="000000" w:themeColor="text1" w:sz="4" w:space="0"/>
              <w:right w:val="nil"/>
            </w:tcBorders>
            <w:shd w:val="clear" w:color="auto" w:fill="00D392"/>
            <w:vAlign w:val="center"/>
          </w:tcPr>
          <w:p w14:paraId="2D2577E3">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分子标记物</w:t>
            </w:r>
          </w:p>
        </w:tc>
        <w:tc>
          <w:tcPr>
            <w:tcW w:w="459" w:type="pct"/>
            <w:tcBorders>
              <w:top w:val="nil"/>
              <w:left w:val="nil"/>
              <w:bottom w:val="single" w:color="000000" w:themeColor="text1" w:sz="4" w:space="0"/>
              <w:right w:val="nil"/>
            </w:tcBorders>
            <w:shd w:val="clear" w:color="auto" w:fill="00D392"/>
            <w:vAlign w:val="center"/>
          </w:tcPr>
          <w:p w14:paraId="16B065AC">
            <w:pPr>
              <w:spacing w:line="206" w:lineRule="exact"/>
              <w:jc w:val="center"/>
              <w:rPr>
                <w:rFonts w:hint="eastAsia" w:ascii="宋体" w:hAnsi="宋体" w:eastAsia="宋体" w:cs="宋体"/>
                <w:b/>
                <w:bCs/>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癌种大类</w:t>
            </w:r>
          </w:p>
        </w:tc>
        <w:tc>
          <w:tcPr>
            <w:tcW w:w="460" w:type="pct"/>
            <w:tcBorders>
              <w:top w:val="nil"/>
              <w:left w:val="nil"/>
              <w:bottom w:val="single" w:color="000000" w:themeColor="text1" w:sz="4" w:space="0"/>
              <w:right w:val="nil"/>
            </w:tcBorders>
            <w:shd w:val="clear" w:color="auto" w:fill="00D392"/>
            <w:vAlign w:val="center"/>
          </w:tcPr>
          <w:p w14:paraId="198ED70A">
            <w:pPr>
              <w:spacing w:line="206" w:lineRule="exact"/>
              <w:jc w:val="center"/>
              <w:rPr>
                <w:rFonts w:hint="eastAsia" w:ascii="宋体" w:hAnsi="宋体" w:eastAsia="宋体" w:cs="宋体"/>
                <w:b/>
                <w:bCs/>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检测结果</w:t>
            </w:r>
          </w:p>
        </w:tc>
        <w:tc>
          <w:tcPr>
            <w:tcW w:w="2972" w:type="pct"/>
            <w:tcBorders>
              <w:top w:val="nil"/>
              <w:left w:val="nil"/>
              <w:bottom w:val="single" w:color="000000" w:themeColor="text1" w:sz="4" w:space="0"/>
              <w:right w:val="nil"/>
            </w:tcBorders>
            <w:shd w:val="clear" w:color="auto" w:fill="00D392"/>
            <w:vAlign w:val="center"/>
          </w:tcPr>
          <w:p w14:paraId="04BCB5B3">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预后相关性</w:t>
            </w:r>
          </w:p>
        </w:tc>
        <w:tc>
          <w:tcPr>
            <w:tcW w:w="647" w:type="pct"/>
            <w:tcBorders>
              <w:top w:val="nil"/>
              <w:left w:val="nil"/>
              <w:bottom w:val="single" w:color="000000" w:themeColor="text1" w:sz="4" w:space="0"/>
            </w:tcBorders>
            <w:shd w:val="clear" w:color="auto" w:fill="00D392"/>
            <w:vAlign w:val="center"/>
          </w:tcPr>
          <w:p w14:paraId="041B4DEF">
            <w:pPr>
              <w:spacing w:line="204" w:lineRule="exact"/>
              <w:jc w:val="center"/>
              <w:rPr>
                <w:rFonts w:hint="eastAsia" w:ascii="宋体" w:hAnsi="宋体" w:eastAsia="宋体" w:cs="宋体"/>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C2A98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AKT1</w:t>
            </w:r>
          </w:p>
          <w:p w14:paraId="4984DB9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AB551A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E54173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up.AKT1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E2B74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60D8E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ARID1A</w:t>
            </w:r>
          </w:p>
          <w:p w14:paraId="2D259A8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EF23F3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260ED94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up.ARID1A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有研究称，在有或没有辅助膀胱内治疗的100例患者接受TUR治疗组中，ARID1A 突变与肿瘤复发相关（HR=3.14, p=0.002）。</w:t>
            </w:r>
          </w:p>
        </w:tc>
        <w:tc>
          <w:tcPr>
            <w:tcW w:w="647" w:type="pct"/>
            <w:tcBorders>
              <w:top w:val="single" w:color="000000" w:themeColor="text1" w:sz="4" w:space="0"/>
              <w:left w:val="nil"/>
              <w:bottom w:val="single" w:color="000000" w:themeColor="text1" w:sz="4" w:space="0"/>
            </w:tcBorders>
            <w:shd w:val="clear" w:color="auto" w:fill="auto"/>
            <w:vAlign w:val="center"/>
          </w:tcPr>
          <w:p w14:paraId="2876A42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C976854">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ATM</w:t>
            </w:r>
          </w:p>
          <w:p w14:paraId="5CE5AA1F">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85468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D8BEBA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up.ATM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63A6269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039CEF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BRCA1</w:t>
            </w:r>
          </w:p>
          <w:p w14:paraId="240EB460">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A6534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9C57FC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4FA050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E33676">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BRCA2</w:t>
            </w:r>
          </w:p>
          <w:p w14:paraId="4B179F7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D361D4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125AB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up.BRCA2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7676C8D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2C038ED4">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CCND1</w:t>
            </w:r>
          </w:p>
          <w:p w14:paraId="700F5BD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A11CA7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1B483F4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up.CCND1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w:t>
            </w:r>
          </w:p>
        </w:tc>
        <w:tc>
          <w:tcPr>
            <w:tcW w:w="647" w:type="pct"/>
            <w:tcBorders>
              <w:top w:val="single" w:color="000000" w:themeColor="text1" w:sz="4" w:space="0"/>
              <w:left w:val="nil"/>
              <w:bottom w:val="single" w:color="000000" w:themeColor="text1" w:sz="4" w:space="0"/>
            </w:tcBorders>
            <w:shd w:val="clear" w:color="auto" w:fill="auto"/>
            <w:vAlign w:val="center"/>
          </w:tcPr>
          <w:p w14:paraId="4DE624E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2506DC2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A64FD3">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CDH1</w:t>
            </w:r>
          </w:p>
          <w:p w14:paraId="568083FA">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2F49660">
            <w:pPr>
              <w:spacing w:before="26"/>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color w:val="000000" w:themeColor="text1"/>
                <w:sz w:val="18"/>
                <w:szCs w:val="18"/>
                <w:lang w:eastAsia="zh-CN"/>
                <w14:textFill>
                  <w14:solidFill>
                    <w14:schemeClr w14:val="tx1"/>
                  </w14:solidFill>
                </w14:textFill>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05E7416">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up.CDH1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研究发现，携带CDKN2A，TP53，CDH1 基因突变的尿路上皮癌患者，预后可能较差。</w:t>
            </w:r>
          </w:p>
        </w:tc>
        <w:tc>
          <w:tcPr>
            <w:tcW w:w="647" w:type="pct"/>
            <w:tcBorders>
              <w:top w:val="single" w:color="000000" w:themeColor="text1" w:sz="4" w:space="0"/>
              <w:left w:val="nil"/>
              <w:bottom w:val="single" w:color="000000" w:themeColor="text1" w:sz="4" w:space="0"/>
            </w:tcBorders>
            <w:shd w:val="clear" w:color="auto" w:fill="auto"/>
            <w:vAlign w:val="center"/>
          </w:tcPr>
          <w:p w14:paraId="6197608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5D945F6D">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CDKN2A</w:t>
            </w:r>
          </w:p>
          <w:p w14:paraId="1A023F13">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6261DEB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55E744A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up.CDKN2A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研究发现，接受RC治疗的膀胱尿路上皮癌患者中，TP53和 CDKN2A 改变与预后不良相关；多变量分析中，CDKN2A改变的肿瘤患者的RFS较差。</w:t>
            </w:r>
          </w:p>
        </w:tc>
        <w:tc>
          <w:tcPr>
            <w:tcW w:w="647" w:type="pct"/>
            <w:tcBorders>
              <w:top w:val="single" w:color="000000" w:themeColor="text1" w:sz="4" w:space="0"/>
              <w:left w:val="nil"/>
              <w:bottom w:val="single" w:color="000000" w:themeColor="text1" w:sz="4" w:space="0"/>
            </w:tcBorders>
            <w:shd w:val="clear" w:color="auto" w:fill="auto"/>
            <w:vAlign w:val="center"/>
          </w:tcPr>
          <w:p w14:paraId="0ECB69ED">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EAAEAD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CREBBP</w:t>
            </w:r>
          </w:p>
          <w:p w14:paraId="2A492AAD">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F10E5B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2272ECA">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up.CREBBP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在一项研究中，复发发生率31%（22/72），具有CREBBP 突变的复发率更高（9/18，50%），高于没有CREBBP突变的肿瘤复发率（13/54，24%）。</w:t>
            </w:r>
          </w:p>
        </w:tc>
        <w:tc>
          <w:tcPr>
            <w:tcW w:w="647" w:type="pct"/>
            <w:tcBorders>
              <w:top w:val="single" w:color="000000" w:themeColor="text1" w:sz="4" w:space="0"/>
              <w:left w:val="nil"/>
              <w:bottom w:val="single" w:color="000000" w:themeColor="text1" w:sz="4" w:space="0"/>
            </w:tcBorders>
            <w:shd w:val="clear" w:color="auto" w:fill="auto"/>
            <w:vAlign w:val="center"/>
          </w:tcPr>
          <w:p w14:paraId="6430D398">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6A28FDA7">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ERCC2</w:t>
            </w:r>
          </w:p>
          <w:p w14:paraId="369CBC58">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7974A7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88299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up.ERCC2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3961D9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193F4EA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FGFR3</w:t>
            </w:r>
          </w:p>
          <w:p w14:paraId="76318C6E">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E1B54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640A7A92">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up.FGFR3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E95F07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10D8C2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775C0509">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PALB2</w:t>
            </w:r>
          </w:p>
          <w:p w14:paraId="0B0BE729">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体系突变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956744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0F54881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up.PALB2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研究提示，携带 ATM，ERCC2，FANCD2，PALB2，BRCA1，BRCA2体细胞突变的肌层浸润性膀胱癌患者早期治疗后的复发风险较低。</w:t>
            </w:r>
          </w:p>
        </w:tc>
        <w:tc>
          <w:tcPr>
            <w:tcW w:w="647" w:type="pct"/>
            <w:tcBorders>
              <w:top w:val="single" w:color="000000" w:themeColor="text1" w:sz="4" w:space="0"/>
              <w:left w:val="nil"/>
              <w:bottom w:val="single" w:color="000000" w:themeColor="text1" w:sz="4" w:space="0"/>
            </w:tcBorders>
            <w:shd w:val="clear" w:color="auto" w:fill="auto"/>
            <w:vAlign w:val="center"/>
          </w:tcPr>
          <w:p w14:paraId="367BF3A1">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1D8B26B">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PIK3CA</w:t>
            </w:r>
          </w:p>
          <w:p w14:paraId="4708E4FA">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5D8364A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937" w:type="dxa"/>
            <w:tcBorders>
              <w:top w:val="single" w:color="000000" w:themeColor="text1" w:sz="4" w:space="0"/>
              <w:left w:val="nil"/>
              <w:bottom w:val="single" w:color="000000" w:themeColor="text1" w:sz="4" w:space="0"/>
              <w:right w:val="nil"/>
            </w:tcBorders>
            <w:shd w:val="clear" w:color="auto" w:fill="auto"/>
            <w:vAlign w:val="center"/>
          </w:tcPr>
          <w:p w14:paraId="79C829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up.PIK3CA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op w:val="single" w:color="000000" w:themeColor="text1" w:sz="4" w:space="0"/>
              <w:left w:val="nil"/>
              <w:bottom w:val="single" w:color="000000" w:themeColor="text1" w:sz="4" w:space="0"/>
            </w:tcBorders>
            <w:shd w:val="clear" w:color="auto" w:fill="auto"/>
            <w:vAlign w:val="center"/>
          </w:tcPr>
          <w:p w14:paraId="2AD0114F">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p w14:paraId="7CF9475E">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E9AA41C">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PTEN</w:t>
            </w:r>
          </w:p>
          <w:p w14:paraId="2614DFB6">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3024BB6B">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7D7940F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up.PTEN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 通路相关的PIK3CA，PTEN，AKT1，TSC1，TSC2 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5EAFF61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460AAC8">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TP53</w:t>
            </w:r>
          </w:p>
          <w:p w14:paraId="5917DCE1">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45FFEB9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0C10E79">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up.TP53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op w:val="single" w:color="000000" w:themeColor="text1" w:sz="4" w:space="0"/>
              <w:left w:val="nil"/>
              <w:bottom w:val="single" w:color="000000" w:themeColor="text1" w:sz="4" w:space="0"/>
            </w:tcBorders>
            <w:shd w:val="clear" w:color="auto" w:fill="auto"/>
            <w:vAlign w:val="center"/>
          </w:tcPr>
          <w:p w14:paraId="7C0572D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30352907</w:t>
            </w:r>
          </w:p>
          <w:p w14:paraId="69434AF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3C2EE47F">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TSC1</w:t>
            </w:r>
          </w:p>
          <w:p w14:paraId="7A5C5412">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05884140">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8FE5DAC">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up.TSC1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0680DBE7">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single" w:color="000000" w:themeColor="text1" w:sz="4" w:space="0"/>
              <w:bottom w:val="single" w:color="000000" w:themeColor="text1" w:sz="4" w:space="0"/>
              <w:right w:val="nil"/>
            </w:tcBorders>
            <w:shd w:val="clear" w:color="auto" w:fill="auto"/>
            <w:vAlign w:val="center"/>
          </w:tcPr>
          <w:p w14:paraId="0B4AD4EE">
            <w:pPr>
              <w:spacing w:before="26"/>
              <w:jc w:val="center"/>
              <w:rPr>
                <w:rFonts w:hint="eastAsia" w:ascii="宋体" w:hAnsi="宋体" w:eastAsia="宋体" w:cs="宋体"/>
                <w:sz w:val="18"/>
              </w:rPr>
            </w:pPr>
            <w:r>
              <w:rPr>
                <w:rFonts w:hint="eastAsia" w:ascii="宋体" w:hAnsi="宋体" w:eastAsia="宋体" w:cs="宋体"/>
                <w:color w:val="000000" w:themeColor="text1"/>
                <w:sz w:val="18"/>
                <w:szCs w:val="18"/>
                <w:lang w:eastAsia="zh-CN"/>
                <w14:textFill>
                  <w14:solidFill>
                    <w14:schemeClr w14:val="tx1"/>
                  </w14:solidFill>
                </w14:textFill>
              </w:rPr>
              <w:t>TSC2</w:t>
            </w:r>
          </w:p>
          <w:p w14:paraId="6E43E5C5">
            <w:pPr>
              <w:spacing w:before="26"/>
              <w:jc w:val="center"/>
              <w:rPr>
                <w:rFonts w:hint="eastAsia" w:ascii="宋体" w:hAnsi="宋体" w:eastAsia="宋体" w:cs="宋体"/>
                <w:sz w:val="18"/>
                <w:lang w:eastAsia="zh-CN"/>
              </w:rPr>
            </w:pPr>
            <w:r>
              <w:rPr>
                <w:rFonts w:hint="eastAsia" w:ascii="宋体" w:hAnsi="宋体" w:eastAsia="宋体" w:cs="宋体"/>
                <w:sz w:val="18"/>
                <w:szCs w:val="18"/>
                <w:lang w:eastAsia="zh-CN"/>
              </w:rPr>
              <w:t>突变</w:t>
            </w:r>
          </w:p>
        </w:tc>
        <w:tc>
          <w:tcPr>
            <w:tcW w:w="459" w:type="pct"/>
            <w:tcBorders>
              <w:top w:val="single" w:color="000000" w:themeColor="text1" w:sz="4" w:space="0"/>
              <w:left w:val="nil"/>
              <w:bottom w:val="single" w:color="000000" w:themeColor="text1" w:sz="4" w:space="0"/>
              <w:right w:val="nil"/>
            </w:tcBorders>
            <w:shd w:val="clear" w:color="auto" w:fill="auto"/>
            <w:vAlign w:val="center"/>
          </w:tcPr>
          <w:p w14:paraId="759D8BC3">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尿路上皮癌/膀胱癌</w:t>
            </w:r>
          </w:p>
        </w:tc>
        <w:tc>
          <w:tcPr>
            <w:tcW w:w="460" w:type="pct"/>
            <w:tcBorders>
              <w:top w:val="single" w:color="000000" w:themeColor="text1" w:sz="4" w:space="0"/>
              <w:left w:val="nil"/>
              <w:bottom w:val="single" w:color="000000" w:themeColor="text1" w:sz="4" w:space="0"/>
              <w:right w:val="nil"/>
            </w:tcBorders>
            <w:shd w:val="clear" w:color="auto" w:fill="auto"/>
            <w:vAlign w:val="center"/>
          </w:tcPr>
          <w:p w14:paraId="17E0F60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up.TSC2 }}</w:t>
            </w:r>
          </w:p>
        </w:tc>
        <w:tc>
          <w:tcPr>
            <w:tcW w:w="2972" w:type="pct"/>
            <w:tcBorders>
              <w:top w:val="single" w:color="000000" w:themeColor="text1" w:sz="4" w:space="0"/>
              <w:left w:val="nil"/>
              <w:bottom w:val="single" w:color="000000" w:themeColor="text1" w:sz="4" w:space="0"/>
              <w:right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4" w:leftChars="40" w:right="84" w:rightChars="40"/>
              <w:textAlignment w:val="auto"/>
              <w:rPr>
                <w:rFonts w:hint="eastAsia" w:ascii="宋体" w:hAnsi="宋体" w:eastAsia="宋体" w:cs="宋体"/>
                <w:bCs/>
                <w:sz w:val="18"/>
                <w:szCs w:val="18"/>
                <w:lang w:eastAsia="zh-CN"/>
              </w:rPr>
            </w:pPr>
            <w:r>
              <w:rPr>
                <w:rFonts w:hint="eastAsia" w:ascii="宋体" w:hAnsi="宋体" w:eastAsia="宋体" w:cs="宋体"/>
                <w:bCs/>
                <w:sz w:val="18"/>
                <w:szCs w:val="18"/>
                <w:lang w:eastAsia="zh-CN"/>
              </w:rPr>
              <w:t>研究发现，携带与PI3K/Akt通路相关的PIK3CA，PTEN，AKT1，TSC1，TSC2基因突变的尿路上皮癌患者，预后可能较好。</w:t>
            </w:r>
          </w:p>
        </w:tc>
        <w:tc>
          <w:tcPr>
            <w:tcW w:w="647" w:type="pct"/>
            <w:tcBorders>
              <w:top w:val="single" w:color="000000" w:themeColor="text1" w:sz="4" w:space="0"/>
              <w:left w:val="nil"/>
              <w:bottom w:val="single" w:color="000000" w:themeColor="text1" w:sz="4" w:space="0"/>
            </w:tcBorders>
            <w:shd w:val="clear" w:color="auto" w:fill="auto"/>
            <w:vAlign w:val="center"/>
          </w:tcPr>
          <w:p w14:paraId="37E2AE84">
            <w:pPr>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PMID: 25092538</w:t>
            </w:r>
          </w:p>
        </w:tc>
      </w:tr>
    </w:tbl>
    <w:p w14:paraId="1B10D37C">
      <w:pPr>
        <w:pStyle w:val="26"/>
        <w:tabs>
          <w:tab w:val="left" w:pos="1317"/>
        </w:tabs>
        <w:kinsoku w:val="0"/>
        <w:overflowPunct w:val="0"/>
        <w:spacing w:before="1" w:line="187" w:lineRule="auto"/>
        <w:ind w:left="0" w:right="1131" w:firstLine="0"/>
        <w:rPr>
          <w:rFonts w:hint="eastAsia" w:ascii="宋体" w:hAnsi="宋体" w:eastAsia="宋体" w:cs="宋体"/>
          <w:b/>
          <w:bCs/>
          <w:sz w:val="13"/>
          <w:szCs w:val="13"/>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宋体" w:hAnsi="宋体" w:eastAsia="宋体" w:cs="宋体"/>
          <w:b/>
          <w:bCs/>
          <w:sz w:val="13"/>
          <w:szCs w:val="13"/>
          <w:lang w:eastAsia="zh-CN"/>
        </w:rPr>
        <w:t>注：</w:t>
      </w:r>
    </w:p>
    <w:p w14:paraId="16FBF8A4">
      <w:pPr>
        <w:numPr>
          <w:ilvl w:val="0"/>
          <w:numId w:val="5"/>
        </w:numPr>
        <w:rPr>
          <w:rFonts w:hint="eastAsia" w:ascii="宋体" w:hAnsi="宋体" w:eastAsia="宋体" w:cs="宋体"/>
          <w:sz w:val="13"/>
          <w:szCs w:val="13"/>
          <w:lang w:eastAsia="zh-CN"/>
        </w:rPr>
      </w:pPr>
      <w:r>
        <w:rPr>
          <w:rFonts w:hint="eastAsia" w:ascii="宋体" w:hAnsi="宋体" w:eastAsia="宋体" w:cs="宋体"/>
          <w:sz w:val="13"/>
          <w:szCs w:val="13"/>
          <w:lang w:eastAsia="zh-CN"/>
        </w:rPr>
        <w:t>预后情况与多种临床因素相关，提示信息仅供参考。</w:t>
      </w:r>
    </w:p>
    <w:p w14:paraId="57E337EE">
      <w:pPr>
        <w:numPr>
          <w:ilvl w:val="0"/>
          <w:numId w:val="5"/>
        </w:numPr>
        <w:rPr>
          <w:rFonts w:ascii="Times New Roman" w:hAnsi="Times New Roman" w:eastAsia="微软雅黑" w:cs="Times New Roman"/>
          <w:sz w:val="18"/>
          <w:lang w:eastAsia="zh-CN"/>
        </w:rPr>
      </w:pPr>
      <w:r>
        <w:rPr>
          <w:rFonts w:hint="eastAsia" w:ascii="宋体" w:hAnsi="宋体" w:eastAsia="宋体" w:cs="宋体"/>
          <w:sz w:val="13"/>
          <w:szCs w:val="13"/>
          <w:lang w:eastAsia="zh-CN"/>
        </w:rPr>
        <w:t>本列表中基因的检测范围涵盖但不限于上表中列出的变异类型。良性变异、或疑似良性变异不在此“检出”范围内。</w:t>
      </w:r>
    </w:p>
    <w:p w14:paraId="7AEB23FD">
      <w:pPr>
        <w:rPr>
          <w:rFonts w:hint="eastAsia"/>
          <w:sz w:val="30"/>
          <w:lang w:eastAsia="zh-CN"/>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519" w:hRule="atLeast"/>
          <w:tblHeader/>
          <w:jc w:val="center"/>
        </w:trPr>
        <w:tc>
          <w:tcPr>
            <w:tcW w:w="386" w:type="pct"/>
            <w:tcBorders>
              <w:top w:val="nil"/>
              <w:bottom w:val="nil"/>
              <w:right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left w:val="nil"/>
              <w:bottom w:val="nil"/>
              <w:right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op w:val="nil"/>
              <w:left w:val="nil"/>
              <w:bottom w:val="nil"/>
              <w:right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nil"/>
              <w:bottom w:val="nil"/>
              <w:right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nil"/>
              <w:bottom w:val="nil"/>
              <w:right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nil"/>
              <w:bottom w:val="nil"/>
              <w:right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op w:val="nil"/>
              <w:left w:val="nil"/>
              <w:bottom w:val="nil"/>
              <w:right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nil"/>
              <w:bottom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28" w:hRule="atLeast"/>
          <w:jc w:val="center"/>
        </w:trPr>
        <w:tc>
          <w:tcPr>
            <w:tcW w:w="5000" w:type="pct"/>
            <w:gridSpan w:val="8"/>
            <w:tcBorders>
              <w:top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54" w:hRule="atLeast"/>
          <w:jc w:val="center"/>
        </w:trPr>
        <w:tc>
          <w:tcPr>
            <w:tcW w:w="386" w:type="pct"/>
            <w:tcBorders>
              <w:right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left w:val="nil"/>
              <w:right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left w:val="nil"/>
              <w:right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left w:val="nil"/>
              <w:right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left w:val="nil"/>
              <w:right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left w:val="nil"/>
              <w:right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left w:val="nil"/>
              <w:right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left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48" w:hRule="atLeast"/>
          <w:jc w:val="center"/>
        </w:trPr>
        <w:tc>
          <w:tcPr>
            <w:tcW w:w="5000" w:type="pct"/>
            <w:gridSpan w:val="8"/>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single" w:color="45A3A7" w:sz="18" w:space="0"/>
            <w:left w:val="none" w:color="auto" w:sz="0" w:space="0"/>
            <w:bottom w:val="single" w:color="auto" w:sz="4" w:space="0"/>
            <w:right w:val="none" w:color="auto" w:sz="0" w:space="0"/>
            <w:insideH w:val="single" w:color="auto" w:sz="4" w:space="0"/>
            <w:insideV w:val="single" w:color="A4A4A4" w:sz="4" w:space="0"/>
          </w:tblBorders>
          <w:tblCellMar>
            <w:top w:w="0" w:type="dxa"/>
            <w:left w:w="0" w:type="dxa"/>
            <w:bottom w:w="0" w:type="dxa"/>
            <w:right w:w="0" w:type="dxa"/>
          </w:tblCellMar>
        </w:tblPrEx>
        <w:trPr>
          <w:trHeight w:val="468" w:hRule="atLeast"/>
          <w:jc w:val="center"/>
        </w:trPr>
        <w:tc>
          <w:tcPr>
            <w:tcW w:w="5000" w:type="pct"/>
            <w:gridSpan w:val="8"/>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6"/>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11" w:name="_Toc28240"/>
      <w:bookmarkStart w:id="12" w:name="_Toc27302"/>
      <w:bookmarkStart w:id="13" w:name="_Toc13196_WPSOffice_Level1"/>
      <w:bookmarkStart w:id="14" w:name="_Toc1707_WPSOffice_Level1"/>
      <w:bookmarkStart w:id="15" w:name="_Toc12505"/>
      <w:bookmarkStart w:id="16" w:name="_Toc2409"/>
      <w:bookmarkStart w:id="17" w:name="_Toc21764_WPSOffice_Level1"/>
      <w:bookmarkStart w:id="18" w:name="_Toc16594"/>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11"/>
    <w:bookmarkEnd w:id="12"/>
    <w:bookmarkEnd w:id="13"/>
    <w:bookmarkEnd w:id="14"/>
    <w:bookmarkEnd w:id="15"/>
    <w:bookmarkEnd w:id="16"/>
    <w:bookmarkEnd w:id="17"/>
    <w:bookmarkEnd w:id="18"/>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9" w:name="_Toc149837268"/>
      <w:bookmarkStart w:id="20" w:name="_Toc19443"/>
      <w:bookmarkStart w:id="21" w:name="_Toc30346"/>
      <w:bookmarkStart w:id="22" w:name="_Toc1140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9"/>
      <w:bookmarkEnd w:id="20"/>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21"/>
      <w:bookmarkEnd w:id="22"/>
    </w:tbl>
    <w:p w14:paraId="5B2F596D">
      <w:pPr>
        <w:pStyle w:val="26"/>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3" w:name="_Toc19280_WPSOffice_Level2"/>
      <w:bookmarkStart w:id="24" w:name="_Toc31515_WPSOffice_Level2"/>
      <w:bookmarkStart w:id="25" w:name="_Toc6931_WPSOffice_Level2"/>
      <w:bookmarkStart w:id="26" w:name="_Toc6304_WPSOffice_Level2"/>
      <w:bookmarkStart w:id="27" w:name="_Toc17111_WPSOffice_Level2"/>
      <w:bookmarkStart w:id="28" w:name="_Toc11193_WPSOffice_Level2"/>
      <w:bookmarkStart w:id="29"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3"/>
      <w:bookmarkEnd w:id="24"/>
      <w:bookmarkEnd w:id="25"/>
      <w:bookmarkEnd w:id="26"/>
      <w:bookmarkEnd w:id="27"/>
      <w:bookmarkEnd w:id="28"/>
      <w:bookmarkEnd w:id="2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9"/>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7AAD0F9A">
      <w:pPr>
        <w:rPr>
          <w:sz w:val="30"/>
          <w:lang w:eastAsia="zh-CN"/>
        </w:rPr>
      </w:pPr>
      <w:r>
        <w:rPr>
          <w:rFonts w:hint="eastAsia" w:ascii="Times New Roman" w:hAnsi="Times New Roman" w:eastAsia="微软雅黑" w:cs="Times New Roman"/>
          <w:b/>
          <w:bCs/>
          <w:sz w:val="18"/>
          <w:szCs w:val="18"/>
          <w:lang w:val="en-US" w:eastAsia="zh-CN"/>
        </w:rPr>
        <w:t>{% endfor %}</w:t>
      </w:r>
      <w:bookmarkStart w:id="30" w:name="_Toc3409"/>
      <w:bookmarkStart w:id="31" w:name="_Toc15114"/>
      <w:bookmarkStart w:id="32" w:name="_Toc20924"/>
      <w:bookmarkStart w:id="33" w:name="_Toc28454_WPSOffice_Level1"/>
      <w:bookmarkStart w:id="34" w:name="_Toc31185"/>
      <w:bookmarkStart w:id="35" w:name="_Toc27693"/>
      <w:bookmarkStart w:id="36" w:name="_Toc20170_WPSOffice_Level1"/>
      <w:bookmarkStart w:id="37" w:name="_Toc26985_WPSOffice_Level1"/>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30"/>
    <w:bookmarkEnd w:id="31"/>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48"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48"/>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8"/>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8"/>
        <w:keepNext w:val="0"/>
        <w:keepLines w:val="0"/>
        <w:pageBreakBefore w:val="0"/>
        <w:widowControl w:val="0"/>
        <w:numPr>
          <w:ilvl w:val="0"/>
          <w:numId w:val="8"/>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32"/>
      <w:bookmarkEnd w:id="33"/>
      <w:bookmarkEnd w:id="34"/>
      <w:bookmarkEnd w:id="35"/>
      <w:bookmarkEnd w:id="36"/>
      <w:bookmarkEnd w:id="37"/>
      <w:bookmarkStart w:id="38" w:name="_Toc14611_WPSOffice_Level1"/>
      <w:bookmarkStart w:id="39" w:name="_Toc13275"/>
      <w:bookmarkStart w:id="40" w:name="_Toc22623"/>
      <w:bookmarkStart w:id="41" w:name="_Toc17792_WPSOffice_Level2"/>
      <w:bookmarkStart w:id="42" w:name="_Toc22162_WPSOffice_Level1"/>
      <w:bookmarkStart w:id="43" w:name="_Toc19584_WPSOffice_Level1"/>
    </w:p>
    <w:p w14:paraId="23DBC5C7">
      <w:pPr>
        <w:rPr>
          <w:rFonts w:hint="eastAsia" w:ascii="Times New Roman" w:hAnsi="Times New Roman" w:eastAsia="微软雅黑" w:cs="Times New Roman"/>
          <w:bCs/>
          <w:sz w:val="21"/>
          <w:szCs w:val="21"/>
          <w:lang w:val="en-US" w:eastAsia="zh-CN"/>
        </w:rPr>
      </w:pPr>
      <w:bookmarkStart w:id="44" w:name="_Toc24849"/>
      <w:bookmarkStart w:id="45" w:name="_Toc21361"/>
      <w:bookmarkStart w:id="46" w:name="_Toc23906"/>
      <w:bookmarkStart w:id="47"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44"/>
      <w:bookmarkEnd w:id="45"/>
      <w:bookmarkEnd w:id="46"/>
      <w:bookmarkEnd w:id="47"/>
    </w:p>
    <w:p w14:paraId="7FB020B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bookmarkEnd w:id="38"/>
    <w:bookmarkEnd w:id="39"/>
    <w:bookmarkEnd w:id="40"/>
    <w:bookmarkEnd w:id="41"/>
    <w:bookmarkEnd w:id="42"/>
    <w:bookmarkEnd w:id="43"/>
    <w:p w14:paraId="5AE95908">
      <w:pPr>
        <w:keepNext w:val="0"/>
        <w:keepLines w:val="0"/>
        <w:pageBreakBefore w:val="0"/>
        <w:widowControl/>
        <w:numPr>
          <w:ilvl w:val="0"/>
          <w:numId w:val="9"/>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eastAsia="微软雅黑" w:cs="Times New Roman"/>
          <w:sz w:val="15"/>
          <w:szCs w:val="15"/>
          <w:lang w:val="en-US" w:eastAsia="zh-CN"/>
        </w:rPr>
        <w:t>{{r}}{% endfor %}</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5154295</wp:posOffset>
          </wp:positionH>
          <wp:positionV relativeFrom="paragraph">
            <wp:posOffset>-23495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4384"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13" name="图片 13"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rPr>
        <w:rFonts w:ascii="楷体" w:hAnsi="楷体" w:eastAsia="楷体" w:cs="楷体"/>
        <w:b/>
        <w:bCs/>
        <w:sz w:val="24"/>
        <w:szCs w:val="24"/>
      </w:rPr>
    </w:pP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5059045</wp:posOffset>
          </wp:positionH>
          <wp:positionV relativeFrom="paragraph">
            <wp:posOffset>-17145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1"/>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0" locked="0" layoutInCell="1" allowOverlap="1">
          <wp:simplePos x="0" y="0"/>
          <wp:positionH relativeFrom="column">
            <wp:posOffset>0</wp:posOffset>
          </wp:positionH>
          <wp:positionV relativeFrom="paragraph">
            <wp:posOffset>8255</wp:posOffset>
          </wp:positionV>
          <wp:extent cx="4257675" cy="683895"/>
          <wp:effectExtent l="0" t="0" r="9525" b="1905"/>
          <wp:wrapNone/>
          <wp:docPr id="5" name="图片 5" descr="2a99611148d5cea56ef079e892e459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a99611148d5cea56ef079e892e4594d"/>
                  <pic:cNvPicPr>
                    <a:picLocks noChangeAspect="1"/>
                  </pic:cNvPicPr>
                </pic:nvPicPr>
                <pic:blipFill>
                  <a:blip r:embed="rId2"/>
                  <a:srcRect l="1336" t="23016" b="8995"/>
                  <a:stretch>
                    <a:fillRect/>
                  </a:stretch>
                </pic:blipFill>
                <pic:spPr>
                  <a:xfrm>
                    <a:off x="0" y="0"/>
                    <a:ext cx="4257675" cy="683895"/>
                  </a:xfrm>
                  <a:prstGeom prst="rect">
                    <a:avLst/>
                  </a:prstGeom>
                </pic:spPr>
              </pic:pic>
            </a:graphicData>
          </a:graphic>
        </wp:anchor>
      </w:drawing>
    </w:r>
  </w:p>
  <w:p w14:paraId="18876ED0">
    <w:pPr>
      <w:spacing w:before="60" w:line="268"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A7876B95"/>
    <w:multiLevelType w:val="singleLevel"/>
    <w:tmpl w:val="A7876B95"/>
    <w:lvl w:ilvl="0" w:tentative="0">
      <w:start w:val="1"/>
      <w:numFmt w:val="decimal"/>
      <w:lvlText w:val="%1."/>
      <w:lvlJc w:val="left"/>
      <w:pPr>
        <w:ind w:left="425" w:hanging="425"/>
      </w:pPr>
      <w:rPr>
        <w:rFonts w:hint="default"/>
      </w:rPr>
    </w:lvl>
  </w:abstractNum>
  <w:abstractNum w:abstractNumId="2">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288179BD"/>
    <w:multiLevelType w:val="singleLevel"/>
    <w:tmpl w:val="288179BD"/>
    <w:lvl w:ilvl="0" w:tentative="0">
      <w:start w:val="2"/>
      <w:numFmt w:val="decimal"/>
      <w:lvlText w:val="%1."/>
      <w:lvlJc w:val="left"/>
      <w:pPr>
        <w:tabs>
          <w:tab w:val="left" w:pos="312"/>
        </w:tabs>
      </w:pPr>
    </w:lvl>
  </w:abstractNum>
  <w:abstractNum w:abstractNumId="5">
    <w:nsid w:val="28B25B44"/>
    <w:multiLevelType w:val="singleLevel"/>
    <w:tmpl w:val="28B25B44"/>
    <w:lvl w:ilvl="0" w:tentative="0">
      <w:start w:val="1"/>
      <w:numFmt w:val="decimal"/>
      <w:lvlText w:val="%1."/>
      <w:lvlJc w:val="left"/>
      <w:pPr>
        <w:tabs>
          <w:tab w:val="left" w:pos="420"/>
        </w:tabs>
      </w:pPr>
      <w:rPr>
        <w:rFonts w:hint="default"/>
        <w:sz w:val="13"/>
        <w:szCs w:val="13"/>
      </w:rPr>
    </w:lvl>
  </w:abstractNum>
  <w:abstractNum w:abstractNumId="6">
    <w:nsid w:val="33009314"/>
    <w:multiLevelType w:val="multilevel"/>
    <w:tmpl w:val="33009314"/>
    <w:lvl w:ilvl="0" w:tentative="0">
      <w:start w:val="1"/>
      <w:numFmt w:val="decimal"/>
      <w:lvlText w:val="%1."/>
      <w:lvlJc w:val="left"/>
      <w:pPr>
        <w:ind w:left="425" w:hanging="425"/>
      </w:pPr>
      <w:rPr>
        <w:rFonts w:hint="default"/>
        <w:sz w:val="13"/>
        <w:szCs w:val="13"/>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num w:numId="1">
    <w:abstractNumId w:val="7"/>
  </w:num>
  <w:num w:numId="2">
    <w:abstractNumId w:val="5"/>
  </w:num>
  <w:num w:numId="3">
    <w:abstractNumId w:val="3"/>
  </w:num>
  <w:num w:numId="4">
    <w:abstractNumId w:val="0"/>
  </w:num>
  <w:num w:numId="5">
    <w:abstractNumId w:val="6"/>
  </w:num>
  <w:num w:numId="6">
    <w:abstractNumId w:val="4"/>
  </w:num>
  <w:num w:numId="7">
    <w:abstractNumId w:val="2"/>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CF517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A3073B"/>
    <w:rsid w:val="01C0331C"/>
    <w:rsid w:val="01D658DA"/>
    <w:rsid w:val="024A7274"/>
    <w:rsid w:val="02517CBA"/>
    <w:rsid w:val="032D36C9"/>
    <w:rsid w:val="0375569E"/>
    <w:rsid w:val="03E06E1F"/>
    <w:rsid w:val="03E57C61"/>
    <w:rsid w:val="04447FB3"/>
    <w:rsid w:val="05191617"/>
    <w:rsid w:val="057335C1"/>
    <w:rsid w:val="061C48FA"/>
    <w:rsid w:val="06622FDE"/>
    <w:rsid w:val="06862B05"/>
    <w:rsid w:val="071D3FAB"/>
    <w:rsid w:val="0757624F"/>
    <w:rsid w:val="084367D4"/>
    <w:rsid w:val="09812E93"/>
    <w:rsid w:val="09B6050D"/>
    <w:rsid w:val="0ABB4F52"/>
    <w:rsid w:val="0C5933F7"/>
    <w:rsid w:val="0CA353A7"/>
    <w:rsid w:val="0CFF1530"/>
    <w:rsid w:val="0D404FEF"/>
    <w:rsid w:val="0D4E2FA5"/>
    <w:rsid w:val="0D5C636E"/>
    <w:rsid w:val="0D60450C"/>
    <w:rsid w:val="0DAF2144"/>
    <w:rsid w:val="0DD71E98"/>
    <w:rsid w:val="0E24538F"/>
    <w:rsid w:val="0ED57440"/>
    <w:rsid w:val="0F094C7E"/>
    <w:rsid w:val="0F320836"/>
    <w:rsid w:val="0F5117D6"/>
    <w:rsid w:val="0FAC466A"/>
    <w:rsid w:val="10393FAE"/>
    <w:rsid w:val="109D2528"/>
    <w:rsid w:val="11CF09F1"/>
    <w:rsid w:val="11F748B7"/>
    <w:rsid w:val="124A1047"/>
    <w:rsid w:val="12AF5735"/>
    <w:rsid w:val="12C34799"/>
    <w:rsid w:val="13A445CA"/>
    <w:rsid w:val="13B121FA"/>
    <w:rsid w:val="13C46A1B"/>
    <w:rsid w:val="14206CB7"/>
    <w:rsid w:val="145C0341"/>
    <w:rsid w:val="14C97D21"/>
    <w:rsid w:val="14D412B4"/>
    <w:rsid w:val="152C0C00"/>
    <w:rsid w:val="16192126"/>
    <w:rsid w:val="16244997"/>
    <w:rsid w:val="167D2018"/>
    <w:rsid w:val="16891F33"/>
    <w:rsid w:val="168C1F89"/>
    <w:rsid w:val="17603F42"/>
    <w:rsid w:val="176123B1"/>
    <w:rsid w:val="17713378"/>
    <w:rsid w:val="183F48C2"/>
    <w:rsid w:val="18452030"/>
    <w:rsid w:val="189472EC"/>
    <w:rsid w:val="19066A98"/>
    <w:rsid w:val="19615925"/>
    <w:rsid w:val="199F74A2"/>
    <w:rsid w:val="1A642AC3"/>
    <w:rsid w:val="1A712159"/>
    <w:rsid w:val="1AB120EE"/>
    <w:rsid w:val="1B6509D4"/>
    <w:rsid w:val="1B9C1403"/>
    <w:rsid w:val="1BC22E43"/>
    <w:rsid w:val="1C170A7F"/>
    <w:rsid w:val="1C3F7586"/>
    <w:rsid w:val="1CA01EAA"/>
    <w:rsid w:val="1CD24EBC"/>
    <w:rsid w:val="1D5726AE"/>
    <w:rsid w:val="1D647A6D"/>
    <w:rsid w:val="1D8F11F5"/>
    <w:rsid w:val="1DF84375"/>
    <w:rsid w:val="1EB4180B"/>
    <w:rsid w:val="1FCB32AB"/>
    <w:rsid w:val="1FFE0153"/>
    <w:rsid w:val="20306204"/>
    <w:rsid w:val="20343022"/>
    <w:rsid w:val="204A1B23"/>
    <w:rsid w:val="20745615"/>
    <w:rsid w:val="20C279F7"/>
    <w:rsid w:val="21502035"/>
    <w:rsid w:val="21E40288"/>
    <w:rsid w:val="22BD432B"/>
    <w:rsid w:val="23AE14CB"/>
    <w:rsid w:val="23D03057"/>
    <w:rsid w:val="23EF6974"/>
    <w:rsid w:val="24285550"/>
    <w:rsid w:val="24D740D4"/>
    <w:rsid w:val="2533755C"/>
    <w:rsid w:val="25752322"/>
    <w:rsid w:val="259424BE"/>
    <w:rsid w:val="26803FD4"/>
    <w:rsid w:val="26822E97"/>
    <w:rsid w:val="26A84050"/>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4A2DAD"/>
    <w:rsid w:val="2CF27CFD"/>
    <w:rsid w:val="2D035FCE"/>
    <w:rsid w:val="2D391923"/>
    <w:rsid w:val="2D945258"/>
    <w:rsid w:val="2D983C96"/>
    <w:rsid w:val="2E0E7081"/>
    <w:rsid w:val="2EA15E7F"/>
    <w:rsid w:val="2F4955B7"/>
    <w:rsid w:val="2F5D4670"/>
    <w:rsid w:val="2FAF7450"/>
    <w:rsid w:val="2FEC6956"/>
    <w:rsid w:val="301F1E4C"/>
    <w:rsid w:val="30354AD0"/>
    <w:rsid w:val="30BF439A"/>
    <w:rsid w:val="3102072B"/>
    <w:rsid w:val="313A7EC4"/>
    <w:rsid w:val="324F174E"/>
    <w:rsid w:val="33775400"/>
    <w:rsid w:val="33D53ED4"/>
    <w:rsid w:val="346800E7"/>
    <w:rsid w:val="346C7CD4"/>
    <w:rsid w:val="34AB35B3"/>
    <w:rsid w:val="354A3431"/>
    <w:rsid w:val="356502F1"/>
    <w:rsid w:val="3571067D"/>
    <w:rsid w:val="35A5383E"/>
    <w:rsid w:val="35A81922"/>
    <w:rsid w:val="36B20052"/>
    <w:rsid w:val="37702892"/>
    <w:rsid w:val="37981C13"/>
    <w:rsid w:val="37982968"/>
    <w:rsid w:val="37A61E10"/>
    <w:rsid w:val="380354B4"/>
    <w:rsid w:val="39170258"/>
    <w:rsid w:val="39DE55F3"/>
    <w:rsid w:val="39FD7AC0"/>
    <w:rsid w:val="3A103993"/>
    <w:rsid w:val="3A1846D0"/>
    <w:rsid w:val="3A43603C"/>
    <w:rsid w:val="3A8B7AF3"/>
    <w:rsid w:val="3C4147FD"/>
    <w:rsid w:val="3C53013A"/>
    <w:rsid w:val="3C6A5F3E"/>
    <w:rsid w:val="3C942B48"/>
    <w:rsid w:val="3C9B7773"/>
    <w:rsid w:val="3CCA3A33"/>
    <w:rsid w:val="3D335711"/>
    <w:rsid w:val="3D3F5986"/>
    <w:rsid w:val="3E784CAF"/>
    <w:rsid w:val="40DA19C9"/>
    <w:rsid w:val="41011E2C"/>
    <w:rsid w:val="4106345F"/>
    <w:rsid w:val="421733CA"/>
    <w:rsid w:val="421A3B26"/>
    <w:rsid w:val="42784497"/>
    <w:rsid w:val="42FE0D52"/>
    <w:rsid w:val="430732B8"/>
    <w:rsid w:val="43776D56"/>
    <w:rsid w:val="43F76D91"/>
    <w:rsid w:val="45013EA7"/>
    <w:rsid w:val="45093545"/>
    <w:rsid w:val="45BF5ADC"/>
    <w:rsid w:val="45F51780"/>
    <w:rsid w:val="47C96C6C"/>
    <w:rsid w:val="47D71662"/>
    <w:rsid w:val="47EF7803"/>
    <w:rsid w:val="47FB1302"/>
    <w:rsid w:val="488D0130"/>
    <w:rsid w:val="48A560FB"/>
    <w:rsid w:val="48EC02BF"/>
    <w:rsid w:val="491D785B"/>
    <w:rsid w:val="49A62559"/>
    <w:rsid w:val="49C35028"/>
    <w:rsid w:val="4AAA6299"/>
    <w:rsid w:val="4B5C190B"/>
    <w:rsid w:val="4B6E01D6"/>
    <w:rsid w:val="4B8B3BFC"/>
    <w:rsid w:val="4B8D4E5E"/>
    <w:rsid w:val="4BAD6FF8"/>
    <w:rsid w:val="4C093628"/>
    <w:rsid w:val="4C405684"/>
    <w:rsid w:val="4C84146C"/>
    <w:rsid w:val="4CC21042"/>
    <w:rsid w:val="4D626381"/>
    <w:rsid w:val="4D903FFE"/>
    <w:rsid w:val="4DCE524B"/>
    <w:rsid w:val="4ECE7922"/>
    <w:rsid w:val="4ED37AFB"/>
    <w:rsid w:val="4F0348E3"/>
    <w:rsid w:val="4F91170B"/>
    <w:rsid w:val="4F964A55"/>
    <w:rsid w:val="4FF5558B"/>
    <w:rsid w:val="5011275F"/>
    <w:rsid w:val="50136F8F"/>
    <w:rsid w:val="505E1082"/>
    <w:rsid w:val="51890380"/>
    <w:rsid w:val="51B34B08"/>
    <w:rsid w:val="51D81308"/>
    <w:rsid w:val="52AF1549"/>
    <w:rsid w:val="52ED493F"/>
    <w:rsid w:val="53272682"/>
    <w:rsid w:val="53723B8B"/>
    <w:rsid w:val="53D17DBD"/>
    <w:rsid w:val="53D77AC3"/>
    <w:rsid w:val="55592760"/>
    <w:rsid w:val="55B464AB"/>
    <w:rsid w:val="55F4333F"/>
    <w:rsid w:val="56731990"/>
    <w:rsid w:val="56B56256"/>
    <w:rsid w:val="56E32460"/>
    <w:rsid w:val="571C1C97"/>
    <w:rsid w:val="574D1079"/>
    <w:rsid w:val="575D6537"/>
    <w:rsid w:val="57911F10"/>
    <w:rsid w:val="57E91301"/>
    <w:rsid w:val="580D1911"/>
    <w:rsid w:val="582A2734"/>
    <w:rsid w:val="58554097"/>
    <w:rsid w:val="58876AA7"/>
    <w:rsid w:val="58E01A95"/>
    <w:rsid w:val="5A160C1F"/>
    <w:rsid w:val="5A1E1DD0"/>
    <w:rsid w:val="5A816975"/>
    <w:rsid w:val="5A9015FB"/>
    <w:rsid w:val="5ADA39FB"/>
    <w:rsid w:val="5AFA409D"/>
    <w:rsid w:val="5B710073"/>
    <w:rsid w:val="5BC1147D"/>
    <w:rsid w:val="5BE2766C"/>
    <w:rsid w:val="5C417408"/>
    <w:rsid w:val="5CB54D70"/>
    <w:rsid w:val="5CD251BD"/>
    <w:rsid w:val="5D0D16D1"/>
    <w:rsid w:val="5D940211"/>
    <w:rsid w:val="5F2347E6"/>
    <w:rsid w:val="5FA1715B"/>
    <w:rsid w:val="5FBA5715"/>
    <w:rsid w:val="5FE3645C"/>
    <w:rsid w:val="603658A5"/>
    <w:rsid w:val="60607BB3"/>
    <w:rsid w:val="608163B8"/>
    <w:rsid w:val="60F168FC"/>
    <w:rsid w:val="60F55ECE"/>
    <w:rsid w:val="61AF16FF"/>
    <w:rsid w:val="624E41CF"/>
    <w:rsid w:val="628232F6"/>
    <w:rsid w:val="62B44FFF"/>
    <w:rsid w:val="62E00B42"/>
    <w:rsid w:val="6321538F"/>
    <w:rsid w:val="6321796C"/>
    <w:rsid w:val="63224191"/>
    <w:rsid w:val="638766EA"/>
    <w:rsid w:val="64065861"/>
    <w:rsid w:val="646C0BCA"/>
    <w:rsid w:val="64967EC8"/>
    <w:rsid w:val="64AA1754"/>
    <w:rsid w:val="65845BB7"/>
    <w:rsid w:val="65867FF5"/>
    <w:rsid w:val="65FB49E2"/>
    <w:rsid w:val="66064CBA"/>
    <w:rsid w:val="66874DE1"/>
    <w:rsid w:val="678A67A9"/>
    <w:rsid w:val="67AB72BD"/>
    <w:rsid w:val="67C80D34"/>
    <w:rsid w:val="685F6F23"/>
    <w:rsid w:val="68743ADC"/>
    <w:rsid w:val="68CD2E71"/>
    <w:rsid w:val="695D3A47"/>
    <w:rsid w:val="696E0130"/>
    <w:rsid w:val="6AFF0A3C"/>
    <w:rsid w:val="6B0A032C"/>
    <w:rsid w:val="6B230036"/>
    <w:rsid w:val="6B7519B8"/>
    <w:rsid w:val="6B8E6F9E"/>
    <w:rsid w:val="6BAA4AB8"/>
    <w:rsid w:val="6BCC3834"/>
    <w:rsid w:val="6D2A25C0"/>
    <w:rsid w:val="6D60320B"/>
    <w:rsid w:val="6E297E68"/>
    <w:rsid w:val="6E7C73C6"/>
    <w:rsid w:val="6E87371E"/>
    <w:rsid w:val="6EDD18B4"/>
    <w:rsid w:val="6F0C162D"/>
    <w:rsid w:val="6F2B4B68"/>
    <w:rsid w:val="6F4D4E57"/>
    <w:rsid w:val="6F6254D4"/>
    <w:rsid w:val="6FDA6F50"/>
    <w:rsid w:val="6FE70C3C"/>
    <w:rsid w:val="707E0E37"/>
    <w:rsid w:val="712D08D1"/>
    <w:rsid w:val="723B53D9"/>
    <w:rsid w:val="7261482B"/>
    <w:rsid w:val="72750781"/>
    <w:rsid w:val="734B0AAB"/>
    <w:rsid w:val="73D968FB"/>
    <w:rsid w:val="74BF0FAF"/>
    <w:rsid w:val="760342F6"/>
    <w:rsid w:val="761A613E"/>
    <w:rsid w:val="76CECDB4"/>
    <w:rsid w:val="76F27584"/>
    <w:rsid w:val="77106CCA"/>
    <w:rsid w:val="772E2023"/>
    <w:rsid w:val="777546A8"/>
    <w:rsid w:val="77804029"/>
    <w:rsid w:val="77BF6B66"/>
    <w:rsid w:val="782F3180"/>
    <w:rsid w:val="784604CA"/>
    <w:rsid w:val="784A5363"/>
    <w:rsid w:val="78DC32F4"/>
    <w:rsid w:val="795C1CE7"/>
    <w:rsid w:val="798C63B0"/>
    <w:rsid w:val="7A15284A"/>
    <w:rsid w:val="7A9A4A9F"/>
    <w:rsid w:val="7B582304"/>
    <w:rsid w:val="7B99466E"/>
    <w:rsid w:val="7BD35584"/>
    <w:rsid w:val="7BDF0250"/>
    <w:rsid w:val="7C1120EB"/>
    <w:rsid w:val="7D0E21AB"/>
    <w:rsid w:val="7D275E6F"/>
    <w:rsid w:val="7D3B6123"/>
    <w:rsid w:val="7D3D633F"/>
    <w:rsid w:val="7D806106"/>
    <w:rsid w:val="7E0B4B47"/>
    <w:rsid w:val="7E826381"/>
    <w:rsid w:val="7ECF7AEF"/>
    <w:rsid w:val="7F0A3FFF"/>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semiHidden/>
    <w:unhideWhenUsed/>
    <w:qFormat/>
    <w:uiPriority w:val="99"/>
    <w:pPr>
      <w:jc w:val="left"/>
    </w:pPr>
  </w:style>
  <w:style w:type="paragraph" w:styleId="6">
    <w:name w:val="Body Text"/>
    <w:basedOn w:val="1"/>
    <w:link w:val="24"/>
    <w:qFormat/>
    <w:uiPriority w:val="1"/>
    <w:rPr>
      <w:sz w:val="18"/>
      <w:szCs w:val="18"/>
    </w:r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2"/>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Hyperlink"/>
    <w:basedOn w:val="14"/>
    <w:unhideWhenUsed/>
    <w:qFormat/>
    <w:uiPriority w:val="99"/>
    <w:rPr>
      <w:color w:val="0563C1" w:themeColor="hyperlink"/>
      <w:u w:val="single"/>
      <w14:textFill>
        <w14:solidFill>
          <w14:schemeClr w14:val="hlink"/>
        </w14:solidFill>
      </w14:textFill>
    </w:rPr>
  </w:style>
  <w:style w:type="character" w:styleId="16">
    <w:name w:val="annotation reference"/>
    <w:basedOn w:val="14"/>
    <w:semiHidden/>
    <w:unhideWhenUsed/>
    <w:qFormat/>
    <w:uiPriority w:val="99"/>
    <w:rPr>
      <w:sz w:val="21"/>
      <w:szCs w:val="21"/>
    </w:rPr>
  </w:style>
  <w:style w:type="character" w:customStyle="1" w:styleId="17">
    <w:name w:val="页眉 字符"/>
    <w:basedOn w:val="14"/>
    <w:link w:val="9"/>
    <w:qFormat/>
    <w:uiPriority w:val="99"/>
    <w:rPr>
      <w:sz w:val="18"/>
      <w:szCs w:val="18"/>
    </w:rPr>
  </w:style>
  <w:style w:type="character" w:customStyle="1" w:styleId="18">
    <w:name w:val="页脚 字符"/>
    <w:basedOn w:val="14"/>
    <w:link w:val="8"/>
    <w:qFormat/>
    <w:uiPriority w:val="99"/>
    <w:rPr>
      <w:sz w:val="18"/>
      <w:szCs w:val="18"/>
    </w:rPr>
  </w:style>
  <w:style w:type="character" w:customStyle="1" w:styleId="19">
    <w:name w:val="标题 2 字符"/>
    <w:basedOn w:val="14"/>
    <w:link w:val="3"/>
    <w:qFormat/>
    <w:uiPriority w:val="9"/>
    <w:rPr>
      <w:rFonts w:asciiTheme="majorHAnsi" w:hAnsiTheme="majorHAnsi" w:eastAsiaTheme="majorEastAsia" w:cstheme="majorBidi"/>
      <w:b/>
      <w:bCs/>
      <w:sz w:val="32"/>
      <w:szCs w:val="32"/>
    </w:rPr>
  </w:style>
  <w:style w:type="paragraph" w:styleId="20">
    <w:name w:val="List Paragraph"/>
    <w:basedOn w:val="1"/>
    <w:qFormat/>
    <w:uiPriority w:val="34"/>
    <w:pPr>
      <w:ind w:firstLine="420" w:firstLineChars="200"/>
    </w:pPr>
  </w:style>
  <w:style w:type="character" w:customStyle="1" w:styleId="21">
    <w:name w:val="批注文字 字符"/>
    <w:basedOn w:val="14"/>
    <w:link w:val="5"/>
    <w:semiHidden/>
    <w:qFormat/>
    <w:uiPriority w:val="99"/>
  </w:style>
  <w:style w:type="character" w:customStyle="1" w:styleId="22">
    <w:name w:val="批注主题 字符"/>
    <w:basedOn w:val="21"/>
    <w:link w:val="11"/>
    <w:semiHidden/>
    <w:qFormat/>
    <w:uiPriority w:val="99"/>
    <w:rPr>
      <w:b/>
      <w:bCs/>
    </w:rPr>
  </w:style>
  <w:style w:type="character" w:customStyle="1" w:styleId="23">
    <w:name w:val="批注框文本 字符"/>
    <w:basedOn w:val="14"/>
    <w:link w:val="7"/>
    <w:semiHidden/>
    <w:qFormat/>
    <w:uiPriority w:val="99"/>
    <w:rPr>
      <w:sz w:val="18"/>
      <w:szCs w:val="18"/>
    </w:rPr>
  </w:style>
  <w:style w:type="character" w:customStyle="1" w:styleId="24">
    <w:name w:val="正文文本 字符"/>
    <w:basedOn w:val="14"/>
    <w:link w:val="6"/>
    <w:qFormat/>
    <w:uiPriority w:val="1"/>
    <w:rPr>
      <w:kern w:val="2"/>
      <w:sz w:val="18"/>
      <w:szCs w:val="18"/>
    </w:rPr>
  </w:style>
  <w:style w:type="table" w:customStyle="1" w:styleId="25">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6">
    <w:name w:val="列出段落1"/>
    <w:basedOn w:val="1"/>
    <w:qFormat/>
    <w:uiPriority w:val="34"/>
    <w:pPr>
      <w:ind w:firstLine="420" w:firstLineChars="200"/>
    </w:pPr>
  </w:style>
  <w:style w:type="paragraph" w:customStyle="1" w:styleId="27">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8">
    <w:name w:val="Table Paragraph"/>
    <w:basedOn w:val="1"/>
    <w:autoRedefine/>
    <w:qFormat/>
    <w:uiPriority w:val="1"/>
  </w:style>
  <w:style w:type="table" w:customStyle="1" w:styleId="29">
    <w:name w:val="Table Normal1"/>
    <w:autoRedefine/>
    <w:unhideWhenUsed/>
    <w:qFormat/>
    <w:uiPriority w:val="2"/>
    <w:tblPr>
      <w:tblCellMar>
        <w:top w:w="0" w:type="dxa"/>
        <w:left w:w="0" w:type="dxa"/>
        <w:bottom w:w="0" w:type="dxa"/>
        <w:right w:w="0" w:type="dxa"/>
      </w:tblCellMar>
    </w:tblPr>
  </w:style>
  <w:style w:type="paragraph" w:customStyle="1" w:styleId="30">
    <w:name w:val="List Paragraph1"/>
    <w:basedOn w:val="1"/>
    <w:autoRedefine/>
    <w:qFormat/>
    <w:uiPriority w:val="34"/>
    <w:rPr>
      <w:rFonts w:asciiTheme="minorHAnsi" w:hAnsiTheme="minorHAnsi" w:eastAsiaTheme="minorEastAsia" w:cstheme="minorBidi"/>
    </w:rPr>
  </w:style>
  <w:style w:type="character" w:customStyle="1" w:styleId="31">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2">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3">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4">
    <w:name w:val="font61"/>
    <w:basedOn w:val="14"/>
    <w:autoRedefine/>
    <w:qFormat/>
    <w:uiPriority w:val="0"/>
    <w:rPr>
      <w:rFonts w:hint="default" w:ascii="Times New Roman" w:hAnsi="Times New Roman" w:cs="Times New Roman"/>
      <w:color w:val="000000"/>
      <w:sz w:val="21"/>
      <w:szCs w:val="21"/>
      <w:u w:val="none"/>
    </w:rPr>
  </w:style>
  <w:style w:type="paragraph" w:customStyle="1" w:styleId="3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6">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7">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8">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32</Pages>
  <Words>8009</Words>
  <Characters>18075</Characters>
  <Lines>37</Lines>
  <Paragraphs>10</Paragraphs>
  <TotalTime>0</TotalTime>
  <ScaleCrop>false</ScaleCrop>
  <LinksUpToDate>false</LinksUpToDate>
  <CharactersWithSpaces>19447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2025-12-12T05:27:03Z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