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3F04B">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028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1"/>
                    <a:stretch>
                      <a:fillRect/>
                    </a:stretch>
                  </pic:blipFill>
                  <pic:spPr>
                    <a:xfrm>
                      <a:off x="0" y="0"/>
                      <a:ext cx="7647940" cy="10814050"/>
                    </a:xfrm>
                    <a:prstGeom prst="rect">
                      <a:avLst/>
                    </a:prstGeom>
                  </pic:spPr>
                </pic:pic>
              </a:graphicData>
            </a:graphic>
          </wp:anchor>
        </w:drawing>
      </w:r>
    </w:p>
    <w:p w14:paraId="2E5A470E">
      <w:pPr>
        <w:rPr>
          <w:rFonts w:eastAsia="微软雅黑" w:cs="Times New Roman"/>
          <w:sz w:val="20"/>
        </w:rPr>
      </w:pPr>
    </w:p>
    <w:p w14:paraId="1250832D">
      <w:pPr>
        <w:rPr>
          <w:rFonts w:eastAsia="微软雅黑" w:cs="Times New Roman"/>
          <w:sz w:val="20"/>
        </w:rPr>
      </w:pPr>
    </w:p>
    <w:p w14:paraId="679EDBDD">
      <w:pPr>
        <w:rPr>
          <w:rFonts w:eastAsia="微软雅黑" w:cs="Times New Roman"/>
          <w:sz w:val="20"/>
        </w:rPr>
      </w:pPr>
    </w:p>
    <w:p w14:paraId="7395E997">
      <w:pPr>
        <w:rPr>
          <w:rFonts w:eastAsia="微软雅黑" w:cs="Times New Roman"/>
          <w:sz w:val="20"/>
        </w:rPr>
      </w:pPr>
    </w:p>
    <w:p w14:paraId="33BD588C">
      <w:pPr>
        <w:rPr>
          <w:rFonts w:eastAsia="微软雅黑" w:cs="Times New Roman"/>
          <w:sz w:val="20"/>
        </w:rPr>
      </w:pPr>
    </w:p>
    <w:p w14:paraId="2C698F54">
      <w:pPr>
        <w:rPr>
          <w:rFonts w:eastAsia="微软雅黑" w:cs="Times New Roman"/>
          <w:sz w:val="20"/>
        </w:rPr>
      </w:pPr>
    </w:p>
    <w:p w14:paraId="433CFAE1">
      <w:pPr>
        <w:rPr>
          <w:rFonts w:eastAsia="微软雅黑" w:cs="Times New Roman"/>
          <w:sz w:val="20"/>
        </w:rPr>
      </w:pPr>
    </w:p>
    <w:p w14:paraId="577E2D83">
      <w:pPr>
        <w:rPr>
          <w:rFonts w:eastAsia="微软雅黑" w:cs="Times New Roman"/>
          <w:sz w:val="20"/>
        </w:rPr>
      </w:pPr>
    </w:p>
    <w:p w14:paraId="2A7A8CE0">
      <w:pPr>
        <w:rPr>
          <w:rFonts w:eastAsia="微软雅黑" w:cs="Times New Roman"/>
          <w:sz w:val="20"/>
        </w:rPr>
      </w:pPr>
    </w:p>
    <w:p w14:paraId="4355B41D">
      <w:pPr>
        <w:rPr>
          <w:rFonts w:eastAsia="微软雅黑" w:cs="Times New Roman"/>
        </w:rPr>
      </w:pPr>
      <w:bookmarkStart w:id="0" w:name="_Toc9856"/>
    </w:p>
    <w:bookmarkEnd w:id="0"/>
    <w:p w14:paraId="3A560032">
      <w:pPr>
        <w:pStyle w:val="6"/>
        <w:rPr>
          <w:rFonts w:ascii="黑体" w:eastAsia="微软雅黑" w:cs="Times New Roman"/>
          <w:sz w:val="48"/>
          <w:lang w:eastAsia="zh-CN"/>
        </w:rPr>
      </w:pPr>
    </w:p>
    <w:p w14:paraId="6A7219A2">
      <w:pPr>
        <w:pStyle w:val="6"/>
        <w:rPr>
          <w:rFonts w:ascii="黑体" w:eastAsia="微软雅黑" w:cs="Times New Roman"/>
          <w:sz w:val="48"/>
          <w:lang w:eastAsia="zh-CN"/>
        </w:rPr>
      </w:pPr>
    </w:p>
    <w:p w14:paraId="4EA01227">
      <w:pPr>
        <w:pStyle w:val="6"/>
        <w:rPr>
          <w:rFonts w:ascii="黑体" w:eastAsia="微软雅黑" w:cs="Times New Roman"/>
          <w:sz w:val="48"/>
          <w:lang w:eastAsia="zh-CN"/>
        </w:rPr>
      </w:pPr>
    </w:p>
    <w:p w14:paraId="1959EAC4">
      <w:pPr>
        <w:pStyle w:val="6"/>
        <w:rPr>
          <w:rFonts w:ascii="黑体" w:eastAsia="微软雅黑" w:cs="Times New Roman"/>
          <w:sz w:val="48"/>
          <w:lang w:eastAsia="zh-CN"/>
        </w:rPr>
      </w:pPr>
    </w:p>
    <w:p w14:paraId="2A2C2DCF">
      <w:pPr>
        <w:pStyle w:val="6"/>
        <w:rPr>
          <w:rFonts w:ascii="Times New Roman" w:hAnsi="Times New Roman" w:eastAsia="微软雅黑" w:cs="Times New Roman"/>
          <w:sz w:val="30"/>
          <w:szCs w:val="30"/>
          <w:lang w:eastAsia="zh-CN"/>
        </w:rPr>
      </w:pPr>
    </w:p>
    <w:tbl>
      <w:tblPr>
        <w:tblStyle w:val="16"/>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60BAB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2D6A8A46">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患者姓名：</w:t>
            </w:r>
          </w:p>
        </w:tc>
        <w:tc>
          <w:tcPr>
            <w:tcW w:w="3756" w:type="dxa"/>
            <w:vAlign w:val="center"/>
          </w:tcPr>
          <w:p w14:paraId="000404E2">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client }}</w:t>
            </w:r>
          </w:p>
        </w:tc>
      </w:tr>
      <w:tr w14:paraId="013AA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5DDE97FD">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登记号/门诊号：</w:t>
            </w:r>
          </w:p>
        </w:tc>
        <w:tc>
          <w:tcPr>
            <w:tcW w:w="3756" w:type="dxa"/>
            <w:vAlign w:val="center"/>
          </w:tcPr>
          <w:p w14:paraId="2594FE52">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registration_number }}</w:t>
            </w:r>
          </w:p>
        </w:tc>
      </w:tr>
    </w:tbl>
    <w:p w14:paraId="3706F911">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14:paraId="2B9C5068">
      <w:pPr>
        <w:jc w:val="center"/>
        <w:rPr>
          <w:rFonts w:hint="eastAsia" w:eastAsia="微软雅黑" w:cs="Times New Roman"/>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2"/>
                    <a:srcRect l="16012" t="7541" r="13072" b="7738"/>
                    <a:stretch>
                      <a:fillRect/>
                    </a:stretch>
                  </pic:blipFill>
                  <pic:spPr>
                    <a:xfrm>
                      <a:off x="0" y="0"/>
                      <a:ext cx="5935345" cy="9458325"/>
                    </a:xfrm>
                    <a:prstGeom prst="rect">
                      <a:avLst/>
                    </a:prstGeom>
                  </pic:spPr>
                </pic:pic>
              </a:graphicData>
            </a:graphic>
          </wp:inline>
        </w:drawing>
      </w:r>
    </w:p>
    <w:p w14:paraId="4B4B01A5">
      <w:pPr>
        <w:keepLines w:val="0"/>
        <w:pageBreakBefore w:val="0"/>
        <w:kinsoku/>
        <w:wordWrap/>
        <w:overflowPunct/>
        <w:topLinePunct w:val="0"/>
        <w:bidi w:val="0"/>
        <w:snapToGrid/>
        <w:spacing w:line="240" w:lineRule="auto"/>
        <w:rPr>
          <w:rFonts w:hint="eastAsia" w:ascii="微软雅黑" w:hAnsi="微软雅黑" w:eastAsia="微软雅黑" w:cs="微软雅黑"/>
          <w:bCs/>
          <w:color w:val="0B8770"/>
          <w:sz w:val="34"/>
          <w:szCs w:val="34"/>
          <w:lang w:eastAsia="zh-CN"/>
        </w:rPr>
      </w:pPr>
      <w:r>
        <w:rPr>
          <w:rFonts w:hint="eastAsia" w:ascii="微软雅黑" w:hAnsi="微软雅黑" w:eastAsia="微软雅黑" w:cs="微软雅黑"/>
          <w:bCs/>
          <w:color w:val="0B8770"/>
          <w:sz w:val="34"/>
          <w:szCs w:val="34"/>
          <w:lang w:eastAsia="zh-CN"/>
        </w:rPr>
        <w:t>目录</w:t>
      </w:r>
    </w:p>
    <w:p w14:paraId="3300A2AC">
      <w:pPr>
        <w:keepLines w:val="0"/>
        <w:pageBreakBefore w:val="0"/>
        <w:kinsoku/>
        <w:wordWrap/>
        <w:overflowPunct/>
        <w:topLinePunct w:val="0"/>
        <w:bidi w:val="0"/>
        <w:snapToGrid/>
        <w:spacing w:line="240" w:lineRule="auto"/>
        <w:rPr>
          <w:rFonts w:hint="eastAsia" w:ascii="微软雅黑" w:hAnsi="微软雅黑" w:eastAsia="微软雅黑" w:cs="微软雅黑"/>
          <w:bCs/>
          <w:color w:val="0B8770"/>
          <w:sz w:val="18"/>
          <w:szCs w:val="18"/>
          <w:lang w:eastAsia="zh-CN"/>
        </w:rPr>
      </w:pPr>
      <w:r>
        <w:rPr>
          <w:rFonts w:hint="eastAsia" w:ascii="微软雅黑" w:hAnsi="微软雅黑" w:eastAsia="微软雅黑" w:cs="微软雅黑"/>
          <w:bCs/>
          <w:color w:val="0B8770"/>
          <w:sz w:val="18"/>
          <w:szCs w:val="18"/>
          <w:lang w:eastAsia="zh-CN"/>
        </w:rPr>
        <w:t>Content</w:t>
      </w:r>
    </w:p>
    <w:p w14:paraId="40318BC4">
      <w:pPr>
        <w:keepLines w:val="0"/>
        <w:pageBreakBefore w:val="0"/>
        <w:kinsoku/>
        <w:wordWrap/>
        <w:overflowPunct/>
        <w:topLinePunct w:val="0"/>
        <w:bidi w:val="0"/>
        <w:snapToGrid/>
        <w:spacing w:line="240" w:lineRule="auto"/>
        <w:rPr>
          <w:rFonts w:hint="eastAsia" w:ascii="微软雅黑" w:hAnsi="微软雅黑" w:eastAsia="微软雅黑" w:cs="微软雅黑"/>
          <w:bCs/>
          <w:color w:val="0B8770"/>
          <w:sz w:val="18"/>
          <w:szCs w:val="18"/>
          <w:lang w:eastAsia="zh-CN"/>
        </w:rPr>
      </w:pPr>
    </w:p>
    <w:p w14:paraId="3AB63276">
      <w:pPr>
        <w:keepLines w:val="0"/>
        <w:pageBreakBefore w:val="0"/>
        <w:kinsoku/>
        <w:wordWrap/>
        <w:overflowPunct/>
        <w:topLinePunct w:val="0"/>
        <w:bidi w:val="0"/>
        <w:snapToGrid/>
        <w:spacing w:line="240" w:lineRule="auto"/>
        <w:rPr>
          <w:rFonts w:hint="eastAsia" w:ascii="微软雅黑" w:hAnsi="微软雅黑" w:eastAsia="微软雅黑" w:cs="微软雅黑"/>
          <w:bCs/>
          <w:color w:val="0B8770"/>
          <w:sz w:val="18"/>
          <w:szCs w:val="18"/>
          <w:u w:val="single"/>
          <w:lang w:eastAsia="zh-CN"/>
        </w:rPr>
      </w:pPr>
      <w:r>
        <w:rPr>
          <w:rFonts w:hint="eastAsia" w:ascii="微软雅黑" w:hAnsi="微软雅黑" w:eastAsia="微软雅黑" w:cs="微软雅黑"/>
          <w:bCs/>
          <w:color w:val="0B8770"/>
          <w:sz w:val="18"/>
          <w:szCs w:val="18"/>
          <w:u w:val="single"/>
          <w:lang w:eastAsia="zh-CN"/>
        </w:rPr>
        <w:t xml:space="preserve">       </w:t>
      </w:r>
    </w:p>
    <w:p w14:paraId="6DBC4FD1">
      <w:pPr>
        <w:keepLines w:val="0"/>
        <w:pageBreakBefore w:val="0"/>
        <w:kinsoku/>
        <w:wordWrap/>
        <w:overflowPunct/>
        <w:topLinePunct w:val="0"/>
        <w:bidi w:val="0"/>
        <w:snapToGrid/>
        <w:spacing w:line="240" w:lineRule="auto"/>
        <w:rPr>
          <w:rFonts w:hint="eastAsia" w:ascii="微软雅黑" w:hAnsi="微软雅黑" w:eastAsia="微软雅黑" w:cs="微软雅黑"/>
          <w:lang w:eastAsia="zh-CN"/>
        </w:rPr>
      </w:pPr>
    </w:p>
    <w:p w14:paraId="62B8ED75">
      <w:pPr>
        <w:keepLines w:val="0"/>
        <w:pageBreakBefore w:val="0"/>
        <w:kinsoku/>
        <w:wordWrap/>
        <w:overflowPunct/>
        <w:topLinePunct w:val="0"/>
        <w:bidi w:val="0"/>
        <w:snapToGrid/>
        <w:spacing w:line="240" w:lineRule="auto"/>
        <w:rPr>
          <w:rFonts w:hint="eastAsia" w:ascii="微软雅黑" w:hAnsi="微软雅黑" w:eastAsia="微软雅黑" w:cs="微软雅黑"/>
          <w:lang w:eastAsia="zh-CN"/>
        </w:rPr>
      </w:pPr>
    </w:p>
    <w:p w14:paraId="1865F9B4">
      <w:pPr>
        <w:pStyle w:val="11"/>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_Toc15675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_Toc15675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3388464C">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_Toc12810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_Toc12810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536462E1">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_Toc14490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_Toc14490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7303DEC">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_Toc11425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_Toc11425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003FF58">
      <w:pPr>
        <w:pStyle w:val="11"/>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_Toc21848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lang w:eastAsia="zh-CN"/>
        </w:rPr>
        <w:t>部分 检测结果</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_Toc21848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2</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15BA9707">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_Toc14587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 肿瘤遗传风险检测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_Toc14587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E70BE55">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_Toc28715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2.2 用药提示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_Toc28715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AAC527A">
      <w:pPr>
        <w:pStyle w:val="11"/>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_Toc29187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lang w:eastAsia="zh-CN"/>
        </w:rPr>
        <w:t>基因检测结果解析</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_Toc29187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4</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61DB01FC">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_Toc19761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变异位点结果解析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_Toc19761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3840565">
      <w:pPr>
        <w:pStyle w:val="11"/>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_Toc21688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第四部分 风险管理</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_Toc21688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6</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508A8187">
      <w:pPr>
        <w:pStyle w:val="11"/>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_Toc352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第五部分 附录</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_Toc352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13</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7B500606">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_Toc18015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5.1 林奇综合征和相关基因说明</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_Toc18015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05E05B7">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_Toc6253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5.2 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_Toc6253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892B2B3">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_Toc31064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5.3 检测方法</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_Toc31064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EAEBD10">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_Toc25286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5.4 遗传信息解读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_Toc25286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16</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DE6BCFD">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_Toc3486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5.5 变异解读声明</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_Toc3486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16</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C62105B">
      <w:pPr>
        <w:pStyle w:val="11"/>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_Toc29854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5.6 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_Toc29854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16</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120700C">
      <w:pPr>
        <w:pStyle w:val="11"/>
        <w:tabs>
          <w:tab w:val="right" w:leader="dot" w:pos="9870"/>
        </w:tabs>
        <w:rPr>
          <w:rFonts w:hint="eastAsia" w:ascii="微软雅黑" w:hAnsi="微软雅黑" w:eastAsia="微软雅黑" w:cs="微软雅黑"/>
        </w:rPr>
      </w:pPr>
      <w:r>
        <w:rPr>
          <w:rFonts w:hint="eastAsia" w:ascii="微软雅黑" w:hAnsi="微软雅黑" w:eastAsia="微软雅黑" w:cs="微软雅黑"/>
          <w:bCs/>
          <w:szCs w:val="40"/>
          <w:lang w:eastAsia="zh-CN"/>
        </w:rPr>
        <w:fldChar w:fldCharType="end"/>
      </w:r>
    </w:p>
    <w:p w14:paraId="1FF4FE9A">
      <w:pPr>
        <w:keepLines w:val="0"/>
        <w:pageBreakBefore w:val="0"/>
        <w:kinsoku/>
        <w:wordWrap/>
        <w:overflowPunct/>
        <w:topLinePunct w:val="0"/>
        <w:bidi w:val="0"/>
        <w:snapToGrid/>
        <w:spacing w:line="240" w:lineRule="auto"/>
        <w:rPr>
          <w:rFonts w:hint="eastAsia" w:ascii="微软雅黑" w:hAnsi="微软雅黑" w:eastAsia="微软雅黑" w:cs="微软雅黑"/>
        </w:rPr>
        <w:sectPr>
          <w:head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720" w:num="1"/>
          <w:docGrid w:linePitch="299" w:charSpace="0"/>
        </w:sectPr>
      </w:pPr>
    </w:p>
    <w:p w14:paraId="5A8EFE47">
      <w:pPr>
        <w:pStyle w:val="2"/>
        <w:numPr>
          <w:ilvl w:val="0"/>
          <w:numId w:val="0"/>
        </w:numPr>
        <w:jc w:val="left"/>
        <w:rPr>
          <w:rFonts w:hint="eastAsia" w:ascii="微软雅黑" w:hAnsi="微软雅黑" w:eastAsia="微软雅黑" w:cs="微软雅黑"/>
          <w:color w:val="auto"/>
          <w:sz w:val="32"/>
          <w:szCs w:val="40"/>
        </w:rPr>
      </w:pPr>
      <w:bookmarkStart w:id="1" w:name="_Toc15675"/>
      <w:r>
        <w:rPr>
          <w:rFonts w:hint="eastAsia" w:ascii="微软雅黑" w:hAnsi="微软雅黑" w:eastAsia="微软雅黑" w:cs="微软雅黑"/>
          <w:color w:val="auto"/>
          <w:sz w:val="32"/>
          <w:szCs w:val="40"/>
        </w:rPr>
        <w:t>第一部分 基本信息</w:t>
      </w:r>
      <w:bookmarkEnd w:id="1"/>
    </w:p>
    <w:p w14:paraId="21FAFDC6">
      <w:pPr>
        <w:keepLines w:val="0"/>
        <w:pageBreakBefore w:val="0"/>
        <w:kinsoku/>
        <w:wordWrap/>
        <w:overflowPunct/>
        <w:topLinePunct w:val="0"/>
        <w:bidi w:val="0"/>
        <w:snapToGrid/>
        <w:spacing w:line="240" w:lineRule="auto"/>
        <w:rPr>
          <w:rFonts w:hint="eastAsia" w:ascii="微软雅黑" w:hAnsi="微软雅黑" w:eastAsia="微软雅黑" w:cs="微软雅黑"/>
          <w:lang w:eastAsia="zh-CN"/>
        </w:rPr>
      </w:pPr>
    </w:p>
    <w:tbl>
      <w:tblPr>
        <w:tblStyle w:val="16"/>
        <w:tblW w:w="0" w:type="auto"/>
        <w:tblInd w:w="-2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197"/>
        <w:gridCol w:w="1281"/>
        <w:gridCol w:w="1856"/>
        <w:gridCol w:w="1281"/>
        <w:gridCol w:w="2194"/>
      </w:tblGrid>
      <w:tr w14:paraId="4577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0321" w:type="dxa"/>
            <w:gridSpan w:val="6"/>
            <w:tcBorders>
              <w:top w:val="single" w:color="0B8770" w:sz="4" w:space="0"/>
              <w:left w:val="single" w:color="0B8770" w:sz="4" w:space="0"/>
              <w:bottom w:val="single" w:color="0B8770" w:sz="4" w:space="0"/>
              <w:right w:val="single" w:color="0B8770" w:sz="4" w:space="0"/>
            </w:tcBorders>
            <w:shd w:val="clear" w:color="auto" w:fill="0B8770"/>
          </w:tcPr>
          <w:p w14:paraId="21F439BE">
            <w:pPr>
              <w:pStyle w:val="2"/>
              <w:numPr>
                <w:ilvl w:val="0"/>
                <w:numId w:val="0"/>
              </w:numPr>
              <w:bidi w:val="0"/>
              <w:ind w:left="153" w:leftChars="0"/>
              <w:jc w:val="center"/>
              <w:rPr>
                <w:rFonts w:hint="eastAsia" w:ascii="微软雅黑" w:hAnsi="微软雅黑" w:eastAsia="微软雅黑" w:cs="微软雅黑"/>
                <w:b/>
                <w:bCs/>
              </w:rPr>
            </w:pPr>
            <w:bookmarkStart w:id="2" w:name="_Toc12810"/>
            <w:r>
              <w:rPr>
                <w:rFonts w:hint="eastAsia"/>
                <w:b w:val="0"/>
                <w:bCs w:val="0"/>
                <w:color w:val="FFFFFF" w:themeColor="background1"/>
                <w:sz w:val="24"/>
                <w:szCs w:val="24"/>
                <w:lang w:eastAsia="zh-CN"/>
                <w14:textFill>
                  <w14:solidFill>
                    <w14:schemeClr w14:val="bg1"/>
                  </w14:solidFill>
                </w14:textFill>
              </w:rPr>
              <w:t>患者基本信息</w:t>
            </w:r>
            <w:bookmarkEnd w:id="2"/>
          </w:p>
        </w:tc>
      </w:tr>
      <w:tr w14:paraId="1B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12" w:type="dxa"/>
            <w:tcBorders>
              <w:top w:val="single" w:color="0B8770" w:sz="4" w:space="0"/>
              <w:left w:val="nil"/>
              <w:bottom w:val="nil"/>
              <w:right w:val="nil"/>
            </w:tcBorders>
            <w:shd w:val="clear" w:color="auto" w:fill="E6E6E6"/>
            <w:vAlign w:val="center"/>
          </w:tcPr>
          <w:p w14:paraId="39B3F06F">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97" w:type="dxa"/>
            <w:tcBorders>
              <w:top w:val="single" w:color="0B8770" w:sz="4" w:space="0"/>
              <w:left w:val="nil"/>
              <w:bottom w:val="single" w:color="0B8770" w:sz="8" w:space="0"/>
              <w:right w:val="nil"/>
            </w:tcBorders>
            <w:vAlign w:val="center"/>
          </w:tcPr>
          <w:p w14:paraId="2B7B114E">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client }}</w:t>
            </w:r>
          </w:p>
        </w:tc>
        <w:tc>
          <w:tcPr>
            <w:tcW w:w="1281" w:type="dxa"/>
            <w:tcBorders>
              <w:top w:val="single" w:color="0B8770" w:sz="4" w:space="0"/>
              <w:left w:val="nil"/>
              <w:bottom w:val="nil"/>
              <w:right w:val="nil"/>
            </w:tcBorders>
            <w:shd w:val="clear" w:color="auto" w:fill="E7E6E6" w:themeFill="background2"/>
            <w:vAlign w:val="center"/>
          </w:tcPr>
          <w:p w14:paraId="2048A66D">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登记号</w:t>
            </w:r>
          </w:p>
        </w:tc>
        <w:tc>
          <w:tcPr>
            <w:tcW w:w="1856" w:type="dxa"/>
            <w:tcBorders>
              <w:top w:val="single" w:color="0B8770" w:sz="4" w:space="0"/>
              <w:left w:val="nil"/>
              <w:bottom w:val="single" w:color="0B8770" w:sz="8" w:space="0"/>
              <w:right w:val="nil"/>
            </w:tcBorders>
            <w:vAlign w:val="center"/>
          </w:tcPr>
          <w:p w14:paraId="25CC81F6">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281" w:type="dxa"/>
            <w:tcBorders>
              <w:top w:val="single" w:color="0B8770" w:sz="4" w:space="0"/>
              <w:left w:val="nil"/>
              <w:bottom w:val="nil"/>
              <w:right w:val="nil"/>
            </w:tcBorders>
            <w:shd w:val="clear" w:color="auto" w:fill="E7E6E6" w:themeFill="background2"/>
            <w:vAlign w:val="center"/>
          </w:tcPr>
          <w:p w14:paraId="6601F1D8">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样本编号</w:t>
            </w:r>
          </w:p>
        </w:tc>
        <w:tc>
          <w:tcPr>
            <w:tcW w:w="2194" w:type="dxa"/>
            <w:tcBorders>
              <w:top w:val="single" w:color="0B8770" w:sz="4" w:space="0"/>
              <w:left w:val="nil"/>
              <w:bottom w:val="single" w:color="0B8770" w:sz="8" w:space="0"/>
              <w:right w:val="nil"/>
            </w:tcBorders>
            <w:vAlign w:val="center"/>
          </w:tcPr>
          <w:p w14:paraId="795BC28B">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14:paraId="7BA3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12" w:type="dxa"/>
            <w:tcBorders>
              <w:top w:val="nil"/>
              <w:left w:val="nil"/>
              <w:bottom w:val="nil"/>
              <w:right w:val="nil"/>
            </w:tcBorders>
            <w:shd w:val="clear" w:color="auto" w:fill="E6E6E6"/>
            <w:vAlign w:val="center"/>
          </w:tcPr>
          <w:p w14:paraId="3B36A93B">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97" w:type="dxa"/>
            <w:tcBorders>
              <w:top w:val="single" w:color="0B8770" w:sz="8" w:space="0"/>
              <w:left w:val="nil"/>
              <w:bottom w:val="single" w:color="0B8770" w:sz="8" w:space="0"/>
              <w:right w:val="nil"/>
            </w:tcBorders>
            <w:vAlign w:val="center"/>
          </w:tcPr>
          <w:p w14:paraId="667E621E">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81" w:type="dxa"/>
            <w:tcBorders>
              <w:top w:val="nil"/>
              <w:left w:val="nil"/>
              <w:bottom w:val="nil"/>
              <w:right w:val="nil"/>
            </w:tcBorders>
            <w:shd w:val="clear" w:color="auto" w:fill="E7E6E6" w:themeFill="background2"/>
            <w:vAlign w:val="center"/>
          </w:tcPr>
          <w:p w14:paraId="58DF4EB0">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科室</w:t>
            </w:r>
          </w:p>
        </w:tc>
        <w:tc>
          <w:tcPr>
            <w:tcW w:w="1856" w:type="dxa"/>
            <w:tcBorders>
              <w:top w:val="single" w:color="0B8770" w:sz="8" w:space="0"/>
              <w:left w:val="nil"/>
              <w:bottom w:val="single" w:color="0B8770" w:sz="8" w:space="0"/>
              <w:right w:val="nil"/>
            </w:tcBorders>
            <w:vAlign w:val="center"/>
          </w:tcPr>
          <w:p w14:paraId="05980DC5">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locationname }}</w:t>
            </w:r>
          </w:p>
        </w:tc>
        <w:tc>
          <w:tcPr>
            <w:tcW w:w="1281" w:type="dxa"/>
            <w:tcBorders>
              <w:top w:val="nil"/>
              <w:left w:val="nil"/>
              <w:bottom w:val="nil"/>
              <w:right w:val="nil"/>
            </w:tcBorders>
            <w:shd w:val="clear" w:color="auto" w:fill="E7E6E6" w:themeFill="background2"/>
            <w:vAlign w:val="center"/>
          </w:tcPr>
          <w:p w14:paraId="1B263C1F">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床位号</w:t>
            </w:r>
          </w:p>
        </w:tc>
        <w:tc>
          <w:tcPr>
            <w:tcW w:w="2194" w:type="dxa"/>
            <w:tcBorders>
              <w:top w:val="single" w:color="0B8770" w:sz="8" w:space="0"/>
              <w:left w:val="nil"/>
              <w:bottom w:val="single" w:color="0B8770" w:sz="8" w:space="0"/>
              <w:right w:val="nil"/>
            </w:tcBorders>
            <w:vAlign w:val="center"/>
          </w:tcPr>
          <w:p w14:paraId="6B9301FD">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14:paraId="4D3C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12" w:type="dxa"/>
            <w:tcBorders>
              <w:top w:val="nil"/>
              <w:left w:val="nil"/>
              <w:bottom w:val="nil"/>
              <w:right w:val="nil"/>
            </w:tcBorders>
            <w:shd w:val="clear" w:color="auto" w:fill="E6E6E6"/>
            <w:vAlign w:val="center"/>
          </w:tcPr>
          <w:p w14:paraId="50C3332D">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97" w:type="dxa"/>
            <w:tcBorders>
              <w:top w:val="single" w:color="0B8770" w:sz="8" w:space="0"/>
              <w:left w:val="nil"/>
              <w:bottom w:val="single" w:color="0B8770" w:sz="8" w:space="0"/>
              <w:right w:val="nil"/>
            </w:tcBorders>
            <w:vAlign w:val="center"/>
          </w:tcPr>
          <w:p w14:paraId="5BCB0629">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81" w:type="dxa"/>
            <w:tcBorders>
              <w:top w:val="nil"/>
              <w:left w:val="nil"/>
              <w:bottom w:val="nil"/>
              <w:right w:val="nil"/>
            </w:tcBorders>
            <w:shd w:val="clear" w:color="auto" w:fill="E7E6E6" w:themeFill="background2"/>
            <w:vAlign w:val="center"/>
          </w:tcPr>
          <w:p w14:paraId="6CC692DA">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样本类型</w:t>
            </w:r>
          </w:p>
        </w:tc>
        <w:tc>
          <w:tcPr>
            <w:tcW w:w="1856" w:type="dxa"/>
            <w:tcBorders>
              <w:top w:val="single" w:color="0B8770" w:sz="8" w:space="0"/>
              <w:left w:val="nil"/>
              <w:bottom w:val="single" w:color="0B8770" w:sz="8" w:space="0"/>
              <w:right w:val="nil"/>
            </w:tcBorders>
            <w:vAlign w:val="center"/>
          </w:tcPr>
          <w:p w14:paraId="5D9628E5">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specimentype }}</w:t>
            </w:r>
          </w:p>
        </w:tc>
        <w:tc>
          <w:tcPr>
            <w:tcW w:w="1281" w:type="dxa"/>
            <w:tcBorders>
              <w:top w:val="nil"/>
              <w:left w:val="nil"/>
              <w:bottom w:val="nil"/>
              <w:right w:val="nil"/>
            </w:tcBorders>
            <w:shd w:val="clear" w:color="auto" w:fill="E7E6E6" w:themeFill="background2"/>
            <w:vAlign w:val="center"/>
          </w:tcPr>
          <w:p w14:paraId="0A76CB11">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病理号</w:t>
            </w:r>
          </w:p>
        </w:tc>
        <w:tc>
          <w:tcPr>
            <w:tcW w:w="2194" w:type="dxa"/>
            <w:tcBorders>
              <w:top w:val="single" w:color="0B8770" w:sz="8" w:space="0"/>
              <w:left w:val="nil"/>
              <w:bottom w:val="single" w:color="0B8770" w:sz="8" w:space="0"/>
              <w:right w:val="nil"/>
            </w:tcBorders>
            <w:vAlign w:val="center"/>
          </w:tcPr>
          <w:p w14:paraId="530E1DE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auto"/>
                <w:sz w:val="21"/>
                <w:szCs w:val="21"/>
                <w:highlight w:val="none"/>
                <w:lang w:val="en-US" w:eastAsia="zh-CN"/>
              </w:rPr>
              <w:t>-</w:t>
            </w:r>
          </w:p>
        </w:tc>
      </w:tr>
      <w:tr w14:paraId="6994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12" w:type="dxa"/>
            <w:tcBorders>
              <w:top w:val="nil"/>
              <w:left w:val="nil"/>
              <w:bottom w:val="nil"/>
              <w:right w:val="nil"/>
            </w:tcBorders>
            <w:shd w:val="clear" w:color="auto" w:fill="E6E6E6"/>
            <w:vAlign w:val="center"/>
          </w:tcPr>
          <w:p w14:paraId="0AB31869">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97" w:type="dxa"/>
            <w:tcBorders>
              <w:top w:val="single" w:color="0B8770" w:sz="8" w:space="0"/>
              <w:left w:val="nil"/>
              <w:bottom w:val="single" w:color="0B8770" w:sz="8" w:space="0"/>
              <w:right w:val="nil"/>
            </w:tcBorders>
            <w:vAlign w:val="center"/>
          </w:tcPr>
          <w:p w14:paraId="00E3949B">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81" w:type="dxa"/>
            <w:tcBorders>
              <w:top w:val="nil"/>
              <w:left w:val="nil"/>
              <w:bottom w:val="nil"/>
              <w:right w:val="nil"/>
            </w:tcBorders>
            <w:shd w:val="clear" w:color="auto" w:fill="E7E6E6" w:themeFill="background2"/>
            <w:vAlign w:val="center"/>
          </w:tcPr>
          <w:p w14:paraId="3AD25EA8">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送检医生</w:t>
            </w:r>
          </w:p>
        </w:tc>
        <w:tc>
          <w:tcPr>
            <w:tcW w:w="1856" w:type="dxa"/>
            <w:tcBorders>
              <w:top w:val="single" w:color="0B8770" w:sz="8" w:space="0"/>
              <w:left w:val="nil"/>
              <w:bottom w:val="single" w:color="0B8770" w:sz="8" w:space="0"/>
              <w:right w:val="nil"/>
            </w:tcBorders>
            <w:vAlign w:val="center"/>
          </w:tcPr>
          <w:p w14:paraId="6FE0042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doctorname }}</w:t>
            </w:r>
          </w:p>
        </w:tc>
        <w:tc>
          <w:tcPr>
            <w:tcW w:w="1281" w:type="dxa"/>
            <w:tcBorders>
              <w:top w:val="nil"/>
              <w:left w:val="nil"/>
              <w:bottom w:val="nil"/>
              <w:right w:val="nil"/>
            </w:tcBorders>
            <w:shd w:val="clear" w:color="auto" w:fill="E7E6E6" w:themeFill="background2"/>
            <w:vAlign w:val="center"/>
          </w:tcPr>
          <w:p w14:paraId="2FEFEA7C">
            <w:pPr>
              <w:jc w:val="left"/>
              <w:rPr>
                <w:rFonts w:hint="eastAsia" w:ascii="微软雅黑" w:hAnsi="微软雅黑" w:eastAsia="微软雅黑" w:cs="微软雅黑"/>
                <w:bCs/>
                <w:color w:val="000000"/>
                <w:sz w:val="21"/>
                <w:szCs w:val="21"/>
                <w:lang w:eastAsia="zh-CN"/>
              </w:rPr>
            </w:pPr>
            <w:r>
              <w:rPr>
                <w:rFonts w:hint="eastAsia" w:ascii="Times New Roman" w:hAnsi="Times New Roman" w:eastAsia="微软雅黑" w:cs="Times New Roman"/>
                <w:bCs/>
                <w:color w:val="000000"/>
                <w:sz w:val="21"/>
                <w:szCs w:val="21"/>
                <w:lang w:eastAsia="zh-CN"/>
              </w:rPr>
              <w:t>送检日期</w:t>
            </w:r>
          </w:p>
        </w:tc>
        <w:tc>
          <w:tcPr>
            <w:tcW w:w="2194" w:type="dxa"/>
            <w:tcBorders>
              <w:top w:val="single" w:color="0B8770" w:sz="8" w:space="0"/>
              <w:left w:val="nil"/>
              <w:bottom w:val="single" w:color="0B8770" w:sz="8" w:space="0"/>
              <w:right w:val="nil"/>
            </w:tcBorders>
            <w:vAlign w:val="center"/>
          </w:tcPr>
          <w:p w14:paraId="4F568A8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14:paraId="383F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12" w:type="dxa"/>
            <w:tcBorders>
              <w:top w:val="nil"/>
              <w:left w:val="nil"/>
              <w:bottom w:val="nil"/>
              <w:right w:val="nil"/>
            </w:tcBorders>
            <w:shd w:val="clear" w:color="auto" w:fill="E6E6E6"/>
            <w:vAlign w:val="center"/>
          </w:tcPr>
          <w:p w14:paraId="26B640FA">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8809" w:type="dxa"/>
            <w:gridSpan w:val="5"/>
            <w:tcBorders>
              <w:top w:val="single" w:color="0B8770" w:sz="8" w:space="0"/>
              <w:left w:val="nil"/>
              <w:bottom w:val="single" w:color="0B8770" w:sz="8" w:space="0"/>
              <w:right w:val="nil"/>
            </w:tcBorders>
            <w:vAlign w:val="center"/>
          </w:tcPr>
          <w:p w14:paraId="2E1763CA">
            <w:pPr>
              <w:keepLines w:val="0"/>
              <w:pageBreakBefore w:val="0"/>
              <w:kinsoku/>
              <w:wordWrap/>
              <w:overflowPunct/>
              <w:topLinePunct w:val="0"/>
              <w:bidi w:val="0"/>
              <w:snapToGrid/>
              <w:spacing w:line="240" w:lineRule="auto"/>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val="en-US" w:eastAsia="zh-CN"/>
              </w:rPr>
              <w:t>林奇综合征遗传易感基因检测</w:t>
            </w:r>
          </w:p>
        </w:tc>
      </w:tr>
    </w:tbl>
    <w:p w14:paraId="4165E13E">
      <w:pPr>
        <w:keepLines w:val="0"/>
        <w:pageBreakBefore w:val="0"/>
        <w:kinsoku/>
        <w:wordWrap/>
        <w:overflowPunct/>
        <w:topLinePunct w:val="0"/>
        <w:bidi w:val="0"/>
        <w:snapToGrid/>
        <w:spacing w:line="240" w:lineRule="auto"/>
        <w:rPr>
          <w:rFonts w:hint="eastAsia" w:ascii="微软雅黑" w:hAnsi="微软雅黑" w:eastAsia="微软雅黑" w:cs="微软雅黑"/>
          <w:bCs/>
          <w:color w:val="000000"/>
          <w:sz w:val="21"/>
          <w:szCs w:val="21"/>
          <w:lang w:eastAsia="zh-CN"/>
        </w:rPr>
      </w:pPr>
    </w:p>
    <w:p w14:paraId="2FEBAB32">
      <w:pPr>
        <w:keepLines w:val="0"/>
        <w:pageBreakBefore w:val="0"/>
        <w:kinsoku/>
        <w:wordWrap/>
        <w:overflowPunct/>
        <w:topLinePunct w:val="0"/>
        <w:bidi w:val="0"/>
        <w:snapToGrid/>
        <w:spacing w:line="240" w:lineRule="auto"/>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14:paraId="62B40A5D">
      <w:pPr>
        <w:keepLines w:val="0"/>
        <w:pageBreakBefore w:val="0"/>
        <w:kinsoku/>
        <w:wordWrap/>
        <w:overflowPunct/>
        <w:topLinePunct w:val="0"/>
        <w:bidi w:val="0"/>
        <w:snapToGrid/>
        <w:spacing w:line="240" w:lineRule="auto"/>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p w14:paraId="7DC198BF">
      <w:pPr>
        <w:pStyle w:val="6"/>
        <w:keepLines w:val="0"/>
        <w:pageBreakBefore w:val="0"/>
        <w:kinsoku/>
        <w:wordWrap/>
        <w:overflowPunct/>
        <w:topLinePunct w:val="0"/>
        <w:bidi w:val="0"/>
        <w:snapToGrid/>
        <w:spacing w:line="240" w:lineRule="auto"/>
        <w:rPr>
          <w:rFonts w:hint="eastAsia" w:ascii="微软雅黑" w:hAnsi="微软雅黑" w:eastAsia="微软雅黑" w:cs="微软雅黑"/>
          <w:b/>
          <w:sz w:val="20"/>
          <w:lang w:eastAsia="zh-CN"/>
        </w:rPr>
      </w:pPr>
    </w:p>
    <w:p w14:paraId="2EB4EF7F">
      <w:pPr>
        <w:keepLines w:val="0"/>
        <w:pageBreakBefore w:val="0"/>
        <w:kinsoku/>
        <w:wordWrap/>
        <w:overflowPunct/>
        <w:topLinePunct w:val="0"/>
        <w:bidi w:val="0"/>
        <w:snapToGrid/>
        <w:spacing w:line="240" w:lineRule="auto"/>
        <w:rPr>
          <w:rFonts w:hint="eastAsia" w:ascii="微软雅黑" w:hAnsi="微软雅黑" w:eastAsia="微软雅黑" w:cs="微软雅黑"/>
          <w:b/>
          <w:color w:val="00B050"/>
          <w:sz w:val="28"/>
          <w:szCs w:val="28"/>
          <w:lang w:eastAsia="zh-CN"/>
        </w:rPr>
      </w:pPr>
    </w:p>
    <w:tbl>
      <w:tblPr>
        <w:tblStyle w:val="16"/>
        <w:tblpPr w:leftFromText="181" w:rightFromText="181" w:vertAnchor="text" w:horzAnchor="page" w:tblpXSpec="center" w:tblpY="1"/>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70"/>
      </w:tblGrid>
      <w:tr w14:paraId="75D11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0070" w:type="dxa"/>
            <w:shd w:val="clear" w:color="auto" w:fill="0B8770"/>
            <w:vAlign w:val="top"/>
          </w:tcPr>
          <w:p w14:paraId="5018D7F9">
            <w:pPr>
              <w:pStyle w:val="2"/>
              <w:keepLines w:val="0"/>
              <w:pageBreakBefore w:val="0"/>
              <w:numPr>
                <w:ilvl w:val="0"/>
                <w:numId w:val="0"/>
              </w:numPr>
              <w:kinsoku/>
              <w:wordWrap/>
              <w:overflowPunct/>
              <w:topLinePunct w:val="0"/>
              <w:bidi w:val="0"/>
              <w:snapToGrid/>
              <w:spacing w:line="240" w:lineRule="auto"/>
              <w:ind w:left="153"/>
              <w:outlineLvl w:val="0"/>
              <w:rPr>
                <w:rFonts w:hint="eastAsia" w:ascii="微软雅黑" w:hAnsi="微软雅黑" w:eastAsia="微软雅黑" w:cs="微软雅黑"/>
                <w:szCs w:val="28"/>
              </w:rPr>
            </w:pPr>
            <w:bookmarkStart w:id="3" w:name="_Toc14490"/>
            <w:r>
              <w:rPr>
                <w:rFonts w:hint="eastAsia" w:cs="Times New Roman"/>
                <w:b w:val="0"/>
                <w:bCs w:val="0"/>
                <w:color w:val="FFFFFF" w:themeColor="background1"/>
                <w:sz w:val="24"/>
                <w:szCs w:val="24"/>
                <w14:textFill>
                  <w14:solidFill>
                    <w14:schemeClr w14:val="bg1"/>
                  </w14:solidFill>
                </w14:textFill>
              </w:rPr>
              <w:t>检测项目简介</w:t>
            </w:r>
            <w:bookmarkEnd w:id="3"/>
          </w:p>
        </w:tc>
      </w:tr>
    </w:tbl>
    <w:p w14:paraId="29FBB695">
      <w:pPr>
        <w:keepLines w:val="0"/>
        <w:pageBreakBefore w:val="0"/>
        <w:numPr>
          <w:ilvl w:val="0"/>
          <w:numId w:val="6"/>
        </w:numPr>
        <w:kinsoku/>
        <w:wordWrap/>
        <w:overflowPunct/>
        <w:topLinePunct w:val="0"/>
        <w:bidi w:val="0"/>
        <w:snapToGrid/>
        <w:spacing w:line="240" w:lineRule="auto"/>
        <w:rPr>
          <w:rFonts w:hint="eastAsia" w:ascii="微软雅黑" w:hAnsi="微软雅黑" w:eastAsia="微软雅黑" w:cs="微软雅黑"/>
          <w:bCs/>
          <w:color w:val="000000"/>
          <w:sz w:val="21"/>
          <w:szCs w:val="21"/>
          <w:lang w:eastAsia="zh-CN"/>
        </w:rPr>
      </w:pPr>
      <w:bookmarkStart w:id="4" w:name="_Toc3823"/>
      <w:r>
        <w:rPr>
          <w:rFonts w:hint="eastAsia" w:ascii="微软雅黑" w:hAnsi="微软雅黑" w:eastAsia="微软雅黑" w:cs="微软雅黑"/>
          <w:bCs/>
          <w:color w:val="000000"/>
          <w:sz w:val="21"/>
          <w:szCs w:val="21"/>
          <w:lang w:eastAsia="zh-CN"/>
        </w:rPr>
        <w:t>检测方法：基于目标区域捕获的二代测序方法</w:t>
      </w:r>
    </w:p>
    <w:p w14:paraId="7CDABF5A">
      <w:pPr>
        <w:keepLines w:val="0"/>
        <w:pageBreakBefore w:val="0"/>
        <w:numPr>
          <w:ilvl w:val="0"/>
          <w:numId w:val="6"/>
        </w:numPr>
        <w:kinsoku/>
        <w:wordWrap/>
        <w:overflowPunct/>
        <w:topLinePunct w:val="0"/>
        <w:bidi w:val="0"/>
        <w:snapToGrid/>
        <w:spacing w:line="240" w:lineRule="auto"/>
        <w:ind w:left="0" w:leftChars="0" w:firstLine="0"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14:paraId="62DD18CD">
      <w:pPr>
        <w:keepLines w:val="0"/>
        <w:pageBreakBefore w:val="0"/>
        <w:numPr>
          <w:ilvl w:val="0"/>
          <w:numId w:val="6"/>
        </w:numPr>
        <w:kinsoku/>
        <w:wordWrap/>
        <w:overflowPunct/>
        <w:topLinePunct w:val="0"/>
        <w:bidi w:val="0"/>
        <w:snapToGrid/>
        <w:spacing w:line="240" w:lineRule="auto"/>
        <w:ind w:left="0" w:leftChars="0" w:firstLine="0" w:firstLineChars="0"/>
        <w:jc w:val="both"/>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color w:val="000000"/>
          <w:sz w:val="21"/>
          <w:szCs w:val="21"/>
          <w:lang w:val="en-US" w:eastAsia="zh-CN"/>
        </w:rPr>
        <w:t>林奇综合征相关的</w:t>
      </w:r>
      <w:r>
        <w:rPr>
          <w:rFonts w:hint="eastAsia" w:ascii="微软雅黑" w:hAnsi="微软雅黑" w:eastAsia="微软雅黑" w:cs="微软雅黑"/>
          <w:bCs/>
          <w:color w:val="000000"/>
          <w:sz w:val="21"/>
          <w:szCs w:val="21"/>
          <w:lang w:eastAsia="zh-CN"/>
        </w:rPr>
        <w:t>5个基因。</w:t>
      </w:r>
    </w:p>
    <w:p w14:paraId="6409225C">
      <w:pPr>
        <w:keepLines w:val="0"/>
        <w:pageBreakBefore w:val="0"/>
        <w:numPr>
          <w:ilvl w:val="0"/>
          <w:numId w:val="6"/>
        </w:numPr>
        <w:kinsoku/>
        <w:wordWrap/>
        <w:overflowPunct/>
        <w:topLinePunct w:val="0"/>
        <w:bidi w:val="0"/>
        <w:snapToGrid/>
        <w:spacing w:line="240" w:lineRule="auto"/>
        <w:ind w:left="0" w:leftChars="0" w:firstLine="0"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检测意义：为肿瘤患者指导遗传风险筛查。</w:t>
      </w:r>
    </w:p>
    <w:p w14:paraId="3E699F51">
      <w:pPr>
        <w:keepLines w:val="0"/>
        <w:pageBreakBefore w:val="0"/>
        <w:kinsoku/>
        <w:wordWrap/>
        <w:overflowPunct/>
        <w:topLinePunct w:val="0"/>
        <w:bidi w:val="0"/>
        <w:snapToGrid/>
        <w:spacing w:line="240" w:lineRule="auto"/>
        <w:rPr>
          <w:rFonts w:hint="eastAsia" w:ascii="微软雅黑" w:hAnsi="微软雅黑" w:eastAsia="微软雅黑" w:cs="微软雅黑"/>
          <w:sz w:val="18"/>
          <w:szCs w:val="18"/>
          <w:lang w:eastAsia="zh-CN" w:bidi="ar"/>
        </w:rPr>
      </w:pPr>
    </w:p>
    <w:p w14:paraId="31D29A9D">
      <w:pPr>
        <w:keepLines w:val="0"/>
        <w:pageBreakBefore w:val="0"/>
        <w:kinsoku/>
        <w:wordWrap/>
        <w:overflowPunct/>
        <w:topLinePunct w:val="0"/>
        <w:bidi w:val="0"/>
        <w:snapToGrid/>
        <w:spacing w:line="240" w:lineRule="auto"/>
        <w:rPr>
          <w:rFonts w:hint="eastAsia" w:ascii="微软雅黑" w:hAnsi="微软雅黑" w:eastAsia="微软雅黑" w:cs="微软雅黑"/>
          <w:b/>
          <w:color w:val="00B050"/>
          <w:sz w:val="28"/>
          <w:szCs w:val="28"/>
          <w:lang w:eastAsia="zh-CN"/>
        </w:rPr>
      </w:pPr>
    </w:p>
    <w:tbl>
      <w:tblPr>
        <w:tblStyle w:val="15"/>
        <w:tblpPr w:leftFromText="180" w:rightFromText="180" w:vertAnchor="text" w:horzAnchor="page" w:tblpX="955" w:tblpY="134"/>
        <w:tblOverlap w:val="never"/>
        <w:tblW w:w="9947"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2886"/>
        <w:gridCol w:w="7061"/>
      </w:tblGrid>
      <w:tr w14:paraId="197C9713">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9947" w:type="dxa"/>
            <w:gridSpan w:val="2"/>
            <w:tcBorders>
              <w:bottom w:val="nil"/>
            </w:tcBorders>
            <w:shd w:val="clear" w:color="auto" w:fill="0B8770"/>
            <w:vAlign w:val="center"/>
          </w:tcPr>
          <w:p w14:paraId="64AA34CA">
            <w:pPr>
              <w:pStyle w:val="2"/>
              <w:keepLines w:val="0"/>
              <w:pageBreakBefore w:val="0"/>
              <w:numPr>
                <w:ilvl w:val="0"/>
                <w:numId w:val="0"/>
              </w:numPr>
              <w:kinsoku/>
              <w:wordWrap/>
              <w:overflowPunct/>
              <w:topLinePunct w:val="0"/>
              <w:bidi w:val="0"/>
              <w:snapToGrid/>
              <w:spacing w:line="240" w:lineRule="auto"/>
              <w:ind w:left="153"/>
              <w:rPr>
                <w:rFonts w:hint="eastAsia" w:ascii="微软雅黑" w:hAnsi="微软雅黑" w:eastAsia="微软雅黑" w:cs="微软雅黑"/>
                <w:sz w:val="21"/>
              </w:rPr>
            </w:pPr>
            <w:bookmarkStart w:id="5" w:name="_Toc11425"/>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5"/>
          </w:p>
        </w:tc>
      </w:tr>
      <w:tr w14:paraId="60DBDBCC">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2886" w:type="dxa"/>
            <w:tcBorders>
              <w:top w:val="nil"/>
              <w:bottom w:val="single" w:color="179172" w:sz="8" w:space="0"/>
              <w:right w:val="nil"/>
            </w:tcBorders>
            <w:shd w:val="clear" w:color="auto" w:fill="D4EAE7"/>
            <w:vAlign w:val="center"/>
          </w:tcPr>
          <w:p w14:paraId="1D08A07E">
            <w:pPr>
              <w:keepLines w:val="0"/>
              <w:pageBreakBefore w:val="0"/>
              <w:kinsoku/>
              <w:wordWrap/>
              <w:overflowPunct/>
              <w:topLinePunct w:val="0"/>
              <w:bidi w:val="0"/>
              <w:snapToGrid/>
              <w:spacing w:line="240" w:lineRule="auto"/>
              <w:jc w:val="center"/>
              <w:rPr>
                <w:rFonts w:hint="eastAsia" w:ascii="微软雅黑" w:hAnsi="微软雅黑" w:eastAsia="微软雅黑" w:cs="微软雅黑"/>
                <w:b/>
                <w:sz w:val="21"/>
                <w:lang w:eastAsia="zh-CN"/>
              </w:rPr>
            </w:pPr>
            <w:r>
              <w:rPr>
                <w:rFonts w:hint="eastAsia" w:ascii="微软雅黑" w:hAnsi="微软雅黑" w:eastAsia="微软雅黑" w:cs="微软雅黑"/>
                <w:b/>
                <w:bCs/>
                <w:color w:val="00B050"/>
                <w:sz w:val="28"/>
                <w:szCs w:val="36"/>
                <w:lang w:eastAsia="zh-CN"/>
              </w:rPr>
              <w:br w:type="page"/>
            </w:r>
            <w:r>
              <w:rPr>
                <w:rFonts w:hint="eastAsia" w:ascii="微软雅黑" w:hAnsi="微软雅黑" w:eastAsia="微软雅黑" w:cs="微软雅黑"/>
                <w:b/>
                <w:sz w:val="21"/>
              </w:rPr>
              <w:t>检测</w:t>
            </w:r>
            <w:r>
              <w:rPr>
                <w:rFonts w:hint="eastAsia" w:ascii="微软雅黑" w:hAnsi="微软雅黑" w:eastAsia="微软雅黑" w:cs="微软雅黑"/>
                <w:b/>
                <w:sz w:val="21"/>
                <w:lang w:eastAsia="zh-CN"/>
              </w:rPr>
              <w:t>意义</w:t>
            </w:r>
          </w:p>
        </w:tc>
        <w:tc>
          <w:tcPr>
            <w:tcW w:w="7061" w:type="dxa"/>
            <w:tcBorders>
              <w:top w:val="nil"/>
              <w:left w:val="nil"/>
              <w:bottom w:val="single" w:color="179172" w:sz="8" w:space="0"/>
            </w:tcBorders>
            <w:shd w:val="clear" w:color="auto" w:fill="D4EAE7"/>
            <w:vAlign w:val="center"/>
          </w:tcPr>
          <w:p w14:paraId="795912C7">
            <w:pPr>
              <w:keepLines w:val="0"/>
              <w:pageBreakBefore w:val="0"/>
              <w:kinsoku/>
              <w:wordWrap/>
              <w:overflowPunct/>
              <w:topLinePunct w:val="0"/>
              <w:bidi w:val="0"/>
              <w:snapToGrid/>
              <w:spacing w:line="240" w:lineRule="auto"/>
              <w:jc w:val="center"/>
              <w:rPr>
                <w:rFonts w:hint="eastAsia" w:ascii="微软雅黑" w:hAnsi="微软雅黑" w:eastAsia="微软雅黑" w:cs="微软雅黑"/>
                <w:b/>
              </w:rPr>
            </w:pPr>
            <w:r>
              <w:rPr>
                <w:rFonts w:hint="eastAsia" w:ascii="微软雅黑" w:hAnsi="微软雅黑" w:eastAsia="微软雅黑" w:cs="微软雅黑"/>
                <w:b/>
                <w:sz w:val="21"/>
              </w:rPr>
              <w:t>检测结果</w:t>
            </w:r>
          </w:p>
        </w:tc>
      </w:tr>
      <w:tr w14:paraId="4007C876">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single" w:color="179172" w:sz="8" w:space="0"/>
              <w:bottom w:val="nil"/>
              <w:right w:val="nil"/>
            </w:tcBorders>
            <w:shd w:val="clear" w:color="auto" w:fill="auto"/>
            <w:vAlign w:val="center"/>
          </w:tcPr>
          <w:p w14:paraId="6D31D982">
            <w:pPr>
              <w:pStyle w:val="20"/>
              <w:keepLines w:val="0"/>
              <w:pageBreakBefore w:val="0"/>
              <w:kinsoku/>
              <w:wordWrap/>
              <w:overflowPunct/>
              <w:topLinePunct w:val="0"/>
              <w:bidi w:val="0"/>
              <w:snapToGrid/>
              <w:spacing w:line="240" w:lineRule="auto"/>
              <w:ind w:left="220" w:leftChars="100"/>
              <w:rPr>
                <w:rFonts w:hint="eastAsia" w:ascii="微软雅黑" w:hAnsi="微软雅黑" w:eastAsia="微软雅黑" w:cs="微软雅黑"/>
                <w:sz w:val="21"/>
                <w:szCs w:val="21"/>
              </w:rPr>
            </w:pPr>
            <w:r>
              <w:rPr>
                <w:rFonts w:hint="eastAsia" w:ascii="微软雅黑" w:hAnsi="微软雅黑" w:eastAsia="微软雅黑" w:cs="微软雅黑"/>
                <w:sz w:val="21"/>
                <w:szCs w:val="21"/>
              </w:rPr>
              <w:t>肿瘤遗传风险提示</w:t>
            </w:r>
          </w:p>
        </w:tc>
        <w:tc>
          <w:tcPr>
            <w:tcW w:w="7061" w:type="dxa"/>
            <w:tcBorders>
              <w:top w:val="single" w:color="179172" w:sz="8" w:space="0"/>
              <w:left w:val="nil"/>
              <w:bottom w:val="nil"/>
            </w:tcBorders>
            <w:shd w:val="clear" w:color="auto" w:fill="auto"/>
          </w:tcPr>
          <w:p w14:paraId="2CFDBD30">
            <w:pPr>
              <w:pStyle w:val="20"/>
              <w:keepLines w:val="0"/>
              <w:pageBreakBefore w:val="0"/>
              <w:kinsoku/>
              <w:wordWrap/>
              <w:overflowPunct/>
              <w:topLinePunct w:val="0"/>
              <w:bidi w:val="0"/>
              <w:snapToGrid/>
              <w:spacing w:before="77" w:line="240" w:lineRule="auto"/>
              <w:ind w:left="118"/>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共检出{{ summaryOfRresults.crCheckLineStrYF1280Size }}个变异位点，其中{{summaryOfRresults.hasPathogenicityCount}}个为致病/可能致病性突变{{crCheckDrugStr}}</w:t>
            </w:r>
          </w:p>
        </w:tc>
      </w:tr>
      <w:tr w14:paraId="28E79E38">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nil"/>
              <w:bottom w:val="single" w:color="179172" w:sz="8" w:space="0"/>
              <w:right w:val="nil"/>
            </w:tcBorders>
            <w:shd w:val="clear" w:color="auto" w:fill="auto"/>
            <w:vAlign w:val="center"/>
          </w:tcPr>
          <w:p w14:paraId="22E0D6A0">
            <w:pPr>
              <w:pStyle w:val="20"/>
              <w:keepLines w:val="0"/>
              <w:pageBreakBefore w:val="0"/>
              <w:kinsoku/>
              <w:wordWrap/>
              <w:overflowPunct/>
              <w:topLinePunct w:val="0"/>
              <w:bidi w:val="0"/>
              <w:snapToGrid/>
              <w:spacing w:line="240" w:lineRule="auto"/>
              <w:ind w:left="220" w:leftChars="100"/>
              <w:rPr>
                <w:rFonts w:hint="eastAsia" w:ascii="微软雅黑" w:hAnsi="微软雅黑" w:eastAsia="微软雅黑" w:cs="微软雅黑"/>
                <w:sz w:val="21"/>
                <w:szCs w:val="21"/>
              </w:rPr>
            </w:pPr>
            <w:r>
              <w:rPr>
                <w:rFonts w:hint="eastAsia" w:ascii="微软雅黑" w:hAnsi="微软雅黑" w:eastAsia="微软雅黑" w:cs="微软雅黑"/>
                <w:sz w:val="21"/>
                <w:szCs w:val="21"/>
              </w:rPr>
              <w:t>靶向用药指导</w:t>
            </w:r>
          </w:p>
        </w:tc>
        <w:tc>
          <w:tcPr>
            <w:tcW w:w="7061" w:type="dxa"/>
            <w:tcBorders>
              <w:top w:val="nil"/>
              <w:left w:val="nil"/>
              <w:bottom w:val="single" w:color="179172" w:sz="8" w:space="0"/>
            </w:tcBorders>
            <w:shd w:val="clear" w:color="auto" w:fill="auto"/>
            <w:vAlign w:val="center"/>
          </w:tcPr>
          <w:p w14:paraId="28AFEE39">
            <w:pPr>
              <w:pStyle w:val="20"/>
              <w:keepLines w:val="0"/>
              <w:pageBreakBefore w:val="0"/>
              <w:kinsoku/>
              <w:wordWrap/>
              <w:overflowPunct/>
              <w:topLinePunct w:val="0"/>
              <w:bidi w:val="0"/>
              <w:snapToGrid/>
              <w:spacing w:before="77" w:line="240" w:lineRule="auto"/>
              <w:ind w:left="118"/>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共检出{{ summaryOfRresults.crCheckLineStrYF1280Size }}个变异位点，其中{{summaryOfRresults.crDrugList}}个与靶向药物相关{{embryonalDrugStr}}</w:t>
            </w:r>
          </w:p>
        </w:tc>
      </w:tr>
    </w:tbl>
    <w:p w14:paraId="6C3C750E">
      <w:pPr>
        <w:rPr>
          <w:rFonts w:hint="eastAsia" w:ascii="Times New Roman" w:hAnsi="Times New Roman" w:eastAsia="微软雅黑" w:cs="微软雅黑"/>
          <w:sz w:val="16"/>
          <w:szCs w:val="16"/>
          <w:lang w:eastAsia="zh-CN" w:bidi="ar"/>
        </w:rPr>
      </w:pPr>
    </w:p>
    <w:p w14:paraId="17885370">
      <w:pPr>
        <w:rPr>
          <w:rFonts w:hint="eastAsia" w:ascii="Times New Roman" w:hAnsi="Times New Roman" w:eastAsia="微软雅黑" w:cs="微软雅黑"/>
          <w:sz w:val="16"/>
          <w:szCs w:val="16"/>
          <w:lang w:eastAsia="zh-CN" w:bidi="ar"/>
        </w:rPr>
      </w:pPr>
    </w:p>
    <w:p w14:paraId="3F402848">
      <w:pPr>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6"/>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2ADD2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38061E54">
            <w:pPr>
              <w:jc w:val="both"/>
              <w:rPr>
                <w:rFonts w:ascii="Times New Roman" w:hAnsi="Times New Roman" w:eastAsia="微软雅黑" w:cs="Times New Roman"/>
                <w:sz w:val="21"/>
                <w:szCs w:val="21"/>
                <w:lang w:eastAsia="zh-CN"/>
              </w:rPr>
            </w:pPr>
            <w:bookmarkStart w:id="6" w:name="_Toc534807930"/>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14:paraId="19A00719">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14:paraId="67FBA340">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14:paraId="5F1FD8B8">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14:paraId="5AD5C77B">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14:paraId="449A9E31">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14:paraId="28B7E89B">
      <w:pPr>
        <w:numPr>
          <w:ilvl w:val="0"/>
          <w:numId w:val="0"/>
        </w:numPr>
        <w:rPr>
          <w:rFonts w:ascii="微软雅黑" w:hAnsi="微软雅黑" w:eastAsia="微软雅黑" w:cs="Times New Roman"/>
          <w:sz w:val="18"/>
          <w:szCs w:val="18"/>
          <w:lang w:eastAsia="zh-CN" w:bidi="ar"/>
        </w:rPr>
      </w:pPr>
      <w:r>
        <w:rPr>
          <w:rFonts w:ascii="Times New Roman" w:hAnsi="Times New Roman"/>
          <w:sz w:val="28"/>
          <w:lang w:eastAsia="zh-CN"/>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48895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0" y="0"/>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5pt;margin-top:3.85pt;height:2.15pt;width:501.45pt;z-index:251661312;mso-width-relative:page;mso-height-relative:page;" filled="f" stroked="t" coordsize="21600,21600" o:gfxdata="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hO5A2AAAAAgBAAAPAAAAAAAAAAEAIAAAACIAAABkcnMvZG93bnJldi54bWxQSwEC&#10;FAAUAAAACACHTuJAxYLxX/QBAAC/AwAADgAAAAAAAAABACAAAAAnAQAAZHJzL2Uyb0RvYy54bWxQ&#10;SwUGAAAAAAYABgBZAQAAjQUAAAAA&#10;">
                <v:fill on="f" focussize="0,0"/>
                <v:stroke weight="0.5pt" color="#179172 [3204]" miterlimit="8" joinstyle="miter"/>
                <v:imagedata o:title=""/>
                <o:lock v:ext="edit" aspectratio="f"/>
              </v:line>
            </w:pict>
          </mc:Fallback>
        </mc:AlternateContent>
      </w:r>
    </w:p>
    <w:p w14:paraId="4EDBE131">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6"/>
    <w:p w14:paraId="13F02DC6">
      <w:pPr>
        <w:pStyle w:val="2"/>
        <w:numPr>
          <w:ilvl w:val="0"/>
          <w:numId w:val="0"/>
        </w:numPr>
        <w:jc w:val="left"/>
        <w:rPr>
          <w:rFonts w:hint="eastAsia" w:ascii="微软雅黑" w:hAnsi="微软雅黑" w:eastAsia="微软雅黑" w:cs="微软雅黑"/>
          <w:color w:val="auto"/>
          <w:sz w:val="32"/>
          <w:szCs w:val="40"/>
        </w:rPr>
      </w:pPr>
      <w:bookmarkStart w:id="7" w:name="_Toc21848"/>
      <w:bookmarkStart w:id="8" w:name="_Toc19184"/>
      <w:bookmarkStart w:id="9" w:name="_Toc14062"/>
      <w:bookmarkStart w:id="10" w:name="_Toc12381"/>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w:t>
      </w:r>
      <w:bookmarkEnd w:id="7"/>
    </w:p>
    <w:bookmarkEnd w:id="4"/>
    <w:bookmarkEnd w:id="8"/>
    <w:bookmarkEnd w:id="9"/>
    <w:bookmarkEnd w:id="10"/>
    <w:p w14:paraId="120ABDF7">
      <w:pPr>
        <w:pStyle w:val="3"/>
        <w:numPr>
          <w:ilvl w:val="0"/>
          <w:numId w:val="0"/>
        </w:numPr>
        <w:bidi w:val="0"/>
        <w:ind w:left="0" w:leftChars="0"/>
        <w:jc w:val="left"/>
        <w:rPr>
          <w:rFonts w:hint="eastAsia" w:ascii="微软雅黑" w:hAnsi="微软雅黑" w:eastAsia="微软雅黑" w:cs="微软雅黑"/>
          <w:color w:val="auto"/>
          <w:sz w:val="28"/>
          <w:szCs w:val="36"/>
          <w:lang w:val="en-US" w:eastAsia="zh-CN"/>
        </w:rPr>
      </w:pPr>
      <w:bookmarkStart w:id="61" w:name="_GoBack"/>
      <w:bookmarkEnd w:id="61"/>
      <w:bookmarkStart w:id="11" w:name="_Toc19898_WPSOffice_Level2"/>
      <w:bookmarkStart w:id="12" w:name="_Hlk516758315"/>
      <w:bookmarkStart w:id="13" w:name="_Toc13489_WPSOffice_Level2"/>
      <w:bookmarkStart w:id="14" w:name="_Toc24038"/>
      <w:bookmarkStart w:id="15" w:name="_Toc10743"/>
      <w:bookmarkStart w:id="16" w:name="_Toc14587"/>
      <w:r>
        <w:rPr>
          <w:rFonts w:hint="eastAsia" w:ascii="微软雅黑" w:hAnsi="微软雅黑" w:eastAsia="微软雅黑" w:cs="微软雅黑"/>
          <w:color w:val="auto"/>
          <w:sz w:val="28"/>
          <w:szCs w:val="36"/>
          <w:lang w:val="en-US" w:eastAsia="zh-CN"/>
        </w:rPr>
        <w:t>2.</w:t>
      </w:r>
      <w:bookmarkEnd w:id="11"/>
      <w:bookmarkEnd w:id="12"/>
      <w:bookmarkEnd w:id="13"/>
      <w:bookmarkEnd w:id="14"/>
      <w:bookmarkEnd w:id="15"/>
      <w:bookmarkStart w:id="17" w:name="_Toc5473"/>
      <w:r>
        <w:rPr>
          <w:rFonts w:hint="eastAsia" w:ascii="微软雅黑" w:hAnsi="微软雅黑" w:eastAsia="微软雅黑" w:cs="微软雅黑"/>
          <w:color w:val="auto"/>
          <w:sz w:val="28"/>
          <w:szCs w:val="36"/>
          <w:lang w:val="en-US" w:eastAsia="zh-CN"/>
        </w:rPr>
        <w:t>1 肿瘤遗传风险检测</w:t>
      </w:r>
      <w:bookmarkEnd w:id="16"/>
      <w:bookmarkEnd w:id="17"/>
    </w:p>
    <w:p w14:paraId="25916134">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70" w:type="dxa"/>
        <w:jc w:val="center"/>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790"/>
        <w:gridCol w:w="1427"/>
        <w:gridCol w:w="1639"/>
        <w:gridCol w:w="1639"/>
        <w:gridCol w:w="1434"/>
        <w:gridCol w:w="1941"/>
      </w:tblGrid>
      <w:tr w14:paraId="29E80B9D">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4" w:hRule="exact"/>
          <w:jc w:val="center"/>
        </w:trPr>
        <w:tc>
          <w:tcPr>
            <w:tcW w:w="1790" w:type="dxa"/>
            <w:tcBorders>
              <w:top w:val="single" w:color="179172" w:sz="8" w:space="0"/>
              <w:bottom w:val="single" w:color="179172" w:sz="8" w:space="0"/>
              <w:right w:val="nil"/>
            </w:tcBorders>
            <w:shd w:val="clear" w:color="auto" w:fill="0B8770"/>
            <w:vAlign w:val="center"/>
          </w:tcPr>
          <w:p w14:paraId="41C5B9C3">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基因</w:t>
            </w:r>
          </w:p>
        </w:tc>
        <w:tc>
          <w:tcPr>
            <w:tcW w:w="1427" w:type="dxa"/>
            <w:tcBorders>
              <w:top w:val="single" w:color="179172" w:sz="8" w:space="0"/>
              <w:left w:val="nil"/>
              <w:bottom w:val="single" w:color="179172" w:sz="8" w:space="0"/>
              <w:right w:val="nil"/>
            </w:tcBorders>
            <w:shd w:val="clear" w:color="auto" w:fill="0B8770"/>
            <w:vAlign w:val="center"/>
          </w:tcPr>
          <w:p w14:paraId="1C7F79D7">
            <w:pPr>
              <w:pStyle w:val="20"/>
              <w:spacing w:line="21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color w:val="FFFFFF" w:themeColor="background1"/>
                <w:sz w:val="18"/>
                <w:szCs w:val="18"/>
                <w:lang w:eastAsia="zh-CN"/>
                <w14:textFill>
                  <w14:solidFill>
                    <w14:schemeClr w14:val="bg1"/>
                  </w14:solidFill>
                </w14:textFill>
              </w:rPr>
              <w:t>检测结果</w:t>
            </w:r>
          </w:p>
        </w:tc>
        <w:tc>
          <w:tcPr>
            <w:tcW w:w="1639" w:type="dxa"/>
            <w:tcBorders>
              <w:top w:val="single" w:color="179172" w:sz="8" w:space="0"/>
              <w:left w:val="nil"/>
              <w:bottom w:val="single" w:color="179172" w:sz="8" w:space="0"/>
              <w:right w:val="nil"/>
            </w:tcBorders>
            <w:shd w:val="clear" w:color="auto" w:fill="0B8770"/>
            <w:vAlign w:val="center"/>
          </w:tcPr>
          <w:p w14:paraId="670EC16D">
            <w:pPr>
              <w:pStyle w:val="20"/>
              <w:spacing w:line="227"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pacing w:val="-1"/>
                <w:sz w:val="18"/>
                <w:szCs w:val="18"/>
                <w14:textFill>
                  <w14:solidFill>
                    <w14:schemeClr w14:val="bg1"/>
                  </w14:solidFill>
                </w14:textFill>
              </w:rPr>
              <w:t>杂合/纯合</w:t>
            </w:r>
          </w:p>
        </w:tc>
        <w:tc>
          <w:tcPr>
            <w:tcW w:w="1639" w:type="dxa"/>
            <w:tcBorders>
              <w:top w:val="single" w:color="179172" w:sz="8" w:space="0"/>
              <w:left w:val="nil"/>
              <w:bottom w:val="single" w:color="179172" w:sz="8" w:space="0"/>
              <w:right w:val="nil"/>
            </w:tcBorders>
            <w:shd w:val="clear" w:color="auto" w:fill="0B8770"/>
            <w:vAlign w:val="center"/>
          </w:tcPr>
          <w:p w14:paraId="67AE1539">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突变类型</w:t>
            </w:r>
          </w:p>
        </w:tc>
        <w:tc>
          <w:tcPr>
            <w:tcW w:w="1434" w:type="dxa"/>
            <w:tcBorders>
              <w:top w:val="single" w:color="179172" w:sz="8" w:space="0"/>
              <w:left w:val="nil"/>
              <w:bottom w:val="single" w:color="179172" w:sz="8" w:space="0"/>
              <w:right w:val="nil"/>
            </w:tcBorders>
            <w:shd w:val="clear" w:color="auto" w:fill="0B8770"/>
            <w:vAlign w:val="center"/>
          </w:tcPr>
          <w:p w14:paraId="21387585">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千人频率</w:t>
            </w:r>
          </w:p>
        </w:tc>
        <w:tc>
          <w:tcPr>
            <w:tcW w:w="1941" w:type="dxa"/>
            <w:tcBorders>
              <w:top w:val="single" w:color="179172" w:sz="8" w:space="0"/>
              <w:left w:val="nil"/>
              <w:bottom w:val="single" w:color="179172" w:sz="8" w:space="0"/>
            </w:tcBorders>
            <w:shd w:val="clear" w:color="auto" w:fill="0B8770"/>
            <w:vAlign w:val="center"/>
          </w:tcPr>
          <w:p w14:paraId="1939CA87">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临床意义</w:t>
            </w:r>
          </w:p>
        </w:tc>
      </w:tr>
      <w:tr w14:paraId="0A5693AB">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auto"/>
            <w:vAlign w:val="center"/>
          </w:tcPr>
          <w:p w14:paraId="2907B377">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if crCheckLineStrYF1280 != [] %}</w:t>
            </w:r>
          </w:p>
        </w:tc>
      </w:tr>
      <w:tr w14:paraId="3EEEE89B">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auto"/>
            <w:vAlign w:val="center"/>
          </w:tcPr>
          <w:p w14:paraId="2D8D22B0">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for cr in crCheckLineStrYF1280 %}</w:t>
            </w:r>
          </w:p>
        </w:tc>
      </w:tr>
      <w:tr w14:paraId="106903AC">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auto"/>
            <w:vAlign w:val="center"/>
          </w:tcPr>
          <w:p w14:paraId="719CF827">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cr.Gene }}</w:t>
            </w:r>
          </w:p>
        </w:tc>
        <w:tc>
          <w:tcPr>
            <w:tcW w:w="1427" w:type="dxa"/>
            <w:tcBorders>
              <w:tl2br w:val="nil"/>
              <w:tr2bl w:val="nil"/>
            </w:tcBorders>
            <w:shd w:val="clear" w:color="auto" w:fill="auto"/>
            <w:vAlign w:val="center"/>
          </w:tcPr>
          <w:p w14:paraId="4B7DD1A8">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{%if cr.pHGVS == </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 cr.Exon }}</w:t>
            </w:r>
          </w:p>
          <w:p w14:paraId="7CC19946">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}}{%else%}{{ cr.Exon }}</w:t>
            </w:r>
          </w:p>
          <w:p w14:paraId="1FF95B07">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w:t>
            </w:r>
          </w:p>
          <w:p w14:paraId="7171A572">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cr.pHGVS }}{%endif%}</w:t>
            </w:r>
          </w:p>
        </w:tc>
        <w:tc>
          <w:tcPr>
            <w:tcW w:w="1639" w:type="dxa"/>
            <w:tcBorders>
              <w:tl2br w:val="nil"/>
              <w:tr2bl w:val="nil"/>
            </w:tcBorders>
            <w:shd w:val="clear" w:color="auto" w:fill="auto"/>
            <w:vAlign w:val="center"/>
          </w:tcPr>
          <w:p w14:paraId="19193ACA">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cr.Zygosity }}</w:t>
            </w:r>
          </w:p>
        </w:tc>
        <w:tc>
          <w:tcPr>
            <w:tcW w:w="1639" w:type="dxa"/>
            <w:tcBorders>
              <w:tl2br w:val="nil"/>
              <w:tr2bl w:val="nil"/>
            </w:tcBorders>
            <w:shd w:val="clear" w:color="auto" w:fill="auto"/>
            <w:vAlign w:val="center"/>
          </w:tcPr>
          <w:p w14:paraId="57587A1B">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cr.ExonicFunc }}</w:t>
            </w:r>
          </w:p>
        </w:tc>
        <w:tc>
          <w:tcPr>
            <w:tcW w:w="1434" w:type="dxa"/>
            <w:tcBorders>
              <w:tl2br w:val="nil"/>
              <w:tr2bl w:val="nil"/>
            </w:tcBorders>
            <w:shd w:val="clear" w:color="auto" w:fill="auto"/>
            <w:vAlign w:val="center"/>
          </w:tcPr>
          <w:p w14:paraId="25B2BB3F">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cr.c1000g2015aug_all }}</w:t>
            </w:r>
          </w:p>
        </w:tc>
        <w:tc>
          <w:tcPr>
            <w:tcW w:w="1941" w:type="dxa"/>
            <w:tcBorders>
              <w:tl2br w:val="nil"/>
              <w:tr2bl w:val="nil"/>
            </w:tcBorders>
            <w:shd w:val="clear" w:color="auto" w:fill="auto"/>
            <w:vAlign w:val="center"/>
          </w:tcPr>
          <w:p w14:paraId="6BF1FC9C">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cr.Clinical_significance }}</w:t>
            </w:r>
          </w:p>
        </w:tc>
      </w:tr>
      <w:tr w14:paraId="25620537">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auto"/>
            <w:vAlign w:val="center"/>
          </w:tcPr>
          <w:p w14:paraId="4875A06C">
            <w:pPr>
              <w:tabs>
                <w:tab w:val="left" w:pos="4117"/>
              </w:tabs>
              <w:spacing w:before="20"/>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ab/>
            </w:r>
            <w:r>
              <w:rPr>
                <w:rFonts w:hint="eastAsia" w:ascii="Times New Roman" w:hAnsi="Times New Roman" w:eastAsia="微软雅黑" w:cs="Times New Roman"/>
                <w:sz w:val="18"/>
                <w:lang w:eastAsia="zh-CN"/>
              </w:rPr>
              <w:t>{%tr endfor %}</w:t>
            </w:r>
          </w:p>
        </w:tc>
      </w:tr>
      <w:tr w14:paraId="31A2EEF3">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auto"/>
            <w:vAlign w:val="center"/>
          </w:tcPr>
          <w:p w14:paraId="63AD8346">
            <w:pPr>
              <w:spacing w:before="20"/>
              <w:jc w:val="center"/>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{%tr else %}</w:t>
            </w:r>
          </w:p>
        </w:tc>
      </w:tr>
      <w:tr w14:paraId="0B2A9D07">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auto"/>
            <w:vAlign w:val="center"/>
          </w:tcPr>
          <w:p w14:paraId="1DF37D2A">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27" w:type="dxa"/>
            <w:tcBorders>
              <w:tl2br w:val="nil"/>
              <w:tr2bl w:val="nil"/>
            </w:tcBorders>
            <w:shd w:val="clear" w:color="auto" w:fill="auto"/>
            <w:vAlign w:val="center"/>
          </w:tcPr>
          <w:p w14:paraId="7DB37753">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auto"/>
            <w:vAlign w:val="center"/>
          </w:tcPr>
          <w:p w14:paraId="6F1F57C1">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auto"/>
            <w:vAlign w:val="center"/>
          </w:tcPr>
          <w:p w14:paraId="659CC1E0">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34" w:type="dxa"/>
            <w:tcBorders>
              <w:tl2br w:val="nil"/>
              <w:tr2bl w:val="nil"/>
            </w:tcBorders>
            <w:shd w:val="clear" w:color="auto" w:fill="auto"/>
            <w:vAlign w:val="center"/>
          </w:tcPr>
          <w:p w14:paraId="46931A8C">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941" w:type="dxa"/>
            <w:tcBorders>
              <w:tl2br w:val="nil"/>
              <w:tr2bl w:val="nil"/>
            </w:tcBorders>
            <w:shd w:val="clear" w:color="auto" w:fill="auto"/>
            <w:vAlign w:val="center"/>
          </w:tcPr>
          <w:p w14:paraId="3FE6D053">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r>
      <w:tr w14:paraId="0B1BAE1B">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auto"/>
            <w:vAlign w:val="center"/>
          </w:tcPr>
          <w:p w14:paraId="51CE28C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endif %}</w:t>
            </w:r>
          </w:p>
        </w:tc>
      </w:tr>
    </w:tbl>
    <w:p w14:paraId="1E5BD251">
      <w:pPr>
        <w:keepLines w:val="0"/>
        <w:pageBreakBefore w:val="0"/>
        <w:widowControl/>
        <w:kinsoku/>
        <w:wordWrap/>
        <w:overflowPunct/>
        <w:topLinePunct w:val="0"/>
        <w:bidi w:val="0"/>
        <w:snapToGrid/>
        <w:spacing w:line="240" w:lineRule="auto"/>
        <w:rPr>
          <w:rFonts w:hint="eastAsia" w:ascii="微软雅黑" w:hAnsi="微软雅黑" w:eastAsia="微软雅黑" w:cs="微软雅黑"/>
          <w:b/>
          <w:bCs/>
          <w:lang w:eastAsia="zh-CN"/>
        </w:rPr>
      </w:pPr>
    </w:p>
    <w:p w14:paraId="6EA4E7E2">
      <w:pPr>
        <w:pStyle w:val="3"/>
        <w:numPr>
          <w:ilvl w:val="0"/>
          <w:numId w:val="0"/>
        </w:numPr>
        <w:bidi w:val="0"/>
        <w:ind w:left="0" w:leftChars="0"/>
        <w:jc w:val="left"/>
        <w:rPr>
          <w:rFonts w:hint="eastAsia" w:ascii="微软雅黑" w:hAnsi="微软雅黑" w:eastAsia="微软雅黑" w:cs="微软雅黑"/>
          <w:color w:val="auto"/>
          <w:sz w:val="28"/>
          <w:szCs w:val="36"/>
          <w:lang w:val="en-US" w:eastAsia="zh-CN"/>
        </w:rPr>
      </w:pPr>
      <w:bookmarkStart w:id="18" w:name="_Toc28715"/>
      <w:r>
        <w:rPr>
          <w:rFonts w:hint="eastAsia" w:ascii="微软雅黑" w:hAnsi="微软雅黑" w:eastAsia="微软雅黑" w:cs="微软雅黑"/>
          <w:color w:val="auto"/>
          <w:sz w:val="28"/>
          <w:szCs w:val="36"/>
          <w:lang w:val="en-US" w:eastAsia="zh-CN"/>
        </w:rPr>
        <w:t>2.2 用药提示</w:t>
      </w:r>
      <w:bookmarkEnd w:id="18"/>
    </w:p>
    <w:tbl>
      <w:tblPr>
        <w:tblStyle w:val="21"/>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AB55EB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4140D9A0">
            <w:pPr>
              <w:pStyle w:val="20"/>
              <w:jc w:val="center"/>
              <w:rPr>
                <w:rFonts w:hint="eastAsia"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val="0"/>
                <w:color w:val="FFFFFF" w:themeColor="background1"/>
                <w:sz w:val="18"/>
                <w:szCs w:val="18"/>
                <w:lang w:eastAsia="zh-CN"/>
                <w14:textFill>
                  <w14:solidFill>
                    <w14:schemeClr w14:val="bg1"/>
                  </w14:solidFill>
                </w14:textFill>
              </w:rPr>
              <w:t>检测基因</w:t>
            </w:r>
          </w:p>
        </w:tc>
        <w:tc>
          <w:tcPr>
            <w:tcW w:w="895" w:type="pct"/>
            <w:shd w:val="clear" w:color="auto" w:fill="0B8770"/>
            <w:vAlign w:val="center"/>
          </w:tcPr>
          <w:p w14:paraId="10885684">
            <w:pPr>
              <w:pStyle w:val="20"/>
              <w:jc w:val="center"/>
              <w:rPr>
                <w:rFonts w:ascii="Times New Roman" w:hAnsi="Times New Roman" w:eastAsia="微软雅黑" w:cs="Times New Roman"/>
                <w:b/>
                <w:bCs w:val="0"/>
                <w:color w:val="FFFFFF" w:themeColor="background1"/>
                <w:sz w:val="18"/>
                <w:szCs w:val="18"/>
                <w14:textFill>
                  <w14:solidFill>
                    <w14:schemeClr w14:val="bg1"/>
                  </w14:solidFill>
                </w14:textFill>
              </w:rPr>
            </w:pPr>
            <w:r>
              <w:rPr>
                <w:rFonts w:ascii="Times New Roman" w:hAnsi="Times New Roman" w:eastAsia="微软雅黑" w:cs="Times New Roman"/>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14:paraId="326A65C7">
            <w:pPr>
              <w:pStyle w:val="20"/>
              <w:jc w:val="center"/>
              <w:rPr>
                <w:rFonts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67D5F4F4">
            <w:pPr>
              <w:pStyle w:val="20"/>
              <w:jc w:val="center"/>
              <w:rPr>
                <w:rFonts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ascii="Times New Roman" w:hAnsi="Times New Roman" w:eastAsia="微软雅黑" w:cs="Times New Roman"/>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4DA3D7CE">
            <w:pPr>
              <w:pStyle w:val="20"/>
              <w:jc w:val="center"/>
              <w:rPr>
                <w:rFonts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ascii="Times New Roman" w:hAnsi="Times New Roman" w:eastAsia="微软雅黑" w:cs="Times New Roman"/>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08F8977F">
            <w:pPr>
              <w:pStyle w:val="20"/>
              <w:jc w:val="center"/>
              <w:rPr>
                <w:rFonts w:ascii="Times New Roman" w:hAnsi="Times New Roman" w:eastAsia="微软雅黑" w:cs="Times New Roman"/>
                <w:b/>
                <w:bCs w:val="0"/>
                <w:color w:val="FFFFFF" w:themeColor="background1"/>
                <w:sz w:val="18"/>
                <w:szCs w:val="18"/>
                <w14:textFill>
                  <w14:solidFill>
                    <w14:schemeClr w14:val="bg1"/>
                  </w14:solidFill>
                </w14:textFill>
              </w:rPr>
            </w:pPr>
            <w:r>
              <w:rPr>
                <w:rFonts w:ascii="Times New Roman" w:hAnsi="Times New Roman" w:eastAsia="微软雅黑" w:cs="Times New Roman"/>
                <w:b/>
                <w:bCs w:val="0"/>
                <w:color w:val="FFFFFF" w:themeColor="background1"/>
                <w:sz w:val="18"/>
                <w:szCs w:val="18"/>
                <w:lang w:eastAsia="zh-CN"/>
                <w14:textFill>
                  <w14:solidFill>
                    <w14:schemeClr w14:val="bg1"/>
                  </w14:solidFill>
                </w14:textFill>
              </w:rPr>
              <w:t>可能耐药药物</w:t>
            </w:r>
          </w:p>
        </w:tc>
      </w:tr>
      <w:tr w14:paraId="0BF95AD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06F9560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7EE9A41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69C01B7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3DF2543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5DF85ED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shd w:val="clear" w:color="auto" w:fill="auto"/>
            <w:vAlign w:val="center"/>
          </w:tcPr>
          <w:p w14:paraId="3B7DAC08">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shd w:val="clear" w:color="auto" w:fill="auto"/>
            <w:vAlign w:val="center"/>
          </w:tcPr>
          <w:p w14:paraId="78CE607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shd w:val="clear" w:color="auto" w:fill="auto"/>
            <w:vAlign w:val="center"/>
          </w:tcPr>
          <w:p w14:paraId="7281545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shd w:val="clear" w:color="auto" w:fill="auto"/>
            <w:vAlign w:val="center"/>
          </w:tcPr>
          <w:p w14:paraId="34C2965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D85B25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4B99AB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9BA54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6E5E74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shd w:val="clear" w:color="auto" w:fill="auto"/>
            <w:vAlign w:val="center"/>
          </w:tcPr>
          <w:p w14:paraId="1708091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1EDC16A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F5B3E7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1EC4BA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20C67F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5B6EBB1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3F395E8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9FECF5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737D4DE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8D0A37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auto"/>
            <w:vAlign w:val="center"/>
          </w:tcPr>
          <w:p w14:paraId="04EF344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w:t>
            </w:r>
            <w:r>
              <w:rPr>
                <w:rFonts w:hint="eastAsia" w:ascii="Times New Roman" w:hAnsi="Times New Roman" w:eastAsia="微软雅黑" w:cs="Times New Roman"/>
                <w:b/>
                <w:bCs/>
                <w:sz w:val="18"/>
                <w:szCs w:val="18"/>
                <w:lang w:val="en-US" w:eastAsia="zh-CN"/>
              </w:rPr>
              <w:t>靶向药物</w:t>
            </w:r>
            <w:r>
              <w:rPr>
                <w:rFonts w:hint="eastAsia" w:ascii="Times New Roman" w:hAnsi="Times New Roman" w:eastAsia="微软雅黑" w:cs="Times New Roman"/>
                <w:b/>
                <w:bCs/>
                <w:sz w:val="18"/>
                <w:szCs w:val="18"/>
                <w:lang w:eastAsia="zh-CN"/>
              </w:rPr>
              <w:t>相关致病性及可能致病性胚系突变</w:t>
            </w:r>
          </w:p>
        </w:tc>
      </w:tr>
      <w:tr w14:paraId="5D4E492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7D14D9E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A8371E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C78DBCC">
      <w:pPr>
        <w:pStyle w:val="22"/>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F0D5707">
      <w:pPr>
        <w:pStyle w:val="22"/>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B28CFB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3B55C0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5C5C1D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8E513A2">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FC730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48EE4A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12C0F7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AE4A341">
      <w:pPr>
        <w:keepLines w:val="0"/>
        <w:pageBreakBefore w:val="0"/>
        <w:kinsoku/>
        <w:wordWrap/>
        <w:overflowPunct/>
        <w:topLinePunct w:val="0"/>
        <w:bidi w:val="0"/>
        <w:snapToGrid/>
        <w:spacing w:line="240" w:lineRule="auto"/>
        <w:rPr>
          <w:rFonts w:hint="eastAsia" w:ascii="微软雅黑" w:hAnsi="微软雅黑" w:eastAsia="微软雅黑" w:cs="微软雅黑"/>
          <w:bCs/>
          <w:lang w:eastAsia="zh-CN"/>
        </w:rPr>
      </w:pPr>
      <w:r>
        <w:rPr>
          <w:rFonts w:hint="eastAsia" w:ascii="微软雅黑" w:hAnsi="微软雅黑" w:eastAsia="微软雅黑" w:cs="微软雅黑"/>
          <w:b/>
          <w:bCs/>
          <w:color w:val="00B050"/>
          <w:sz w:val="28"/>
          <w:szCs w:val="36"/>
          <w:lang w:eastAsia="zh-CN"/>
        </w:rPr>
        <w:br w:type="page"/>
      </w:r>
    </w:p>
    <w:p w14:paraId="0910984E">
      <w:pPr>
        <w:pStyle w:val="23"/>
        <w:numPr>
          <w:ilvl w:val="0"/>
          <w:numId w:val="0"/>
        </w:numPr>
        <w:jc w:val="both"/>
        <w:rPr>
          <w:rFonts w:hint="eastAsia" w:ascii="微软雅黑" w:hAnsi="微软雅黑" w:eastAsia="微软雅黑" w:cs="微软雅黑"/>
          <w:color w:val="auto"/>
          <w:sz w:val="32"/>
          <w:szCs w:val="40"/>
        </w:rPr>
      </w:pPr>
      <w:bookmarkStart w:id="19" w:name="_Toc28584"/>
      <w:bookmarkStart w:id="20" w:name="_Toc29187"/>
      <w:bookmarkStart w:id="21" w:name="_Toc15136"/>
      <w:bookmarkStart w:id="22" w:name="_Toc15289_WPSOffice_Level3"/>
      <w:bookmarkStart w:id="23" w:name="_Toc6931_WPSOffice_Level3"/>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19"/>
      <w:bookmarkEnd w:id="20"/>
      <w:bookmarkEnd w:id="21"/>
    </w:p>
    <w:p w14:paraId="15DAC06B">
      <w:pPr>
        <w:pStyle w:val="3"/>
        <w:numPr>
          <w:ilvl w:val="0"/>
          <w:numId w:val="0"/>
        </w:numPr>
        <w:bidi w:val="0"/>
        <w:ind w:left="0" w:leftChars="0"/>
        <w:jc w:val="left"/>
        <w:rPr>
          <w:rFonts w:hint="eastAsia" w:ascii="微软雅黑" w:hAnsi="微软雅黑" w:eastAsia="微软雅黑" w:cs="微软雅黑"/>
          <w:color w:val="auto"/>
          <w:sz w:val="28"/>
          <w:szCs w:val="36"/>
          <w:lang w:val="en-US" w:eastAsia="zh-CN"/>
        </w:rPr>
      </w:pPr>
      <w:bookmarkStart w:id="24" w:name="_Toc19761"/>
      <w:bookmarkStart w:id="25" w:name="_Toc18812"/>
      <w:bookmarkStart w:id="26" w:name="_Toc9409"/>
      <w:bookmarkStart w:id="27" w:name="_Toc18480"/>
      <w:r>
        <w:rPr>
          <w:rFonts w:hint="eastAsia" w:ascii="微软雅黑" w:hAnsi="微软雅黑" w:eastAsia="微软雅黑" w:cs="微软雅黑"/>
          <w:color w:val="auto"/>
          <w:sz w:val="28"/>
          <w:szCs w:val="36"/>
          <w:lang w:val="en-US" w:eastAsia="zh-CN"/>
        </w:rPr>
        <w:t>变异位点结果解析</w:t>
      </w:r>
      <w:bookmarkEnd w:id="24"/>
      <w:bookmarkEnd w:id="25"/>
      <w:bookmarkEnd w:id="26"/>
    </w:p>
    <w:p w14:paraId="5F4F4C8D">
      <w:pPr>
        <w:bidi w:val="0"/>
        <w:rPr>
          <w:rFonts w:hint="eastAsia" w:ascii="微软雅黑" w:hAnsi="微软雅黑" w:eastAsia="微软雅黑" w:cs="微软雅黑"/>
          <w:b/>
          <w:bCs/>
          <w:color w:val="0B8770"/>
          <w:sz w:val="24"/>
          <w:szCs w:val="24"/>
          <w:lang w:eastAsia="zh-CN"/>
        </w:rPr>
      </w:pPr>
      <w:r>
        <w:rPr>
          <w:rFonts w:hint="eastAsia" w:ascii="Times New Roman" w:hAnsi="Times New Roman" w:eastAsia="微软雅黑" w:cs="Times New Roman"/>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p>
    <w:p w14:paraId="233F1D11">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5"/>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55C5CEF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74DC818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0ABEFCD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11B48E3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5FB7A1C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2F347EF6">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3EC3B7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B7B82AA">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7D29226D">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0128223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4FEA68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417CB6D">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39FBE6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4363197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68E106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C9CDA5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0C5F15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9B41A3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79F956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179D78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F8EB00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5577F6B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390E3FD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1E40B55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7F6F975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3D19F9D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667DAD0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FB58E2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CC6743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3639BC2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C75FE8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E877AE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0CAE8E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5162EA06">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54E38BE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B36112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0D4159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73623A41">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5FEE486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4B27B0E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287087C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34BD09B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5D4D32DF">
      <w:pPr>
        <w:keepLines w:val="0"/>
        <w:pageBreakBefore w:val="0"/>
        <w:kinsoku/>
        <w:wordWrap/>
        <w:overflowPunct/>
        <w:topLinePunct w:val="0"/>
        <w:bidi w:val="0"/>
        <w:snapToGrid/>
        <w:spacing w:line="240" w:lineRule="auto"/>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b/>
          <w:color w:val="0B8770"/>
          <w:sz w:val="24"/>
          <w:szCs w:val="24"/>
          <w:lang w:eastAsia="zh-CN"/>
        </w:rPr>
        <w:br w:type="page"/>
      </w:r>
    </w:p>
    <w:p w14:paraId="65E6C6FA">
      <w:pPr>
        <w:keepLines w:val="0"/>
        <w:pageBreakBefore w:val="0"/>
        <w:kinsoku/>
        <w:wordWrap/>
        <w:overflowPunct/>
        <w:topLinePunct w:val="0"/>
        <w:bidi w:val="0"/>
        <w:snapToGrid/>
        <w:spacing w:line="240" w:lineRule="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14:paraId="494365F9">
      <w:pPr>
        <w:pStyle w:val="2"/>
        <w:keepLines w:val="0"/>
        <w:pageBreakBefore w:val="0"/>
        <w:numPr>
          <w:ilvl w:val="0"/>
          <w:numId w:val="0"/>
        </w:numPr>
        <w:kinsoku/>
        <w:wordWrap/>
        <w:overflowPunct/>
        <w:topLinePunct w:val="0"/>
        <w:bidi w:val="0"/>
        <w:snapToGrid/>
        <w:spacing w:line="240" w:lineRule="auto"/>
        <w:jc w:val="left"/>
        <w:rPr>
          <w:rFonts w:hint="eastAsia" w:ascii="微软雅黑" w:hAnsi="微软雅黑" w:eastAsia="微软雅黑" w:cs="微软雅黑"/>
          <w:color w:val="auto"/>
          <w:sz w:val="32"/>
          <w:szCs w:val="40"/>
          <w:lang w:val="en-US" w:eastAsia="zh-CN"/>
        </w:rPr>
      </w:pPr>
      <w:bookmarkStart w:id="28" w:name="_Toc21688"/>
      <w:r>
        <w:rPr>
          <w:rFonts w:hint="eastAsia" w:ascii="微软雅黑" w:hAnsi="微软雅黑" w:eastAsia="微软雅黑" w:cs="微软雅黑"/>
          <w:color w:val="auto"/>
          <w:sz w:val="32"/>
          <w:szCs w:val="40"/>
          <w:lang w:val="en-US" w:eastAsia="zh-CN"/>
        </w:rPr>
        <w:t>第四部分 风险管理</w:t>
      </w:r>
      <w:bookmarkEnd w:id="27"/>
      <w:bookmarkEnd w:id="28"/>
    </w:p>
    <w:p w14:paraId="5DA0BD64">
      <w:pPr>
        <w:pStyle w:val="25"/>
        <w:keepLines w:val="0"/>
        <w:pageBreakBefore w:val="0"/>
        <w:kinsoku/>
        <w:wordWrap/>
        <w:overflowPunct/>
        <w:topLinePunct w:val="0"/>
        <w:bidi w:val="0"/>
        <w:snapToGrid/>
        <w:spacing w:line="240" w:lineRule="auto"/>
        <w:rPr>
          <w:rFonts w:hint="eastAsia" w:ascii="微软雅黑" w:hAnsi="微软雅黑" w:eastAsia="微软雅黑" w:cs="微软雅黑"/>
          <w:b/>
          <w:bCs/>
          <w:color w:val="auto"/>
          <w:sz w:val="28"/>
          <w:szCs w:val="36"/>
          <w:lang w:val="en-US" w:eastAsia="zh-CN" w:bidi="ar-SA"/>
        </w:rPr>
      </w:pPr>
      <w:r>
        <w:rPr>
          <w:rFonts w:hint="eastAsia" w:ascii="微软雅黑" w:hAnsi="微软雅黑" w:eastAsia="微软雅黑" w:cs="微软雅黑"/>
          <w:b/>
          <w:bCs/>
          <w:color w:val="auto"/>
          <w:sz w:val="28"/>
          <w:szCs w:val="36"/>
          <w:lang w:val="en-US" w:eastAsia="zh-CN" w:bidi="ar-SA"/>
        </w:rPr>
        <w:t xml:space="preserve">癌症风险 </w:t>
      </w:r>
      <w:r>
        <w:rPr>
          <w:rFonts w:hint="eastAsia" w:ascii="微软雅黑" w:hAnsi="微软雅黑" w:eastAsia="微软雅黑" w:cs="微软雅黑"/>
          <w:b w:val="0"/>
          <w:color w:val="000000"/>
          <w:spacing w:val="14"/>
          <w:sz w:val="20"/>
          <w:szCs w:val="20"/>
          <w:lang w:val="en-US" w:eastAsia="zh-CN" w:bidi="ar-SA"/>
        </w:rPr>
        <w:t>{% if cancerRiskGene == [] %}</w:t>
      </w:r>
    </w:p>
    <w:p w14:paraId="3306E363">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color w:val="000000"/>
          <w:spacing w:val="14"/>
          <w:sz w:val="20"/>
          <w:szCs w:val="20"/>
          <w:lang w:eastAsia="zh-CN"/>
        </w:rPr>
      </w:pPr>
      <w:r>
        <w:rPr>
          <w:rFonts w:hint="eastAsia" w:ascii="微软雅黑" w:hAnsi="微软雅黑" w:eastAsia="微软雅黑" w:cs="微软雅黑"/>
          <w:color w:val="000000"/>
          <w:spacing w:val="14"/>
          <w:sz w:val="20"/>
          <w:szCs w:val="20"/>
          <w:lang w:val="zh-CN" w:eastAsia="zh-CN"/>
        </w:rPr>
        <w:t>鉴于您没有检测到致病</w:t>
      </w:r>
      <w:r>
        <w:rPr>
          <w:rFonts w:hint="eastAsia" w:ascii="微软雅黑" w:hAnsi="微软雅黑" w:eastAsia="微软雅黑" w:cs="微软雅黑"/>
          <w:color w:val="000000"/>
          <w:spacing w:val="14"/>
          <w:sz w:val="20"/>
          <w:szCs w:val="20"/>
          <w:lang w:eastAsia="zh-CN"/>
        </w:rPr>
        <w:t>/</w:t>
      </w:r>
      <w:r>
        <w:rPr>
          <w:rFonts w:hint="eastAsia" w:ascii="微软雅黑" w:hAnsi="微软雅黑" w:eastAsia="微软雅黑" w:cs="微软雅黑"/>
          <w:color w:val="000000"/>
          <w:spacing w:val="14"/>
          <w:sz w:val="20"/>
          <w:szCs w:val="20"/>
          <w:lang w:val="zh-CN" w:eastAsia="zh-CN"/>
        </w:rPr>
        <w:t>可能致病变异</w:t>
      </w:r>
      <w:r>
        <w:rPr>
          <w:rFonts w:hint="eastAsia" w:ascii="微软雅黑" w:hAnsi="微软雅黑" w:eastAsia="微软雅黑" w:cs="微软雅黑"/>
          <w:color w:val="000000"/>
          <w:spacing w:val="14"/>
          <w:sz w:val="20"/>
          <w:szCs w:val="20"/>
          <w:lang w:eastAsia="zh-CN"/>
        </w:rPr>
        <w:t>，</w:t>
      </w:r>
      <w:r>
        <w:rPr>
          <w:rFonts w:hint="eastAsia" w:ascii="微软雅黑" w:hAnsi="微软雅黑" w:eastAsia="微软雅黑" w:cs="微软雅黑"/>
          <w:color w:val="000000"/>
          <w:spacing w:val="14"/>
          <w:sz w:val="20"/>
          <w:szCs w:val="20"/>
          <w:lang w:val="zh-CN" w:eastAsia="zh-CN"/>
        </w:rPr>
        <w:t>因此癌症风险和普通人群一致</w:t>
      </w:r>
      <w:r>
        <w:rPr>
          <w:rFonts w:hint="eastAsia" w:ascii="微软雅黑" w:hAnsi="微软雅黑" w:eastAsia="微软雅黑" w:cs="微软雅黑"/>
          <w:color w:val="000000"/>
          <w:spacing w:val="14"/>
          <w:sz w:val="20"/>
          <w:szCs w:val="20"/>
          <w:lang w:eastAsia="zh-CN"/>
        </w:rPr>
        <w:t>，</w:t>
      </w:r>
      <w:r>
        <w:rPr>
          <w:rFonts w:hint="eastAsia" w:ascii="微软雅黑" w:hAnsi="微软雅黑" w:eastAsia="微软雅黑" w:cs="微软雅黑"/>
          <w:color w:val="000000"/>
          <w:spacing w:val="14"/>
          <w:sz w:val="20"/>
          <w:szCs w:val="20"/>
          <w:lang w:val="zh-CN" w:eastAsia="zh-CN"/>
        </w:rPr>
        <w:t>但是</w:t>
      </w:r>
      <w:r>
        <w:rPr>
          <w:rFonts w:hint="eastAsia" w:ascii="微软雅黑" w:hAnsi="微软雅黑" w:eastAsia="微软雅黑" w:cs="微软雅黑"/>
          <w:color w:val="000000"/>
          <w:spacing w:val="14"/>
          <w:sz w:val="20"/>
          <w:szCs w:val="20"/>
          <w:lang w:eastAsia="zh-CN"/>
        </w:rPr>
        <w:t>，</w:t>
      </w:r>
      <w:r>
        <w:rPr>
          <w:rFonts w:hint="eastAsia" w:ascii="微软雅黑" w:hAnsi="微软雅黑" w:eastAsia="微软雅黑" w:cs="微软雅黑"/>
          <w:color w:val="000000"/>
          <w:spacing w:val="14"/>
          <w:sz w:val="20"/>
          <w:szCs w:val="20"/>
          <w:lang w:val="zh-CN" w:eastAsia="zh-CN"/>
        </w:rPr>
        <w:t>您患癌症的风险可能会因下述原因而增加</w:t>
      </w:r>
      <w:r>
        <w:rPr>
          <w:rFonts w:hint="eastAsia" w:ascii="微软雅黑" w:hAnsi="微软雅黑" w:eastAsia="微软雅黑" w:cs="微软雅黑"/>
          <w:color w:val="000000"/>
          <w:spacing w:val="14"/>
          <w:sz w:val="20"/>
          <w:szCs w:val="20"/>
          <w:lang w:eastAsia="zh-CN"/>
        </w:rPr>
        <w:t>：</w:t>
      </w:r>
    </w:p>
    <w:p w14:paraId="5613510A">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eastAsia="zh-CN"/>
        </w:rPr>
      </w:pPr>
      <w:r>
        <w:rPr>
          <w:rFonts w:hint="eastAsia" w:ascii="微软雅黑" w:hAnsi="微软雅黑" w:eastAsia="微软雅黑" w:cs="微软雅黑"/>
          <w:color w:val="000000"/>
          <w:spacing w:val="14"/>
          <w:sz w:val="20"/>
          <w:szCs w:val="20"/>
          <w:lang w:val="zh-CN" w:eastAsia="zh-CN"/>
        </w:rPr>
        <w:t>● 其他非遗传因素（如：环境）。</w:t>
      </w:r>
    </w:p>
    <w:p w14:paraId="02B29D96">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eastAsia="zh-CN"/>
        </w:rPr>
      </w:pPr>
      <w:r>
        <w:rPr>
          <w:rFonts w:hint="eastAsia" w:ascii="微软雅黑" w:hAnsi="微软雅黑" w:eastAsia="微软雅黑" w:cs="微软雅黑"/>
          <w:color w:val="000000"/>
          <w:spacing w:val="14"/>
          <w:sz w:val="20"/>
          <w:szCs w:val="20"/>
          <w:lang w:val="zh-CN" w:eastAsia="zh-CN"/>
        </w:rPr>
        <w:t>● 其他遗传性癌症综合征。</w:t>
      </w:r>
    </w:p>
    <w:p w14:paraId="5E9A2672">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eastAsia="zh-CN"/>
        </w:rPr>
      </w:pPr>
      <w:r>
        <w:rPr>
          <w:rFonts w:hint="eastAsia" w:ascii="微软雅黑" w:hAnsi="微软雅黑" w:eastAsia="微软雅黑" w:cs="微软雅黑"/>
          <w:color w:val="000000"/>
          <w:spacing w:val="14"/>
          <w:sz w:val="20"/>
          <w:szCs w:val="20"/>
          <w:lang w:val="zh-CN" w:eastAsia="zh-CN"/>
        </w:rPr>
        <w:t>● 存在因现有检测技术无法检测出来的突变。{% else %}</w:t>
      </w:r>
    </w:p>
    <w:p w14:paraId="4893558D">
      <w:pPr>
        <w:pStyle w:val="25"/>
        <w:keepLines w:val="0"/>
        <w:pageBreakBefore w:val="0"/>
        <w:kinsoku/>
        <w:wordWrap/>
        <w:overflowPunct/>
        <w:topLinePunct w:val="0"/>
        <w:bidi w:val="0"/>
        <w:snapToGrid/>
        <w:spacing w:line="240" w:lineRule="auto"/>
        <w:rPr>
          <w:rFonts w:hint="eastAsia" w:ascii="微软雅黑" w:hAnsi="微软雅黑" w:eastAsia="微软雅黑" w:cs="微软雅黑"/>
          <w:b/>
          <w:bCs/>
          <w:color w:val="auto"/>
          <w:sz w:val="28"/>
          <w:szCs w:val="36"/>
          <w:lang w:val="en-US" w:eastAsia="zh-CN" w:bidi="ar-SA"/>
        </w:rPr>
      </w:pPr>
      <w:r>
        <w:rPr>
          <w:rFonts w:hint="eastAsia" w:ascii="微软雅黑" w:hAnsi="微软雅黑" w:eastAsia="微软雅黑" w:cs="微软雅黑"/>
          <w:b/>
          <w:bCs/>
          <w:color w:val="auto"/>
          <w:sz w:val="28"/>
          <w:szCs w:val="36"/>
          <w:lang w:val="en-US" w:eastAsia="zh-CN" w:bidi="ar-SA"/>
        </w:rPr>
        <w:t>癌症风险列表（注意：数据来源于欧美人群，仅供亚洲人群参考）</w:t>
      </w:r>
    </w:p>
    <w:p w14:paraId="45285492">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color w:val="000000"/>
          <w:spacing w:val="14"/>
          <w:sz w:val="20"/>
          <w:szCs w:val="20"/>
          <w:lang w:val="zh-CN" w:eastAsia="zh-CN"/>
        </w:rPr>
      </w:pPr>
      <w:r>
        <w:rPr>
          <w:rFonts w:hint="eastAsia" w:ascii="微软雅黑" w:hAnsi="微软雅黑" w:eastAsia="微软雅黑" w:cs="微软雅黑"/>
          <w:color w:val="000000"/>
          <w:spacing w:val="14"/>
          <w:sz w:val="20"/>
          <w:szCs w:val="20"/>
          <w:lang w:val="zh-CN" w:eastAsia="zh-CN"/>
        </w:rPr>
        <w:t>鉴于您在{% for gene in cancerRiskGene %}{%if loop.last%}{{ gene }}{%else%}{{ gene }}、{%endif%}{% endfor %}基因上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 for gene in cancerRiskFilterGene %}</w:t>
      </w:r>
    </w:p>
    <w:p w14:paraId="0F660C0F">
      <w:pPr>
        <w:keepNext w:val="0"/>
        <w:keepLines w:val="0"/>
        <w:pageBreakBefore w:val="0"/>
        <w:widowControl/>
        <w:kinsoku/>
        <w:wordWrap/>
        <w:overflowPunct/>
        <w:topLinePunct w:val="0"/>
        <w:autoSpaceDE/>
        <w:autoSpaceDN/>
        <w:bidi w:val="0"/>
        <w:adjustRightInd/>
        <w:snapToGrid/>
        <w:spacing w:line="300" w:lineRule="auto"/>
        <w:ind w:firstLine="456" w:firstLineChars="200"/>
        <w:textAlignment w:val="auto"/>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if gene == ‘MLH1’ %}由 {{ gene }} 突变所导致的疾病风险列表如下：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1523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B8770"/>
            <w:vAlign w:val="center"/>
          </w:tcPr>
          <w:p w14:paraId="0796277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2" w:type="dxa"/>
            <w:tcBorders>
              <w:top w:val="nil"/>
              <w:left w:val="single" w:color="FFFFFF" w:themeColor="background1" w:sz="18" w:space="0"/>
              <w:bottom w:val="nil"/>
              <w:right w:val="single" w:color="FFFFFF" w:themeColor="background1" w:sz="18" w:space="0"/>
            </w:tcBorders>
            <w:shd w:val="clear" w:color="auto" w:fill="0B8770"/>
            <w:vAlign w:val="center"/>
          </w:tcPr>
          <w:p w14:paraId="5B4EF2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0B8770"/>
            <w:vAlign w:val="center"/>
          </w:tcPr>
          <w:p w14:paraId="1BA7B9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B8770"/>
            <w:vAlign w:val="center"/>
          </w:tcPr>
          <w:p w14:paraId="5DF5672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482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25AAF9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7CF1F5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2F4895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1972F9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F1D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9B422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EFF12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9E049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727370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7D9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3D93B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4FE40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12E09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413418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723D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77F11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96B0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27FF9D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3DF114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3D3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408E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17F0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BEDC4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3ADFA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A9B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2B6C6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15A6A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32A845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0C7147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AE3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F1D80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5B899D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3E36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F95DF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DD8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6A130B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134033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64915C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4E507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4772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F726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09A7A0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36FE87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5F752E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52E296F">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endif %}{% if gene == ‘MSH2’ %}由 {{ gene }} 突变所导致的疾病风险列表如下：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37CD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B8770"/>
            <w:vAlign w:val="center"/>
          </w:tcPr>
          <w:p w14:paraId="04121F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0B8770"/>
            <w:vAlign w:val="center"/>
          </w:tcPr>
          <w:p w14:paraId="5C5F4AE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B8770"/>
            <w:vAlign w:val="center"/>
          </w:tcPr>
          <w:p w14:paraId="6BE335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36" w:type="dxa"/>
            <w:tcBorders>
              <w:top w:val="nil"/>
              <w:left w:val="single" w:color="FFFFFF" w:themeColor="background1" w:sz="18" w:space="0"/>
              <w:bottom w:val="nil"/>
              <w:right w:val="nil"/>
            </w:tcBorders>
            <w:shd w:val="clear" w:color="auto" w:fill="0B8770"/>
            <w:vAlign w:val="center"/>
          </w:tcPr>
          <w:p w14:paraId="6B16503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7C8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68413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6798DD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4EB46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24564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7B67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73368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08024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90B3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1EAAF3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048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45C57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6BFA7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6B827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06CD27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D14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5DCCD4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65DF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B48DB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1042B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B86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58CBB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46499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044A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0F862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6F2B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C6FEE2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84EAF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495E0E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3C6D03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D2E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9324F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33D4D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8BA9D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192EDA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39A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6D08CA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8215F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E5173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69AA84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EB4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B554A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E6F8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88261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30CFF5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E721EFB">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endif %}{% if gene == ‘EPCAM’ %}由 {{ gene }} 突变所导致的疾病风险列表如下：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1826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0B8770"/>
            <w:vAlign w:val="center"/>
          </w:tcPr>
          <w:p w14:paraId="76502A0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84" w:type="dxa"/>
            <w:tcBorders>
              <w:top w:val="nil"/>
              <w:left w:val="single" w:color="FFFFFF" w:themeColor="background1" w:sz="18" w:space="0"/>
              <w:bottom w:val="nil"/>
              <w:right w:val="single" w:color="FFFFFF" w:themeColor="background1" w:sz="18" w:space="0"/>
            </w:tcBorders>
            <w:shd w:val="clear" w:color="auto" w:fill="0B8770"/>
            <w:vAlign w:val="center"/>
          </w:tcPr>
          <w:p w14:paraId="7F1A25C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B8770"/>
            <w:vAlign w:val="center"/>
          </w:tcPr>
          <w:p w14:paraId="6CA1D0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B8770"/>
            <w:vAlign w:val="center"/>
          </w:tcPr>
          <w:p w14:paraId="1E7F67A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AC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39F5DA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6A1496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6A9D83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339B2D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690C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5C376A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75A5F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75123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546C5F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A4C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5E6ADC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50010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A6D1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50A7B5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A56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798B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C0A13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560C2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3D046D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18B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7BAADD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6CF50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83A7D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5FABB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57C4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C304A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4899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7FDBD2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3E9A7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C39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380BF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232BC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46F9D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95BB8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D27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4ADD16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4034C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B6C09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1402DE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F0F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3C04C9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8CBFD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2C7F4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2EFCD0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5BE051A">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endif %}{% if gene == ‘MSH6’ %}由 {{ gene }} 突变所导致的疾病风险列表如下：</w:t>
      </w:r>
    </w:p>
    <w:tbl>
      <w:tblPr>
        <w:tblStyle w:val="15"/>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20CB3F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3" w:type="dxa"/>
            <w:tcBorders>
              <w:top w:val="nil"/>
              <w:left w:val="nil"/>
              <w:bottom w:val="nil"/>
              <w:right w:val="single" w:color="FFFFFF" w:themeColor="background1" w:sz="18" w:space="0"/>
            </w:tcBorders>
            <w:shd w:val="clear" w:color="auto" w:fill="0B8770"/>
            <w:noWrap/>
            <w:vAlign w:val="center"/>
          </w:tcPr>
          <w:p w14:paraId="6725A73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3" w:type="dxa"/>
            <w:tcBorders>
              <w:top w:val="nil"/>
              <w:left w:val="single" w:color="FFFFFF" w:themeColor="background1" w:sz="18" w:space="0"/>
              <w:bottom w:val="nil"/>
              <w:right w:val="single" w:color="FFFFFF" w:themeColor="background1" w:sz="18" w:space="0"/>
            </w:tcBorders>
            <w:shd w:val="clear" w:color="auto" w:fill="0B8770"/>
            <w:noWrap/>
            <w:vAlign w:val="center"/>
          </w:tcPr>
          <w:p w14:paraId="5280F49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0B8770"/>
            <w:noWrap/>
            <w:vAlign w:val="center"/>
          </w:tcPr>
          <w:p w14:paraId="3D25CA5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85" w:type="dxa"/>
            <w:tcBorders>
              <w:top w:val="nil"/>
              <w:left w:val="single" w:color="FFFFFF" w:themeColor="background1" w:sz="18" w:space="0"/>
              <w:bottom w:val="nil"/>
              <w:right w:val="nil"/>
            </w:tcBorders>
            <w:shd w:val="clear" w:color="auto" w:fill="0B8770"/>
            <w:noWrap/>
            <w:vAlign w:val="center"/>
          </w:tcPr>
          <w:p w14:paraId="7B1442C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D6E94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04DCE3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78F6B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48BF1C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1133C1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4A818F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65038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1D27E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17874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7BDA37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42B19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0E3DD6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18258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49E334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26BA74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11278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0735F9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BFC99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F876E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277FB7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6EBDB8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123E35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21C483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EEEF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6FAAA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570C7D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3CEDB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84C8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5C278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5DE42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689AD6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304935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0983E2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51146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201AA1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E33B7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19485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01F70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89EA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2930EB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471A67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805DF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4CCD06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6F14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1BEEDE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3096D7A2">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endif %}{% if gene == ‘PMS2’ %}由 {{ gene }} 突变所导致的疾病风险列表如下：</w:t>
      </w:r>
    </w:p>
    <w:tbl>
      <w:tblPr>
        <w:tblStyle w:val="15"/>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39469B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0" w:type="dxa"/>
            <w:tcBorders>
              <w:top w:val="nil"/>
              <w:left w:val="nil"/>
              <w:bottom w:val="nil"/>
              <w:right w:val="single" w:color="FFFFFF" w:themeColor="background1" w:sz="18" w:space="0"/>
            </w:tcBorders>
            <w:shd w:val="clear" w:color="auto" w:fill="0B8770"/>
            <w:noWrap/>
            <w:vAlign w:val="center"/>
          </w:tcPr>
          <w:p w14:paraId="4912D3E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5" w:type="dxa"/>
            <w:tcBorders>
              <w:top w:val="nil"/>
              <w:left w:val="single" w:color="FFFFFF" w:themeColor="background1" w:sz="18" w:space="0"/>
              <w:bottom w:val="nil"/>
              <w:right w:val="single" w:color="FFFFFF" w:themeColor="background1" w:sz="18" w:space="0"/>
            </w:tcBorders>
            <w:shd w:val="clear" w:color="auto" w:fill="0B8770"/>
            <w:noWrap/>
            <w:vAlign w:val="center"/>
          </w:tcPr>
          <w:p w14:paraId="5F39ACE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0B8770"/>
            <w:noWrap/>
            <w:vAlign w:val="center"/>
          </w:tcPr>
          <w:p w14:paraId="68D1FA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66" w:type="dxa"/>
            <w:tcBorders>
              <w:top w:val="nil"/>
              <w:left w:val="single" w:color="FFFFFF" w:themeColor="background1" w:sz="18" w:space="0"/>
              <w:bottom w:val="nil"/>
              <w:right w:val="nil"/>
            </w:tcBorders>
            <w:shd w:val="clear" w:color="auto" w:fill="0B8770"/>
            <w:noWrap/>
            <w:vAlign w:val="center"/>
          </w:tcPr>
          <w:p w14:paraId="218FF76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6147B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1E19F8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4492F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05A873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77C847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620E8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074D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902F7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3AB61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60746C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F5DD4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3CE327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10ECBE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43FDE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4F2EEF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55D45D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82811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D995F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B0B39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55F248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455DA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88ED6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00CB5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4D90BF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47EBF9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B25F4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65F64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25758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74596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0CA023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6CC519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5B19A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80284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46B7B5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1D62FA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4D2FA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EC34F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9453D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6A8ED3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3A0868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5308E2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16AFD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B6C0F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3020B6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15D58D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3F789C55">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endif %}{% endfor %}{% if cancerRiskFilterGene != [] %}</w:t>
      </w:r>
    </w:p>
    <w:p w14:paraId="503622D8">
      <w:pPr>
        <w:widowControl/>
        <w:rPr>
          <w:rFonts w:hint="eastAsia" w:ascii="微软雅黑" w:hAnsi="微软雅黑" w:eastAsia="微软雅黑" w:cs="微软雅黑"/>
          <w:color w:val="000000"/>
          <w:spacing w:val="14"/>
          <w:sz w:val="20"/>
          <w:szCs w:val="20"/>
        </w:rPr>
      </w:pPr>
      <w:r>
        <w:rPr>
          <w:rFonts w:hint="eastAsia" w:ascii="微软雅黑" w:hAnsi="微软雅黑" w:eastAsia="微软雅黑" w:cs="微软雅黑"/>
          <w:color w:val="000000"/>
          <w:spacing w:val="14"/>
          <w:sz w:val="20"/>
          <w:szCs w:val="20"/>
        </w:rPr>
        <w:t xml:space="preserve">注 : </w:t>
      </w:r>
      <w:r>
        <w:rPr>
          <w:rFonts w:hint="eastAsia" w:ascii="微软雅黑" w:hAnsi="微软雅黑" w:eastAsia="微软雅黑" w:cs="微软雅黑"/>
          <w:color w:val="F79646"/>
          <w:spacing w:val="14"/>
          <w:sz w:val="20"/>
          <w:szCs w:val="20"/>
        </w:rPr>
        <w:t>高风险</w:t>
      </w:r>
      <w:r>
        <w:rPr>
          <w:rFonts w:hint="eastAsia" w:ascii="微软雅黑" w:hAnsi="微软雅黑" w:eastAsia="微软雅黑" w:cs="微软雅黑"/>
          <w:color w:val="000000"/>
          <w:spacing w:val="14"/>
          <w:sz w:val="20"/>
          <w:szCs w:val="20"/>
        </w:rPr>
        <w:t xml:space="preserve"> ：</w:t>
      </w:r>
      <w:r>
        <w:rPr>
          <w:rFonts w:hint="eastAsia" w:ascii="微软雅黑" w:hAnsi="微软雅黑" w:eastAsia="微软雅黑" w:cs="微软雅黑"/>
          <w:spacing w:val="14"/>
          <w:sz w:val="20"/>
          <w:szCs w:val="20"/>
          <w:shd w:val="clear" w:color="auto" w:fill="F79646"/>
        </w:rPr>
        <w:t xml:space="preserve">      </w:t>
      </w:r>
      <w:r>
        <w:rPr>
          <w:rFonts w:hint="eastAsia" w:ascii="微软雅黑" w:hAnsi="微软雅黑" w:eastAsia="微软雅黑" w:cs="微软雅黑"/>
          <w:spacing w:val="14"/>
          <w:sz w:val="20"/>
          <w:szCs w:val="20"/>
        </w:rPr>
        <w:t xml:space="preserve"> </w:t>
      </w:r>
      <w:r>
        <w:rPr>
          <w:rFonts w:hint="eastAsia" w:ascii="微软雅黑" w:hAnsi="微软雅黑" w:eastAsia="微软雅黑" w:cs="微软雅黑"/>
          <w:color w:val="000000"/>
          <w:spacing w:val="14"/>
          <w:sz w:val="20"/>
          <w:szCs w:val="20"/>
        </w:rPr>
        <w:t>同时满足以下情形: 1. 风险比普通人群高3倍以上；2. 风险绝对值在 5% 以上；3. 有多个研究结论支持风险结论。{% endif %}{% endif %}</w:t>
      </w:r>
    </w:p>
    <w:p w14:paraId="303B2E9A">
      <w:pPr>
        <w:keepLines w:val="0"/>
        <w:pageBreakBefore w:val="0"/>
        <w:widowControl/>
        <w:kinsoku/>
        <w:wordWrap/>
        <w:overflowPunct/>
        <w:topLinePunct w:val="0"/>
        <w:bidi w:val="0"/>
        <w:snapToGrid/>
        <w:spacing w:line="240" w:lineRule="auto"/>
        <w:rPr>
          <w:rFonts w:hint="eastAsia" w:ascii="微软雅黑" w:hAnsi="微软雅黑" w:eastAsia="微软雅黑" w:cs="微软雅黑"/>
          <w:color w:val="000000"/>
          <w:spacing w:val="14"/>
          <w:sz w:val="18"/>
          <w:szCs w:val="18"/>
        </w:rPr>
      </w:pPr>
    </w:p>
    <w:p w14:paraId="0E3022CA">
      <w:pPr>
        <w:pStyle w:val="25"/>
        <w:keepLines w:val="0"/>
        <w:pageBreakBefore w:val="0"/>
        <w:kinsoku/>
        <w:wordWrap/>
        <w:overflowPunct/>
        <w:topLinePunct w:val="0"/>
        <w:bidi w:val="0"/>
        <w:snapToGrid/>
        <w:spacing w:line="240" w:lineRule="auto"/>
        <w:rPr>
          <w:rFonts w:hint="eastAsia" w:ascii="微软雅黑" w:hAnsi="微软雅黑" w:eastAsia="微软雅黑" w:cs="微软雅黑"/>
          <w:color w:val="179172"/>
          <w:lang w:val="zh-CN"/>
        </w:rPr>
      </w:pPr>
      <w:r>
        <w:rPr>
          <w:rFonts w:hint="eastAsia" w:ascii="微软雅黑" w:hAnsi="微软雅黑" w:eastAsia="微软雅黑" w:cs="微软雅黑"/>
          <w:b/>
          <w:bCs/>
          <w:color w:val="auto"/>
          <w:sz w:val="28"/>
          <w:szCs w:val="36"/>
          <w:lang w:val="en-US" w:eastAsia="zh-CN" w:bidi="ar-SA"/>
        </w:rPr>
        <w:t>您的风险管理措施</w:t>
      </w:r>
      <w:r>
        <w:rPr>
          <w:rFonts w:hint="eastAsia" w:ascii="微软雅黑" w:hAnsi="微软雅黑" w:eastAsia="微软雅黑" w:cs="微软雅黑"/>
          <w:b w:val="0"/>
          <w:color w:val="000000"/>
          <w:spacing w:val="14"/>
          <w:sz w:val="20"/>
          <w:szCs w:val="20"/>
          <w:lang w:val="zh-CN" w:eastAsia="en-US" w:bidi="ar-SA"/>
        </w:rPr>
        <w:t>{% if cancerRiskGene == [] %}</w:t>
      </w:r>
    </w:p>
    <w:p w14:paraId="54743C3B">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您的基因检测结果显示您的疾病风险与普通人一致，一般来说不需要特殊的预防手段和措施。但是仍然建议您基于您的家族史和病情来管理您的患病风险。</w:t>
      </w:r>
    </w:p>
    <w:p w14:paraId="2D8AF9B3">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您和您的医生可以制定出最适合您的医疗管理计划。</w:t>
      </w:r>
    </w:p>
    <w:p w14:paraId="061A0D9A">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 您的医生可以帮助您决定您或者您的家人是否需要进一步的基因检测。</w:t>
      </w:r>
    </w:p>
    <w:p w14:paraId="70AF4443">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只要针对肿瘤进行规律性检查、坚持规律性的锻炼、保持平衡的饮食习惯，做到临床上的三早：早发现、早诊断、早治疗，那么，您会有很高的几率预防和治愈疾病。{% else %}</w:t>
      </w:r>
    </w:p>
    <w:p w14:paraId="71AA3349">
      <w:pPr>
        <w:widowControl/>
        <w:spacing w:line="300" w:lineRule="auto"/>
        <w:ind w:firstLine="456" w:firstLineChars="200"/>
        <w:rPr>
          <w:rFonts w:hint="eastAsia" w:ascii="微软雅黑" w:hAnsi="微软雅黑" w:eastAsia="微软雅黑" w:cs="微软雅黑"/>
          <w:b w:val="0"/>
          <w:color w:val="000000"/>
          <w:spacing w:val="14"/>
          <w:sz w:val="20"/>
          <w:szCs w:val="20"/>
          <w:lang w:val="zh-CN" w:eastAsia="en-US" w:bidi="ar-SA"/>
        </w:rPr>
      </w:pPr>
      <w:r>
        <w:rPr>
          <w:rFonts w:hint="eastAsia" w:ascii="微软雅黑" w:hAnsi="微软雅黑" w:eastAsia="微软雅黑" w:cs="微软雅黑"/>
          <w:b w:val="0"/>
          <w:color w:val="000000"/>
          <w:spacing w:val="14"/>
          <w:sz w:val="20"/>
          <w:szCs w:val="20"/>
          <w:lang w:val="zh-CN" w:eastAsia="en-US" w:bidi="ar-SA"/>
        </w:rPr>
        <w:t>您可以采取一些措施来降低癌症风险，请与您的临床医生讨论再决定合适的方案。{% for gene in cancerRiskFilterGene %}</w:t>
      </w:r>
    </w:p>
    <w:p w14:paraId="393F0F57">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if gene == ‘MLH1’ %}与 {{ gene }} 突变相关的癌症风险管理措施如下：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6C66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29" w:type="dxa"/>
            <w:tcBorders>
              <w:top w:val="nil"/>
              <w:left w:val="nil"/>
              <w:bottom w:val="nil"/>
              <w:right w:val="single" w:color="FFFFFF" w:themeColor="background1" w:sz="18" w:space="0"/>
            </w:tcBorders>
            <w:shd w:val="clear" w:color="auto" w:fill="0B8770"/>
            <w:vAlign w:val="center"/>
          </w:tcPr>
          <w:p w14:paraId="0AFDBB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0B8770"/>
            <w:vAlign w:val="center"/>
          </w:tcPr>
          <w:p w14:paraId="13A95B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B8770"/>
            <w:vAlign w:val="center"/>
          </w:tcPr>
          <w:p w14:paraId="42C13ED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B8770"/>
            <w:vAlign w:val="center"/>
          </w:tcPr>
          <w:p w14:paraId="563DD9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C42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4DC287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47CCD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C502F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23720B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EF9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9D2E502">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1BCF957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79B362B9">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449DC87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2AF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2E7EED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2174D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267FB1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984C8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B0E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6CDC815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020477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102B2F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6D3C64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56A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4EE60998">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F5820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C2A8D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3B53E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69C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018C4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BF108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2EE8AF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BDD72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BA9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A55452E">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55B12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B88F1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E8936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2C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1A4BA5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9C6456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3AAC7E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905A31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E0C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85E31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278F9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7FCF3B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58177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36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8D41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2F6B2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4A32D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4D7A7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D83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B8554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CDC92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4FBD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CC38D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A4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6D345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B9326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896BC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6D7DD2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D62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51BCCC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7428D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6A24C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0E221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0980317">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endif %}{% if gene == ‘MSH2’ %}与 {{ gene }} 突变相关的癌症风险管理措施如下：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6C50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0B8770"/>
            <w:vAlign w:val="center"/>
          </w:tcPr>
          <w:p w14:paraId="5A52D7C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B8770"/>
            <w:vAlign w:val="center"/>
          </w:tcPr>
          <w:p w14:paraId="64DE582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0B8770"/>
            <w:vAlign w:val="center"/>
          </w:tcPr>
          <w:p w14:paraId="334673F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B8770"/>
            <w:vAlign w:val="center"/>
          </w:tcPr>
          <w:p w14:paraId="4316BB6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121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70287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023C8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65633B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002B00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3721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0C4B8317">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5AA85EA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15935AC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5520258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17C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71AEB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AC2E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1F3063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FE00F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21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60F1A3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52C30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683FE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C07B7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8BE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94D0BC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60976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206FA1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0852B8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F3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0CF818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73E2D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318FF4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F78B9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85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3EE8FB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C3296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591345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FE899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C7A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0E611C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15F7F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5497ADF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5E094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DE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09287A5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6FD1F0F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446D0A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84E767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3F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19120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71885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74FF8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C9632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FCD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2DBFB5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47F1B8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7BE66D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45D4FE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79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7BDF14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33527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3C82DB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E4AF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04F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296C7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16B87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5D65E1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48455E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31FFE69">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endif %}{% if gene == ‘EPCAM’ %}与 {{ gene }} 突变相关的癌症风险管理措施如下：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2087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B8770"/>
            <w:vAlign w:val="center"/>
          </w:tcPr>
          <w:p w14:paraId="15B15B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0B8770"/>
            <w:vAlign w:val="center"/>
          </w:tcPr>
          <w:p w14:paraId="3BD15DC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B8770"/>
            <w:vAlign w:val="center"/>
          </w:tcPr>
          <w:p w14:paraId="43B3E6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B8770"/>
            <w:vAlign w:val="center"/>
          </w:tcPr>
          <w:p w14:paraId="784AF0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330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2585C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0D3230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4574CB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7B0193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F27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A584D72">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6FBD24E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366A6C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5684EF25">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60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1C1AB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DEAC5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A82F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D2B4E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162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B8EB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2099F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5F7C5B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B728B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AD9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E4A45AF">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AB846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116767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16B049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99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C1743A9">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97BF6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693C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DF32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E55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25C6C7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967F5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1FA39B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35AFD6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978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8A5CBBD">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11A95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AFC06F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0E4CEC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3A6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0CCA8A7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0F44C7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13FB45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A19C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44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465F8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96E7D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7F25DC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C2C1D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E66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9FD11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2B42E9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597002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4912B1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665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731D4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2C604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276AC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33B36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4C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A3973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80667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C663E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686228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047A172B">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endif %}{% if gene == ‘MSH6’ %}与 {{ gene }} 突变相关的癌症风险管理措施如下：</w:t>
      </w:r>
    </w:p>
    <w:tbl>
      <w:tblPr>
        <w:tblStyle w:val="15"/>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4515F1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7" w:hRule="atLeast"/>
          <w:jc w:val="center"/>
        </w:trPr>
        <w:tc>
          <w:tcPr>
            <w:tcW w:w="1753" w:type="dxa"/>
            <w:tcBorders>
              <w:top w:val="nil"/>
              <w:left w:val="nil"/>
              <w:bottom w:val="nil"/>
              <w:right w:val="single" w:color="FFFFFF" w:themeColor="background1" w:sz="18" w:space="0"/>
            </w:tcBorders>
            <w:shd w:val="clear" w:color="auto" w:fill="0B8770"/>
            <w:vAlign w:val="center"/>
          </w:tcPr>
          <w:p w14:paraId="3A12C81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B8770"/>
            <w:vAlign w:val="center"/>
          </w:tcPr>
          <w:p w14:paraId="6782169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0B8770"/>
            <w:vAlign w:val="center"/>
          </w:tcPr>
          <w:p w14:paraId="521BE9F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0B8770"/>
            <w:vAlign w:val="center"/>
          </w:tcPr>
          <w:p w14:paraId="192A76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4C48E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49D45F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75CFA1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27B74A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2708C7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2ACFC5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1710AA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4B056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36CF6A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7D657F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B3287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6DC0A8F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7947D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47585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51098E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4553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4DE2208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08367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362B51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6F60E3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DC38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584444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4CC83B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044277D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257700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51DEF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42F6A80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734CD4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71C7FA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796678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E05F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095B2DA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3331A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4F65DB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3BFE5E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0237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38E87A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7C5BA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22162D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15515C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7101E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6D68FA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2A774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144082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49D666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81CFC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4FA9A3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05FA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48AC7F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6B6E30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27101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60B668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41D77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26CF85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753ABF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70C53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32C6A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5D97E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42CCB2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5A53F7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227BB769">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endif %}{% if gene == ‘PMS2’ %}与 {{ gene }} 突变相关的癌症风险管理措施如下：</w:t>
      </w:r>
    </w:p>
    <w:tbl>
      <w:tblPr>
        <w:tblStyle w:val="15"/>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0ADB22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6" w:hRule="atLeast"/>
          <w:jc w:val="center"/>
        </w:trPr>
        <w:tc>
          <w:tcPr>
            <w:tcW w:w="1795" w:type="dxa"/>
            <w:tcBorders>
              <w:top w:val="nil"/>
              <w:left w:val="nil"/>
              <w:bottom w:val="nil"/>
              <w:right w:val="single" w:color="FFFFFF" w:themeColor="background1" w:sz="18" w:space="0"/>
            </w:tcBorders>
            <w:shd w:val="clear" w:color="auto" w:fill="0B8770"/>
            <w:vAlign w:val="center"/>
          </w:tcPr>
          <w:p w14:paraId="56E2BD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04" w:type="dxa"/>
            <w:tcBorders>
              <w:top w:val="nil"/>
              <w:left w:val="single" w:color="FFFFFF" w:themeColor="background1" w:sz="18" w:space="0"/>
              <w:bottom w:val="nil"/>
              <w:right w:val="single" w:color="FFFFFF" w:themeColor="background1" w:sz="18" w:space="0"/>
            </w:tcBorders>
            <w:shd w:val="clear" w:color="auto" w:fill="0B8770"/>
            <w:vAlign w:val="center"/>
          </w:tcPr>
          <w:p w14:paraId="1A26A69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0B8770"/>
            <w:vAlign w:val="center"/>
          </w:tcPr>
          <w:p w14:paraId="72CA4EC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0B8770"/>
            <w:vAlign w:val="center"/>
          </w:tcPr>
          <w:p w14:paraId="39F84C0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BE7C8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3E33DC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605764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474E59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06AD57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547BD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1269C888">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25DB1AA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02D5740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5D5A377B">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3A0F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5D3389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3421B3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505144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1EA631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D546D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505473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7BAC4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0BC6C6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00B298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32307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7772DC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321AF9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1CBA44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64F959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3CBD5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694426D5">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5E5B8F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696912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00D76F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26E9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5891BFC9">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4ED6CA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0E2151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1F89E6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114D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0B61E5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50DAB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4F7200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362C0F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F474E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4A28B621">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6B9AE8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49725E2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8C670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8C93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29B39E25">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5AA3D04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630657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07EF7D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67BB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EDFBF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7D8B6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0D6E94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4471F4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2FC77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667D0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4AA358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22E1B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124DF4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028480BE">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endif %}{% endfor %}{% if cancerRiskFilterGene != [] %}</w:t>
      </w:r>
    </w:p>
    <w:p w14:paraId="2F0B88A7">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注：以上风险管理建议来源于NCCN指南和前沿的科学研究，具体风险管理措施请结合自身对生活质量的要求及其家族史情况慎重选择。{% endif %}{% endif %}</w:t>
      </w:r>
    </w:p>
    <w:p w14:paraId="1E2A08A9">
      <w:pPr>
        <w:keepLines w:val="0"/>
        <w:pageBreakBefore w:val="0"/>
        <w:widowControl/>
        <w:kinsoku/>
        <w:wordWrap/>
        <w:overflowPunct/>
        <w:topLinePunct w:val="0"/>
        <w:bidi w:val="0"/>
        <w:snapToGrid/>
        <w:spacing w:line="240" w:lineRule="auto"/>
        <w:rPr>
          <w:rFonts w:hint="eastAsia" w:ascii="微软雅黑" w:hAnsi="微软雅黑" w:eastAsia="微软雅黑" w:cs="微软雅黑"/>
          <w:color w:val="000000"/>
          <w:spacing w:val="14"/>
          <w:sz w:val="18"/>
          <w:szCs w:val="18"/>
          <w:lang w:val="zh-CN"/>
        </w:rPr>
      </w:pPr>
    </w:p>
    <w:p w14:paraId="6D557549">
      <w:pPr>
        <w:pStyle w:val="25"/>
        <w:keepLines w:val="0"/>
        <w:pageBreakBefore w:val="0"/>
        <w:kinsoku/>
        <w:wordWrap/>
        <w:overflowPunct/>
        <w:topLinePunct w:val="0"/>
        <w:bidi w:val="0"/>
        <w:snapToGrid/>
        <w:spacing w:line="240" w:lineRule="auto"/>
        <w:rPr>
          <w:rFonts w:hint="eastAsia" w:ascii="微软雅黑" w:hAnsi="微软雅黑" w:eastAsia="微软雅黑" w:cs="微软雅黑"/>
          <w:b/>
          <w:bCs/>
          <w:color w:val="auto"/>
          <w:sz w:val="28"/>
          <w:szCs w:val="36"/>
          <w:lang w:val="en-US" w:eastAsia="zh-CN" w:bidi="ar-SA"/>
        </w:rPr>
      </w:pPr>
      <w:r>
        <w:rPr>
          <w:rFonts w:hint="eastAsia" w:ascii="微软雅黑" w:hAnsi="微软雅黑" w:eastAsia="微软雅黑" w:cs="微软雅黑"/>
          <w:b/>
          <w:bCs/>
          <w:color w:val="auto"/>
          <w:sz w:val="28"/>
          <w:szCs w:val="36"/>
          <w:lang w:val="en-US" w:eastAsia="zh-CN" w:bidi="ar-SA"/>
        </w:rPr>
        <w:t>您的家族其他成员风险管理</w:t>
      </w:r>
      <w:r>
        <w:rPr>
          <w:rFonts w:hint="eastAsia" w:ascii="微软雅黑" w:hAnsi="微软雅黑" w:eastAsia="微软雅黑" w:cs="微软雅黑"/>
          <w:b w:val="0"/>
          <w:color w:val="000000"/>
          <w:spacing w:val="14"/>
          <w:sz w:val="20"/>
          <w:szCs w:val="20"/>
          <w:lang w:val="zh-CN" w:eastAsia="en-US" w:bidi="ar-SA"/>
        </w:rPr>
        <w:t>{% if cancerRiskGene == [] %}</w:t>
      </w:r>
    </w:p>
    <w:p w14:paraId="6040B37D">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因为在您身上没有检测到致病/可能致病变异，大多数情况下，您的亲属不需要进行肿瘤基因检测。</w:t>
      </w:r>
    </w:p>
    <w:p w14:paraId="1B54E29A">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在某些情况下，为了提供更多的您家族遗传风险的信息，建议确诊为肿瘤的亲属接受基因检测。</w:t>
      </w:r>
    </w:p>
    <w:p w14:paraId="495651DE">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如果您对您的基因检测结果有任何疑问，请咨询热线电话和网站。{% else %}</w:t>
      </w:r>
    </w:p>
    <w:p w14:paraId="1D77F438">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基因变异是遗传性的，因为在您的基因中检测到了可能致病变异，所以：</w:t>
      </w:r>
    </w:p>
    <w:p w14:paraId="3AD72F9B">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您的血亲（父母、子女、兄弟和姐妹）有50%的可能具有相同的变异。</w:t>
      </w:r>
    </w:p>
    <w:p w14:paraId="31BD20F0">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您的远亲（堂/表兄弟姐妹、叔伯姑舅姨等）也有可能具有相同的变异。</w:t>
      </w:r>
    </w:p>
    <w:p w14:paraId="05E3A3BE">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一般情况下，只会在有癌症家族史的一方（父亲或母亲）中发现变异。</w:t>
      </w:r>
    </w:p>
    <w:p w14:paraId="79DC1AAD">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对基因检测感兴趣的亲属需要知道您的特异的变异。单个位点检测的费用要远远少于全面检测费用。</w:t>
      </w:r>
    </w:p>
    <w:p w14:paraId="73394B51">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如果您的亲属：</w:t>
      </w:r>
    </w:p>
    <w:p w14:paraId="45D481F9">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检测到该可能致病变异，他/她相关癌症的患病风险会增加，可以从适当的医疗管理中获益。</w:t>
      </w:r>
    </w:p>
    <w:p w14:paraId="0CE6586B">
      <w:pPr>
        <w:keepLines w:val="0"/>
        <w:pageBreakBefore w:val="0"/>
        <w:widowControl/>
        <w:kinsoku/>
        <w:wordWrap/>
        <w:overflowPunct/>
        <w:topLinePunct w:val="0"/>
        <w:bidi w:val="0"/>
        <w:snapToGrid/>
        <w:spacing w:line="240" w:lineRule="auto"/>
        <w:ind w:firstLine="342" w:firstLineChars="15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 没有检测到该可能致病变异，他/她的癌症的患病风险和普通人群一样，可以遵循一般的人群筛查指南。{% endif %}</w:t>
      </w:r>
    </w:p>
    <w:p w14:paraId="7D10C807">
      <w:pPr>
        <w:pStyle w:val="25"/>
        <w:keepLines w:val="0"/>
        <w:pageBreakBefore w:val="0"/>
        <w:kinsoku/>
        <w:wordWrap/>
        <w:overflowPunct/>
        <w:topLinePunct w:val="0"/>
        <w:bidi w:val="0"/>
        <w:snapToGrid/>
        <w:spacing w:line="240" w:lineRule="auto"/>
        <w:rPr>
          <w:rFonts w:hint="eastAsia" w:ascii="微软雅黑" w:hAnsi="微软雅黑" w:eastAsia="微软雅黑" w:cs="微软雅黑"/>
          <w:sz w:val="20"/>
          <w:szCs w:val="18"/>
          <w:lang w:eastAsia="zh-CN"/>
        </w:rPr>
      </w:pPr>
      <w:r>
        <w:rPr>
          <w:rFonts w:hint="eastAsia" w:ascii="微软雅黑" w:hAnsi="微软雅黑" w:eastAsia="微软雅黑" w:cs="微软雅黑"/>
          <w:sz w:val="16"/>
        </w:rPr>
        <w:br w:type="page"/>
      </w:r>
    </w:p>
    <w:bookmarkEnd w:id="22"/>
    <w:bookmarkEnd w:id="23"/>
    <w:p w14:paraId="5DBA4C61">
      <w:pPr>
        <w:pStyle w:val="2"/>
        <w:keepLines w:val="0"/>
        <w:pageBreakBefore w:val="0"/>
        <w:numPr>
          <w:ilvl w:val="0"/>
          <w:numId w:val="0"/>
        </w:numPr>
        <w:kinsoku/>
        <w:wordWrap/>
        <w:overflowPunct/>
        <w:topLinePunct w:val="0"/>
        <w:bidi w:val="0"/>
        <w:snapToGrid/>
        <w:spacing w:line="240" w:lineRule="auto"/>
        <w:jc w:val="left"/>
        <w:rPr>
          <w:rFonts w:hint="eastAsia" w:ascii="微软雅黑" w:hAnsi="微软雅黑" w:eastAsia="微软雅黑" w:cs="微软雅黑"/>
          <w:color w:val="auto"/>
          <w:sz w:val="32"/>
          <w:szCs w:val="40"/>
          <w:lang w:val="en-US" w:eastAsia="zh-CN"/>
        </w:rPr>
      </w:pPr>
      <w:bookmarkStart w:id="29" w:name="_Toc21764_WPSOffice_Level1"/>
      <w:bookmarkStart w:id="30" w:name="_Toc28240"/>
      <w:bookmarkStart w:id="31" w:name="_Toc29197"/>
      <w:bookmarkStart w:id="32" w:name="_Toc1707_WPSOffice_Level1"/>
      <w:bookmarkStart w:id="33" w:name="_Toc16594"/>
      <w:bookmarkStart w:id="34" w:name="_Toc12505"/>
      <w:bookmarkStart w:id="35" w:name="_Toc13342"/>
      <w:bookmarkStart w:id="36" w:name="_Toc13196_WPSOffice_Level1"/>
      <w:bookmarkStart w:id="37" w:name="_Toc7541"/>
      <w:bookmarkStart w:id="38" w:name="_Toc27302"/>
      <w:bookmarkStart w:id="39" w:name="_Toc352"/>
      <w:bookmarkStart w:id="40" w:name="_Toc14255_WPSOffice_Level1"/>
      <w:bookmarkStart w:id="41" w:name="_Toc15840_WPSOffice_Level1"/>
      <w:r>
        <w:rPr>
          <w:rFonts w:hint="eastAsia" w:ascii="微软雅黑" w:hAnsi="微软雅黑" w:eastAsia="微软雅黑" w:cs="微软雅黑"/>
          <w:color w:val="auto"/>
          <w:sz w:val="32"/>
          <w:szCs w:val="40"/>
          <w:lang w:val="en-US" w:eastAsia="zh-CN"/>
        </w:rPr>
        <w:t>第五部分 附录</w:t>
      </w:r>
      <w:bookmarkEnd w:id="29"/>
      <w:bookmarkEnd w:id="30"/>
      <w:bookmarkEnd w:id="31"/>
      <w:bookmarkEnd w:id="32"/>
      <w:bookmarkEnd w:id="33"/>
      <w:bookmarkEnd w:id="34"/>
      <w:bookmarkEnd w:id="35"/>
      <w:bookmarkEnd w:id="36"/>
      <w:bookmarkEnd w:id="37"/>
      <w:bookmarkEnd w:id="38"/>
      <w:bookmarkEnd w:id="39"/>
    </w:p>
    <w:bookmarkEnd w:id="40"/>
    <w:bookmarkEnd w:id="41"/>
    <w:p w14:paraId="785069A3">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42" w:name="_Toc18015"/>
      <w:bookmarkStart w:id="43" w:name="_Toc23108"/>
      <w:r>
        <w:rPr>
          <w:rFonts w:hint="eastAsia" w:ascii="微软雅黑" w:hAnsi="微软雅黑" w:eastAsia="微软雅黑" w:cs="微软雅黑"/>
          <w:color w:val="auto"/>
          <w:sz w:val="28"/>
          <w:szCs w:val="36"/>
          <w:lang w:val="en-US" w:eastAsia="zh-CN"/>
        </w:rPr>
        <w:t>5.</w:t>
      </w:r>
      <w:r>
        <w:rPr>
          <w:rFonts w:hint="eastAsia" w:ascii="微软雅黑" w:hAnsi="微软雅黑" w:cs="微软雅黑"/>
          <w:color w:val="auto"/>
          <w:sz w:val="28"/>
          <w:szCs w:val="36"/>
          <w:lang w:val="en-US" w:eastAsia="zh-CN"/>
        </w:rPr>
        <w:t>1</w:t>
      </w:r>
      <w:r>
        <w:rPr>
          <w:rFonts w:hint="eastAsia" w:ascii="微软雅黑" w:hAnsi="微软雅黑" w:eastAsia="微软雅黑" w:cs="微软雅黑"/>
          <w:color w:val="auto"/>
          <w:sz w:val="28"/>
          <w:szCs w:val="36"/>
          <w:lang w:val="en-US" w:eastAsia="zh-CN"/>
        </w:rPr>
        <w:t xml:space="preserve"> 林奇综合征和相关基因说明</w:t>
      </w:r>
      <w:bookmarkEnd w:id="42"/>
      <w:bookmarkEnd w:id="43"/>
    </w:p>
    <w:p w14:paraId="59F16D6E">
      <w:pPr>
        <w:pStyle w:val="45"/>
        <w:keepLines w:val="0"/>
        <w:pageBreakBefore w:val="0"/>
        <w:kinsoku/>
        <w:wordWrap/>
        <w:overflowPunct/>
        <w:topLinePunct w:val="0"/>
        <w:bidi w:val="0"/>
        <w:snapToGrid/>
        <w:spacing w:line="240" w:lineRule="auto"/>
        <w:ind w:firstLine="456" w:firstLineChars="200"/>
        <w:rPr>
          <w:rFonts w:hint="eastAsia" w:ascii="微软雅黑" w:hAnsi="微软雅黑" w:eastAsia="微软雅黑" w:cs="微软雅黑"/>
          <w:spacing w:val="14"/>
          <w:sz w:val="20"/>
          <w:szCs w:val="20"/>
        </w:rPr>
      </w:pPr>
      <w:r>
        <w:rPr>
          <w:rFonts w:hint="eastAsia" w:ascii="微软雅黑" w:hAnsi="微软雅黑" w:eastAsia="微软雅黑" w:cs="微软雅黑"/>
          <w:spacing w:val="14"/>
          <w:sz w:val="20"/>
          <w:szCs w:val="20"/>
        </w:rPr>
        <w:t>林奇综合征（Lynch Syndrome）是一种常染色体显性遗传疾病，由错配修复基因</w:t>
      </w:r>
      <w:r>
        <w:rPr>
          <w:rFonts w:hint="eastAsia" w:ascii="微软雅黑" w:hAnsi="微软雅黑" w:eastAsia="微软雅黑" w:cs="微软雅黑"/>
          <w:spacing w:val="14"/>
          <w:sz w:val="20"/>
          <w:szCs w:val="20"/>
          <w:lang w:val="en-US" w:eastAsia="zh-CN"/>
        </w:rPr>
        <w:t>胚系</w:t>
      </w:r>
      <w:r>
        <w:rPr>
          <w:rFonts w:hint="eastAsia" w:ascii="微软雅黑" w:hAnsi="微软雅黑" w:eastAsia="微软雅黑" w:cs="微软雅黑"/>
          <w:spacing w:val="14"/>
          <w:sz w:val="20"/>
          <w:szCs w:val="20"/>
        </w:rPr>
        <w:t>突变</w:t>
      </w:r>
      <w:r>
        <w:rPr>
          <w:rFonts w:hint="eastAsia" w:ascii="微软雅黑" w:hAnsi="微软雅黑" w:eastAsia="微软雅黑" w:cs="微软雅黑"/>
          <w:spacing w:val="14"/>
          <w:sz w:val="20"/>
          <w:szCs w:val="20"/>
          <w:lang w:val="en-US" w:eastAsia="zh-CN"/>
        </w:rPr>
        <w:t>导致</w:t>
      </w:r>
      <w:r>
        <w:rPr>
          <w:rFonts w:hint="eastAsia" w:ascii="微软雅黑" w:hAnsi="微软雅黑" w:eastAsia="微软雅黑" w:cs="微软雅黑"/>
          <w:spacing w:val="14"/>
          <w:sz w:val="20"/>
          <w:szCs w:val="20"/>
        </w:rPr>
        <w:t>个体</w:t>
      </w:r>
      <w:r>
        <w:rPr>
          <w:rFonts w:hint="eastAsia" w:ascii="微软雅黑" w:hAnsi="微软雅黑" w:eastAsia="微软雅黑" w:cs="微软雅黑"/>
          <w:spacing w:val="14"/>
          <w:sz w:val="20"/>
          <w:szCs w:val="20"/>
          <w:lang w:val="en-US" w:eastAsia="zh-CN"/>
        </w:rPr>
        <w:t>罹患</w:t>
      </w:r>
      <w:r>
        <w:rPr>
          <w:rFonts w:hint="eastAsia" w:ascii="微软雅黑" w:hAnsi="微软雅黑" w:eastAsia="微软雅黑" w:cs="微软雅黑"/>
          <w:i w:val="0"/>
          <w:iCs w:val="0"/>
          <w:caps w:val="0"/>
          <w:spacing w:val="6"/>
          <w:sz w:val="20"/>
          <w:szCs w:val="20"/>
          <w:shd w:val="clear" w:fill="FFFFFF"/>
        </w:rPr>
        <w:t>肿瘤的风险明显增高</w:t>
      </w:r>
      <w:r>
        <w:rPr>
          <w:rFonts w:hint="eastAsia" w:ascii="微软雅黑" w:hAnsi="微软雅黑" w:eastAsia="微软雅黑" w:cs="微软雅黑"/>
          <w:spacing w:val="14"/>
          <w:sz w:val="20"/>
          <w:szCs w:val="20"/>
        </w:rPr>
        <w:t>。已经证实的林奇综合征基因中，</w:t>
      </w:r>
      <w:r>
        <w:rPr>
          <w:rFonts w:hint="eastAsia" w:ascii="微软雅黑" w:hAnsi="微软雅黑" w:eastAsia="微软雅黑" w:cs="微软雅黑"/>
          <w:i/>
          <w:iCs/>
          <w:spacing w:val="14"/>
          <w:sz w:val="20"/>
          <w:szCs w:val="20"/>
        </w:rPr>
        <w:t>MLH1</w:t>
      </w:r>
      <w:r>
        <w:rPr>
          <w:rFonts w:hint="eastAsia" w:ascii="微软雅黑" w:hAnsi="微软雅黑" w:eastAsia="微软雅黑" w:cs="微软雅黑"/>
          <w:spacing w:val="14"/>
          <w:sz w:val="20"/>
          <w:szCs w:val="20"/>
        </w:rPr>
        <w:t>约占突变的50%，</w:t>
      </w:r>
      <w:r>
        <w:rPr>
          <w:rFonts w:hint="eastAsia" w:ascii="微软雅黑" w:hAnsi="微软雅黑" w:eastAsia="微软雅黑" w:cs="微软雅黑"/>
          <w:i/>
          <w:iCs/>
          <w:spacing w:val="14"/>
          <w:sz w:val="20"/>
          <w:szCs w:val="20"/>
        </w:rPr>
        <w:t>MSH2</w:t>
      </w:r>
      <w:r>
        <w:rPr>
          <w:rFonts w:hint="eastAsia" w:ascii="微软雅黑" w:hAnsi="微软雅黑" w:eastAsia="微软雅黑" w:cs="微软雅黑"/>
          <w:spacing w:val="14"/>
          <w:sz w:val="20"/>
          <w:szCs w:val="20"/>
        </w:rPr>
        <w:t>约占突变的40%，</w:t>
      </w:r>
      <w:r>
        <w:rPr>
          <w:rFonts w:hint="eastAsia" w:ascii="微软雅黑" w:hAnsi="微软雅黑" w:eastAsia="微软雅黑" w:cs="微软雅黑"/>
          <w:i/>
          <w:iCs/>
          <w:spacing w:val="14"/>
          <w:sz w:val="20"/>
          <w:szCs w:val="20"/>
        </w:rPr>
        <w:t>MSH6</w:t>
      </w:r>
      <w:r>
        <w:rPr>
          <w:rFonts w:hint="eastAsia" w:ascii="微软雅黑" w:hAnsi="微软雅黑" w:eastAsia="微软雅黑" w:cs="微软雅黑"/>
          <w:spacing w:val="14"/>
          <w:sz w:val="20"/>
          <w:szCs w:val="20"/>
        </w:rPr>
        <w:t>约占7-10%。在本项检测中，检测基因包括</w:t>
      </w:r>
      <w:r>
        <w:rPr>
          <w:rFonts w:hint="eastAsia" w:ascii="微软雅黑" w:hAnsi="微软雅黑" w:eastAsia="微软雅黑" w:cs="微软雅黑"/>
          <w:i/>
          <w:iCs/>
          <w:spacing w:val="14"/>
          <w:sz w:val="20"/>
          <w:szCs w:val="20"/>
        </w:rPr>
        <w:t>MLH1</w:t>
      </w:r>
      <w:r>
        <w:rPr>
          <w:rFonts w:hint="eastAsia" w:ascii="微软雅黑" w:hAnsi="微软雅黑" w:eastAsia="微软雅黑" w:cs="微软雅黑"/>
          <w:spacing w:val="14"/>
          <w:sz w:val="20"/>
          <w:szCs w:val="20"/>
        </w:rPr>
        <w:t>，</w:t>
      </w:r>
      <w:r>
        <w:rPr>
          <w:rFonts w:hint="eastAsia" w:ascii="微软雅黑" w:hAnsi="微软雅黑" w:eastAsia="微软雅黑" w:cs="微软雅黑"/>
          <w:i/>
          <w:iCs/>
          <w:spacing w:val="14"/>
          <w:sz w:val="20"/>
          <w:szCs w:val="20"/>
        </w:rPr>
        <w:t>MSH2</w:t>
      </w:r>
      <w:r>
        <w:rPr>
          <w:rFonts w:hint="eastAsia" w:ascii="微软雅黑" w:hAnsi="微软雅黑" w:eastAsia="微软雅黑" w:cs="微软雅黑"/>
          <w:spacing w:val="14"/>
          <w:sz w:val="20"/>
          <w:szCs w:val="20"/>
        </w:rPr>
        <w:t>，</w:t>
      </w:r>
      <w:r>
        <w:rPr>
          <w:rFonts w:hint="eastAsia" w:ascii="微软雅黑" w:hAnsi="微软雅黑" w:eastAsia="微软雅黑" w:cs="微软雅黑"/>
          <w:i/>
          <w:iCs/>
          <w:spacing w:val="14"/>
          <w:sz w:val="20"/>
          <w:szCs w:val="20"/>
        </w:rPr>
        <w:t>MSH6</w:t>
      </w:r>
      <w:r>
        <w:rPr>
          <w:rFonts w:hint="eastAsia" w:ascii="微软雅黑" w:hAnsi="微软雅黑" w:eastAsia="微软雅黑" w:cs="微软雅黑"/>
          <w:spacing w:val="14"/>
          <w:sz w:val="20"/>
          <w:szCs w:val="20"/>
        </w:rPr>
        <w:t>，</w:t>
      </w:r>
      <w:r>
        <w:rPr>
          <w:rFonts w:hint="eastAsia" w:ascii="微软雅黑" w:hAnsi="微软雅黑" w:eastAsia="微软雅黑" w:cs="微软雅黑"/>
          <w:i/>
          <w:iCs/>
          <w:spacing w:val="14"/>
          <w:sz w:val="20"/>
          <w:szCs w:val="20"/>
        </w:rPr>
        <w:t>PMS2</w:t>
      </w:r>
      <w:r>
        <w:rPr>
          <w:rFonts w:hint="eastAsia" w:ascii="微软雅黑" w:hAnsi="微软雅黑" w:eastAsia="微软雅黑" w:cs="微软雅黑"/>
          <w:spacing w:val="14"/>
          <w:sz w:val="20"/>
          <w:szCs w:val="20"/>
        </w:rPr>
        <w:t>，</w:t>
      </w:r>
      <w:r>
        <w:rPr>
          <w:rFonts w:hint="eastAsia" w:ascii="微软雅黑" w:hAnsi="微软雅黑" w:eastAsia="微软雅黑" w:cs="微软雅黑"/>
          <w:i/>
          <w:iCs/>
          <w:spacing w:val="14"/>
          <w:sz w:val="20"/>
          <w:szCs w:val="20"/>
        </w:rPr>
        <w:t>EPCAM</w:t>
      </w:r>
      <w:r>
        <w:rPr>
          <w:rFonts w:hint="eastAsia" w:ascii="微软雅黑" w:hAnsi="微软雅黑" w:eastAsia="微软雅黑" w:cs="微软雅黑"/>
          <w:spacing w:val="14"/>
          <w:sz w:val="20"/>
          <w:szCs w:val="20"/>
        </w:rPr>
        <w:t>等。</w:t>
      </w:r>
    </w:p>
    <w:p w14:paraId="38381D48">
      <w:pPr>
        <w:pStyle w:val="45"/>
        <w:keepLines w:val="0"/>
        <w:pageBreakBefore w:val="0"/>
        <w:kinsoku/>
        <w:wordWrap/>
        <w:overflowPunct/>
        <w:topLinePunct w:val="0"/>
        <w:bidi w:val="0"/>
        <w:snapToGrid/>
        <w:spacing w:line="240" w:lineRule="auto"/>
        <w:ind w:firstLine="456" w:firstLineChars="200"/>
        <w:rPr>
          <w:rFonts w:hint="eastAsia" w:ascii="微软雅黑" w:hAnsi="微软雅黑" w:eastAsia="微软雅黑" w:cs="微软雅黑"/>
          <w:color w:val="000000"/>
          <w:spacing w:val="14"/>
          <w:sz w:val="20"/>
          <w:szCs w:val="20"/>
          <w:lang w:val="en-US" w:eastAsia="zh-CN" w:bidi="ar-SA"/>
        </w:rPr>
      </w:pPr>
      <w:r>
        <w:rPr>
          <w:rFonts w:hint="eastAsia" w:ascii="微软雅黑" w:hAnsi="微软雅黑" w:eastAsia="微软雅黑" w:cs="微软雅黑"/>
          <w:spacing w:val="14"/>
          <w:sz w:val="20"/>
          <w:szCs w:val="20"/>
          <w:lang w:val="en-US" w:eastAsia="zh-CN"/>
        </w:rPr>
        <w:t>林奇综合征相关癌种包括：</w:t>
      </w:r>
      <w:r>
        <w:rPr>
          <w:rFonts w:hint="eastAsia" w:ascii="微软雅黑" w:hAnsi="微软雅黑" w:eastAsia="微软雅黑" w:cs="微软雅黑"/>
          <w:color w:val="000000"/>
          <w:spacing w:val="14"/>
          <w:sz w:val="20"/>
          <w:szCs w:val="20"/>
          <w:lang w:val="en-US" w:eastAsia="zh-CN" w:bidi="ar-SA"/>
        </w:rPr>
        <w:t>结直肠癌、子宫内膜癌、卵巢癌、胃癌、小肠癌、胆管癌、胰腺癌、肾盂癌、输尿管癌、膀胱癌等。</w:t>
      </w:r>
    </w:p>
    <w:p w14:paraId="4DAFA394">
      <w:pPr>
        <w:keepLines w:val="0"/>
        <w:pageBreakBefore w:val="0"/>
        <w:kinsoku/>
        <w:wordWrap/>
        <w:overflowPunct/>
        <w:topLinePunct w:val="0"/>
        <w:bidi w:val="0"/>
        <w:snapToGrid/>
        <w:spacing w:line="240" w:lineRule="auto"/>
        <w:rPr>
          <w:rFonts w:hint="eastAsia" w:ascii="微软雅黑" w:hAnsi="微软雅黑" w:eastAsia="微软雅黑" w:cs="微软雅黑"/>
          <w:color w:val="179172"/>
          <w:lang w:val="en-US" w:eastAsia="zh-CN"/>
        </w:rPr>
      </w:pPr>
    </w:p>
    <w:tbl>
      <w:tblPr>
        <w:tblStyle w:val="15"/>
        <w:tblW w:w="0" w:type="auto"/>
        <w:tblInd w:w="-5" w:type="dxa"/>
        <w:tblLayout w:type="fixed"/>
        <w:tblCellMar>
          <w:top w:w="0" w:type="dxa"/>
          <w:left w:w="108" w:type="dxa"/>
          <w:bottom w:w="0" w:type="dxa"/>
          <w:right w:w="108" w:type="dxa"/>
        </w:tblCellMar>
      </w:tblPr>
      <w:tblGrid>
        <w:gridCol w:w="1017"/>
        <w:gridCol w:w="1480"/>
        <w:gridCol w:w="7831"/>
      </w:tblGrid>
      <w:tr w14:paraId="29798EB9">
        <w:tblPrEx>
          <w:tblCellMar>
            <w:top w:w="0" w:type="dxa"/>
            <w:left w:w="108" w:type="dxa"/>
            <w:bottom w:w="0" w:type="dxa"/>
            <w:right w:w="108" w:type="dxa"/>
          </w:tblCellMar>
        </w:tblPrEx>
        <w:trPr>
          <w:trHeight w:val="320" w:hRule="atLeast"/>
        </w:trPr>
        <w:tc>
          <w:tcPr>
            <w:tcW w:w="1017" w:type="dxa"/>
            <w:shd w:val="clear" w:color="auto" w:fill="179172"/>
            <w:vAlign w:val="center"/>
          </w:tcPr>
          <w:p w14:paraId="0573BC5E">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FFFFFF"/>
              </w:rPr>
            </w:pPr>
            <w:r>
              <w:rPr>
                <w:rFonts w:hint="eastAsia" w:ascii="微软雅黑" w:hAnsi="微软雅黑" w:eastAsia="微软雅黑" w:cs="微软雅黑"/>
                <w:b/>
                <w:bCs/>
                <w:color w:val="FFFFFF"/>
              </w:rPr>
              <w:t>基因</w:t>
            </w:r>
          </w:p>
        </w:tc>
        <w:tc>
          <w:tcPr>
            <w:tcW w:w="1217" w:type="dxa"/>
            <w:shd w:val="clear" w:color="auto" w:fill="179172"/>
            <w:vAlign w:val="center"/>
          </w:tcPr>
          <w:p w14:paraId="6C99B56A">
            <w:pPr>
              <w:keepLines w:val="0"/>
              <w:pageBreakBefore w:val="0"/>
              <w:kinsoku/>
              <w:wordWrap/>
              <w:overflowPunct/>
              <w:topLinePunct w:val="0"/>
              <w:bidi w:val="0"/>
              <w:snapToGrid/>
              <w:spacing w:line="240" w:lineRule="auto"/>
              <w:jc w:val="center"/>
              <w:rPr>
                <w:rFonts w:hint="default" w:ascii="微软雅黑" w:hAnsi="微软雅黑" w:eastAsia="微软雅黑" w:cs="微软雅黑"/>
                <w:b/>
                <w:bCs/>
                <w:color w:val="FFFFFF"/>
                <w:lang w:val="en-US" w:eastAsia="zh-CN"/>
              </w:rPr>
            </w:pPr>
            <w:r>
              <w:rPr>
                <w:rFonts w:hint="eastAsia" w:ascii="微软雅黑" w:hAnsi="微软雅黑" w:eastAsia="微软雅黑" w:cs="微软雅黑"/>
                <w:b/>
                <w:bCs/>
                <w:color w:val="FFFFFF"/>
                <w:lang w:val="en-US" w:eastAsia="zh-CN"/>
              </w:rPr>
              <w:t>检测结果</w:t>
            </w:r>
          </w:p>
        </w:tc>
        <w:tc>
          <w:tcPr>
            <w:tcW w:w="7831" w:type="dxa"/>
            <w:shd w:val="clear" w:color="auto" w:fill="179172"/>
            <w:vAlign w:val="center"/>
          </w:tcPr>
          <w:p w14:paraId="0E4E67C3">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FFFFFF"/>
              </w:rPr>
            </w:pPr>
            <w:r>
              <w:rPr>
                <w:rFonts w:hint="eastAsia" w:ascii="微软雅黑" w:hAnsi="微软雅黑" w:eastAsia="微软雅黑" w:cs="微软雅黑"/>
                <w:b/>
                <w:bCs/>
                <w:color w:val="FFFFFF"/>
              </w:rPr>
              <w:t>基因说明</w:t>
            </w:r>
          </w:p>
        </w:tc>
      </w:tr>
      <w:tr w14:paraId="42B347E1">
        <w:tblPrEx>
          <w:tblCellMar>
            <w:top w:w="0" w:type="dxa"/>
            <w:left w:w="108" w:type="dxa"/>
            <w:bottom w:w="0" w:type="dxa"/>
            <w:right w:w="108" w:type="dxa"/>
          </w:tblCellMar>
        </w:tblPrEx>
        <w:trPr>
          <w:trHeight w:val="578" w:hRule="atLeast"/>
        </w:trPr>
        <w:tc>
          <w:tcPr>
            <w:tcW w:w="1017" w:type="dxa"/>
            <w:vAlign w:val="center"/>
          </w:tcPr>
          <w:p w14:paraId="70CCCAC7">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000000"/>
                <w:sz w:val="20"/>
                <w:szCs w:val="20"/>
              </w:rPr>
            </w:pPr>
            <w:r>
              <w:rPr>
                <w:rFonts w:hint="eastAsia" w:ascii="微软雅黑" w:hAnsi="微软雅黑" w:eastAsia="微软雅黑" w:cs="微软雅黑"/>
                <w:b/>
                <w:bCs/>
                <w:color w:val="000000"/>
                <w:sz w:val="20"/>
                <w:szCs w:val="20"/>
              </w:rPr>
              <w:t>MLH1</w:t>
            </w:r>
          </w:p>
        </w:tc>
        <w:tc>
          <w:tcPr>
            <w:tcW w:w="1480" w:type="dxa"/>
            <w:vAlign w:val="center"/>
          </w:tcPr>
          <w:p w14:paraId="76283B5B">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 if lynchMap</w:t>
            </w:r>
            <w:r>
              <w:rPr>
                <w:rFonts w:hint="eastAsia" w:ascii="微软雅黑" w:hAnsi="微软雅黑" w:eastAsia="微软雅黑" w:cs="微软雅黑"/>
                <w:sz w:val="20"/>
                <w:szCs w:val="20"/>
                <w:lang w:val="en-US" w:eastAsia="zh-CN"/>
              </w:rPr>
              <w:t>.MLH1</w:t>
            </w:r>
            <w:r>
              <w:rPr>
                <w:rFonts w:hint="eastAsia" w:ascii="微软雅黑" w:hAnsi="微软雅黑" w:eastAsia="微软雅黑" w:cs="微软雅黑"/>
                <w:sz w:val="20"/>
                <w:szCs w:val="20"/>
                <w:lang w:eastAsia="zh-CN"/>
              </w:rPr>
              <w:t xml:space="preserve"> %}{%for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in lynchMap</w:t>
            </w:r>
            <w:r>
              <w:rPr>
                <w:rFonts w:hint="eastAsia" w:ascii="微软雅黑" w:hAnsi="微软雅黑" w:eastAsia="微软雅黑" w:cs="微软雅黑"/>
                <w:sz w:val="20"/>
                <w:szCs w:val="20"/>
                <w:lang w:val="en-US" w:eastAsia="zh-CN"/>
              </w:rPr>
              <w:t xml:space="preserve">.MLH1 </w:t>
            </w:r>
            <w:r>
              <w:rPr>
                <w:rFonts w:hint="eastAsia" w:ascii="微软雅黑" w:hAnsi="微软雅黑" w:eastAsia="微软雅黑" w:cs="微软雅黑"/>
                <w:sz w:val="20"/>
                <w:szCs w:val="20"/>
                <w:lang w:eastAsia="zh-CN"/>
              </w:rPr>
              <w:t xml:space="preserve">%}{%if loop.last%}{{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 xml:space="preserve">{%else%}{{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p>
          <w:p w14:paraId="615846FF">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{%endif%}{% endfor %}{%else%}</w:t>
            </w:r>
            <w:r>
              <w:rPr>
                <w:rFonts w:hint="eastAsia" w:ascii="微软雅黑" w:hAnsi="微软雅黑" w:eastAsia="微软雅黑" w:cs="微软雅黑"/>
                <w:sz w:val="20"/>
                <w:szCs w:val="20"/>
                <w:lang w:val="en-US" w:eastAsia="zh-CN"/>
              </w:rPr>
              <w:t>未检出</w:t>
            </w:r>
            <w:r>
              <w:rPr>
                <w:rFonts w:hint="eastAsia" w:ascii="微软雅黑" w:hAnsi="微软雅黑" w:eastAsia="微软雅黑" w:cs="微软雅黑"/>
                <w:sz w:val="20"/>
                <w:szCs w:val="20"/>
                <w:lang w:eastAsia="zh-CN"/>
              </w:rPr>
              <w:t>{%endif%}</w:t>
            </w:r>
          </w:p>
        </w:tc>
        <w:tc>
          <w:tcPr>
            <w:tcW w:w="7831" w:type="dxa"/>
            <w:vAlign w:val="center"/>
          </w:tcPr>
          <w:p w14:paraId="23DAFC56">
            <w:pPr>
              <w:keepLines w:val="0"/>
              <w:pageBreakBefore w:val="0"/>
              <w:kinsoku/>
              <w:wordWrap/>
              <w:overflowPunct/>
              <w:topLinePunct w:val="0"/>
              <w:bidi w:val="0"/>
              <w:snapToGrid/>
              <w:spacing w:before="72" w:beforeLines="30" w:after="72" w:afterLines="30" w:line="240" w:lineRule="auto"/>
              <w:jc w:val="both"/>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lang w:eastAsia="zh-CN"/>
              </w:rPr>
              <w:t>MLH1与PMS2结合形成MutL</w:t>
            </w:r>
            <w:r>
              <w:rPr>
                <w:rFonts w:hint="eastAsia" w:ascii="微软雅黑" w:hAnsi="微软雅黑" w:eastAsia="微软雅黑" w:cs="微软雅黑"/>
                <w:color w:val="000000"/>
                <w:sz w:val="20"/>
                <w:szCs w:val="20"/>
              </w:rPr>
              <w:t>α</w:t>
            </w:r>
            <w:r>
              <w:rPr>
                <w:rFonts w:hint="eastAsia" w:ascii="微软雅黑" w:hAnsi="微软雅黑" w:eastAsia="微软雅黑" w:cs="微软雅黑"/>
                <w:color w:val="000000"/>
                <w:sz w:val="20"/>
                <w:szCs w:val="20"/>
                <w:lang w:eastAsia="zh-CN"/>
              </w:rPr>
              <w:t>，是DNA复制后错配修复复合物的一部分，参与DNA错配修复，同时也参与了DNA损伤修复。与MLH1相关的疾病包括结肠癌、结直肠癌、子宫内膜癌等。</w:t>
            </w:r>
          </w:p>
        </w:tc>
      </w:tr>
      <w:tr w14:paraId="35A944B0">
        <w:tblPrEx>
          <w:tblCellMar>
            <w:top w:w="0" w:type="dxa"/>
            <w:left w:w="108" w:type="dxa"/>
            <w:bottom w:w="0" w:type="dxa"/>
            <w:right w:w="108" w:type="dxa"/>
          </w:tblCellMar>
        </w:tblPrEx>
        <w:trPr>
          <w:trHeight w:val="578" w:hRule="atLeast"/>
        </w:trPr>
        <w:tc>
          <w:tcPr>
            <w:tcW w:w="1017" w:type="dxa"/>
            <w:vAlign w:val="center"/>
          </w:tcPr>
          <w:p w14:paraId="71167C0E">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000000"/>
                <w:sz w:val="20"/>
                <w:szCs w:val="20"/>
              </w:rPr>
            </w:pPr>
            <w:r>
              <w:rPr>
                <w:rFonts w:hint="eastAsia" w:ascii="微软雅黑" w:hAnsi="微软雅黑" w:eastAsia="微软雅黑" w:cs="微软雅黑"/>
                <w:b/>
                <w:bCs/>
                <w:color w:val="000000"/>
                <w:sz w:val="20"/>
                <w:szCs w:val="20"/>
              </w:rPr>
              <w:t>MSH2</w:t>
            </w:r>
          </w:p>
        </w:tc>
        <w:tc>
          <w:tcPr>
            <w:tcW w:w="1480" w:type="dxa"/>
            <w:vAlign w:val="center"/>
          </w:tcPr>
          <w:p w14:paraId="4AE3E17C">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 if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MSH2</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%}{%for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in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MSH2</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%}{%if loop.last%}{{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 xml:space="preserve">{%else%}{{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p>
          <w:p w14:paraId="6E57077C">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{%endif%}{% endfor %}{%else%}</w:t>
            </w:r>
            <w:r>
              <w:rPr>
                <w:rFonts w:hint="eastAsia" w:ascii="微软雅黑" w:hAnsi="微软雅黑" w:eastAsia="微软雅黑" w:cs="微软雅黑"/>
                <w:sz w:val="20"/>
                <w:szCs w:val="20"/>
                <w:lang w:val="en-US" w:eastAsia="zh-CN"/>
              </w:rPr>
              <w:t>未检出</w:t>
            </w:r>
            <w:r>
              <w:rPr>
                <w:rFonts w:hint="eastAsia" w:ascii="微软雅黑" w:hAnsi="微软雅黑" w:eastAsia="微软雅黑" w:cs="微软雅黑"/>
                <w:sz w:val="20"/>
                <w:szCs w:val="20"/>
                <w:lang w:eastAsia="zh-CN"/>
              </w:rPr>
              <w:t>{%endif%}</w:t>
            </w:r>
          </w:p>
        </w:tc>
        <w:tc>
          <w:tcPr>
            <w:tcW w:w="7831" w:type="dxa"/>
            <w:vAlign w:val="center"/>
          </w:tcPr>
          <w:p w14:paraId="4E43E845">
            <w:pPr>
              <w:keepLines w:val="0"/>
              <w:pageBreakBefore w:val="0"/>
              <w:kinsoku/>
              <w:wordWrap/>
              <w:overflowPunct/>
              <w:topLinePunct w:val="0"/>
              <w:bidi w:val="0"/>
              <w:snapToGrid/>
              <w:spacing w:before="72" w:beforeLines="30" w:after="72" w:afterLines="30" w:line="240" w:lineRule="auto"/>
              <w:jc w:val="both"/>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5AFE2E55">
        <w:tblPrEx>
          <w:tblCellMar>
            <w:top w:w="0" w:type="dxa"/>
            <w:left w:w="108" w:type="dxa"/>
            <w:bottom w:w="0" w:type="dxa"/>
            <w:right w:w="108" w:type="dxa"/>
          </w:tblCellMar>
        </w:tblPrEx>
        <w:trPr>
          <w:trHeight w:val="860" w:hRule="atLeast"/>
        </w:trPr>
        <w:tc>
          <w:tcPr>
            <w:tcW w:w="1017" w:type="dxa"/>
            <w:vAlign w:val="center"/>
          </w:tcPr>
          <w:p w14:paraId="0E6A6EE0">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000000"/>
                <w:sz w:val="20"/>
                <w:szCs w:val="20"/>
              </w:rPr>
            </w:pPr>
            <w:r>
              <w:rPr>
                <w:rFonts w:hint="eastAsia" w:ascii="微软雅黑" w:hAnsi="微软雅黑" w:eastAsia="微软雅黑" w:cs="微软雅黑"/>
                <w:b/>
                <w:bCs/>
                <w:color w:val="000000"/>
                <w:sz w:val="20"/>
                <w:szCs w:val="20"/>
              </w:rPr>
              <w:t>MSH6</w:t>
            </w:r>
          </w:p>
        </w:tc>
        <w:tc>
          <w:tcPr>
            <w:tcW w:w="1217" w:type="dxa"/>
            <w:vAlign w:val="center"/>
          </w:tcPr>
          <w:p w14:paraId="56F0C8B2">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 if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MSH6</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%}{%for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in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MSH6</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%}{%if loop.last%}{{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 xml:space="preserve">{%else%}{{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p>
          <w:p w14:paraId="42A1FEE1">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{%endif%}{% endfor %}{%else%}</w:t>
            </w:r>
            <w:r>
              <w:rPr>
                <w:rFonts w:hint="eastAsia" w:ascii="微软雅黑" w:hAnsi="微软雅黑" w:eastAsia="微软雅黑" w:cs="微软雅黑"/>
                <w:sz w:val="20"/>
                <w:szCs w:val="20"/>
                <w:lang w:val="en-US" w:eastAsia="zh-CN"/>
              </w:rPr>
              <w:t>未检出</w:t>
            </w:r>
            <w:r>
              <w:rPr>
                <w:rFonts w:hint="eastAsia" w:ascii="微软雅黑" w:hAnsi="微软雅黑" w:eastAsia="微软雅黑" w:cs="微软雅黑"/>
                <w:sz w:val="20"/>
                <w:szCs w:val="20"/>
                <w:lang w:eastAsia="zh-CN"/>
              </w:rPr>
              <w:t>{%endif%}</w:t>
            </w:r>
          </w:p>
        </w:tc>
        <w:tc>
          <w:tcPr>
            <w:tcW w:w="7831" w:type="dxa"/>
            <w:vAlign w:val="center"/>
          </w:tcPr>
          <w:p w14:paraId="4A5656BD">
            <w:pPr>
              <w:keepLines w:val="0"/>
              <w:pageBreakBefore w:val="0"/>
              <w:kinsoku/>
              <w:wordWrap/>
              <w:overflowPunct/>
              <w:topLinePunct w:val="0"/>
              <w:bidi w:val="0"/>
              <w:snapToGrid/>
              <w:spacing w:before="72" w:beforeLines="30" w:after="72" w:afterLines="30" w:line="240" w:lineRule="auto"/>
              <w:jc w:val="both"/>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hint="eastAsia" w:ascii="微软雅黑" w:hAnsi="微软雅黑" w:eastAsia="微软雅黑" w:cs="微软雅黑"/>
                <w:color w:val="000000"/>
                <w:sz w:val="20"/>
                <w:szCs w:val="20"/>
              </w:rPr>
              <w:t>与MSH6相关的疾病包括结直肠癌等。</w:t>
            </w:r>
          </w:p>
        </w:tc>
      </w:tr>
      <w:tr w14:paraId="66A941F9">
        <w:tblPrEx>
          <w:tblCellMar>
            <w:top w:w="0" w:type="dxa"/>
            <w:left w:w="108" w:type="dxa"/>
            <w:bottom w:w="0" w:type="dxa"/>
            <w:right w:w="108" w:type="dxa"/>
          </w:tblCellMar>
        </w:tblPrEx>
        <w:trPr>
          <w:trHeight w:val="580" w:hRule="atLeast"/>
        </w:trPr>
        <w:tc>
          <w:tcPr>
            <w:tcW w:w="1017" w:type="dxa"/>
            <w:vAlign w:val="center"/>
          </w:tcPr>
          <w:p w14:paraId="28603507">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000000"/>
                <w:sz w:val="20"/>
                <w:szCs w:val="20"/>
              </w:rPr>
            </w:pPr>
            <w:r>
              <w:rPr>
                <w:rFonts w:hint="eastAsia" w:ascii="微软雅黑" w:hAnsi="微软雅黑" w:eastAsia="微软雅黑" w:cs="微软雅黑"/>
                <w:b/>
                <w:bCs/>
                <w:color w:val="000000"/>
                <w:sz w:val="20"/>
                <w:szCs w:val="20"/>
              </w:rPr>
              <w:t>PMS2</w:t>
            </w:r>
          </w:p>
        </w:tc>
        <w:tc>
          <w:tcPr>
            <w:tcW w:w="1217" w:type="dxa"/>
            <w:vAlign w:val="center"/>
          </w:tcPr>
          <w:p w14:paraId="0128C2CB">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 if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PMS2</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%}{%for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in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PMS2</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%}{%if loop.last%}{{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 xml:space="preserve">{%else%}{{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p>
          <w:p w14:paraId="655B2596">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{%endif%}{% endfor %}{%else%}</w:t>
            </w:r>
            <w:r>
              <w:rPr>
                <w:rFonts w:hint="eastAsia" w:ascii="微软雅黑" w:hAnsi="微软雅黑" w:eastAsia="微软雅黑" w:cs="微软雅黑"/>
                <w:sz w:val="20"/>
                <w:szCs w:val="20"/>
                <w:lang w:val="en-US" w:eastAsia="zh-CN"/>
              </w:rPr>
              <w:t>未检出</w:t>
            </w:r>
            <w:r>
              <w:rPr>
                <w:rFonts w:hint="eastAsia" w:ascii="微软雅黑" w:hAnsi="微软雅黑" w:eastAsia="微软雅黑" w:cs="微软雅黑"/>
                <w:sz w:val="20"/>
                <w:szCs w:val="20"/>
                <w:lang w:eastAsia="zh-CN"/>
              </w:rPr>
              <w:t>{%endif%}</w:t>
            </w:r>
          </w:p>
        </w:tc>
        <w:tc>
          <w:tcPr>
            <w:tcW w:w="7831" w:type="dxa"/>
            <w:vAlign w:val="center"/>
          </w:tcPr>
          <w:p w14:paraId="2D00E796">
            <w:pPr>
              <w:keepLines w:val="0"/>
              <w:pageBreakBefore w:val="0"/>
              <w:kinsoku/>
              <w:wordWrap/>
              <w:overflowPunct/>
              <w:topLinePunct w:val="0"/>
              <w:bidi w:val="0"/>
              <w:snapToGrid/>
              <w:spacing w:before="72" w:beforeLines="30" w:after="72" w:afterLines="30" w:line="240" w:lineRule="auto"/>
              <w:jc w:val="both"/>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lang w:eastAsia="zh-CN"/>
              </w:rPr>
              <w:t>PMS2定位于染色体7p22.2，编码蛋白参与DNA错配修复。可与MLH1形成异源二聚体复合物MutL</w:t>
            </w:r>
            <w:r>
              <w:rPr>
                <w:rFonts w:hint="eastAsia" w:ascii="微软雅黑" w:hAnsi="微软雅黑" w:eastAsia="微软雅黑" w:cs="微软雅黑"/>
                <w:color w:val="000000"/>
                <w:sz w:val="20"/>
                <w:szCs w:val="20"/>
              </w:rPr>
              <w:t>α</w:t>
            </w:r>
            <w:r>
              <w:rPr>
                <w:rFonts w:hint="eastAsia" w:ascii="微软雅黑" w:hAnsi="微软雅黑" w:eastAsia="微软雅黑" w:cs="微软雅黑"/>
                <w:color w:val="000000"/>
                <w:sz w:val="20"/>
                <w:szCs w:val="20"/>
                <w:lang w:eastAsia="zh-CN"/>
              </w:rPr>
              <w:t>，然后与其他的复合物相互作用结合到错配的碱基上。与PMS2相关的疾病包括遗传性非息肉性结直肠癌、子宫内膜癌、胃癌、幕上原始神经外胚层瘤、上皮性卵巢癌等。</w:t>
            </w:r>
          </w:p>
        </w:tc>
      </w:tr>
      <w:tr w14:paraId="1AB2EFEA">
        <w:tblPrEx>
          <w:tblCellMar>
            <w:top w:w="0" w:type="dxa"/>
            <w:left w:w="108" w:type="dxa"/>
            <w:bottom w:w="0" w:type="dxa"/>
            <w:right w:w="108" w:type="dxa"/>
          </w:tblCellMar>
        </w:tblPrEx>
        <w:trPr>
          <w:trHeight w:val="580" w:hRule="atLeast"/>
        </w:trPr>
        <w:tc>
          <w:tcPr>
            <w:tcW w:w="1017" w:type="dxa"/>
            <w:vAlign w:val="center"/>
          </w:tcPr>
          <w:p w14:paraId="69696ED0">
            <w:pPr>
              <w:keepLines w:val="0"/>
              <w:pageBreakBefore w:val="0"/>
              <w:kinsoku/>
              <w:wordWrap/>
              <w:overflowPunct/>
              <w:topLinePunct w:val="0"/>
              <w:bidi w:val="0"/>
              <w:snapToGrid/>
              <w:spacing w:line="240" w:lineRule="auto"/>
              <w:jc w:val="center"/>
              <w:rPr>
                <w:rFonts w:hint="eastAsia" w:ascii="微软雅黑" w:hAnsi="微软雅黑" w:eastAsia="微软雅黑" w:cs="微软雅黑"/>
                <w:b/>
                <w:bCs/>
                <w:color w:val="000000"/>
                <w:sz w:val="20"/>
                <w:szCs w:val="20"/>
              </w:rPr>
            </w:pPr>
            <w:bookmarkStart w:id="44" w:name="_Toc28454_WPSOffice_Level1"/>
            <w:r>
              <w:rPr>
                <w:rFonts w:hint="eastAsia" w:ascii="微软雅黑" w:hAnsi="微软雅黑" w:eastAsia="微软雅黑" w:cs="微软雅黑"/>
                <w:b/>
                <w:bCs/>
                <w:color w:val="000000"/>
                <w:sz w:val="20"/>
                <w:szCs w:val="20"/>
              </w:rPr>
              <w:t>EPCAM</w:t>
            </w:r>
          </w:p>
        </w:tc>
        <w:tc>
          <w:tcPr>
            <w:tcW w:w="1217" w:type="dxa"/>
            <w:vAlign w:val="center"/>
          </w:tcPr>
          <w:p w14:paraId="2BD82E48">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 if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EPCAM</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%}{%for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in lynchMap</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EPCAM</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eastAsia="zh-CN"/>
              </w:rPr>
              <w:t xml:space="preserve">%}{%if loop.last%}{{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r>
              <w:rPr>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eastAsia="zh-CN"/>
              </w:rPr>
              <w:t xml:space="preserve">{%else%}{{ </w:t>
            </w:r>
            <w:r>
              <w:rPr>
                <w:rFonts w:hint="eastAsia" w:ascii="微软雅黑" w:hAnsi="微软雅黑" w:eastAsia="微软雅黑" w:cs="微软雅黑"/>
                <w:sz w:val="20"/>
                <w:szCs w:val="20"/>
                <w:lang w:val="en-US" w:eastAsia="zh-CN"/>
              </w:rPr>
              <w:t>i</w:t>
            </w:r>
            <w:r>
              <w:rPr>
                <w:rFonts w:hint="eastAsia" w:ascii="微软雅黑" w:hAnsi="微软雅黑" w:eastAsia="微软雅黑" w:cs="微软雅黑"/>
                <w:sz w:val="20"/>
                <w:szCs w:val="20"/>
                <w:lang w:eastAsia="zh-CN"/>
              </w:rPr>
              <w:t xml:space="preserve"> }}</w:t>
            </w:r>
          </w:p>
          <w:p w14:paraId="1D6B2350">
            <w:pPr>
              <w:keepNext w:val="0"/>
              <w:keepLines w:val="0"/>
              <w:pageBreakBefore w:val="0"/>
              <w:widowControl w:val="0"/>
              <w:kinsoku/>
              <w:wordWrap/>
              <w:overflowPunct/>
              <w:topLinePunct w:val="0"/>
              <w:autoSpaceDE/>
              <w:autoSpaceDN/>
              <w:bidi w:val="0"/>
              <w:adjustRightInd/>
              <w:snapToGrid/>
              <w:spacing w:before="1" w:line="248" w:lineRule="auto"/>
              <w:ind w:left="0" w:right="0"/>
              <w:jc w:val="center"/>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{%endif%}{% endfor %}{%else%}</w:t>
            </w:r>
            <w:r>
              <w:rPr>
                <w:rFonts w:hint="eastAsia" w:ascii="微软雅黑" w:hAnsi="微软雅黑" w:eastAsia="微软雅黑" w:cs="微软雅黑"/>
                <w:sz w:val="20"/>
                <w:szCs w:val="20"/>
                <w:lang w:val="en-US" w:eastAsia="zh-CN"/>
              </w:rPr>
              <w:t>未检出</w:t>
            </w:r>
            <w:r>
              <w:rPr>
                <w:rFonts w:hint="eastAsia" w:ascii="微软雅黑" w:hAnsi="微软雅黑" w:eastAsia="微软雅黑" w:cs="微软雅黑"/>
                <w:sz w:val="20"/>
                <w:szCs w:val="20"/>
                <w:lang w:eastAsia="zh-CN"/>
              </w:rPr>
              <w:t>{%endif%}</w:t>
            </w:r>
          </w:p>
        </w:tc>
        <w:tc>
          <w:tcPr>
            <w:tcW w:w="7831" w:type="dxa"/>
            <w:vAlign w:val="center"/>
          </w:tcPr>
          <w:p w14:paraId="03C1F73D">
            <w:pPr>
              <w:keepLines w:val="0"/>
              <w:pageBreakBefore w:val="0"/>
              <w:kinsoku/>
              <w:wordWrap/>
              <w:overflowPunct/>
              <w:topLinePunct w:val="0"/>
              <w:bidi w:val="0"/>
              <w:snapToGrid/>
              <w:spacing w:before="72" w:beforeLines="30" w:after="72" w:afterLines="30" w:line="240" w:lineRule="auto"/>
              <w:jc w:val="both"/>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hint="eastAsia" w:ascii="微软雅黑" w:hAnsi="微软雅黑" w:eastAsia="微软雅黑" w:cs="微软雅黑"/>
                <w:color w:val="000000"/>
                <w:sz w:val="20"/>
                <w:szCs w:val="20"/>
              </w:rPr>
              <w:t>α</w:t>
            </w:r>
            <w:r>
              <w:rPr>
                <w:rFonts w:hint="eastAsia" w:ascii="微软雅黑" w:hAnsi="微软雅黑" w:eastAsia="微软雅黑" w:cs="微软雅黑"/>
                <w:color w:val="000000"/>
                <w:sz w:val="20"/>
                <w:szCs w:val="20"/>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bl>
    <w:p w14:paraId="630B251B">
      <w:pPr>
        <w:keepLines w:val="0"/>
        <w:pageBreakBefore w:val="0"/>
        <w:kinsoku/>
        <w:wordWrap/>
        <w:overflowPunct/>
        <w:topLinePunct w:val="0"/>
        <w:bidi w:val="0"/>
        <w:snapToGrid/>
        <w:spacing w:line="240" w:lineRule="auto"/>
        <w:rPr>
          <w:rFonts w:hint="eastAsia" w:ascii="微软雅黑" w:hAnsi="微软雅黑" w:eastAsia="微软雅黑" w:cs="微软雅黑"/>
          <w:sz w:val="18"/>
          <w:szCs w:val="18"/>
          <w:lang w:eastAsia="zh-CN"/>
        </w:rPr>
      </w:pPr>
    </w:p>
    <w:p w14:paraId="0AA229B6">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br w:type="page"/>
      </w:r>
    </w:p>
    <w:p w14:paraId="3C996B21">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45" w:name="_Toc6253"/>
      <w:r>
        <w:rPr>
          <w:rFonts w:hint="eastAsia" w:ascii="微软雅黑" w:hAnsi="微软雅黑" w:eastAsia="微软雅黑" w:cs="微软雅黑"/>
          <w:color w:val="auto"/>
          <w:sz w:val="28"/>
          <w:szCs w:val="36"/>
          <w:lang w:val="en-US" w:eastAsia="zh-CN"/>
        </w:rPr>
        <w:t>5.</w:t>
      </w:r>
      <w:r>
        <w:rPr>
          <w:rFonts w:hint="eastAsia" w:ascii="微软雅黑" w:hAnsi="微软雅黑" w:cs="微软雅黑"/>
          <w:color w:val="auto"/>
          <w:sz w:val="28"/>
          <w:szCs w:val="36"/>
          <w:lang w:val="en-US" w:eastAsia="zh-CN"/>
        </w:rPr>
        <w:t>2</w:t>
      </w:r>
      <w:r>
        <w:rPr>
          <w:rFonts w:hint="eastAsia" w:ascii="微软雅黑" w:hAnsi="微软雅黑" w:eastAsia="微软雅黑" w:cs="微软雅黑"/>
          <w:color w:val="auto"/>
          <w:sz w:val="28"/>
          <w:szCs w:val="36"/>
          <w:lang w:val="en-US" w:eastAsia="zh-CN"/>
        </w:rPr>
        <w:t xml:space="preserve"> </w:t>
      </w:r>
      <w:bookmarkStart w:id="46" w:name="_Toc22422"/>
      <w:r>
        <w:rPr>
          <w:rFonts w:hint="eastAsia" w:ascii="微软雅黑" w:hAnsi="微软雅黑" w:eastAsia="微软雅黑" w:cs="微软雅黑"/>
          <w:color w:val="auto"/>
          <w:sz w:val="28"/>
          <w:szCs w:val="36"/>
          <w:lang w:val="en-US" w:eastAsia="zh-CN"/>
        </w:rPr>
        <w:t>质控情况</w:t>
      </w:r>
      <w:bookmarkEnd w:id="45"/>
      <w:bookmarkEnd w:id="46"/>
    </w:p>
    <w:tbl>
      <w:tblPr>
        <w:tblStyle w:val="15"/>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2B3B7E1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9696" w:type="dxa"/>
            <w:gridSpan w:val="4"/>
            <w:tcBorders>
              <w:top w:val="single" w:color="179172" w:sz="8" w:space="0"/>
              <w:left w:val="nil"/>
              <w:bottom w:val="single" w:color="179172" w:sz="8" w:space="0"/>
              <w:right w:val="nil"/>
            </w:tcBorders>
            <w:shd w:val="clear" w:color="auto" w:fill="0B8770"/>
            <w:vAlign w:val="center"/>
          </w:tcPr>
          <w:p w14:paraId="1702B69F">
            <w:pPr>
              <w:keepLines w:val="0"/>
              <w:pageBreakBefore w:val="0"/>
              <w:kinsoku/>
              <w:wordWrap/>
              <w:overflowPunct/>
              <w:topLinePunct w:val="0"/>
              <w:bidi w:val="0"/>
              <w:snapToGrid/>
              <w:spacing w:line="240" w:lineRule="auto"/>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14:paraId="0C5AE4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nil"/>
              <w:bottom w:val="single" w:color="179172" w:sz="8" w:space="0"/>
              <w:right w:val="single" w:color="179172" w:sz="8" w:space="0"/>
            </w:tcBorders>
            <w:shd w:val="clear" w:color="auto" w:fill="D4EAE7"/>
            <w:vAlign w:val="center"/>
          </w:tcPr>
          <w:p w14:paraId="4B3850DD">
            <w:pPr>
              <w:keepLines w:val="0"/>
              <w:pageBreakBefore w:val="0"/>
              <w:kinsoku/>
              <w:wordWrap/>
              <w:overflowPunct/>
              <w:topLinePunct w:val="0"/>
              <w:bidi w:val="0"/>
              <w:snapToGrid/>
              <w:spacing w:line="240" w:lineRule="auto"/>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rPr>
              <w:t>质控</w:t>
            </w:r>
            <w:r>
              <w:rPr>
                <w:rFonts w:hint="eastAsia" w:ascii="微软雅黑" w:hAnsi="微软雅黑" w:eastAsia="微软雅黑" w:cs="微软雅黑"/>
                <w:bCs/>
                <w:sz w:val="21"/>
                <w:lang w:eastAsia="zh-CN"/>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D4EAE7"/>
            <w:vAlign w:val="center"/>
          </w:tcPr>
          <w:p w14:paraId="6DE77E55">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数值</w:t>
            </w:r>
          </w:p>
        </w:tc>
        <w:tc>
          <w:tcPr>
            <w:tcW w:w="2831" w:type="dxa"/>
            <w:tcBorders>
              <w:top w:val="single" w:color="179172" w:sz="8" w:space="0"/>
              <w:left w:val="single" w:color="179172" w:sz="8" w:space="0"/>
              <w:bottom w:val="single" w:color="179172" w:sz="8" w:space="0"/>
              <w:right w:val="nil"/>
            </w:tcBorders>
            <w:shd w:val="clear" w:color="auto" w:fill="D4EAE7"/>
            <w:vAlign w:val="center"/>
          </w:tcPr>
          <w:p w14:paraId="046F06A0">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bCs/>
                <w:sz w:val="21"/>
              </w:rPr>
            </w:pPr>
            <w:r>
              <w:rPr>
                <w:rFonts w:hint="eastAsia" w:ascii="微软雅黑" w:hAnsi="微软雅黑" w:eastAsia="微软雅黑" w:cs="微软雅黑"/>
                <w:bCs/>
                <w:sz w:val="21"/>
              </w:rPr>
              <w:t>质控标准</w:t>
            </w:r>
          </w:p>
        </w:tc>
      </w:tr>
      <w:tr w14:paraId="0C909DC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14:paraId="198ACDFD">
            <w:pPr>
              <w:keepLines w:val="0"/>
              <w:pageBreakBefore w:val="0"/>
              <w:kinsoku/>
              <w:wordWrap/>
              <w:overflowPunct/>
              <w:topLinePunct w:val="0"/>
              <w:bidi w:val="0"/>
              <w:snapToGrid/>
              <w:spacing w:line="240" w:lineRule="auto"/>
              <w:ind w:left="119"/>
              <w:jc w:val="both"/>
              <w:rPr>
                <w:rFonts w:hint="eastAsia" w:ascii="微软雅黑" w:hAnsi="微软雅黑" w:eastAsia="微软雅黑" w:cs="微软雅黑"/>
                <w:sz w:val="21"/>
              </w:rPr>
            </w:pPr>
            <w:r>
              <w:rPr>
                <w:rFonts w:hint="eastAsia" w:ascii="微软雅黑" w:hAnsi="微软雅黑" w:eastAsia="微软雅黑" w:cs="微软雅黑"/>
                <w:sz w:val="21"/>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14:paraId="46607E83">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6D119A45">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14:paraId="3FB271AB">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w:t>
            </w:r>
            <w:r>
              <w:rPr>
                <w:rFonts w:hint="eastAsia" w:ascii="微软雅黑" w:hAnsi="微软雅黑" w:eastAsia="微软雅黑" w:cs="微软雅黑"/>
                <w:sz w:val="21"/>
              </w:rPr>
              <w:t>100ng</w:t>
            </w:r>
          </w:p>
        </w:tc>
      </w:tr>
      <w:tr w14:paraId="1CE70AB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67B377C2">
            <w:pPr>
              <w:keepLines w:val="0"/>
              <w:pageBreakBefore w:val="0"/>
              <w:kinsoku/>
              <w:wordWrap/>
              <w:overflowPunct/>
              <w:topLinePunct w:val="0"/>
              <w:bidi w:val="0"/>
              <w:snapToGrid/>
              <w:spacing w:line="240" w:lineRule="auto"/>
              <w:jc w:val="both"/>
              <w:rPr>
                <w:rFonts w:hint="eastAsia" w:ascii="微软雅黑" w:hAnsi="微软雅黑" w:eastAsia="微软雅黑" w:cs="微软雅黑"/>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F19A7AD">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1B6B779C">
            <w:pPr>
              <w:keepLines w:val="0"/>
              <w:pageBreakBefore w:val="0"/>
              <w:kinsoku/>
              <w:wordWrap/>
              <w:overflowPunct/>
              <w:topLinePunct w:val="0"/>
              <w:bidi w:val="0"/>
              <w:snapToGrid/>
              <w:spacing w:line="240" w:lineRule="auto"/>
              <w:ind w:left="118"/>
              <w:jc w:val="both"/>
              <w:rPr>
                <w:rFonts w:hint="default"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w:t>
            </w:r>
          </w:p>
        </w:tc>
        <w:tc>
          <w:tcPr>
            <w:tcW w:w="2831" w:type="dxa"/>
            <w:tcBorders>
              <w:top w:val="single" w:color="179172" w:sz="8" w:space="0"/>
              <w:left w:val="single" w:color="179172" w:sz="8" w:space="0"/>
              <w:bottom w:val="single" w:color="179172" w:sz="8" w:space="0"/>
              <w:right w:val="nil"/>
            </w:tcBorders>
            <w:vAlign w:val="center"/>
          </w:tcPr>
          <w:p w14:paraId="296DFE14">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t>不适用</w:t>
            </w:r>
          </w:p>
        </w:tc>
      </w:tr>
      <w:tr w14:paraId="500706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7A4413DF">
            <w:pPr>
              <w:keepLines w:val="0"/>
              <w:pageBreakBefore w:val="0"/>
              <w:kinsoku/>
              <w:wordWrap/>
              <w:overflowPunct/>
              <w:topLinePunct w:val="0"/>
              <w:bidi w:val="0"/>
              <w:snapToGrid/>
              <w:spacing w:line="240" w:lineRule="auto"/>
              <w:jc w:val="both"/>
              <w:rPr>
                <w:rFonts w:hint="eastAsia" w:ascii="微软雅黑" w:hAnsi="微软雅黑" w:eastAsia="微软雅黑" w:cs="微软雅黑"/>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D027B7F">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01191E22">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14:paraId="21CA13E3">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lang w:eastAsia="zh-CN"/>
              </w:rPr>
              <w:t>≥500</w:t>
            </w:r>
            <w:r>
              <w:rPr>
                <w:rFonts w:hint="eastAsia" w:ascii="微软雅黑" w:hAnsi="微软雅黑" w:eastAsia="微软雅黑" w:cs="微软雅黑"/>
                <w:sz w:val="21"/>
              </w:rPr>
              <w:t>ng</w:t>
            </w:r>
          </w:p>
        </w:tc>
      </w:tr>
      <w:tr w14:paraId="69C042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14:paraId="4F9A4EC7">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47CAA44B">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432E506C">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14:paraId="627D5FC9">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≥200</w:t>
            </w:r>
          </w:p>
        </w:tc>
      </w:tr>
      <w:tr w14:paraId="77541C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4AEE3490">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0B0F0B45">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63AB8152">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4F628C16">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≥90%</w:t>
            </w:r>
          </w:p>
        </w:tc>
      </w:tr>
      <w:tr w14:paraId="0975423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48DF004B">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67157C8">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58F7C604">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6ED43DE3">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lang w:eastAsia="zh-CN"/>
              </w:rPr>
              <w:t>≥</w:t>
            </w:r>
            <w:r>
              <w:rPr>
                <w:rFonts w:hint="eastAsia" w:ascii="微软雅黑" w:hAnsi="微软雅黑" w:eastAsia="微软雅黑" w:cs="微软雅黑"/>
                <w:sz w:val="21"/>
              </w:rPr>
              <w:t>9</w:t>
            </w:r>
            <w:r>
              <w:rPr>
                <w:rFonts w:hint="eastAsia" w:ascii="微软雅黑" w:hAnsi="微软雅黑" w:eastAsia="微软雅黑" w:cs="微软雅黑"/>
                <w:sz w:val="21"/>
                <w:lang w:eastAsia="zh-CN"/>
              </w:rPr>
              <w:t>5</w:t>
            </w:r>
            <w:r>
              <w:rPr>
                <w:rFonts w:hint="eastAsia" w:ascii="微软雅黑" w:hAnsi="微软雅黑" w:eastAsia="微软雅黑" w:cs="微软雅黑"/>
                <w:sz w:val="21"/>
              </w:rPr>
              <w:t>%</w:t>
            </w:r>
          </w:p>
        </w:tc>
      </w:tr>
      <w:tr w14:paraId="3F606C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326693F0">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3265E55C">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38328253">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7AD65D99">
            <w:pPr>
              <w:keepLines w:val="0"/>
              <w:pageBreakBefore w:val="0"/>
              <w:kinsoku/>
              <w:wordWrap/>
              <w:overflowPunct/>
              <w:topLinePunct w:val="0"/>
              <w:bidi w:val="0"/>
              <w:snapToGrid/>
              <w:spacing w:line="240" w:lineRule="auto"/>
              <w:ind w:left="118"/>
              <w:jc w:val="both"/>
              <w:rPr>
                <w:rFonts w:hint="eastAsia" w:ascii="微软雅黑" w:hAnsi="微软雅黑" w:eastAsia="微软雅黑" w:cs="微软雅黑"/>
                <w:sz w:val="21"/>
              </w:rPr>
            </w:pPr>
            <w:r>
              <w:rPr>
                <w:rFonts w:hint="eastAsia" w:ascii="微软雅黑" w:hAnsi="微软雅黑" w:eastAsia="微软雅黑" w:cs="微软雅黑"/>
                <w:sz w:val="21"/>
                <w:lang w:eastAsia="zh-CN"/>
              </w:rPr>
              <w:t>≥</w:t>
            </w:r>
            <w:r>
              <w:rPr>
                <w:rFonts w:hint="eastAsia" w:ascii="微软雅黑" w:hAnsi="微软雅黑" w:eastAsia="微软雅黑" w:cs="微软雅黑"/>
                <w:sz w:val="21"/>
              </w:rPr>
              <w:t>8</w:t>
            </w:r>
            <w:r>
              <w:rPr>
                <w:rFonts w:hint="eastAsia" w:ascii="微软雅黑" w:hAnsi="微软雅黑" w:eastAsia="微软雅黑" w:cs="微软雅黑"/>
                <w:sz w:val="21"/>
                <w:lang w:eastAsia="zh-CN"/>
              </w:rPr>
              <w:t>0</w:t>
            </w:r>
            <w:r>
              <w:rPr>
                <w:rFonts w:hint="eastAsia" w:ascii="微软雅黑" w:hAnsi="微软雅黑" w:eastAsia="微软雅黑" w:cs="微软雅黑"/>
                <w:sz w:val="21"/>
              </w:rPr>
              <w:t>%</w:t>
            </w:r>
          </w:p>
        </w:tc>
      </w:tr>
      <w:tr w14:paraId="09740C7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14:paraId="13C6BBE2">
            <w:pPr>
              <w:keepLines w:val="0"/>
              <w:pageBreakBefore w:val="0"/>
              <w:kinsoku/>
              <w:wordWrap/>
              <w:overflowPunct/>
              <w:topLinePunct w:val="0"/>
              <w:bidi w:val="0"/>
              <w:snapToGrid/>
              <w:spacing w:line="240" w:lineRule="auto"/>
              <w:ind w:left="119"/>
              <w:jc w:val="both"/>
              <w:rPr>
                <w:rFonts w:hint="eastAsia" w:ascii="微软雅黑" w:hAnsi="微软雅黑" w:eastAsia="微软雅黑" w:cs="微软雅黑"/>
                <w:sz w:val="21"/>
                <w:lang w:val="en-US"/>
              </w:rPr>
            </w:pPr>
            <w:r>
              <w:rPr>
                <w:rFonts w:hint="eastAsia" w:ascii="微软雅黑" w:hAnsi="微软雅黑" w:eastAsia="微软雅黑" w:cs="微软雅黑"/>
                <w:sz w:val="21"/>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14:paraId="4D3C1BB3">
            <w:pPr>
              <w:keepLines w:val="0"/>
              <w:pageBreakBefore w:val="0"/>
              <w:kinsoku/>
              <w:wordWrap/>
              <w:overflowPunct/>
              <w:topLinePunct w:val="0"/>
              <w:bidi w:val="0"/>
              <w:snapToGrid/>
              <w:spacing w:line="240" w:lineRule="auto"/>
              <w:jc w:val="center"/>
              <w:rPr>
                <w:rFonts w:hint="eastAsia" w:ascii="微软雅黑" w:hAnsi="微软雅黑" w:eastAsia="微软雅黑" w:cs="微软雅黑"/>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oqa(2</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,150) }}</w:t>
            </w:r>
          </w:p>
        </w:tc>
      </w:tr>
    </w:tbl>
    <w:p w14:paraId="2BB0ACCA">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DNA总量：送检样本的DNA提取总量。</w:t>
      </w:r>
    </w:p>
    <w:p w14:paraId="55CCA650">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DNA降解程度：cfDNA样本不适用于此项评估。</w:t>
      </w:r>
    </w:p>
    <w:p w14:paraId="3F365EDD">
      <w:pPr>
        <w:keepLines w:val="0"/>
        <w:pageBreakBefore w:val="0"/>
        <w:numPr>
          <w:ilvl w:val="0"/>
          <w:numId w:val="9"/>
        </w:numPr>
        <w:kinsoku/>
        <w:wordWrap/>
        <w:overflowPunct/>
        <w:topLinePunct w:val="0"/>
        <w:bidi w:val="0"/>
        <w:snapToGrid/>
        <w:spacing w:line="240" w:lineRule="auto"/>
        <w:ind w:left="613" w:leftChars="150" w:hanging="28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A级：有主带，或降解均匀且降解区域主要集中在5000bp以上；</w:t>
      </w:r>
    </w:p>
    <w:p w14:paraId="1D6C4FBE">
      <w:pPr>
        <w:keepLines w:val="0"/>
        <w:pageBreakBefore w:val="0"/>
        <w:numPr>
          <w:ilvl w:val="0"/>
          <w:numId w:val="9"/>
        </w:numPr>
        <w:kinsoku/>
        <w:wordWrap/>
        <w:overflowPunct/>
        <w:topLinePunct w:val="0"/>
        <w:bidi w:val="0"/>
        <w:snapToGrid/>
        <w:spacing w:line="240" w:lineRule="auto"/>
        <w:ind w:left="613" w:leftChars="150" w:hanging="28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B级：无主带，降解均匀且降解区域主要集中在1500-5000bp之间；</w:t>
      </w:r>
    </w:p>
    <w:p w14:paraId="32083C73">
      <w:pPr>
        <w:keepLines w:val="0"/>
        <w:pageBreakBefore w:val="0"/>
        <w:numPr>
          <w:ilvl w:val="0"/>
          <w:numId w:val="9"/>
        </w:numPr>
        <w:kinsoku/>
        <w:wordWrap/>
        <w:overflowPunct/>
        <w:topLinePunct w:val="0"/>
        <w:bidi w:val="0"/>
        <w:snapToGrid/>
        <w:spacing w:line="240" w:lineRule="auto"/>
        <w:ind w:left="613" w:leftChars="150" w:hanging="28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C级：无主带，降解均匀且降解区域主要集中在500-1500bp之间；</w:t>
      </w:r>
    </w:p>
    <w:p w14:paraId="1C7DE2A7">
      <w:pPr>
        <w:keepLines w:val="0"/>
        <w:pageBreakBefore w:val="0"/>
        <w:numPr>
          <w:ilvl w:val="0"/>
          <w:numId w:val="9"/>
        </w:numPr>
        <w:kinsoku/>
        <w:wordWrap/>
        <w:overflowPunct/>
        <w:topLinePunct w:val="0"/>
        <w:bidi w:val="0"/>
        <w:snapToGrid/>
        <w:spacing w:line="240" w:lineRule="auto"/>
        <w:ind w:left="613" w:leftChars="150" w:hanging="283"/>
        <w:rPr>
          <w:rFonts w:hint="eastAsia" w:ascii="微软雅黑" w:hAnsi="微软雅黑" w:eastAsia="微软雅黑" w:cs="微软雅黑"/>
          <w:bCs/>
          <w:sz w:val="20"/>
          <w:szCs w:val="20"/>
          <w:lang w:eastAsia="zh-CN"/>
        </w:rPr>
      </w:pPr>
      <w:r>
        <w:rPr>
          <w:rFonts w:hint="eastAsia" w:ascii="微软雅黑" w:hAnsi="微软雅黑" w:eastAsia="微软雅黑" w:cs="微软雅黑"/>
          <w:bCs/>
          <w:spacing w:val="3"/>
          <w:sz w:val="20"/>
          <w:szCs w:val="20"/>
          <w:lang w:eastAsia="zh-CN"/>
        </w:rPr>
        <w:t>D级</w:t>
      </w:r>
      <w:r>
        <w:rPr>
          <w:rFonts w:hint="eastAsia" w:ascii="微软雅黑" w:hAnsi="微软雅黑" w:eastAsia="微软雅黑" w:cs="微软雅黑"/>
          <w:bCs/>
          <w:sz w:val="20"/>
          <w:szCs w:val="20"/>
          <w:lang w:eastAsia="zh-CN"/>
        </w:rPr>
        <w:t>（</w:t>
      </w:r>
      <w:r>
        <w:rPr>
          <w:rFonts w:hint="eastAsia" w:ascii="微软雅黑" w:hAnsi="微软雅黑" w:eastAsia="微软雅黑" w:cs="微软雅黑"/>
          <w:bCs/>
          <w:spacing w:val="1"/>
          <w:sz w:val="20"/>
          <w:szCs w:val="20"/>
          <w:lang w:eastAsia="zh-CN"/>
        </w:rPr>
        <w:t>不合格</w:t>
      </w:r>
      <w:r>
        <w:rPr>
          <w:rFonts w:hint="eastAsia" w:ascii="微软雅黑" w:hAnsi="微软雅黑" w:eastAsia="微软雅黑" w:cs="微软雅黑"/>
          <w:bCs/>
          <w:spacing w:val="-90"/>
          <w:sz w:val="20"/>
          <w:szCs w:val="20"/>
          <w:lang w:eastAsia="zh-CN"/>
        </w:rPr>
        <w:t>）</w:t>
      </w:r>
      <w:r>
        <w:rPr>
          <w:rFonts w:hint="eastAsia" w:ascii="微软雅黑" w:hAnsi="微软雅黑" w:eastAsia="微软雅黑" w:cs="微软雅黑"/>
          <w:bCs/>
          <w:sz w:val="20"/>
          <w:szCs w:val="20"/>
          <w:lang w:eastAsia="zh-CN"/>
        </w:rPr>
        <w:t>）：无主带，降解均匀且降解区域主要集中在500-1500bp</w:t>
      </w:r>
      <w:r>
        <w:rPr>
          <w:rFonts w:hint="eastAsia" w:ascii="微软雅黑" w:hAnsi="微软雅黑" w:eastAsia="微软雅黑" w:cs="微软雅黑"/>
          <w:bCs/>
          <w:spacing w:val="-1"/>
          <w:sz w:val="20"/>
          <w:szCs w:val="20"/>
          <w:lang w:eastAsia="zh-CN"/>
        </w:rPr>
        <w:t>之间，但总量介于</w:t>
      </w:r>
      <w:r>
        <w:rPr>
          <w:rFonts w:hint="eastAsia" w:ascii="微软雅黑" w:hAnsi="微软雅黑" w:eastAsia="微软雅黑" w:cs="微软雅黑"/>
          <w:bCs/>
          <w:sz w:val="20"/>
          <w:szCs w:val="20"/>
          <w:lang w:eastAsia="zh-CN"/>
        </w:rPr>
        <w:t>100ng</w:t>
      </w:r>
      <w:r>
        <w:rPr>
          <w:rFonts w:hint="eastAsia" w:ascii="微软雅黑" w:hAnsi="微软雅黑" w:eastAsia="微软雅黑" w:cs="微软雅黑"/>
          <w:bCs/>
          <w:spacing w:val="-3"/>
          <w:sz w:val="20"/>
          <w:szCs w:val="20"/>
          <w:lang w:eastAsia="zh-CN"/>
        </w:rPr>
        <w:t>到</w:t>
      </w:r>
      <w:r>
        <w:rPr>
          <w:rFonts w:hint="eastAsia" w:ascii="微软雅黑" w:hAnsi="微软雅黑" w:eastAsia="微软雅黑" w:cs="微软雅黑"/>
          <w:bCs/>
          <w:sz w:val="20"/>
          <w:szCs w:val="20"/>
          <w:lang w:eastAsia="zh-CN"/>
        </w:rPr>
        <w:t>300ng之间；或降解区</w:t>
      </w:r>
      <w:r>
        <w:rPr>
          <w:rFonts w:hint="eastAsia" w:ascii="微软雅黑" w:hAnsi="微软雅黑" w:eastAsia="微软雅黑" w:cs="微软雅黑"/>
          <w:bCs/>
          <w:spacing w:val="-2"/>
          <w:sz w:val="20"/>
          <w:szCs w:val="20"/>
          <w:lang w:eastAsia="zh-CN"/>
        </w:rPr>
        <w:t>域弥散在</w:t>
      </w:r>
      <w:r>
        <w:rPr>
          <w:rFonts w:hint="eastAsia" w:ascii="微软雅黑" w:hAnsi="微软雅黑" w:eastAsia="微软雅黑" w:cs="微软雅黑"/>
          <w:bCs/>
          <w:sz w:val="20"/>
          <w:szCs w:val="20"/>
          <w:lang w:eastAsia="zh-CN"/>
        </w:rPr>
        <w:t>150-1000bp</w:t>
      </w:r>
      <w:r>
        <w:rPr>
          <w:rFonts w:hint="eastAsia" w:ascii="微软雅黑" w:hAnsi="微软雅黑" w:eastAsia="微软雅黑" w:cs="微软雅黑"/>
          <w:bCs/>
          <w:spacing w:val="-2"/>
          <w:sz w:val="20"/>
          <w:szCs w:val="20"/>
          <w:lang w:eastAsia="zh-CN"/>
        </w:rPr>
        <w:t>，或集中在</w:t>
      </w:r>
      <w:r>
        <w:rPr>
          <w:rFonts w:hint="eastAsia" w:ascii="微软雅黑" w:hAnsi="微软雅黑" w:eastAsia="微软雅黑" w:cs="微软雅黑"/>
          <w:bCs/>
          <w:sz w:val="20"/>
          <w:szCs w:val="20"/>
          <w:lang w:eastAsia="zh-CN"/>
        </w:rPr>
        <w:t>500bp以下。</w:t>
      </w:r>
    </w:p>
    <w:p w14:paraId="6E6BAFF2">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预文库总量：核酸片段经过接头连接和扩增纯化后中间产物的总量。</w:t>
      </w:r>
    </w:p>
    <w:p w14:paraId="51AED9C8">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平均测序深度：目标区域每个碱基被测到的平均次数。</w:t>
      </w:r>
    </w:p>
    <w:p w14:paraId="2E46F005">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覆盖均一性：测序深度达到平均测序深度20%的碱基占比。</w:t>
      </w:r>
    </w:p>
    <w:p w14:paraId="3C4F1513">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目标区域覆盖度：目标区域被测序覆盖的碱基比例。</w:t>
      </w:r>
    </w:p>
    <w:p w14:paraId="554F21A8">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碱基质量Q30占比：测序数据中碱基质量在Q30以上（即碱基识别错误率在千分之一以下）的占比。</w:t>
      </w:r>
    </w:p>
    <w:p w14:paraId="2001C284">
      <w:pPr>
        <w:keepLines w:val="0"/>
        <w:pageBreakBefore w:val="0"/>
        <w:numPr>
          <w:ilvl w:val="0"/>
          <w:numId w:val="8"/>
        </w:numPr>
        <w:kinsoku/>
        <w:wordWrap/>
        <w:overflowPunct/>
        <w:topLinePunct w:val="0"/>
        <w:bidi w:val="0"/>
        <w:snapToGrid/>
        <w:spacing w:before="53" w:line="240" w:lineRule="auto"/>
        <w:ind w:left="133"/>
        <w:rPr>
          <w:rFonts w:hint="eastAsia" w:ascii="微软雅黑" w:hAnsi="微软雅黑" w:eastAsia="微软雅黑" w:cs="微软雅黑"/>
          <w:bCs/>
          <w:sz w:val="20"/>
          <w:szCs w:val="20"/>
          <w:lang w:eastAsia="zh-CN"/>
        </w:rPr>
      </w:pPr>
      <w:r>
        <w:rPr>
          <w:rFonts w:hint="eastAsia" w:ascii="微软雅黑" w:hAnsi="微软雅黑" w:eastAsia="微软雅黑" w:cs="微软雅黑"/>
          <w:bCs/>
          <w:sz w:val="20"/>
          <w:szCs w:val="20"/>
          <w:lang w:eastAsia="zh-CN"/>
        </w:rPr>
        <w:t>总体质量评估：根据 DNA 平均测序深度进行评估，分为“合格”、“警戒“、”不合格”三个等级。总体质量评估为“警戒“或者“不合格”时，均会影响检测的准确性和敏感性。</w:t>
      </w:r>
    </w:p>
    <w:p w14:paraId="471B5008">
      <w:pPr>
        <w:keepLines w:val="0"/>
        <w:pageBreakBefore w:val="0"/>
        <w:kinsoku/>
        <w:wordWrap/>
        <w:overflowPunct/>
        <w:topLinePunct w:val="0"/>
        <w:bidi w:val="0"/>
        <w:snapToGrid/>
        <w:spacing w:line="240" w:lineRule="auto"/>
        <w:rPr>
          <w:rFonts w:hint="eastAsia" w:ascii="微软雅黑" w:hAnsi="微软雅黑" w:eastAsia="微软雅黑" w:cs="微软雅黑"/>
          <w:sz w:val="18"/>
          <w:szCs w:val="18"/>
          <w:lang w:eastAsia="zh-CN"/>
        </w:rPr>
      </w:pPr>
    </w:p>
    <w:p w14:paraId="1C471B1F">
      <w:pPr>
        <w:keepLines w:val="0"/>
        <w:pageBreakBefore w:val="0"/>
        <w:kinsoku/>
        <w:wordWrap/>
        <w:overflowPunct/>
        <w:topLinePunct w:val="0"/>
        <w:bidi w:val="0"/>
        <w:snapToGrid/>
        <w:spacing w:line="240" w:lineRule="auto"/>
        <w:rPr>
          <w:rFonts w:hint="eastAsia" w:ascii="微软雅黑" w:hAnsi="微软雅黑" w:eastAsia="微软雅黑" w:cs="微软雅黑"/>
          <w:sz w:val="18"/>
          <w:szCs w:val="18"/>
          <w:lang w:eastAsia="zh-CN"/>
        </w:rPr>
      </w:pPr>
    </w:p>
    <w:p w14:paraId="1746F53E">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47" w:name="_Toc31064"/>
      <w:bookmarkStart w:id="48" w:name="_Toc16749"/>
      <w:r>
        <w:rPr>
          <w:rFonts w:hint="eastAsia" w:ascii="微软雅黑" w:hAnsi="微软雅黑" w:eastAsia="微软雅黑" w:cs="微软雅黑"/>
          <w:color w:val="auto"/>
          <w:sz w:val="28"/>
          <w:szCs w:val="36"/>
          <w:lang w:val="en-US" w:eastAsia="zh-CN"/>
        </w:rPr>
        <w:t>5.3 检测方法</w:t>
      </w:r>
      <w:bookmarkEnd w:id="47"/>
      <w:bookmarkEnd w:id="48"/>
    </w:p>
    <w:p w14:paraId="46339FF2">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hint="eastAsia" w:ascii="微软雅黑" w:hAnsi="微软雅黑" w:eastAsia="微软雅黑" w:cs="微软雅黑"/>
          <w:color w:val="000000"/>
          <w:spacing w:val="14"/>
          <w:sz w:val="20"/>
          <w:szCs w:val="20"/>
        </w:rPr>
        <w:t>2</w:t>
      </w:r>
      <w:r>
        <w:rPr>
          <w:rFonts w:hint="eastAsia" w:ascii="微软雅黑" w:hAnsi="微软雅黑" w:eastAsia="微软雅黑" w:cs="微软雅黑"/>
          <w:color w:val="000000"/>
          <w:spacing w:val="14"/>
          <w:sz w:val="20"/>
          <w:szCs w:val="20"/>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7D20C9FE">
      <w:pPr>
        <w:keepLines w:val="0"/>
        <w:pageBreakBefore w:val="0"/>
        <w:widowControl/>
        <w:kinsoku/>
        <w:wordWrap/>
        <w:overflowPunct/>
        <w:topLinePunct w:val="0"/>
        <w:bidi w:val="0"/>
        <w:snapToGrid/>
        <w:spacing w:line="240" w:lineRule="auto"/>
        <w:ind w:firstLine="416" w:firstLineChars="200"/>
        <w:rPr>
          <w:rFonts w:hint="eastAsia" w:ascii="微软雅黑" w:hAnsi="微软雅黑" w:eastAsia="微软雅黑" w:cs="微软雅黑"/>
          <w:color w:val="000000"/>
          <w:spacing w:val="14"/>
          <w:sz w:val="18"/>
          <w:szCs w:val="18"/>
          <w:lang w:val="zh-CN"/>
        </w:rPr>
      </w:pPr>
    </w:p>
    <w:p w14:paraId="44711D38">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49" w:name="_Toc30947"/>
      <w:bookmarkStart w:id="50" w:name="_Toc25286"/>
      <w:r>
        <w:rPr>
          <w:rFonts w:hint="eastAsia" w:ascii="微软雅黑" w:hAnsi="微软雅黑" w:eastAsia="微软雅黑" w:cs="微软雅黑"/>
          <w:color w:val="auto"/>
          <w:sz w:val="28"/>
          <w:szCs w:val="36"/>
          <w:lang w:val="en-US" w:eastAsia="zh-CN"/>
        </w:rPr>
        <w:t>5.4 遗传信息解读</w:t>
      </w:r>
      <w:bookmarkEnd w:id="49"/>
      <w:bookmarkEnd w:id="50"/>
    </w:p>
    <w:p w14:paraId="25962872">
      <w:pPr>
        <w:keepLines w:val="0"/>
        <w:pageBreakBefore w:val="0"/>
        <w:widowControl/>
        <w:kinsoku/>
        <w:wordWrap/>
        <w:overflowPunct/>
        <w:topLinePunct w:val="0"/>
        <w:bidi w:val="0"/>
        <w:snapToGrid/>
        <w:spacing w:line="240" w:lineRule="auto"/>
        <w:ind w:firstLine="456" w:firstLineChars="200"/>
        <w:rPr>
          <w:rFonts w:hint="eastAsia" w:ascii="微软雅黑" w:hAnsi="微软雅黑" w:eastAsia="微软雅黑" w:cs="微软雅黑"/>
          <w:color w:val="000000"/>
          <w:spacing w:val="14"/>
          <w:sz w:val="20"/>
          <w:szCs w:val="20"/>
          <w:lang w:val="zh-CN"/>
        </w:rPr>
      </w:pPr>
      <w:r>
        <w:rPr>
          <w:rFonts w:hint="eastAsia" w:ascii="微软雅黑" w:hAnsi="微软雅黑" w:eastAsia="微软雅黑" w:cs="微软雅黑"/>
          <w:color w:val="000000"/>
          <w:spacing w:val="14"/>
          <w:sz w:val="20"/>
          <w:szCs w:val="20"/>
          <w:lang w:val="zh-CN"/>
        </w:rPr>
        <w:t>遗传信息解读规则参考美国医学遗传学和基因组学学院</w:t>
      </w:r>
      <w:r>
        <w:rPr>
          <w:rFonts w:hint="eastAsia" w:ascii="微软雅黑" w:hAnsi="微软雅黑" w:eastAsia="微软雅黑" w:cs="微软雅黑"/>
          <w:color w:val="000000"/>
          <w:spacing w:val="14"/>
          <w:sz w:val="20"/>
          <w:szCs w:val="20"/>
        </w:rPr>
        <w:t>（American College of Medical Genetics and Genomics，ACMG）</w:t>
      </w:r>
      <w:r>
        <w:rPr>
          <w:rFonts w:hint="eastAsia" w:ascii="微软雅黑" w:hAnsi="微软雅黑" w:eastAsia="微软雅黑" w:cs="微软雅黑"/>
          <w:color w:val="000000"/>
          <w:spacing w:val="14"/>
          <w:sz w:val="20"/>
          <w:szCs w:val="20"/>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0A2EEF96">
      <w:pPr>
        <w:keepLines w:val="0"/>
        <w:pageBreakBefore w:val="0"/>
        <w:widowControl/>
        <w:kinsoku/>
        <w:wordWrap/>
        <w:overflowPunct/>
        <w:topLinePunct w:val="0"/>
        <w:bidi w:val="0"/>
        <w:snapToGrid/>
        <w:spacing w:line="240" w:lineRule="auto"/>
        <w:ind w:firstLine="416" w:firstLineChars="200"/>
        <w:rPr>
          <w:rFonts w:hint="eastAsia" w:ascii="微软雅黑" w:hAnsi="微软雅黑" w:eastAsia="微软雅黑" w:cs="微软雅黑"/>
          <w:color w:val="000000"/>
          <w:spacing w:val="14"/>
          <w:sz w:val="18"/>
          <w:szCs w:val="18"/>
          <w:lang w:val="zh-CN"/>
        </w:rPr>
      </w:pPr>
    </w:p>
    <w:p w14:paraId="0F96DF15">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51" w:name="_Toc31394"/>
      <w:bookmarkStart w:id="52" w:name="_Toc3486"/>
      <w:r>
        <w:rPr>
          <w:rFonts w:hint="eastAsia" w:ascii="微软雅黑" w:hAnsi="微软雅黑" w:eastAsia="微软雅黑" w:cs="微软雅黑"/>
          <w:color w:val="auto"/>
          <w:sz w:val="28"/>
          <w:szCs w:val="36"/>
          <w:lang w:val="en-US" w:eastAsia="zh-CN"/>
        </w:rPr>
        <w:t>5.5</w:t>
      </w:r>
      <w:r>
        <w:rPr>
          <w:rFonts w:hint="eastAsia" w:ascii="微软雅黑" w:hAnsi="微软雅黑" w:cs="微软雅黑"/>
          <w:color w:val="auto"/>
          <w:sz w:val="28"/>
          <w:szCs w:val="36"/>
          <w:lang w:val="en-US" w:eastAsia="zh-CN"/>
        </w:rPr>
        <w:t xml:space="preserve"> </w:t>
      </w:r>
      <w:r>
        <w:rPr>
          <w:rFonts w:hint="eastAsia" w:ascii="微软雅黑" w:hAnsi="微软雅黑" w:eastAsia="微软雅黑" w:cs="微软雅黑"/>
          <w:color w:val="auto"/>
          <w:sz w:val="28"/>
          <w:szCs w:val="36"/>
          <w:lang w:val="en-US" w:eastAsia="zh-CN"/>
        </w:rPr>
        <w:t>变异解读声明</w:t>
      </w:r>
      <w:bookmarkEnd w:id="51"/>
      <w:bookmarkEnd w:id="52"/>
    </w:p>
    <w:p w14:paraId="614F9AC5">
      <w:pPr>
        <w:pStyle w:val="45"/>
        <w:keepLines w:val="0"/>
        <w:pageBreakBefore w:val="0"/>
        <w:widowControl/>
        <w:kinsoku/>
        <w:wordWrap/>
        <w:overflowPunct/>
        <w:topLinePunct w:val="0"/>
        <w:bidi w:val="0"/>
        <w:snapToGrid/>
        <w:spacing w:line="240" w:lineRule="auto"/>
        <w:ind w:firstLine="363"/>
        <w:rPr>
          <w:rFonts w:hint="eastAsia" w:ascii="微软雅黑" w:hAnsi="微软雅黑" w:eastAsia="微软雅黑" w:cs="微软雅黑"/>
          <w:spacing w:val="14"/>
          <w:sz w:val="20"/>
          <w:szCs w:val="20"/>
          <w:lang w:val="en-US"/>
        </w:rPr>
      </w:pPr>
      <w:r>
        <w:rPr>
          <w:rFonts w:hint="eastAsia" w:ascii="微软雅黑" w:hAnsi="微软雅黑" w:eastAsia="微软雅黑" w:cs="微软雅黑"/>
          <w:spacing w:val="14"/>
          <w:sz w:val="20"/>
          <w:szCs w:val="20"/>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bookmarkEnd w:id="44"/>
    <w:p w14:paraId="6F6EBB0E">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53" w:name="_Toc28716"/>
      <w:bookmarkStart w:id="54" w:name="_Toc13275"/>
      <w:bookmarkStart w:id="55" w:name="_Toc22162_WPSOffice_Level1"/>
      <w:bookmarkStart w:id="56" w:name="_Toc22623"/>
      <w:bookmarkStart w:id="57" w:name="_Toc17792_WPSOffice_Level2"/>
      <w:bookmarkStart w:id="58" w:name="_Toc19584_WPSOffice_Level1"/>
      <w:bookmarkStart w:id="59" w:name="_Toc14611_WPSOffice_Level1"/>
    </w:p>
    <w:p w14:paraId="710A7AFB">
      <w:pPr>
        <w:pStyle w:val="3"/>
        <w:keepLines w:val="0"/>
        <w:pageBreakBefore w:val="0"/>
        <w:numPr>
          <w:ilvl w:val="0"/>
          <w:numId w:val="0"/>
        </w:numPr>
        <w:kinsoku/>
        <w:wordWrap/>
        <w:overflowPunct/>
        <w:topLinePunct w:val="0"/>
        <w:bidi w:val="0"/>
        <w:snapToGrid/>
        <w:spacing w:line="240" w:lineRule="auto"/>
        <w:jc w:val="both"/>
        <w:rPr>
          <w:rFonts w:hint="eastAsia" w:ascii="微软雅黑" w:hAnsi="微软雅黑" w:eastAsia="微软雅黑" w:cs="微软雅黑"/>
          <w:color w:val="auto"/>
          <w:sz w:val="28"/>
          <w:szCs w:val="36"/>
          <w:lang w:val="en-US" w:eastAsia="zh-CN"/>
        </w:rPr>
      </w:pPr>
      <w:bookmarkStart w:id="60" w:name="_Toc29854"/>
      <w:r>
        <w:rPr>
          <w:rFonts w:hint="eastAsia" w:ascii="微软雅黑" w:hAnsi="微软雅黑" w:eastAsia="微软雅黑" w:cs="微软雅黑"/>
          <w:color w:val="auto"/>
          <w:sz w:val="28"/>
          <w:szCs w:val="36"/>
          <w:lang w:val="en-US" w:eastAsia="zh-CN"/>
        </w:rPr>
        <w:t>5.6 参考文献</w:t>
      </w:r>
      <w:bookmarkEnd w:id="53"/>
      <w:bookmarkEnd w:id="60"/>
    </w:p>
    <w:bookmarkEnd w:id="54"/>
    <w:bookmarkEnd w:id="55"/>
    <w:bookmarkEnd w:id="56"/>
    <w:bookmarkEnd w:id="57"/>
    <w:bookmarkEnd w:id="58"/>
    <w:bookmarkEnd w:id="59"/>
    <w:p w14:paraId="2200DD71">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5" w:leftChars="0" w:hanging="425"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NCCN Genetic/Familial High-Risk Assessment: Breast, Ovarian, and Pancreatic (version 1.2022)</w:t>
      </w:r>
    </w:p>
    <w:p w14:paraId="4CCDEAC6">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5" w:leftChars="0" w:hanging="425"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NCCN Genetic/Familial High-Risk Assessment: Colorectal (version 1.2021)</w:t>
      </w:r>
    </w:p>
    <w:p w14:paraId="1536677F">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5" w:leftChars="0" w:hanging="425"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PMID: 31378807,Stjepanovic N,Moreira L,Carneiro F et al. Hereditary gastrointestinal cancers: ESMO Clinical Practice Guidelines for diagnosis, treatment and follow-up†.[J] .Ann Oncol, 2019, 30: 1558-1571.</w:t>
      </w:r>
    </w:p>
    <w:p w14:paraId="0363DF46">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5" w:leftChars="0" w:hanging="425"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中国临床肿瘤学会（CSCO）结直肠癌诊疗指南（2018版）</w:t>
      </w:r>
    </w:p>
    <w:p w14:paraId="2D49AAF6">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5" w:leftChars="0" w:hanging="425"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遗传性结直肠癌临床诊治和家系管理中国专家共识（2018版）</w:t>
      </w:r>
    </w:p>
    <w:p w14:paraId="2E501D11">
      <w:pPr>
        <w:keepLines w:val="0"/>
        <w:pageBreakBefore w:val="0"/>
        <w:kinsoku/>
        <w:wordWrap/>
        <w:overflowPunct/>
        <w:topLinePunct w:val="0"/>
        <w:bidi w:val="0"/>
        <w:snapToGrid/>
        <w:spacing w:line="240" w:lineRule="auto"/>
        <w:rPr>
          <w:rFonts w:hint="eastAsia" w:ascii="微软雅黑" w:hAnsi="微软雅黑" w:eastAsia="微软雅黑" w:cs="微软雅黑"/>
          <w:sz w:val="20"/>
          <w:szCs w:val="20"/>
        </w:rPr>
        <w:sectPr>
          <w:headerReference r:id="rId6" w:type="default"/>
          <w:footerReference r:id="rId7"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p>
    <w:p w14:paraId="19E635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sz w:val="15"/>
          <w:szCs w:val="15"/>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3"/>
                    <a:srcRect l="5087" t="4496" r="9080" b="6488"/>
                    <a:stretch>
                      <a:fillRect/>
                    </a:stretch>
                  </pic:blipFill>
                  <pic:spPr>
                    <a:xfrm>
                      <a:off x="0" y="0"/>
                      <a:ext cx="5988050" cy="9209405"/>
                    </a:xfrm>
                    <a:prstGeom prst="rect">
                      <a:avLst/>
                    </a:prstGeom>
                  </pic:spPr>
                </pic:pic>
              </a:graphicData>
            </a:graphic>
          </wp:inline>
        </w:drawing>
      </w:r>
    </w:p>
    <w:p w14:paraId="7C8C583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sz w:val="15"/>
          <w:szCs w:val="15"/>
          <w:lang w:eastAsia="zh-CN"/>
        </w:rPr>
      </w:pPr>
      <w:r>
        <w:rPr>
          <w:rFonts w:hint="eastAsia" w:eastAsia="微软雅黑" w:cs="Times New Roman"/>
          <w:lang w:eastAsia="zh-CN"/>
        </w:rPr>
        <w:br w:type="page"/>
      </w:r>
    </w:p>
    <w:p w14:paraId="6827072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sz w:val="15"/>
          <w:szCs w:val="15"/>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4"/>
                    <a:stretch>
                      <a:fillRect/>
                    </a:stretch>
                  </pic:blipFill>
                  <pic:spPr>
                    <a:xfrm>
                      <a:off x="0" y="0"/>
                      <a:ext cx="6259830" cy="8677910"/>
                    </a:xfrm>
                    <a:prstGeom prst="rect">
                      <a:avLst/>
                    </a:prstGeom>
                  </pic:spPr>
                </pic:pic>
              </a:graphicData>
            </a:graphic>
          </wp:inline>
        </w:drawing>
      </w:r>
    </w:p>
    <w:p w14:paraId="437AAE16">
      <w:pPr>
        <w:keepLines w:val="0"/>
        <w:pageBreakBefore w:val="0"/>
        <w:kinsoku/>
        <w:wordWrap/>
        <w:overflowPunct/>
        <w:topLinePunct w:val="0"/>
        <w:bidi w:val="0"/>
        <w:snapToGrid/>
        <w:spacing w:line="240" w:lineRule="auto"/>
        <w:rPr>
          <w:rFonts w:hint="eastAsia" w:ascii="微软雅黑" w:hAnsi="微软雅黑" w:eastAsia="微软雅黑" w:cs="微软雅黑"/>
          <w:sz w:val="15"/>
          <w:szCs w:val="15"/>
          <w:lang w:eastAsia="zh-CN"/>
        </w:rPr>
      </w:pPr>
    </w:p>
    <w:sectPr>
      <w:headerReference r:id="rId8" w:type="default"/>
      <w:footerReference r:id="rId9"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YaHei">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Adobe 宋体 Std L">
    <w:altName w:val="宋体"/>
    <w:panose1 w:val="00000000000000000000"/>
    <w:charset w:val="86"/>
    <w:family w:val="roman"/>
    <w:pitch w:val="default"/>
    <w:sig w:usb0="00000000" w:usb1="00000000" w:usb2="00000016" w:usb3="00000000" w:csb0="000600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4147">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pPr w:leftFromText="181" w:rightFromText="181" w:vertAnchor="page" w:horzAnchor="page" w:tblpX="1124" w:tblpY="158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2D4D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tcBorders>
            <w:top w:val="single" w:color="0B8770" w:sz="8" w:space="0"/>
            <w:left w:val="nil"/>
            <w:bottom w:val="single" w:color="0B8770" w:sz="8" w:space="0"/>
            <w:right w:val="nil"/>
          </w:tcBorders>
          <w:vAlign w:val="center"/>
        </w:tcPr>
        <w:p w14:paraId="7BE4DDA2">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135DE263">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bCs/>
              <w:color w:val="000000"/>
              <w:sz w:val="21"/>
              <w:szCs w:val="21"/>
              <w:lang w:eastAsia="zh-CN"/>
            </w:rPr>
            <w:t>{{ serial_number }}</w:t>
          </w:r>
          <w:r>
            <w:rPr>
              <w:rFonts w:hint="eastAsia" w:ascii="Times New Roman" w:hAnsi="Times New Roman" w:eastAsia="微软雅黑" w:cs="Times New Roman"/>
              <w:bCs/>
              <w:color w:val="000000"/>
              <w:sz w:val="21"/>
              <w:szCs w:val="21"/>
              <w:lang w:eastAsia="zh-CN"/>
            </w:rPr>
            <w:tab/>
          </w:r>
        </w:p>
      </w:tc>
      <w:tc>
        <w:tcPr>
          <w:tcW w:w="2522" w:type="dxa"/>
          <w:tcBorders>
            <w:top w:val="single" w:color="0B8770" w:sz="8" w:space="0"/>
            <w:left w:val="nil"/>
            <w:bottom w:val="single" w:color="0B8770" w:sz="8" w:space="0"/>
            <w:right w:val="nil"/>
          </w:tcBorders>
          <w:vAlign w:val="center"/>
        </w:tcPr>
        <w:p w14:paraId="49D6DBA2">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2BFD5007">
          <w:pPr>
            <w:tabs>
              <w:tab w:val="center" w:pos="857"/>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lang w:eastAsia="zh-CN"/>
            </w:rPr>
            <w:t>{{ reportdate }}</w:t>
          </w:r>
          <w:r>
            <w:rPr>
              <w:rFonts w:hint="eastAsia" w:ascii="Times New Roman" w:hAnsi="Times New Roman" w:eastAsia="微软雅黑" w:cs="Times New Roman"/>
              <w:szCs w:val="28"/>
              <w:lang w:eastAsia="zh-CN"/>
            </w:rPr>
            <w:tab/>
          </w:r>
        </w:p>
      </w:tc>
    </w:tr>
  </w:tbl>
  <w:p w14:paraId="1FD92A76">
    <w:pPr>
      <w:rPr>
        <w:sz w:val="20"/>
        <w:szCs w:val="20"/>
      </w:rPr>
    </w:pPr>
  </w:p>
  <w:p w14:paraId="0B561913">
    <w:pPr>
      <w:rPr>
        <w:sz w:val="20"/>
        <w:szCs w:val="20"/>
      </w:rPr>
    </w:pPr>
    <w:r>
      <w:rPr>
        <w:sz w:val="20"/>
        <w:lang w:eastAsia="zh-CN"/>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266700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2E39E">
                          <w:pPr>
                            <w:pStyle w:val="9"/>
                            <w:jc w:val="center"/>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21pt;height:144pt;width:144pt;mso-position-horizontal:center;mso-position-horizontal-relative:page;mso-wrap-style:none;z-index:251659264;mso-width-relative:page;mso-height-relative:page;" filled="f" stroked="f" coordsize="21600,21600" o:gfxdata="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SHNQAAAAHAQAADwAAAAAAAAABACAAAAAiAAAAZHJzL2Rvd25yZXYueG1sUEsBAhQAFAAA&#10;AAgAh07iQOH3jSMsAgAAVwQAAA4AAAAAAAAAAQAgAAAAIwEAAGRycy9lMm9Eb2MueG1sUEsFBgAA&#10;AAAGAAYAWQEAAMEFAAAAAA==&#10;">
              <v:fill on="f" focussize="0,0"/>
              <v:stroke on="f" weight="0.5pt"/>
              <v:imagedata o:title=""/>
              <o:lock v:ext="edit" aspectratio="f"/>
              <v:textbox inset="0mm,0mm,0mm,0mm" style="mso-fit-shape-to-text:t;">
                <w:txbxContent>
                  <w:p w14:paraId="7622E39E">
                    <w:pPr>
                      <w:pStyle w:val="9"/>
                      <w:jc w:val="center"/>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15</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B8BEA">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442A9">
    <w:pPr>
      <w:ind w:left="2856" w:hanging="2998" w:hangingChars="1428"/>
      <w:jc w:val="both"/>
      <w:rPr>
        <w:color w:val="7F7F7F"/>
        <w:sz w:val="21"/>
        <w:szCs w:val="21"/>
        <w:lang w:eastAsia="zh-CN"/>
      </w:rPr>
    </w:pPr>
  </w:p>
  <w:p w14:paraId="523EA243">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FB347">
    <w:pPr>
      <w:ind w:left="2856" w:hanging="2856" w:hangingChars="1428"/>
      <w:jc w:val="both"/>
      <w:rPr>
        <w:color w:val="7F7F7F"/>
        <w:sz w:val="21"/>
        <w:szCs w:val="21"/>
        <w:lang w:eastAsia="zh-CN"/>
      </w:rPr>
    </w:pPr>
    <w:r>
      <w:rPr>
        <w:sz w:val="20"/>
        <w:lang w:eastAsia="zh-CN"/>
      </w:rPr>
      <w:drawing>
        <wp:anchor distT="0" distB="0" distL="114300" distR="114300" simplePos="0" relativeHeight="251662336" behindDoc="0" locked="0" layoutInCell="1" allowOverlap="1">
          <wp:simplePos x="0" y="0"/>
          <wp:positionH relativeFrom="column">
            <wp:posOffset>-253365</wp:posOffset>
          </wp:positionH>
          <wp:positionV relativeFrom="paragraph">
            <wp:posOffset>-211455</wp:posOffset>
          </wp:positionV>
          <wp:extent cx="1836420" cy="376555"/>
          <wp:effectExtent l="0" t="0" r="7620" b="4445"/>
          <wp:wrapSquare wrapText="bothSides"/>
          <wp:docPr id="4" name="图片 4"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4749CECD">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FB3">
    <w:pPr>
      <w:ind w:left="2856" w:hanging="2856" w:hangingChars="1428"/>
      <w:jc w:val="both"/>
      <w:rPr>
        <w:color w:val="7F7F7F"/>
        <w:sz w:val="21"/>
        <w:szCs w:val="21"/>
        <w:lang w:eastAsia="zh-CN"/>
      </w:rPr>
    </w:pPr>
    <w:r>
      <w:rPr>
        <w:sz w:val="20"/>
        <w:lang w:eastAsia="zh-CN"/>
      </w:rPr>
      <w:drawing>
        <wp:anchor distT="0" distB="0" distL="114300" distR="114300" simplePos="0" relativeHeight="251661312" behindDoc="0" locked="0" layoutInCell="1" allowOverlap="1">
          <wp:simplePos x="0" y="0"/>
          <wp:positionH relativeFrom="column">
            <wp:posOffset>-253365</wp:posOffset>
          </wp:positionH>
          <wp:positionV relativeFrom="paragraph">
            <wp:posOffset>-247650</wp:posOffset>
          </wp:positionV>
          <wp:extent cx="1836420" cy="376555"/>
          <wp:effectExtent l="0" t="0" r="7620" b="4445"/>
          <wp:wrapSquare wrapText="bothSides"/>
          <wp:docPr id="1" name="图片 1"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57AE743E">
    <w:pPr>
      <w:spacing w:line="14" w:lineRule="auto"/>
      <w:rPr>
        <w:sz w:val="20"/>
        <w:szCs w:val="20"/>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90463">
    <w:pPr>
      <w:jc w:val="both"/>
      <w:rPr>
        <w:color w:val="7F7F7F"/>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D68423A6"/>
    <w:multiLevelType w:val="singleLevel"/>
    <w:tmpl w:val="D68423A6"/>
    <w:lvl w:ilvl="0" w:tentative="0">
      <w:start w:val="1"/>
      <w:numFmt w:val="decimal"/>
      <w:lvlText w:val="%1."/>
      <w:lvlJc w:val="left"/>
      <w:pPr>
        <w:ind w:left="425" w:hanging="425"/>
      </w:pPr>
      <w:rPr>
        <w:rFonts w:hint="default"/>
      </w:rPr>
    </w:lvl>
  </w:abstractNum>
  <w:abstractNum w:abstractNumId="1">
    <w:nsid w:val="D740A26C"/>
    <w:multiLevelType w:val="singleLevel"/>
    <w:tmpl w:val="D740A26C"/>
    <w:lvl w:ilvl="0" w:tentative="0">
      <w:start w:val="1"/>
      <w:numFmt w:val="decimal"/>
      <w:suff w:val="space"/>
      <w:lvlText w:val="%1."/>
      <w:lvlJc w:val="left"/>
    </w:lvl>
  </w:abstractNum>
  <w:abstractNum w:abstractNumId="2">
    <w:nsid w:val="219D0AF6"/>
    <w:multiLevelType w:val="singleLevel"/>
    <w:tmpl w:val="219D0AF6"/>
    <w:lvl w:ilvl="0" w:tentative="0">
      <w:start w:val="1"/>
      <w:numFmt w:val="decimal"/>
      <w:suff w:val="space"/>
      <w:lvlText w:val="%1."/>
      <w:lvlJc w:val="left"/>
      <w:pPr>
        <w:ind w:left="87"/>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FE2A38E"/>
    <w:multiLevelType w:val="singleLevel"/>
    <w:tmpl w:val="3FE2A38E"/>
    <w:lvl w:ilvl="0" w:tentative="0">
      <w:start w:val="1"/>
      <w:numFmt w:val="decimal"/>
      <w:lvlText w:val="%1."/>
      <w:lvlJc w:val="left"/>
      <w:pPr>
        <w:ind w:left="425" w:hanging="425"/>
      </w:pPr>
      <w:rPr>
        <w:rFonts w:hint="default" w:ascii="微软雅黑" w:hAnsi="微软雅黑" w:eastAsia="微软雅黑" w:cs="微软雅黑"/>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3"/>
  </w:num>
  <w:num w:numId="5">
    <w:abstractNumId w:val="4"/>
  </w:num>
  <w:num w:numId="6">
    <w:abstractNumId w:val="1"/>
  </w:num>
  <w:num w:numId="7">
    <w:abstractNumId w:val="5"/>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364B"/>
    <w:rsid w:val="000075B2"/>
    <w:rsid w:val="00027462"/>
    <w:rsid w:val="00033443"/>
    <w:rsid w:val="000453A2"/>
    <w:rsid w:val="00050EC3"/>
    <w:rsid w:val="00053185"/>
    <w:rsid w:val="00063451"/>
    <w:rsid w:val="00063D61"/>
    <w:rsid w:val="00080C25"/>
    <w:rsid w:val="0008356A"/>
    <w:rsid w:val="000A25EF"/>
    <w:rsid w:val="000E32CA"/>
    <w:rsid w:val="000F48D8"/>
    <w:rsid w:val="001141CA"/>
    <w:rsid w:val="001352AC"/>
    <w:rsid w:val="00146673"/>
    <w:rsid w:val="00157515"/>
    <w:rsid w:val="00172A27"/>
    <w:rsid w:val="001846E1"/>
    <w:rsid w:val="001A7044"/>
    <w:rsid w:val="001B2669"/>
    <w:rsid w:val="001C0F01"/>
    <w:rsid w:val="001C155C"/>
    <w:rsid w:val="001D1CAE"/>
    <w:rsid w:val="001E0ED7"/>
    <w:rsid w:val="001F1443"/>
    <w:rsid w:val="001F50EA"/>
    <w:rsid w:val="00200AFA"/>
    <w:rsid w:val="00200E83"/>
    <w:rsid w:val="00222B21"/>
    <w:rsid w:val="00227A2A"/>
    <w:rsid w:val="0023413B"/>
    <w:rsid w:val="00234B10"/>
    <w:rsid w:val="0024348C"/>
    <w:rsid w:val="0025168E"/>
    <w:rsid w:val="002636CF"/>
    <w:rsid w:val="00280A5B"/>
    <w:rsid w:val="002850BB"/>
    <w:rsid w:val="002918E6"/>
    <w:rsid w:val="002A5154"/>
    <w:rsid w:val="002A77BA"/>
    <w:rsid w:val="002C1C7D"/>
    <w:rsid w:val="002C357F"/>
    <w:rsid w:val="002D6EF8"/>
    <w:rsid w:val="002E0910"/>
    <w:rsid w:val="002E1536"/>
    <w:rsid w:val="002F0BAC"/>
    <w:rsid w:val="002F3F3A"/>
    <w:rsid w:val="003100C5"/>
    <w:rsid w:val="0032374C"/>
    <w:rsid w:val="003275FF"/>
    <w:rsid w:val="00354E31"/>
    <w:rsid w:val="00370210"/>
    <w:rsid w:val="00373BFC"/>
    <w:rsid w:val="0038614A"/>
    <w:rsid w:val="00390AF6"/>
    <w:rsid w:val="003B27BF"/>
    <w:rsid w:val="003C764D"/>
    <w:rsid w:val="003C7EDD"/>
    <w:rsid w:val="003D72ED"/>
    <w:rsid w:val="004063F1"/>
    <w:rsid w:val="0042313A"/>
    <w:rsid w:val="00423FDB"/>
    <w:rsid w:val="00431531"/>
    <w:rsid w:val="0045255C"/>
    <w:rsid w:val="004778D6"/>
    <w:rsid w:val="00485FF1"/>
    <w:rsid w:val="00497E3B"/>
    <w:rsid w:val="004C6B8E"/>
    <w:rsid w:val="004C7418"/>
    <w:rsid w:val="004E20E8"/>
    <w:rsid w:val="004E3F93"/>
    <w:rsid w:val="00503BE5"/>
    <w:rsid w:val="00522F60"/>
    <w:rsid w:val="005479E7"/>
    <w:rsid w:val="00547D3B"/>
    <w:rsid w:val="00576C30"/>
    <w:rsid w:val="0059328A"/>
    <w:rsid w:val="00597074"/>
    <w:rsid w:val="005B2FCB"/>
    <w:rsid w:val="005C3DF8"/>
    <w:rsid w:val="00613EB6"/>
    <w:rsid w:val="006229F0"/>
    <w:rsid w:val="00656E82"/>
    <w:rsid w:val="00673D9E"/>
    <w:rsid w:val="00675481"/>
    <w:rsid w:val="006967F9"/>
    <w:rsid w:val="006C121F"/>
    <w:rsid w:val="006C3D0B"/>
    <w:rsid w:val="006D6622"/>
    <w:rsid w:val="006E17F0"/>
    <w:rsid w:val="006F2551"/>
    <w:rsid w:val="007157CA"/>
    <w:rsid w:val="00716B23"/>
    <w:rsid w:val="0072123B"/>
    <w:rsid w:val="0072776F"/>
    <w:rsid w:val="007316FA"/>
    <w:rsid w:val="007735A9"/>
    <w:rsid w:val="007765CB"/>
    <w:rsid w:val="007D3D01"/>
    <w:rsid w:val="007E12FF"/>
    <w:rsid w:val="00801FE3"/>
    <w:rsid w:val="00802349"/>
    <w:rsid w:val="00806D3D"/>
    <w:rsid w:val="00813930"/>
    <w:rsid w:val="00817F49"/>
    <w:rsid w:val="0085711A"/>
    <w:rsid w:val="00890E10"/>
    <w:rsid w:val="008A1843"/>
    <w:rsid w:val="008A339A"/>
    <w:rsid w:val="008A634D"/>
    <w:rsid w:val="008B093B"/>
    <w:rsid w:val="008B5D9E"/>
    <w:rsid w:val="008D1E6B"/>
    <w:rsid w:val="008E7370"/>
    <w:rsid w:val="00902C56"/>
    <w:rsid w:val="00923EF1"/>
    <w:rsid w:val="00932106"/>
    <w:rsid w:val="00940735"/>
    <w:rsid w:val="00943394"/>
    <w:rsid w:val="00965D87"/>
    <w:rsid w:val="0097261A"/>
    <w:rsid w:val="00977C1F"/>
    <w:rsid w:val="0098295E"/>
    <w:rsid w:val="00993169"/>
    <w:rsid w:val="009B458A"/>
    <w:rsid w:val="009C028A"/>
    <w:rsid w:val="009C4F9D"/>
    <w:rsid w:val="009F2238"/>
    <w:rsid w:val="00A01503"/>
    <w:rsid w:val="00A1478C"/>
    <w:rsid w:val="00A15B8C"/>
    <w:rsid w:val="00A41368"/>
    <w:rsid w:val="00A44851"/>
    <w:rsid w:val="00A46DCD"/>
    <w:rsid w:val="00A47654"/>
    <w:rsid w:val="00A6559D"/>
    <w:rsid w:val="00A730DE"/>
    <w:rsid w:val="00AA3E63"/>
    <w:rsid w:val="00AA7DD2"/>
    <w:rsid w:val="00AB51A4"/>
    <w:rsid w:val="00B337C2"/>
    <w:rsid w:val="00B36949"/>
    <w:rsid w:val="00B84550"/>
    <w:rsid w:val="00B87B69"/>
    <w:rsid w:val="00BA2397"/>
    <w:rsid w:val="00BB0AED"/>
    <w:rsid w:val="00BD4CC0"/>
    <w:rsid w:val="00BE0ACB"/>
    <w:rsid w:val="00BE114A"/>
    <w:rsid w:val="00BE21B8"/>
    <w:rsid w:val="00BE4CB2"/>
    <w:rsid w:val="00C00687"/>
    <w:rsid w:val="00C0111F"/>
    <w:rsid w:val="00C17019"/>
    <w:rsid w:val="00C21CDB"/>
    <w:rsid w:val="00C234B8"/>
    <w:rsid w:val="00C30656"/>
    <w:rsid w:val="00C46069"/>
    <w:rsid w:val="00CA5E09"/>
    <w:rsid w:val="00CA62B5"/>
    <w:rsid w:val="00CB197C"/>
    <w:rsid w:val="00CC09A6"/>
    <w:rsid w:val="00CD21EB"/>
    <w:rsid w:val="00CF3B4D"/>
    <w:rsid w:val="00CF3CB1"/>
    <w:rsid w:val="00CF7ADD"/>
    <w:rsid w:val="00D01F2D"/>
    <w:rsid w:val="00D12B04"/>
    <w:rsid w:val="00D15863"/>
    <w:rsid w:val="00D24840"/>
    <w:rsid w:val="00D50055"/>
    <w:rsid w:val="00D61A0F"/>
    <w:rsid w:val="00DA2F2F"/>
    <w:rsid w:val="00DC3D73"/>
    <w:rsid w:val="00DC42D4"/>
    <w:rsid w:val="00E25128"/>
    <w:rsid w:val="00E34ADB"/>
    <w:rsid w:val="00E35D32"/>
    <w:rsid w:val="00E53230"/>
    <w:rsid w:val="00E71EEB"/>
    <w:rsid w:val="00E840FC"/>
    <w:rsid w:val="00E915B2"/>
    <w:rsid w:val="00E9286C"/>
    <w:rsid w:val="00E9556A"/>
    <w:rsid w:val="00EB134F"/>
    <w:rsid w:val="00EB3E0A"/>
    <w:rsid w:val="00EC0157"/>
    <w:rsid w:val="00EC59B6"/>
    <w:rsid w:val="00F11CFA"/>
    <w:rsid w:val="00F261E1"/>
    <w:rsid w:val="00F44104"/>
    <w:rsid w:val="00F51C09"/>
    <w:rsid w:val="00F809A8"/>
    <w:rsid w:val="00FB0C1E"/>
    <w:rsid w:val="00FD1C76"/>
    <w:rsid w:val="00FF1626"/>
    <w:rsid w:val="00FF5E46"/>
    <w:rsid w:val="00FF7BB1"/>
    <w:rsid w:val="011A0D8B"/>
    <w:rsid w:val="01251664"/>
    <w:rsid w:val="012B5D8C"/>
    <w:rsid w:val="013411A8"/>
    <w:rsid w:val="01802C9E"/>
    <w:rsid w:val="0193234B"/>
    <w:rsid w:val="019B0A01"/>
    <w:rsid w:val="01C07A1A"/>
    <w:rsid w:val="01E01882"/>
    <w:rsid w:val="024A64DB"/>
    <w:rsid w:val="027F2303"/>
    <w:rsid w:val="02AB3332"/>
    <w:rsid w:val="02AB46FE"/>
    <w:rsid w:val="02CA5230"/>
    <w:rsid w:val="03726F1A"/>
    <w:rsid w:val="03EC12AF"/>
    <w:rsid w:val="040A684F"/>
    <w:rsid w:val="04562E59"/>
    <w:rsid w:val="04867E30"/>
    <w:rsid w:val="04871837"/>
    <w:rsid w:val="04A20014"/>
    <w:rsid w:val="04BF56DD"/>
    <w:rsid w:val="04C17114"/>
    <w:rsid w:val="04C2374E"/>
    <w:rsid w:val="050D7EDA"/>
    <w:rsid w:val="05121E5F"/>
    <w:rsid w:val="05411130"/>
    <w:rsid w:val="05A43F06"/>
    <w:rsid w:val="06145C04"/>
    <w:rsid w:val="06D33A56"/>
    <w:rsid w:val="06F8101D"/>
    <w:rsid w:val="074043CC"/>
    <w:rsid w:val="0758453C"/>
    <w:rsid w:val="07872E36"/>
    <w:rsid w:val="07883904"/>
    <w:rsid w:val="07915ECA"/>
    <w:rsid w:val="07AC659B"/>
    <w:rsid w:val="07DB59EB"/>
    <w:rsid w:val="07F128A2"/>
    <w:rsid w:val="089A2EC7"/>
    <w:rsid w:val="09A61D2D"/>
    <w:rsid w:val="09FB1359"/>
    <w:rsid w:val="0A043ABA"/>
    <w:rsid w:val="0AA0614B"/>
    <w:rsid w:val="0ADC4D3E"/>
    <w:rsid w:val="0B510739"/>
    <w:rsid w:val="0B86242F"/>
    <w:rsid w:val="0BC558CB"/>
    <w:rsid w:val="0BCC7B15"/>
    <w:rsid w:val="0C137E2E"/>
    <w:rsid w:val="0C3A0C95"/>
    <w:rsid w:val="0C3E5385"/>
    <w:rsid w:val="0C96240B"/>
    <w:rsid w:val="0D105078"/>
    <w:rsid w:val="0D663C9C"/>
    <w:rsid w:val="0DFF49C5"/>
    <w:rsid w:val="0E11445D"/>
    <w:rsid w:val="0E1B586D"/>
    <w:rsid w:val="0E542351"/>
    <w:rsid w:val="0E792F4F"/>
    <w:rsid w:val="0EBF2A43"/>
    <w:rsid w:val="0ED843CC"/>
    <w:rsid w:val="0EEC0C47"/>
    <w:rsid w:val="0EF70E3A"/>
    <w:rsid w:val="0F7313AF"/>
    <w:rsid w:val="0FB9297A"/>
    <w:rsid w:val="10963380"/>
    <w:rsid w:val="128F4AEF"/>
    <w:rsid w:val="12963DA1"/>
    <w:rsid w:val="12C802A3"/>
    <w:rsid w:val="13886440"/>
    <w:rsid w:val="13897526"/>
    <w:rsid w:val="13AB527B"/>
    <w:rsid w:val="13B34400"/>
    <w:rsid w:val="14434889"/>
    <w:rsid w:val="148972D9"/>
    <w:rsid w:val="14FB5A26"/>
    <w:rsid w:val="15196B67"/>
    <w:rsid w:val="152E3223"/>
    <w:rsid w:val="153F7D0D"/>
    <w:rsid w:val="155A471A"/>
    <w:rsid w:val="158E009B"/>
    <w:rsid w:val="15D171CD"/>
    <w:rsid w:val="15FD02F2"/>
    <w:rsid w:val="161A6AFC"/>
    <w:rsid w:val="16442C14"/>
    <w:rsid w:val="164976AB"/>
    <w:rsid w:val="1674206D"/>
    <w:rsid w:val="169A11C9"/>
    <w:rsid w:val="16AD561C"/>
    <w:rsid w:val="16C17241"/>
    <w:rsid w:val="16E82A20"/>
    <w:rsid w:val="16FF3D8E"/>
    <w:rsid w:val="17526BA2"/>
    <w:rsid w:val="17CE3734"/>
    <w:rsid w:val="17E476A7"/>
    <w:rsid w:val="17EE10AA"/>
    <w:rsid w:val="17EF172D"/>
    <w:rsid w:val="1836041A"/>
    <w:rsid w:val="18480D4B"/>
    <w:rsid w:val="19167E2A"/>
    <w:rsid w:val="19314B52"/>
    <w:rsid w:val="194078A9"/>
    <w:rsid w:val="19D96944"/>
    <w:rsid w:val="19E54725"/>
    <w:rsid w:val="1A054B30"/>
    <w:rsid w:val="1A1B0D94"/>
    <w:rsid w:val="1ACF425B"/>
    <w:rsid w:val="1AF43E42"/>
    <w:rsid w:val="1B142FDB"/>
    <w:rsid w:val="1B28649B"/>
    <w:rsid w:val="1BA36B7F"/>
    <w:rsid w:val="1C7A05D0"/>
    <w:rsid w:val="1C98707F"/>
    <w:rsid w:val="1CE617B0"/>
    <w:rsid w:val="1CFB3D7D"/>
    <w:rsid w:val="1D135393"/>
    <w:rsid w:val="1D185773"/>
    <w:rsid w:val="1D5F23CA"/>
    <w:rsid w:val="1DB37C17"/>
    <w:rsid w:val="1DD750EC"/>
    <w:rsid w:val="1E0D2131"/>
    <w:rsid w:val="1E2D19BD"/>
    <w:rsid w:val="1E485175"/>
    <w:rsid w:val="1EAB0C6A"/>
    <w:rsid w:val="1EC266A5"/>
    <w:rsid w:val="1EEB2832"/>
    <w:rsid w:val="1F7A08D5"/>
    <w:rsid w:val="1F931EB2"/>
    <w:rsid w:val="1FA77F0C"/>
    <w:rsid w:val="1FB62D27"/>
    <w:rsid w:val="1FCA404E"/>
    <w:rsid w:val="1FEA5695"/>
    <w:rsid w:val="20205A20"/>
    <w:rsid w:val="203D6983"/>
    <w:rsid w:val="205478E3"/>
    <w:rsid w:val="20855B55"/>
    <w:rsid w:val="208907AA"/>
    <w:rsid w:val="209432E5"/>
    <w:rsid w:val="20BE3A38"/>
    <w:rsid w:val="20E26FBF"/>
    <w:rsid w:val="21333755"/>
    <w:rsid w:val="216F18A9"/>
    <w:rsid w:val="21B82C79"/>
    <w:rsid w:val="22180203"/>
    <w:rsid w:val="22A6125B"/>
    <w:rsid w:val="235C2C2A"/>
    <w:rsid w:val="23DC4798"/>
    <w:rsid w:val="23FA3333"/>
    <w:rsid w:val="241D27D8"/>
    <w:rsid w:val="248A7AD8"/>
    <w:rsid w:val="248C3590"/>
    <w:rsid w:val="24B139C0"/>
    <w:rsid w:val="24C602F5"/>
    <w:rsid w:val="252A77AB"/>
    <w:rsid w:val="25C0610E"/>
    <w:rsid w:val="25EE2D8B"/>
    <w:rsid w:val="26086C3B"/>
    <w:rsid w:val="26136A1E"/>
    <w:rsid w:val="2636662C"/>
    <w:rsid w:val="26902CD1"/>
    <w:rsid w:val="26976104"/>
    <w:rsid w:val="269E6D93"/>
    <w:rsid w:val="26CA67C9"/>
    <w:rsid w:val="2762237B"/>
    <w:rsid w:val="27870460"/>
    <w:rsid w:val="28846232"/>
    <w:rsid w:val="289838E5"/>
    <w:rsid w:val="28B74238"/>
    <w:rsid w:val="290975E1"/>
    <w:rsid w:val="296B694A"/>
    <w:rsid w:val="296F5B95"/>
    <w:rsid w:val="298968EA"/>
    <w:rsid w:val="299126EE"/>
    <w:rsid w:val="29A0647E"/>
    <w:rsid w:val="29DE0525"/>
    <w:rsid w:val="29FC4D8F"/>
    <w:rsid w:val="2A0557DF"/>
    <w:rsid w:val="2A3716AB"/>
    <w:rsid w:val="2A386E0C"/>
    <w:rsid w:val="2A4B084E"/>
    <w:rsid w:val="2A7A5D12"/>
    <w:rsid w:val="2A8F79A3"/>
    <w:rsid w:val="2AC346F6"/>
    <w:rsid w:val="2ADE2A02"/>
    <w:rsid w:val="2AF73530"/>
    <w:rsid w:val="2B1C23E5"/>
    <w:rsid w:val="2B6E26CC"/>
    <w:rsid w:val="2B7E64D6"/>
    <w:rsid w:val="2BA14E2B"/>
    <w:rsid w:val="2BC37381"/>
    <w:rsid w:val="2BD36846"/>
    <w:rsid w:val="2C165FD1"/>
    <w:rsid w:val="2C263173"/>
    <w:rsid w:val="2C427C83"/>
    <w:rsid w:val="2C7F1570"/>
    <w:rsid w:val="2CB01DDA"/>
    <w:rsid w:val="2CE77CE5"/>
    <w:rsid w:val="2D3B1DEF"/>
    <w:rsid w:val="2D485130"/>
    <w:rsid w:val="2D4D36FA"/>
    <w:rsid w:val="2D7841B2"/>
    <w:rsid w:val="2DC31699"/>
    <w:rsid w:val="2DC94235"/>
    <w:rsid w:val="2E0C0EE9"/>
    <w:rsid w:val="2EB35A8A"/>
    <w:rsid w:val="2F0E1559"/>
    <w:rsid w:val="2F4D4854"/>
    <w:rsid w:val="2FD66401"/>
    <w:rsid w:val="302F01DB"/>
    <w:rsid w:val="306C463C"/>
    <w:rsid w:val="307D0225"/>
    <w:rsid w:val="308813D4"/>
    <w:rsid w:val="30B55C11"/>
    <w:rsid w:val="3109732A"/>
    <w:rsid w:val="31EA0843"/>
    <w:rsid w:val="31EB0C63"/>
    <w:rsid w:val="323F09F5"/>
    <w:rsid w:val="32786EF6"/>
    <w:rsid w:val="32B71D27"/>
    <w:rsid w:val="32B76BA4"/>
    <w:rsid w:val="32CC0ABE"/>
    <w:rsid w:val="331D2C73"/>
    <w:rsid w:val="33D44139"/>
    <w:rsid w:val="33E97D18"/>
    <w:rsid w:val="3410359D"/>
    <w:rsid w:val="34192A1D"/>
    <w:rsid w:val="34595184"/>
    <w:rsid w:val="34777EA9"/>
    <w:rsid w:val="34FD3649"/>
    <w:rsid w:val="357E5409"/>
    <w:rsid w:val="35B3556B"/>
    <w:rsid w:val="35F5325E"/>
    <w:rsid w:val="35FB4ABA"/>
    <w:rsid w:val="362639F9"/>
    <w:rsid w:val="36693C22"/>
    <w:rsid w:val="368045CB"/>
    <w:rsid w:val="368A6637"/>
    <w:rsid w:val="3691049E"/>
    <w:rsid w:val="36A229DD"/>
    <w:rsid w:val="371E73E3"/>
    <w:rsid w:val="372617A7"/>
    <w:rsid w:val="37C91205"/>
    <w:rsid w:val="37E81DE8"/>
    <w:rsid w:val="3848012E"/>
    <w:rsid w:val="3864085B"/>
    <w:rsid w:val="38977DB8"/>
    <w:rsid w:val="38CD0C60"/>
    <w:rsid w:val="38EA63E4"/>
    <w:rsid w:val="39107E9A"/>
    <w:rsid w:val="39315953"/>
    <w:rsid w:val="393903CD"/>
    <w:rsid w:val="3974CECD"/>
    <w:rsid w:val="3A1B479B"/>
    <w:rsid w:val="3A22275E"/>
    <w:rsid w:val="3B3223B9"/>
    <w:rsid w:val="3B7944CF"/>
    <w:rsid w:val="3C2E4000"/>
    <w:rsid w:val="3C454C57"/>
    <w:rsid w:val="3CAA05F4"/>
    <w:rsid w:val="3D1C54C3"/>
    <w:rsid w:val="3D1C7F4B"/>
    <w:rsid w:val="3D2F24DC"/>
    <w:rsid w:val="3D302D71"/>
    <w:rsid w:val="3D6C60E9"/>
    <w:rsid w:val="3D806245"/>
    <w:rsid w:val="3D855C98"/>
    <w:rsid w:val="3DA3095A"/>
    <w:rsid w:val="3E3C3CCD"/>
    <w:rsid w:val="3E8769F6"/>
    <w:rsid w:val="3EC949BD"/>
    <w:rsid w:val="3EF83886"/>
    <w:rsid w:val="3F15780A"/>
    <w:rsid w:val="3F3B2E46"/>
    <w:rsid w:val="3F6F4973"/>
    <w:rsid w:val="3F8C2399"/>
    <w:rsid w:val="401851BE"/>
    <w:rsid w:val="40423B40"/>
    <w:rsid w:val="4055351F"/>
    <w:rsid w:val="405979F4"/>
    <w:rsid w:val="406C1020"/>
    <w:rsid w:val="40BA2B58"/>
    <w:rsid w:val="40BA697C"/>
    <w:rsid w:val="40CB7F60"/>
    <w:rsid w:val="40DA6652"/>
    <w:rsid w:val="410D268C"/>
    <w:rsid w:val="415B3819"/>
    <w:rsid w:val="41C73588"/>
    <w:rsid w:val="41DA6C4D"/>
    <w:rsid w:val="42276243"/>
    <w:rsid w:val="429012F2"/>
    <w:rsid w:val="42B245CD"/>
    <w:rsid w:val="42D8067D"/>
    <w:rsid w:val="43CC66BA"/>
    <w:rsid w:val="44040D89"/>
    <w:rsid w:val="443D4776"/>
    <w:rsid w:val="445E450E"/>
    <w:rsid w:val="446753DB"/>
    <w:rsid w:val="44894F93"/>
    <w:rsid w:val="44DD20D5"/>
    <w:rsid w:val="450242AD"/>
    <w:rsid w:val="45252AAE"/>
    <w:rsid w:val="454A2BAB"/>
    <w:rsid w:val="457B6715"/>
    <w:rsid w:val="45D4644E"/>
    <w:rsid w:val="465B60EF"/>
    <w:rsid w:val="46C824F6"/>
    <w:rsid w:val="46CC0ACA"/>
    <w:rsid w:val="46F17F96"/>
    <w:rsid w:val="4719368E"/>
    <w:rsid w:val="479223B1"/>
    <w:rsid w:val="47FE73E0"/>
    <w:rsid w:val="496408AB"/>
    <w:rsid w:val="4A186239"/>
    <w:rsid w:val="4A9F106C"/>
    <w:rsid w:val="4ABC0B53"/>
    <w:rsid w:val="4ACA4DCE"/>
    <w:rsid w:val="4B0D504E"/>
    <w:rsid w:val="4B315A79"/>
    <w:rsid w:val="4B441481"/>
    <w:rsid w:val="4B553763"/>
    <w:rsid w:val="4BDD7F56"/>
    <w:rsid w:val="4BE154B9"/>
    <w:rsid w:val="4D1C23B3"/>
    <w:rsid w:val="4D537EEC"/>
    <w:rsid w:val="4D6B5CEB"/>
    <w:rsid w:val="4D720CBA"/>
    <w:rsid w:val="4D844549"/>
    <w:rsid w:val="4D963B33"/>
    <w:rsid w:val="4DB12E65"/>
    <w:rsid w:val="4DC108F4"/>
    <w:rsid w:val="4DD24CA9"/>
    <w:rsid w:val="4DE929CA"/>
    <w:rsid w:val="4E901596"/>
    <w:rsid w:val="4ED24E8A"/>
    <w:rsid w:val="4FA75211"/>
    <w:rsid w:val="4FD87750"/>
    <w:rsid w:val="4FDF7E6D"/>
    <w:rsid w:val="50135FB1"/>
    <w:rsid w:val="502D5660"/>
    <w:rsid w:val="509B4DFC"/>
    <w:rsid w:val="51160562"/>
    <w:rsid w:val="519E3AC3"/>
    <w:rsid w:val="51B00DA8"/>
    <w:rsid w:val="52383B37"/>
    <w:rsid w:val="52403AF9"/>
    <w:rsid w:val="5243228E"/>
    <w:rsid w:val="52C637B6"/>
    <w:rsid w:val="5312550A"/>
    <w:rsid w:val="535803B1"/>
    <w:rsid w:val="53DE69BF"/>
    <w:rsid w:val="53FD6F66"/>
    <w:rsid w:val="5414635E"/>
    <w:rsid w:val="543B1862"/>
    <w:rsid w:val="54426FA4"/>
    <w:rsid w:val="54553419"/>
    <w:rsid w:val="547B7136"/>
    <w:rsid w:val="547F2EB4"/>
    <w:rsid w:val="54D723E8"/>
    <w:rsid w:val="55164621"/>
    <w:rsid w:val="55250EC9"/>
    <w:rsid w:val="5599310B"/>
    <w:rsid w:val="55C15CC7"/>
    <w:rsid w:val="55CA2C9F"/>
    <w:rsid w:val="55CC3110"/>
    <w:rsid w:val="55D313BB"/>
    <w:rsid w:val="55F312E2"/>
    <w:rsid w:val="56280ECB"/>
    <w:rsid w:val="562D03CE"/>
    <w:rsid w:val="56717539"/>
    <w:rsid w:val="56860675"/>
    <w:rsid w:val="56B87757"/>
    <w:rsid w:val="56BE67A9"/>
    <w:rsid w:val="56C01169"/>
    <w:rsid w:val="570E1F40"/>
    <w:rsid w:val="57174680"/>
    <w:rsid w:val="57C96345"/>
    <w:rsid w:val="57DC1567"/>
    <w:rsid w:val="57E263AA"/>
    <w:rsid w:val="58A44110"/>
    <w:rsid w:val="5927169E"/>
    <w:rsid w:val="59C3542B"/>
    <w:rsid w:val="59EB0FCE"/>
    <w:rsid w:val="5B0E6C5C"/>
    <w:rsid w:val="5B432E45"/>
    <w:rsid w:val="5B592C68"/>
    <w:rsid w:val="5B900618"/>
    <w:rsid w:val="5B995664"/>
    <w:rsid w:val="5BB44C7F"/>
    <w:rsid w:val="5C1E4DDA"/>
    <w:rsid w:val="5C332C6E"/>
    <w:rsid w:val="5C427AAA"/>
    <w:rsid w:val="5C4F7B33"/>
    <w:rsid w:val="5C5D1851"/>
    <w:rsid w:val="5C674E89"/>
    <w:rsid w:val="5C7C7800"/>
    <w:rsid w:val="5D031DF3"/>
    <w:rsid w:val="5D090FC9"/>
    <w:rsid w:val="5D2F467F"/>
    <w:rsid w:val="5D4E4268"/>
    <w:rsid w:val="5DC30642"/>
    <w:rsid w:val="5E233C16"/>
    <w:rsid w:val="5E6A778C"/>
    <w:rsid w:val="5F252FFF"/>
    <w:rsid w:val="5F2C200D"/>
    <w:rsid w:val="5F722487"/>
    <w:rsid w:val="5FA2526B"/>
    <w:rsid w:val="5FA82368"/>
    <w:rsid w:val="5FB61D64"/>
    <w:rsid w:val="5FD41360"/>
    <w:rsid w:val="5FE32170"/>
    <w:rsid w:val="5FF61953"/>
    <w:rsid w:val="5FFF5211"/>
    <w:rsid w:val="600E54F4"/>
    <w:rsid w:val="60575AEE"/>
    <w:rsid w:val="607B75C7"/>
    <w:rsid w:val="609D315D"/>
    <w:rsid w:val="60D51A59"/>
    <w:rsid w:val="60E82224"/>
    <w:rsid w:val="60ED5C13"/>
    <w:rsid w:val="61102A63"/>
    <w:rsid w:val="61173D6D"/>
    <w:rsid w:val="611E18A1"/>
    <w:rsid w:val="612A5378"/>
    <w:rsid w:val="616B40B4"/>
    <w:rsid w:val="61B17DFE"/>
    <w:rsid w:val="61CF3CD4"/>
    <w:rsid w:val="62866029"/>
    <w:rsid w:val="62A05E37"/>
    <w:rsid w:val="62B04007"/>
    <w:rsid w:val="62BE46F5"/>
    <w:rsid w:val="62DB637F"/>
    <w:rsid w:val="6300421A"/>
    <w:rsid w:val="631355E4"/>
    <w:rsid w:val="638A6F71"/>
    <w:rsid w:val="640B7333"/>
    <w:rsid w:val="6469117D"/>
    <w:rsid w:val="64723B42"/>
    <w:rsid w:val="64896C50"/>
    <w:rsid w:val="649223CF"/>
    <w:rsid w:val="64EC6C5A"/>
    <w:rsid w:val="65016479"/>
    <w:rsid w:val="6513162B"/>
    <w:rsid w:val="65485F0B"/>
    <w:rsid w:val="659A0956"/>
    <w:rsid w:val="65B119A5"/>
    <w:rsid w:val="65C23A09"/>
    <w:rsid w:val="65EC2BA0"/>
    <w:rsid w:val="65F02953"/>
    <w:rsid w:val="66507577"/>
    <w:rsid w:val="66A52209"/>
    <w:rsid w:val="66EF0190"/>
    <w:rsid w:val="670E76D1"/>
    <w:rsid w:val="671F1593"/>
    <w:rsid w:val="6733654D"/>
    <w:rsid w:val="675D512D"/>
    <w:rsid w:val="679C2069"/>
    <w:rsid w:val="67A03025"/>
    <w:rsid w:val="67B67E41"/>
    <w:rsid w:val="67D77C44"/>
    <w:rsid w:val="67DF4395"/>
    <w:rsid w:val="67E40A7E"/>
    <w:rsid w:val="683055C1"/>
    <w:rsid w:val="6852376A"/>
    <w:rsid w:val="687B05EF"/>
    <w:rsid w:val="68E55C8F"/>
    <w:rsid w:val="690A0160"/>
    <w:rsid w:val="692A7E3A"/>
    <w:rsid w:val="69951B60"/>
    <w:rsid w:val="69A03FE1"/>
    <w:rsid w:val="69C212AA"/>
    <w:rsid w:val="69E80DFF"/>
    <w:rsid w:val="6A56045B"/>
    <w:rsid w:val="6A722070"/>
    <w:rsid w:val="6A8B32FC"/>
    <w:rsid w:val="6A90444F"/>
    <w:rsid w:val="6AB64DF9"/>
    <w:rsid w:val="6ACA5AA3"/>
    <w:rsid w:val="6B0E7573"/>
    <w:rsid w:val="6B2031BA"/>
    <w:rsid w:val="6B5F7E02"/>
    <w:rsid w:val="6B6721F6"/>
    <w:rsid w:val="6B6E73B6"/>
    <w:rsid w:val="6BF24AB8"/>
    <w:rsid w:val="6BF4709A"/>
    <w:rsid w:val="6C055638"/>
    <w:rsid w:val="6C0B233D"/>
    <w:rsid w:val="6C385BB0"/>
    <w:rsid w:val="6C81768C"/>
    <w:rsid w:val="6C89300D"/>
    <w:rsid w:val="6CA1407A"/>
    <w:rsid w:val="6CD9465D"/>
    <w:rsid w:val="6D2C6B1F"/>
    <w:rsid w:val="6D8141AA"/>
    <w:rsid w:val="6DA813EC"/>
    <w:rsid w:val="6DD51C16"/>
    <w:rsid w:val="6E7F79BB"/>
    <w:rsid w:val="6F2D4C4C"/>
    <w:rsid w:val="6F3D1444"/>
    <w:rsid w:val="6FB55A0D"/>
    <w:rsid w:val="6FC738C5"/>
    <w:rsid w:val="70043293"/>
    <w:rsid w:val="70184EA3"/>
    <w:rsid w:val="70820D9C"/>
    <w:rsid w:val="70C73532"/>
    <w:rsid w:val="70CB53E1"/>
    <w:rsid w:val="71447F7A"/>
    <w:rsid w:val="717D4DCC"/>
    <w:rsid w:val="71BA5CDF"/>
    <w:rsid w:val="71C60CA7"/>
    <w:rsid w:val="723A2B9F"/>
    <w:rsid w:val="7259341C"/>
    <w:rsid w:val="726D7A5A"/>
    <w:rsid w:val="72B756E8"/>
    <w:rsid w:val="72E63502"/>
    <w:rsid w:val="733A4CDB"/>
    <w:rsid w:val="734124FB"/>
    <w:rsid w:val="734521A8"/>
    <w:rsid w:val="73707E67"/>
    <w:rsid w:val="7376112F"/>
    <w:rsid w:val="73A95296"/>
    <w:rsid w:val="741F0C23"/>
    <w:rsid w:val="744F31BB"/>
    <w:rsid w:val="745148D6"/>
    <w:rsid w:val="74BC7F66"/>
    <w:rsid w:val="74D10052"/>
    <w:rsid w:val="74D23E0E"/>
    <w:rsid w:val="75295BE2"/>
    <w:rsid w:val="75686B98"/>
    <w:rsid w:val="75E71B95"/>
    <w:rsid w:val="764339F4"/>
    <w:rsid w:val="76A021B3"/>
    <w:rsid w:val="76A03194"/>
    <w:rsid w:val="76B664D7"/>
    <w:rsid w:val="76EA1FF3"/>
    <w:rsid w:val="76EB2B73"/>
    <w:rsid w:val="776123B0"/>
    <w:rsid w:val="77876861"/>
    <w:rsid w:val="77911B7A"/>
    <w:rsid w:val="77D16924"/>
    <w:rsid w:val="780D320A"/>
    <w:rsid w:val="78326601"/>
    <w:rsid w:val="78A05E2C"/>
    <w:rsid w:val="78D47816"/>
    <w:rsid w:val="78E42341"/>
    <w:rsid w:val="79323C28"/>
    <w:rsid w:val="79342564"/>
    <w:rsid w:val="799059EC"/>
    <w:rsid w:val="79D87CAC"/>
    <w:rsid w:val="79DA0943"/>
    <w:rsid w:val="7A257090"/>
    <w:rsid w:val="7A287E87"/>
    <w:rsid w:val="7A8C4455"/>
    <w:rsid w:val="7AE52230"/>
    <w:rsid w:val="7B2F1EDD"/>
    <w:rsid w:val="7B3A50B0"/>
    <w:rsid w:val="7B4E7D23"/>
    <w:rsid w:val="7BBFB2CC"/>
    <w:rsid w:val="7BCA3B47"/>
    <w:rsid w:val="7BF5023D"/>
    <w:rsid w:val="7C01614C"/>
    <w:rsid w:val="7C5C4EB9"/>
    <w:rsid w:val="7C6D1DB9"/>
    <w:rsid w:val="7C6E4BB7"/>
    <w:rsid w:val="7C947A56"/>
    <w:rsid w:val="7CC52305"/>
    <w:rsid w:val="7CCD1D0A"/>
    <w:rsid w:val="7D181972"/>
    <w:rsid w:val="7D612DC0"/>
    <w:rsid w:val="7D793C28"/>
    <w:rsid w:val="7D7F5CD6"/>
    <w:rsid w:val="7E553E03"/>
    <w:rsid w:val="7E9A331D"/>
    <w:rsid w:val="7F454E1B"/>
    <w:rsid w:val="7F4F419A"/>
    <w:rsid w:val="7F6A5445"/>
    <w:rsid w:val="7F820A3A"/>
    <w:rsid w:val="7FBF83E0"/>
    <w:rsid w:val="7FDA39ED"/>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34"/>
    <w:autoRedefine/>
    <w:unhideWhenUsed/>
    <w:qFormat/>
    <w:uiPriority w:val="99"/>
    <w:pPr>
      <w:tabs>
        <w:tab w:val="center" w:pos="4153"/>
        <w:tab w:val="right" w:pos="8306"/>
      </w:tabs>
      <w:snapToGrid w:val="0"/>
    </w:pPr>
    <w:rPr>
      <w:sz w:val="18"/>
      <w:szCs w:val="18"/>
    </w:rPr>
  </w:style>
  <w:style w:type="paragraph" w:styleId="10">
    <w:name w:val="header"/>
    <w:basedOn w:val="1"/>
    <w:link w:val="33"/>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8"/>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Hyperlink"/>
    <w:basedOn w:val="17"/>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7"/>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character" w:customStyle="1" w:styleId="31">
    <w:name w:val="批注文字 Char"/>
    <w:basedOn w:val="17"/>
    <w:link w:val="5"/>
    <w:autoRedefine/>
    <w:qFormat/>
    <w:uiPriority w:val="0"/>
    <w:rPr>
      <w:rFonts w:ascii="宋体" w:hAnsi="宋体" w:cs="宋体"/>
      <w:sz w:val="22"/>
      <w:szCs w:val="22"/>
      <w:lang w:eastAsia="en-US"/>
    </w:rPr>
  </w:style>
  <w:style w:type="paragraph" w:customStyle="1" w:styleId="32">
    <w:name w:val="列表段落1"/>
    <w:basedOn w:val="1"/>
    <w:autoRedefine/>
    <w:qFormat/>
    <w:uiPriority w:val="0"/>
    <w:pPr>
      <w:ind w:firstLine="420" w:firstLineChars="200"/>
    </w:pPr>
    <w:rPr>
      <w:rFonts w:ascii="Calibri" w:hAnsi="Calibri" w:cs="Times New Roman"/>
    </w:rPr>
  </w:style>
  <w:style w:type="character" w:customStyle="1" w:styleId="33">
    <w:name w:val="页眉 Char"/>
    <w:basedOn w:val="17"/>
    <w:link w:val="10"/>
    <w:autoRedefine/>
    <w:qFormat/>
    <w:uiPriority w:val="99"/>
    <w:rPr>
      <w:rFonts w:ascii="宋体" w:hAnsi="宋体" w:cs="宋体"/>
      <w:sz w:val="18"/>
      <w:szCs w:val="22"/>
      <w:lang w:eastAsia="en-US"/>
    </w:rPr>
  </w:style>
  <w:style w:type="character" w:customStyle="1" w:styleId="34">
    <w:name w:val="页脚 Char"/>
    <w:basedOn w:val="17"/>
    <w:link w:val="9"/>
    <w:autoRedefine/>
    <w:qFormat/>
    <w:uiPriority w:val="99"/>
    <w:rPr>
      <w:rFonts w:ascii="宋体" w:hAnsi="宋体" w:cs="宋体"/>
      <w:sz w:val="18"/>
      <w:szCs w:val="18"/>
      <w:lang w:eastAsia="en-US"/>
    </w:rPr>
  </w:style>
  <w:style w:type="character" w:customStyle="1" w:styleId="35">
    <w:name w:val="正文文本 Char"/>
    <w:basedOn w:val="17"/>
    <w:link w:val="6"/>
    <w:autoRedefine/>
    <w:qFormat/>
    <w:uiPriority w:val="1"/>
    <w:rPr>
      <w:rFonts w:ascii="宋体" w:hAnsi="宋体" w:cs="宋体"/>
      <w:sz w:val="18"/>
      <w:szCs w:val="18"/>
      <w:lang w:eastAsia="en-US"/>
    </w:rPr>
  </w:style>
  <w:style w:type="paragraph" w:customStyle="1" w:styleId="36">
    <w:name w:val="修订1"/>
    <w:autoRedefine/>
    <w:hidden/>
    <w:semiHidden/>
    <w:qFormat/>
    <w:uiPriority w:val="99"/>
    <w:rPr>
      <w:rFonts w:ascii="宋体" w:hAnsi="宋体" w:eastAsia="宋体" w:cs="宋体"/>
      <w:sz w:val="22"/>
      <w:szCs w:val="22"/>
      <w:lang w:val="en-US" w:eastAsia="en-US" w:bidi="ar-SA"/>
    </w:rPr>
  </w:style>
  <w:style w:type="character" w:customStyle="1" w:styleId="37">
    <w:name w:val="批注框文本 Char"/>
    <w:basedOn w:val="17"/>
    <w:link w:val="8"/>
    <w:autoRedefine/>
    <w:qFormat/>
    <w:uiPriority w:val="0"/>
    <w:rPr>
      <w:rFonts w:ascii="宋体" w:hAnsi="宋体" w:cs="宋体"/>
      <w:sz w:val="18"/>
      <w:szCs w:val="18"/>
      <w:lang w:eastAsia="en-US"/>
    </w:rPr>
  </w:style>
  <w:style w:type="character" w:customStyle="1" w:styleId="38">
    <w:name w:val="批注主题 Char"/>
    <w:basedOn w:val="31"/>
    <w:link w:val="14"/>
    <w:autoRedefine/>
    <w:qFormat/>
    <w:uiPriority w:val="0"/>
    <w:rPr>
      <w:rFonts w:ascii="宋体" w:hAnsi="宋体" w:cs="宋体"/>
      <w:b/>
      <w:bCs/>
      <w:sz w:val="22"/>
      <w:szCs w:val="22"/>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41">
    <w:name w:val="fontstyle01"/>
    <w:basedOn w:val="17"/>
    <w:autoRedefine/>
    <w:qFormat/>
    <w:uiPriority w:val="0"/>
    <w:rPr>
      <w:rFonts w:ascii="Arial-ItalicMT" w:hAnsi="Arial-ItalicMT" w:eastAsia="Arial-ItalicMT" w:cs="Arial-ItalicMT"/>
      <w:i/>
      <w:color w:val="000000"/>
      <w:sz w:val="20"/>
      <w:szCs w:val="20"/>
    </w:rPr>
  </w:style>
  <w:style w:type="paragraph" w:styleId="42">
    <w:name w:val="List Paragraph"/>
    <w:basedOn w:val="1"/>
    <w:autoRedefine/>
    <w:unhideWhenUsed/>
    <w:qFormat/>
    <w:uiPriority w:val="99"/>
    <w:pPr>
      <w:ind w:firstLine="420" w:firstLineChars="200"/>
    </w:pPr>
  </w:style>
  <w:style w:type="character" w:customStyle="1" w:styleId="43">
    <w:name w:val="fontstyle21"/>
    <w:basedOn w:val="17"/>
    <w:autoRedefine/>
    <w:qFormat/>
    <w:uiPriority w:val="0"/>
    <w:rPr>
      <w:rFonts w:ascii="MicrosoftYaHei" w:hAnsi="MicrosoftYaHei" w:eastAsia="MicrosoftYaHei" w:cs="MicrosoftYaHei"/>
      <w:color w:val="000000"/>
      <w:sz w:val="22"/>
      <w:szCs w:val="22"/>
    </w:rPr>
  </w:style>
  <w:style w:type="character" w:customStyle="1" w:styleId="44">
    <w:name w:val="fontstyle11"/>
    <w:basedOn w:val="17"/>
    <w:autoRedefine/>
    <w:qFormat/>
    <w:uiPriority w:val="0"/>
    <w:rPr>
      <w:rFonts w:ascii="TimesNewRomanPSMT" w:hAnsi="TimesNewRomanPSMT" w:eastAsia="TimesNewRomanPSMT" w:cs="TimesNewRomanPSMT"/>
      <w:color w:val="000000"/>
      <w:sz w:val="22"/>
      <w:szCs w:val="22"/>
    </w:rPr>
  </w:style>
  <w:style w:type="paragraph" w:customStyle="1" w:styleId="45">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tiff"/><Relationship Id="rId13" Type="http://schemas.openxmlformats.org/officeDocument/2006/relationships/image" Target="media/image4.tiff"/><Relationship Id="rId12" Type="http://schemas.openxmlformats.org/officeDocument/2006/relationships/image" Target="media/image3.tiff"/><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36A807-EC8B-4485-9EE5-B734D63B68EC}">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2907</Words>
  <Characters>6563</Characters>
  <Lines>177</Lines>
  <Paragraphs>49</Paragraphs>
  <TotalTime>0</TotalTime>
  <ScaleCrop>false</ScaleCrop>
  <LinksUpToDate>false</LinksUpToDate>
  <CharactersWithSpaces>7125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2025-12-10T09:34:11Z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098D0796AF504A52B94A3D6DB854C162_13</vt:lpwstr>
  </property>
  <property fmtid="{D5CDD505-2E9C-101B-9397-08002B2CF9AE}" pid="4" name="KSOTemplateDocerSaveRecord">
    <vt:lpwstr>eyJoZGlkIjoiY2Y2NjU5MGIzZGFmM2M5NTIxMmI2NjdmNGQ0NDdjMDUiLCJ1c2VySWQiOiI2MjE3NDUxNTQifQ==</vt:lpwstr>
  </property>
</Properties>
</file>