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300F9">
      <w:pPr>
        <w:pStyle w:val="11"/>
        <w:ind w:left="0" w:firstLine="0"/>
        <w:jc w:val="center"/>
        <w:rPr>
          <w:rFonts w:eastAsia="微软雅黑"/>
          <w:position w:val="-1"/>
          <w:sz w:val="84"/>
          <w:szCs w:val="84"/>
          <w:lang w:eastAsia="zh-CN"/>
        </w:rPr>
      </w:pPr>
    </w:p>
    <w:p w14:paraId="6AA25F87">
      <w:pPr>
        <w:pStyle w:val="11"/>
        <w:ind w:left="0" w:firstLine="0"/>
        <w:jc w:val="center"/>
        <w:rPr>
          <w:rFonts w:eastAsia="微软雅黑"/>
          <w:position w:val="-1"/>
          <w:sz w:val="56"/>
          <w:szCs w:val="56"/>
          <w:lang w:eastAsia="zh-CN"/>
        </w:rPr>
      </w:pPr>
      <w:r>
        <w:rPr>
          <w:rFonts w:eastAsia="微软雅黑"/>
          <w:position w:val="-1"/>
          <w:sz w:val="56"/>
          <w:szCs w:val="56"/>
          <w:lang w:eastAsia="zh-CN"/>
        </w:rPr>
        <w:t>中国人群肺癌组织</w:t>
      </w:r>
    </w:p>
    <w:p w14:paraId="267B42E4">
      <w:pPr>
        <w:pStyle w:val="11"/>
        <w:ind w:left="0" w:firstLine="0"/>
        <w:jc w:val="center"/>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14:paraId="55C1202E">
      <w:pPr>
        <w:pStyle w:val="11"/>
        <w:spacing w:before="0" w:after="0" w:line="260" w:lineRule="auto"/>
        <w:ind w:left="629" w:hanging="363"/>
        <w:jc w:val="center"/>
        <w:rPr>
          <w:rFonts w:eastAsia="微软雅黑"/>
          <w:position w:val="-1"/>
          <w:sz w:val="56"/>
          <w:szCs w:val="56"/>
          <w:lang w:eastAsia="zh-CN"/>
        </w:rPr>
      </w:pPr>
    </w:p>
    <w:p w14:paraId="442CCD3A">
      <w:pPr>
        <w:pStyle w:val="11"/>
        <w:jc w:val="center"/>
        <w:rPr>
          <w:rFonts w:eastAsia="微软雅黑"/>
          <w:position w:val="-1"/>
          <w:sz w:val="56"/>
          <w:szCs w:val="56"/>
          <w:lang w:eastAsia="zh-CN"/>
        </w:rPr>
      </w:pPr>
      <w:r>
        <w:rPr>
          <w:rFonts w:eastAsia="微软雅黑"/>
          <w:position w:val="-1"/>
          <w:sz w:val="56"/>
          <w:szCs w:val="56"/>
        </w:rPr>
        <w:t>分子病理检测报告</w:t>
      </w:r>
    </w:p>
    <w:p w14:paraId="752AF906">
      <w:pPr>
        <w:pStyle w:val="11"/>
        <w:jc w:val="center"/>
        <w:rPr>
          <w:rFonts w:eastAsia="微软雅黑"/>
          <w:position w:val="-1"/>
          <w:sz w:val="32"/>
          <w:szCs w:val="32"/>
          <w:lang w:eastAsia="zh-CN"/>
        </w:rPr>
      </w:pPr>
    </w:p>
    <w:tbl>
      <w:tblPr>
        <w:tblStyle w:val="25"/>
        <w:tblpPr w:leftFromText="180" w:rightFromText="180" w:vertAnchor="page" w:horzAnchor="page" w:tblpX="2611" w:tblpY="8418"/>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1B8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14:paraId="0AA11749">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48"/>
                <w:lang w:eastAsia="zh-CN"/>
              </w:rPr>
            </w:pPr>
            <w:r>
              <w:rPr>
                <w:rFonts w:eastAsia="微软雅黑"/>
                <w:kern w:val="2"/>
                <w:sz w:val="30"/>
                <w:lang w:eastAsia="zh-CN"/>
              </w:rPr>
              <w:t>患者姓名：</w:t>
            </w:r>
          </w:p>
        </w:tc>
        <w:tc>
          <w:tcPr>
            <w:tcW w:w="4471" w:type="dxa"/>
            <w:tcBorders>
              <w:top w:val="nil"/>
              <w:left w:val="nil"/>
              <w:bottom w:val="single" w:color="auto" w:sz="4" w:space="0"/>
              <w:right w:val="nil"/>
            </w:tcBorders>
            <w:vAlign w:val="bottom"/>
          </w:tcPr>
          <w:p w14:paraId="41CC88FA">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48"/>
                <w:lang w:eastAsia="zh-CN"/>
              </w:rPr>
            </w:pPr>
            <w:r>
              <w:rPr>
                <w:rFonts w:eastAsia="微软雅黑"/>
                <w:kern w:val="2"/>
                <w:sz w:val="30"/>
                <w:lang w:eastAsia="zh-CN"/>
              </w:rPr>
              <w:t>{{ client }}</w:t>
            </w:r>
          </w:p>
        </w:tc>
      </w:tr>
      <w:tr w14:paraId="3396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14:paraId="657E2172">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48"/>
                <w:lang w:eastAsia="zh-CN"/>
              </w:rPr>
            </w:pPr>
            <w:r>
              <w:rPr>
                <w:rFonts w:eastAsia="微软雅黑"/>
                <w:kern w:val="2"/>
                <w:sz w:val="30"/>
                <w:lang w:eastAsia="zh-CN"/>
              </w:rPr>
              <w:t>样本编号：</w:t>
            </w:r>
          </w:p>
        </w:tc>
        <w:tc>
          <w:tcPr>
            <w:tcW w:w="4471" w:type="dxa"/>
            <w:tcBorders>
              <w:top w:val="single" w:color="auto" w:sz="4" w:space="0"/>
              <w:left w:val="nil"/>
              <w:bottom w:val="single" w:color="auto" w:sz="4" w:space="0"/>
              <w:right w:val="nil"/>
            </w:tcBorders>
            <w:vAlign w:val="bottom"/>
          </w:tcPr>
          <w:p w14:paraId="27834973">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48"/>
                <w:lang w:eastAsia="zh-CN"/>
              </w:rPr>
            </w:pPr>
            <w:r>
              <w:rPr>
                <w:rFonts w:eastAsia="微软雅黑"/>
                <w:kern w:val="2"/>
                <w:sz w:val="30"/>
                <w:lang w:eastAsia="zh-CN"/>
              </w:rPr>
              <w:t>{{ barcode }}</w:t>
            </w:r>
          </w:p>
        </w:tc>
      </w:tr>
      <w:tr w14:paraId="15EC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14:paraId="54353D12">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30"/>
                <w:lang w:eastAsia="zh-CN"/>
              </w:rPr>
            </w:pPr>
            <w:r>
              <w:rPr>
                <w:rFonts w:eastAsia="微软雅黑"/>
                <w:kern w:val="2"/>
                <w:sz w:val="30"/>
                <w:lang w:eastAsia="zh-CN"/>
              </w:rPr>
              <w:t>报告日期：</w:t>
            </w:r>
          </w:p>
        </w:tc>
        <w:tc>
          <w:tcPr>
            <w:tcW w:w="4471" w:type="dxa"/>
            <w:tcBorders>
              <w:top w:val="single" w:color="auto" w:sz="4" w:space="0"/>
              <w:left w:val="nil"/>
              <w:bottom w:val="single" w:color="auto" w:sz="4" w:space="0"/>
              <w:right w:val="nil"/>
            </w:tcBorders>
            <w:vAlign w:val="bottom"/>
          </w:tcPr>
          <w:p w14:paraId="4AC24DB6">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30"/>
                <w:lang w:eastAsia="zh-CN"/>
              </w:rPr>
            </w:pPr>
            <w:r>
              <w:rPr>
                <w:rFonts w:eastAsia="微软雅黑"/>
                <w:kern w:val="2"/>
                <w:sz w:val="30"/>
                <w:lang w:eastAsia="zh-CN"/>
              </w:rPr>
              <w:t>{{ reportdate }}</w:t>
            </w:r>
          </w:p>
        </w:tc>
      </w:tr>
    </w:tbl>
    <w:p w14:paraId="51430461">
      <w:pPr>
        <w:jc w:val="center"/>
        <w:rPr>
          <w:rFonts w:eastAsia="微软雅黑"/>
          <w:position w:val="-1"/>
          <w:sz w:val="72"/>
          <w:szCs w:val="72"/>
        </w:rPr>
      </w:pPr>
    </w:p>
    <w:p w14:paraId="5005D23D">
      <w:pPr>
        <w:pStyle w:val="11"/>
        <w:jc w:val="center"/>
        <w:rPr>
          <w:rFonts w:eastAsia="微软雅黑"/>
          <w:position w:val="-1"/>
          <w:sz w:val="32"/>
          <w:szCs w:val="32"/>
          <w:lang w:eastAsia="zh-CN"/>
        </w:rPr>
      </w:pPr>
    </w:p>
    <w:p w14:paraId="2FA26A9C">
      <w:pPr>
        <w:jc w:val="both"/>
        <w:rPr>
          <w:rFonts w:eastAsia="微软雅黑"/>
          <w:color w:val="FFFFFF"/>
          <w:shd w:val="clear" w:color="auto" w:fill="004271"/>
        </w:rPr>
        <w:sectPr>
          <w:headerReference r:id="rId6" w:type="first"/>
          <w:footerReference r:id="rId8" w:type="first"/>
          <w:headerReference r:id="rId5" w:type="default"/>
          <w:footerReference r:id="rId7" w:type="default"/>
          <w:pgSz w:w="11900" w:h="16840"/>
          <w:pgMar w:top="1440" w:right="1080" w:bottom="1440" w:left="1080" w:header="720" w:footer="720" w:gutter="0"/>
          <w:pgNumType w:start="1"/>
          <w:cols w:space="720" w:num="1"/>
          <w:titlePg/>
          <w:docGrid w:linePitch="326" w:charSpace="0"/>
        </w:sectPr>
      </w:pPr>
    </w:p>
    <w:p w14:paraId="7AF8E7C1">
      <w:pPr>
        <w:rPr>
          <w:rFonts w:eastAsia="微软雅黑"/>
          <w:lang w:val="zh-CN"/>
        </w:rPr>
      </w:pPr>
    </w:p>
    <w:sdt>
      <w:sdtPr>
        <w:rPr>
          <w:rFonts w:ascii="Times New Roman" w:hAnsi="Times New Roman" w:eastAsia="微软雅黑" w:cs="Times New Roman"/>
          <w:color w:val="auto"/>
          <w:sz w:val="24"/>
          <w:szCs w:val="24"/>
          <w:lang w:val="zh-CN"/>
        </w:rPr>
        <w:id w:val="7"/>
      </w:sdtPr>
      <w:sdtEndPr>
        <w:rPr>
          <w:rFonts w:ascii="Times New Roman" w:hAnsi="Times New Roman" w:eastAsia="微软雅黑" w:cs="Times New Roman"/>
          <w:b/>
          <w:bCs/>
          <w:color w:val="auto"/>
          <w:sz w:val="24"/>
          <w:szCs w:val="24"/>
          <w:lang w:val="zh-CN"/>
        </w:rPr>
      </w:sdtEndPr>
      <w:sdtContent>
        <w:p w14:paraId="75015E4F">
          <w:pPr>
            <w:pStyle w:val="62"/>
            <w:jc w:val="center"/>
            <w:rPr>
              <w:rFonts w:ascii="Times New Roman" w:hAnsi="Times New Roman" w:eastAsia="微软雅黑" w:cs="Times New Roman"/>
              <w:bCs/>
              <w:color w:val="auto"/>
              <w:sz w:val="36"/>
              <w:szCs w:val="36"/>
              <w:lang w:val="zh-CN"/>
            </w:rPr>
          </w:pPr>
          <w:r>
            <w:rPr>
              <w:rFonts w:ascii="Times New Roman" w:hAnsi="Times New Roman" w:eastAsia="微软雅黑" w:cs="Times New Roman"/>
              <w:bCs/>
              <w:color w:val="auto"/>
              <w:sz w:val="36"/>
              <w:szCs w:val="36"/>
              <w:lang w:val="zh-CN"/>
            </w:rPr>
            <w:t>目录</w:t>
          </w:r>
        </w:p>
        <w:p w14:paraId="0584542B">
          <w:pPr>
            <w:rPr>
              <w:rFonts w:eastAsia="微软雅黑"/>
              <w:bCs/>
              <w:lang w:val="zh-CN"/>
            </w:rPr>
          </w:pPr>
        </w:p>
        <w:p w14:paraId="67539A72">
          <w:pPr>
            <w:rPr>
              <w:rFonts w:eastAsia="微软雅黑"/>
              <w:bCs/>
              <w:lang w:val="zh-CN"/>
            </w:rPr>
          </w:pPr>
        </w:p>
        <w:p w14:paraId="1FF3EFA2">
          <w:pPr>
            <w:rPr>
              <w:rFonts w:ascii="Times New Roman" w:hAnsi="Times New Roman" w:eastAsia="微软雅黑" w:cs="Times New Roman"/>
              <w:bCs/>
              <w:sz w:val="24"/>
              <w:szCs w:val="24"/>
              <w:lang w:val="en-US" w:eastAsia="zh-CN" w:bidi="ar-SA"/>
            </w:rPr>
          </w:pPr>
          <w:r>
            <w:rPr>
              <w:rFonts w:ascii="Times New Roman" w:hAnsi="Times New Roman" w:eastAsia="微软雅黑"/>
              <w:b w:val="0"/>
              <w:bCs/>
            </w:rPr>
            <w:fldChar w:fldCharType="begin"/>
          </w:r>
          <w:r>
            <w:rPr>
              <w:rFonts w:ascii="Times New Roman" w:hAnsi="Times New Roman" w:eastAsia="微软雅黑"/>
              <w:b w:val="0"/>
              <w:bCs/>
            </w:rPr>
            <w:instrText xml:space="preserve"> TOC \o "1-3" \h \z \u </w:instrText>
          </w:r>
          <w:r>
            <w:rPr>
              <w:rFonts w:ascii="Times New Roman" w:hAnsi="Times New Roman" w:eastAsia="微软雅黑"/>
              <w:b w:val="0"/>
              <w:bCs/>
            </w:rPr>
            <w:fldChar w:fldCharType="separate"/>
          </w:r>
        </w:p>
        <w:p w14:paraId="13C5FDE0">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_Toc29979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样本信息</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_Toc29979 \h </w:instrText>
          </w:r>
          <w:r>
            <w:rPr>
              <w:rFonts w:hint="default" w:ascii="Times New Roman" w:hAnsi="Times New Roman" w:cs="Times New Roman"/>
              <w:b w:val="0"/>
              <w:bCs/>
            </w:rPr>
            <w:fldChar w:fldCharType="separate"/>
          </w:r>
          <w:r>
            <w:rPr>
              <w:rFonts w:hint="default" w:ascii="Times New Roman" w:hAnsi="Times New Roman" w:cs="Times New Roman"/>
              <w:b w:val="0"/>
              <w:bCs/>
            </w:rPr>
            <w:t>1</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425635CF">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_Toc32417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检测项目</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_Toc32417 \h </w:instrText>
          </w:r>
          <w:r>
            <w:rPr>
              <w:rFonts w:hint="default" w:ascii="Times New Roman" w:hAnsi="Times New Roman" w:cs="Times New Roman"/>
              <w:b w:val="0"/>
              <w:bCs/>
            </w:rPr>
            <w:fldChar w:fldCharType="separate"/>
          </w:r>
          <w:r>
            <w:rPr>
              <w:rFonts w:hint="default" w:ascii="Times New Roman" w:hAnsi="Times New Roman" w:cs="Times New Roman"/>
              <w:b w:val="0"/>
              <w:bCs/>
            </w:rPr>
            <w:t>2</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0645EC57">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_Toc9330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检测结果</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_Toc9330 \h </w:instrText>
          </w:r>
          <w:r>
            <w:rPr>
              <w:rFonts w:hint="default" w:ascii="Times New Roman" w:hAnsi="Times New Roman" w:cs="Times New Roman"/>
              <w:b w:val="0"/>
              <w:bCs/>
            </w:rPr>
            <w:fldChar w:fldCharType="separate"/>
          </w:r>
          <w:r>
            <w:rPr>
              <w:rFonts w:hint="default" w:ascii="Times New Roman" w:hAnsi="Times New Roman" w:cs="Times New Roman"/>
              <w:b w:val="0"/>
              <w:bCs/>
            </w:rPr>
            <w:t>3</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114F4973">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_Toc16944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1A5A1"/>
              <w14:textFill>
                <w14:solidFill>
                  <w14:schemeClr w14:val="bg1"/>
                </w14:solidFill>
              </w14:textFill>
            </w:rPr>
            <w:t>附录</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_Toc16944 \h </w:instrText>
          </w:r>
          <w:r>
            <w:rPr>
              <w:rFonts w:hint="default" w:ascii="Times New Roman" w:hAnsi="Times New Roman" w:cs="Times New Roman"/>
              <w:b w:val="0"/>
              <w:bCs/>
            </w:rPr>
            <w:fldChar w:fldCharType="separate"/>
          </w:r>
          <w:r>
            <w:rPr>
              <w:rFonts w:hint="default" w:ascii="Times New Roman" w:hAnsi="Times New Roman" w:cs="Times New Roman"/>
              <w:b w:val="0"/>
              <w:bCs/>
            </w:rPr>
            <w:t>6</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2485DE6A">
          <w:pPr>
            <w:pStyle w:val="21"/>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_Toc12289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szCs w:val="30"/>
            </w:rPr>
            <w:t>1. 基因变异及靶向药物结果解析</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_Toc12289 \h </w:instrText>
          </w:r>
          <w:r>
            <w:rPr>
              <w:rFonts w:hint="default" w:ascii="Times New Roman" w:hAnsi="Times New Roman" w:cs="Times New Roman"/>
              <w:b w:val="0"/>
              <w:bCs/>
            </w:rPr>
            <w:fldChar w:fldCharType="separate"/>
          </w:r>
          <w:r>
            <w:rPr>
              <w:rFonts w:hint="default" w:ascii="Times New Roman" w:hAnsi="Times New Roman" w:cs="Times New Roman"/>
              <w:b w:val="0"/>
              <w:bCs/>
            </w:rPr>
            <w:t>6</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646F1603">
          <w:pPr>
            <w:pStyle w:val="21"/>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_Toc14690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szCs w:val="30"/>
            </w:rPr>
            <w:t>2. NCCN指南推荐相关基因列表</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_Toc14690 \h </w:instrText>
          </w:r>
          <w:r>
            <w:rPr>
              <w:rFonts w:hint="default" w:ascii="Times New Roman" w:hAnsi="Times New Roman" w:cs="Times New Roman"/>
              <w:b w:val="0"/>
              <w:bCs/>
            </w:rPr>
            <w:fldChar w:fldCharType="separate"/>
          </w:r>
          <w:r>
            <w:rPr>
              <w:rFonts w:hint="default" w:ascii="Times New Roman" w:hAnsi="Times New Roman" w:cs="Times New Roman"/>
              <w:b w:val="0"/>
              <w:bCs/>
            </w:rPr>
            <w:t>9</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14:paraId="31A55E3D">
          <w:pPr>
            <w:pStyle w:val="18"/>
            <w:tabs>
              <w:tab w:val="right" w:leader="dot" w:pos="9900"/>
            </w:tabs>
            <w:rPr>
              <w:rFonts w:eastAsia="微软雅黑"/>
            </w:rPr>
          </w:pPr>
          <w:r>
            <w:rPr>
              <w:rFonts w:eastAsia="微软雅黑"/>
              <w:bCs/>
            </w:rPr>
            <w:fldChar w:fldCharType="end"/>
          </w:r>
        </w:p>
      </w:sdtContent>
    </w:sdt>
    <w:p w14:paraId="7B97EA64">
      <w:pPr>
        <w:spacing w:line="360" w:lineRule="auto"/>
        <w:jc w:val="center"/>
        <w:rPr>
          <w:rFonts w:eastAsia="微软雅黑"/>
          <w:b/>
          <w:bCs/>
          <w:color w:val="000000"/>
          <w:sz w:val="36"/>
          <w:lang w:val="zh-CN"/>
        </w:rPr>
      </w:pPr>
    </w:p>
    <w:p w14:paraId="615061EC">
      <w:pPr>
        <w:spacing w:line="360" w:lineRule="auto"/>
        <w:jc w:val="center"/>
        <w:rPr>
          <w:rFonts w:eastAsia="微软雅黑"/>
          <w:b/>
          <w:sz w:val="44"/>
          <w:szCs w:val="44"/>
        </w:rPr>
        <w:sectPr>
          <w:footerReference r:id="rId9" w:type="default"/>
          <w:pgSz w:w="11900" w:h="16840"/>
          <w:pgMar w:top="1440" w:right="1080" w:bottom="1440" w:left="1080" w:header="567" w:footer="720" w:gutter="0"/>
          <w:pgNumType w:start="1"/>
          <w:cols w:space="720" w:num="1"/>
        </w:sectPr>
      </w:pPr>
      <w:bookmarkStart w:id="0" w:name="_Toc17326_WPSOffice_Level1"/>
      <w:bookmarkEnd w:id="0"/>
    </w:p>
    <w:p w14:paraId="6CC2A0D7">
      <w:pPr>
        <w:spacing w:line="360" w:lineRule="auto"/>
        <w:rPr>
          <w:rFonts w:eastAsia="微软雅黑"/>
          <w:b/>
          <w:sz w:val="44"/>
          <w:szCs w:val="44"/>
        </w:rPr>
      </w:pPr>
      <w:bookmarkStart w:id="1" w:name="_Toc20399_WPSOffice_Level1"/>
      <w:bookmarkEnd w:id="1"/>
    </w:p>
    <w:p w14:paraId="03194A58">
      <w:pPr>
        <w:jc w:val="center"/>
        <w:rPr>
          <w:rFonts w:eastAsia="微软雅黑"/>
          <w:b/>
          <w:sz w:val="36"/>
          <w:szCs w:val="36"/>
        </w:rPr>
      </w:pPr>
    </w:p>
    <w:p w14:paraId="296A23E9">
      <w:pPr>
        <w:pStyle w:val="11"/>
        <w:jc w:val="center"/>
        <w:rPr>
          <w:rFonts w:eastAsia="微软雅黑"/>
          <w:b/>
          <w:sz w:val="52"/>
          <w:szCs w:val="52"/>
          <w:lang w:eastAsia="zh-CN"/>
        </w:rPr>
      </w:pPr>
      <w:bookmarkStart w:id="2" w:name="_Toc18968_WPSOffice_Level2"/>
      <w:bookmarkStart w:id="3" w:name="_Toc19554_WPSOffice_Level2"/>
      <w:r>
        <w:rPr>
          <w:rFonts w:eastAsia="微软雅黑"/>
          <w:b/>
          <w:sz w:val="52"/>
          <w:szCs w:val="52"/>
          <w:lang w:eastAsia="zh-CN"/>
        </w:rPr>
        <w:t>肺癌组织</w:t>
      </w:r>
      <w:r>
        <w:rPr>
          <w:rFonts w:hint="eastAsia" w:eastAsia="微软雅黑"/>
          <w:b/>
          <w:sz w:val="52"/>
          <w:szCs w:val="52"/>
          <w:lang w:eastAsia="zh-CN"/>
        </w:rPr>
        <w:t>60</w:t>
      </w:r>
      <w:r>
        <w:rPr>
          <w:rFonts w:eastAsia="微软雅黑"/>
          <w:b/>
          <w:sz w:val="52"/>
          <w:szCs w:val="52"/>
          <w:lang w:eastAsia="zh-CN"/>
        </w:rPr>
        <w:t>基因检测报告</w:t>
      </w:r>
      <w:bookmarkEnd w:id="2"/>
      <w:bookmarkEnd w:id="3"/>
    </w:p>
    <w:p w14:paraId="080FC4F6">
      <w:pPr>
        <w:jc w:val="center"/>
        <w:rPr>
          <w:rFonts w:eastAsia="微软雅黑"/>
          <w:b/>
          <w:sz w:val="44"/>
          <w:szCs w:val="44"/>
        </w:rPr>
      </w:pPr>
    </w:p>
    <w:p w14:paraId="6F66DD7A">
      <w:pPr>
        <w:jc w:val="center"/>
        <w:rPr>
          <w:rFonts w:eastAsia="微软雅黑"/>
          <w:b/>
          <w:sz w:val="44"/>
          <w:szCs w:val="44"/>
        </w:rPr>
      </w:pPr>
    </w:p>
    <w:p w14:paraId="5E2B3644">
      <w:pPr>
        <w:jc w:val="both"/>
        <w:rPr>
          <w:rFonts w:eastAsia="微软雅黑"/>
          <w:b/>
          <w:sz w:val="44"/>
          <w:szCs w:val="44"/>
        </w:rPr>
      </w:pPr>
    </w:p>
    <w:p w14:paraId="1B61B733">
      <w:pPr>
        <w:jc w:val="center"/>
        <w:rPr>
          <w:rFonts w:eastAsia="微软雅黑"/>
          <w:b/>
          <w:sz w:val="44"/>
          <w:szCs w:val="44"/>
        </w:rPr>
      </w:pPr>
    </w:p>
    <w:p w14:paraId="05D02AD8">
      <w:pPr>
        <w:jc w:val="center"/>
        <w:outlineLvl w:val="0"/>
        <w:rPr>
          <w:rFonts w:eastAsia="微软雅黑"/>
          <w:color w:val="FFFFFF"/>
          <w:shd w:val="clear" w:color="auto" w:fill="004271"/>
        </w:rPr>
      </w:pPr>
      <w:bookmarkStart w:id="4" w:name="_Toc22658_WPSOffice_Level1"/>
      <w:bookmarkStart w:id="5" w:name="_Toc29979"/>
      <w:r>
        <w:rPr>
          <w:rFonts w:eastAsia="微软雅黑"/>
          <w:b/>
          <w:color w:val="FFFFFF"/>
          <w:sz w:val="36"/>
          <w:szCs w:val="36"/>
          <w:shd w:val="clear" w:color="auto" w:fill="43A5A1"/>
        </w:rPr>
        <w:t>样本信息</w:t>
      </w:r>
      <w:bookmarkEnd w:id="4"/>
      <w:bookmarkEnd w:id="5"/>
    </w:p>
    <w:p w14:paraId="5454B95A">
      <w:pPr>
        <w:tabs>
          <w:tab w:val="left" w:pos="676"/>
        </w:tabs>
        <w:spacing w:line="461" w:lineRule="exact"/>
        <w:ind w:right="4073"/>
        <w:rPr>
          <w:rFonts w:eastAsia="微软雅黑"/>
          <w:color w:val="FFFFFF"/>
          <w:shd w:val="clear" w:color="auto" w:fill="004271"/>
        </w:rPr>
      </w:pPr>
    </w:p>
    <w:tbl>
      <w:tblPr>
        <w:tblStyle w:val="25"/>
        <w:tblpPr w:leftFromText="180" w:rightFromText="180" w:vertAnchor="text" w:horzAnchor="page" w:tblpX="1228" w:tblpY="116"/>
        <w:tblOverlap w:val="never"/>
        <w:tblW w:w="9855" w:type="dxa"/>
        <w:tblInd w:w="0" w:type="dxa"/>
        <w:tblBorders>
          <w:top w:val="none" w:color="auto" w:sz="0"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510"/>
        <w:gridCol w:w="1191"/>
        <w:gridCol w:w="2796"/>
        <w:gridCol w:w="549"/>
        <w:gridCol w:w="1785"/>
        <w:gridCol w:w="3024"/>
      </w:tblGrid>
      <w:tr w14:paraId="71B2B74B">
        <w:tblPrEx>
          <w:tblBorders>
            <w:top w:val="none" w:color="auto" w:sz="0"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restart"/>
            <w:shd w:val="clear" w:color="auto" w:fill="auto"/>
            <w:vAlign w:val="center"/>
          </w:tcPr>
          <w:p w14:paraId="190A5664">
            <w:pPr>
              <w:widowControl w:val="0"/>
              <w:rPr>
                <w:rFonts w:eastAsia="微软雅黑"/>
                <w:kern w:val="2"/>
                <w:sz w:val="28"/>
                <w:szCs w:val="28"/>
              </w:rPr>
            </w:pPr>
          </w:p>
        </w:tc>
        <w:tc>
          <w:tcPr>
            <w:tcW w:w="1191" w:type="dxa"/>
            <w:shd w:val="clear" w:color="auto" w:fill="auto"/>
            <w:vAlign w:val="center"/>
          </w:tcPr>
          <w:p w14:paraId="556C6E8B">
            <w:pPr>
              <w:widowControl w:val="0"/>
              <w:rPr>
                <w:rFonts w:eastAsia="微软雅黑"/>
                <w:kern w:val="2"/>
                <w:sz w:val="28"/>
                <w:szCs w:val="28"/>
              </w:rPr>
            </w:pPr>
            <w:r>
              <w:rPr>
                <w:rFonts w:eastAsia="微软雅黑"/>
                <w:kern w:val="2"/>
                <w:sz w:val="28"/>
                <w:szCs w:val="28"/>
              </w:rPr>
              <w:t>姓名：</w:t>
            </w:r>
          </w:p>
        </w:tc>
        <w:tc>
          <w:tcPr>
            <w:tcW w:w="2796" w:type="dxa"/>
            <w:shd w:val="clear" w:color="auto" w:fill="auto"/>
            <w:vAlign w:val="center"/>
          </w:tcPr>
          <w:p w14:paraId="1D459E94">
            <w:pPr>
              <w:widowControl w:val="0"/>
              <w:rPr>
                <w:rFonts w:eastAsia="微软雅黑"/>
                <w:kern w:val="2"/>
                <w:sz w:val="28"/>
                <w:szCs w:val="28"/>
              </w:rPr>
            </w:pPr>
            <w:r>
              <w:rPr>
                <w:rFonts w:eastAsia="微软雅黑"/>
                <w:kern w:val="2"/>
                <w:sz w:val="28"/>
                <w:szCs w:val="28"/>
              </w:rPr>
              <w:t>{{ client }}</w:t>
            </w:r>
          </w:p>
        </w:tc>
        <w:tc>
          <w:tcPr>
            <w:tcW w:w="549" w:type="dxa"/>
            <w:vMerge w:val="restart"/>
            <w:shd w:val="clear" w:color="auto" w:fill="auto"/>
            <w:vAlign w:val="center"/>
          </w:tcPr>
          <w:p w14:paraId="6ED96771">
            <w:pPr>
              <w:widowControl w:val="0"/>
              <w:rPr>
                <w:rFonts w:eastAsia="微软雅黑"/>
                <w:kern w:val="2"/>
                <w:sz w:val="28"/>
                <w:szCs w:val="28"/>
              </w:rPr>
            </w:pPr>
          </w:p>
        </w:tc>
        <w:tc>
          <w:tcPr>
            <w:tcW w:w="1785" w:type="dxa"/>
            <w:shd w:val="clear" w:color="auto" w:fill="auto"/>
            <w:vAlign w:val="center"/>
          </w:tcPr>
          <w:p w14:paraId="5E5C24EC">
            <w:pPr>
              <w:widowControl w:val="0"/>
              <w:rPr>
                <w:rFonts w:eastAsia="微软雅黑"/>
                <w:kern w:val="2"/>
                <w:sz w:val="28"/>
                <w:szCs w:val="28"/>
              </w:rPr>
            </w:pPr>
            <w:r>
              <w:rPr>
                <w:rFonts w:eastAsia="微软雅黑"/>
                <w:kern w:val="2"/>
                <w:sz w:val="28"/>
                <w:szCs w:val="28"/>
              </w:rPr>
              <w:t>住院号：</w:t>
            </w:r>
          </w:p>
        </w:tc>
        <w:tc>
          <w:tcPr>
            <w:tcW w:w="3024" w:type="dxa"/>
            <w:shd w:val="clear" w:color="auto" w:fill="auto"/>
            <w:vAlign w:val="center"/>
          </w:tcPr>
          <w:p w14:paraId="23F5869F">
            <w:pPr>
              <w:widowControl w:val="0"/>
              <w:rPr>
                <w:rFonts w:eastAsia="微软雅黑"/>
                <w:kern w:val="2"/>
                <w:sz w:val="28"/>
                <w:szCs w:val="28"/>
              </w:rPr>
            </w:pPr>
            <w:r>
              <w:rPr>
                <w:rFonts w:eastAsia="微软雅黑"/>
                <w:kern w:val="2"/>
                <w:sz w:val="28"/>
                <w:szCs w:val="28"/>
              </w:rPr>
              <w:t>{{ room }}</w:t>
            </w:r>
          </w:p>
        </w:tc>
      </w:tr>
      <w:tr w14:paraId="5A9925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14:paraId="0BEF1123">
            <w:pPr>
              <w:widowControl w:val="0"/>
              <w:rPr>
                <w:rFonts w:eastAsia="微软雅黑"/>
                <w:kern w:val="2"/>
                <w:sz w:val="28"/>
                <w:szCs w:val="28"/>
              </w:rPr>
            </w:pPr>
          </w:p>
        </w:tc>
        <w:tc>
          <w:tcPr>
            <w:tcW w:w="1191" w:type="dxa"/>
            <w:shd w:val="clear" w:color="auto" w:fill="auto"/>
            <w:vAlign w:val="center"/>
          </w:tcPr>
          <w:p w14:paraId="0FEEC60B">
            <w:pPr>
              <w:widowControl w:val="0"/>
              <w:rPr>
                <w:rFonts w:eastAsia="微软雅黑"/>
                <w:kern w:val="2"/>
                <w:sz w:val="28"/>
                <w:szCs w:val="28"/>
              </w:rPr>
            </w:pPr>
            <w:r>
              <w:rPr>
                <w:rFonts w:eastAsia="微软雅黑"/>
                <w:kern w:val="2"/>
                <w:sz w:val="28"/>
                <w:szCs w:val="28"/>
              </w:rPr>
              <w:t>性别：</w:t>
            </w:r>
          </w:p>
        </w:tc>
        <w:tc>
          <w:tcPr>
            <w:tcW w:w="2796" w:type="dxa"/>
            <w:shd w:val="clear" w:color="auto" w:fill="auto"/>
            <w:vAlign w:val="center"/>
          </w:tcPr>
          <w:p w14:paraId="5DC8656F">
            <w:pPr>
              <w:widowControl w:val="0"/>
              <w:rPr>
                <w:rFonts w:eastAsia="微软雅黑"/>
                <w:kern w:val="2"/>
                <w:sz w:val="28"/>
                <w:szCs w:val="28"/>
              </w:rPr>
            </w:pPr>
            <w:r>
              <w:rPr>
                <w:rFonts w:eastAsia="微软雅黑"/>
                <w:kern w:val="2"/>
                <w:sz w:val="28"/>
                <w:szCs w:val="28"/>
              </w:rPr>
              <w:t>{{ sex }}</w:t>
            </w:r>
          </w:p>
        </w:tc>
        <w:tc>
          <w:tcPr>
            <w:tcW w:w="549" w:type="dxa"/>
            <w:vMerge w:val="continue"/>
            <w:shd w:val="clear" w:color="auto" w:fill="auto"/>
            <w:vAlign w:val="center"/>
          </w:tcPr>
          <w:p w14:paraId="39FC6504">
            <w:pPr>
              <w:widowControl w:val="0"/>
              <w:rPr>
                <w:rFonts w:eastAsia="微软雅黑"/>
                <w:kern w:val="2"/>
                <w:sz w:val="28"/>
                <w:szCs w:val="28"/>
              </w:rPr>
            </w:pPr>
          </w:p>
        </w:tc>
        <w:tc>
          <w:tcPr>
            <w:tcW w:w="1785" w:type="dxa"/>
            <w:shd w:val="clear" w:color="auto" w:fill="auto"/>
            <w:vAlign w:val="center"/>
          </w:tcPr>
          <w:p w14:paraId="0C7DE6D9">
            <w:pPr>
              <w:widowControl w:val="0"/>
              <w:rPr>
                <w:rFonts w:eastAsia="微软雅黑"/>
                <w:kern w:val="2"/>
                <w:sz w:val="28"/>
                <w:szCs w:val="28"/>
              </w:rPr>
            </w:pPr>
            <w:r>
              <w:rPr>
                <w:rFonts w:eastAsia="微软雅黑"/>
                <w:kern w:val="2"/>
                <w:sz w:val="28"/>
                <w:szCs w:val="28"/>
              </w:rPr>
              <w:t>病理编号：</w:t>
            </w:r>
          </w:p>
        </w:tc>
        <w:tc>
          <w:tcPr>
            <w:tcW w:w="3024" w:type="dxa"/>
            <w:shd w:val="clear" w:color="auto" w:fill="auto"/>
            <w:vAlign w:val="center"/>
          </w:tcPr>
          <w:p w14:paraId="6873560A">
            <w:pPr>
              <w:widowControl w:val="0"/>
              <w:rPr>
                <w:rFonts w:eastAsia="微软雅黑"/>
                <w:kern w:val="2"/>
                <w:sz w:val="28"/>
                <w:szCs w:val="28"/>
              </w:rPr>
            </w:pPr>
            <w:r>
              <w:rPr>
                <w:rFonts w:eastAsia="微软雅黑"/>
                <w:kern w:val="2"/>
                <w:sz w:val="28"/>
                <w:szCs w:val="28"/>
              </w:rPr>
              <w:t>{{ template_subbarcode }}</w:t>
            </w:r>
          </w:p>
        </w:tc>
      </w:tr>
      <w:tr w14:paraId="717BAF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14:paraId="73113D33">
            <w:pPr>
              <w:widowControl w:val="0"/>
              <w:rPr>
                <w:rFonts w:eastAsia="微软雅黑"/>
                <w:kern w:val="2"/>
                <w:sz w:val="28"/>
                <w:szCs w:val="28"/>
              </w:rPr>
            </w:pPr>
          </w:p>
        </w:tc>
        <w:tc>
          <w:tcPr>
            <w:tcW w:w="1191" w:type="dxa"/>
            <w:shd w:val="clear" w:color="auto" w:fill="auto"/>
            <w:vAlign w:val="center"/>
          </w:tcPr>
          <w:p w14:paraId="51B458FD">
            <w:pPr>
              <w:widowControl w:val="0"/>
              <w:rPr>
                <w:rFonts w:eastAsia="微软雅黑"/>
                <w:kern w:val="2"/>
                <w:sz w:val="28"/>
                <w:szCs w:val="28"/>
              </w:rPr>
            </w:pPr>
            <w:r>
              <w:rPr>
                <w:rFonts w:eastAsia="微软雅黑"/>
                <w:kern w:val="2"/>
                <w:sz w:val="28"/>
                <w:szCs w:val="28"/>
              </w:rPr>
              <w:t>年龄：</w:t>
            </w:r>
          </w:p>
        </w:tc>
        <w:tc>
          <w:tcPr>
            <w:tcW w:w="2796" w:type="dxa"/>
            <w:shd w:val="clear" w:color="auto" w:fill="auto"/>
            <w:vAlign w:val="center"/>
          </w:tcPr>
          <w:p w14:paraId="73FDE3E4">
            <w:pPr>
              <w:widowControl w:val="0"/>
              <w:rPr>
                <w:rFonts w:eastAsia="微软雅黑"/>
                <w:kern w:val="2"/>
                <w:sz w:val="28"/>
                <w:szCs w:val="28"/>
              </w:rPr>
            </w:pPr>
            <w:r>
              <w:rPr>
                <w:rFonts w:eastAsia="微软雅黑"/>
                <w:kern w:val="2"/>
                <w:sz w:val="28"/>
                <w:szCs w:val="28"/>
              </w:rPr>
              <w:t>{{ age }}岁</w:t>
            </w:r>
          </w:p>
        </w:tc>
        <w:tc>
          <w:tcPr>
            <w:tcW w:w="549" w:type="dxa"/>
            <w:vMerge w:val="continue"/>
            <w:shd w:val="clear" w:color="auto" w:fill="auto"/>
            <w:vAlign w:val="center"/>
          </w:tcPr>
          <w:p w14:paraId="0A560B0C">
            <w:pPr>
              <w:widowControl w:val="0"/>
              <w:rPr>
                <w:rFonts w:eastAsia="微软雅黑"/>
                <w:kern w:val="2"/>
                <w:sz w:val="28"/>
                <w:szCs w:val="28"/>
              </w:rPr>
            </w:pPr>
          </w:p>
        </w:tc>
        <w:tc>
          <w:tcPr>
            <w:tcW w:w="1785" w:type="dxa"/>
            <w:shd w:val="clear" w:color="auto" w:fill="auto"/>
            <w:vAlign w:val="center"/>
          </w:tcPr>
          <w:p w14:paraId="78CA6628">
            <w:pPr>
              <w:widowControl w:val="0"/>
              <w:rPr>
                <w:rFonts w:eastAsia="微软雅黑"/>
                <w:kern w:val="2"/>
                <w:sz w:val="28"/>
                <w:szCs w:val="28"/>
              </w:rPr>
            </w:pPr>
            <w:r>
              <w:rPr>
                <w:rFonts w:eastAsia="微软雅黑"/>
                <w:kern w:val="2"/>
                <w:sz w:val="28"/>
                <w:szCs w:val="28"/>
              </w:rPr>
              <w:t>病理诊断：</w:t>
            </w:r>
          </w:p>
        </w:tc>
        <w:tc>
          <w:tcPr>
            <w:tcW w:w="3024" w:type="dxa"/>
            <w:shd w:val="clear" w:color="auto" w:fill="auto"/>
            <w:vAlign w:val="center"/>
          </w:tcPr>
          <w:p w14:paraId="10656B87">
            <w:pPr>
              <w:widowControl w:val="0"/>
              <w:rPr>
                <w:rFonts w:eastAsia="微软雅黑"/>
                <w:kern w:val="2"/>
                <w:sz w:val="28"/>
                <w:szCs w:val="28"/>
              </w:rPr>
            </w:pPr>
            <w:r>
              <w:rPr>
                <w:rFonts w:eastAsia="微软雅黑"/>
                <w:kern w:val="2"/>
                <w:sz w:val="28"/>
                <w:szCs w:val="28"/>
              </w:rPr>
              <w:t>{{ diseaseName }}</w:t>
            </w:r>
          </w:p>
        </w:tc>
      </w:tr>
      <w:tr w14:paraId="1288A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539" w:hRule="atLeast"/>
        </w:trPr>
        <w:tc>
          <w:tcPr>
            <w:tcW w:w="510" w:type="dxa"/>
            <w:vMerge w:val="continue"/>
            <w:shd w:val="clear" w:color="auto" w:fill="auto"/>
            <w:vAlign w:val="center"/>
          </w:tcPr>
          <w:p w14:paraId="392215FA">
            <w:pPr>
              <w:widowControl w:val="0"/>
              <w:rPr>
                <w:rFonts w:eastAsia="微软雅黑"/>
                <w:kern w:val="2"/>
                <w:sz w:val="28"/>
                <w:szCs w:val="28"/>
              </w:rPr>
            </w:pPr>
          </w:p>
        </w:tc>
        <w:tc>
          <w:tcPr>
            <w:tcW w:w="1191" w:type="dxa"/>
            <w:shd w:val="clear" w:color="auto" w:fill="auto"/>
            <w:vAlign w:val="center"/>
          </w:tcPr>
          <w:p w14:paraId="7999619C">
            <w:pPr>
              <w:widowControl w:val="0"/>
              <w:rPr>
                <w:rFonts w:eastAsia="微软雅黑"/>
                <w:kern w:val="2"/>
                <w:sz w:val="28"/>
                <w:szCs w:val="28"/>
              </w:rPr>
            </w:pPr>
            <w:r>
              <w:rPr>
                <w:rFonts w:eastAsia="微软雅黑"/>
                <w:kern w:val="2"/>
                <w:sz w:val="28"/>
                <w:szCs w:val="28"/>
              </w:rPr>
              <w:t>科室：</w:t>
            </w:r>
          </w:p>
        </w:tc>
        <w:tc>
          <w:tcPr>
            <w:tcW w:w="2796" w:type="dxa"/>
            <w:shd w:val="clear" w:color="auto" w:fill="auto"/>
            <w:vAlign w:val="center"/>
          </w:tcPr>
          <w:p w14:paraId="11AC07F6">
            <w:pPr>
              <w:widowControl w:val="0"/>
              <w:rPr>
                <w:rFonts w:eastAsia="微软雅黑"/>
                <w:kern w:val="2"/>
                <w:sz w:val="28"/>
                <w:szCs w:val="28"/>
              </w:rPr>
            </w:pPr>
            <w:r>
              <w:rPr>
                <w:rFonts w:eastAsia="微软雅黑"/>
                <w:kern w:val="2"/>
                <w:sz w:val="28"/>
                <w:szCs w:val="28"/>
              </w:rPr>
              <w:t>{{ locationname }}</w:t>
            </w:r>
          </w:p>
        </w:tc>
        <w:tc>
          <w:tcPr>
            <w:tcW w:w="549" w:type="dxa"/>
            <w:vMerge w:val="continue"/>
            <w:shd w:val="clear" w:color="auto" w:fill="auto"/>
            <w:vAlign w:val="center"/>
          </w:tcPr>
          <w:p w14:paraId="77E614FA">
            <w:pPr>
              <w:widowControl w:val="0"/>
              <w:rPr>
                <w:rFonts w:eastAsia="微软雅黑"/>
                <w:kern w:val="2"/>
                <w:sz w:val="28"/>
                <w:szCs w:val="28"/>
              </w:rPr>
            </w:pPr>
          </w:p>
        </w:tc>
        <w:tc>
          <w:tcPr>
            <w:tcW w:w="1785" w:type="dxa"/>
            <w:shd w:val="clear" w:color="auto" w:fill="auto"/>
            <w:vAlign w:val="center"/>
          </w:tcPr>
          <w:p w14:paraId="194F42EC">
            <w:pPr>
              <w:widowControl w:val="0"/>
              <w:rPr>
                <w:rFonts w:eastAsia="微软雅黑"/>
                <w:kern w:val="2"/>
                <w:sz w:val="28"/>
                <w:szCs w:val="28"/>
              </w:rPr>
            </w:pPr>
            <w:r>
              <w:rPr>
                <w:rFonts w:eastAsia="微软雅黑"/>
                <w:kern w:val="2"/>
                <w:sz w:val="28"/>
                <w:szCs w:val="28"/>
              </w:rPr>
              <w:t>样本类型：</w:t>
            </w:r>
          </w:p>
        </w:tc>
        <w:tc>
          <w:tcPr>
            <w:tcW w:w="3024" w:type="dxa"/>
            <w:shd w:val="clear" w:color="auto" w:fill="auto"/>
            <w:vAlign w:val="center"/>
          </w:tcPr>
          <w:p w14:paraId="3D8A50F2">
            <w:pPr>
              <w:widowControl w:val="0"/>
              <w:rPr>
                <w:rFonts w:eastAsia="微软雅黑"/>
                <w:kern w:val="2"/>
                <w:sz w:val="28"/>
                <w:szCs w:val="28"/>
              </w:rPr>
            </w:pPr>
            <w:r>
              <w:rPr>
                <w:rFonts w:eastAsia="微软雅黑"/>
                <w:kern w:val="2"/>
                <w:sz w:val="28"/>
                <w:szCs w:val="28"/>
              </w:rPr>
              <w:t>{{ specimentype }}</w:t>
            </w:r>
          </w:p>
        </w:tc>
      </w:tr>
      <w:tr w14:paraId="3FB2B8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14:paraId="205DABAE">
            <w:pPr>
              <w:widowControl w:val="0"/>
              <w:rPr>
                <w:rFonts w:eastAsia="微软雅黑"/>
                <w:kern w:val="2"/>
                <w:sz w:val="28"/>
                <w:szCs w:val="28"/>
              </w:rPr>
            </w:pPr>
          </w:p>
        </w:tc>
        <w:tc>
          <w:tcPr>
            <w:tcW w:w="1191" w:type="dxa"/>
            <w:shd w:val="clear" w:color="auto" w:fill="auto"/>
            <w:vAlign w:val="center"/>
          </w:tcPr>
          <w:p w14:paraId="06935F5D">
            <w:pPr>
              <w:widowControl w:val="0"/>
              <w:rPr>
                <w:rFonts w:eastAsia="微软雅黑"/>
                <w:kern w:val="2"/>
                <w:sz w:val="28"/>
                <w:szCs w:val="28"/>
              </w:rPr>
            </w:pPr>
            <w:r>
              <w:rPr>
                <w:rFonts w:eastAsia="微软雅黑"/>
                <w:kern w:val="2"/>
                <w:sz w:val="28"/>
                <w:szCs w:val="28"/>
              </w:rPr>
              <w:t>床号：</w:t>
            </w:r>
          </w:p>
        </w:tc>
        <w:tc>
          <w:tcPr>
            <w:tcW w:w="2796" w:type="dxa"/>
            <w:shd w:val="clear" w:color="auto" w:fill="auto"/>
            <w:vAlign w:val="center"/>
          </w:tcPr>
          <w:p w14:paraId="2D157844">
            <w:pPr>
              <w:widowControl w:val="0"/>
              <w:rPr>
                <w:rFonts w:eastAsia="微软雅黑"/>
                <w:kern w:val="2"/>
                <w:sz w:val="28"/>
                <w:szCs w:val="28"/>
              </w:rPr>
            </w:pPr>
            <w:r>
              <w:rPr>
                <w:rFonts w:eastAsia="微软雅黑"/>
                <w:kern w:val="2"/>
                <w:sz w:val="28"/>
                <w:szCs w:val="28"/>
              </w:rPr>
              <w:t>/</w:t>
            </w:r>
          </w:p>
        </w:tc>
        <w:tc>
          <w:tcPr>
            <w:tcW w:w="549" w:type="dxa"/>
            <w:vMerge w:val="continue"/>
            <w:shd w:val="clear" w:color="auto" w:fill="auto"/>
            <w:vAlign w:val="center"/>
          </w:tcPr>
          <w:p w14:paraId="3944A5F3">
            <w:pPr>
              <w:widowControl w:val="0"/>
              <w:rPr>
                <w:rFonts w:eastAsia="微软雅黑"/>
                <w:kern w:val="2"/>
                <w:sz w:val="28"/>
                <w:szCs w:val="28"/>
              </w:rPr>
            </w:pPr>
          </w:p>
        </w:tc>
        <w:tc>
          <w:tcPr>
            <w:tcW w:w="1785" w:type="dxa"/>
            <w:shd w:val="clear" w:color="auto" w:fill="auto"/>
            <w:vAlign w:val="center"/>
          </w:tcPr>
          <w:p w14:paraId="26608358">
            <w:pPr>
              <w:widowControl w:val="0"/>
              <w:rPr>
                <w:rFonts w:eastAsia="微软雅黑"/>
                <w:kern w:val="2"/>
                <w:sz w:val="28"/>
                <w:szCs w:val="28"/>
              </w:rPr>
            </w:pPr>
            <w:r>
              <w:rPr>
                <w:rFonts w:eastAsia="微软雅黑"/>
                <w:kern w:val="2"/>
                <w:sz w:val="28"/>
                <w:szCs w:val="28"/>
              </w:rPr>
              <w:t>送检日期：</w:t>
            </w:r>
          </w:p>
        </w:tc>
        <w:tc>
          <w:tcPr>
            <w:tcW w:w="3024" w:type="dxa"/>
            <w:shd w:val="clear" w:color="auto" w:fill="auto"/>
            <w:vAlign w:val="center"/>
          </w:tcPr>
          <w:p w14:paraId="4AF6975D">
            <w:pPr>
              <w:widowControl w:val="0"/>
              <w:rPr>
                <w:rFonts w:eastAsia="微软雅黑"/>
                <w:kern w:val="2"/>
                <w:sz w:val="28"/>
                <w:szCs w:val="28"/>
              </w:rPr>
            </w:pPr>
            <w:r>
              <w:rPr>
                <w:rFonts w:eastAsia="微软雅黑"/>
                <w:kern w:val="2"/>
                <w:sz w:val="28"/>
                <w:szCs w:val="28"/>
              </w:rPr>
              <w:t>{{ commission_date }}</w:t>
            </w:r>
          </w:p>
        </w:tc>
      </w:tr>
    </w:tbl>
    <w:p w14:paraId="42C75571">
      <w:pPr>
        <w:rPr>
          <w:rFonts w:eastAsia="微软雅黑"/>
          <w:color w:val="FFFFFF"/>
          <w:shd w:val="clear" w:color="auto" w:fill="004271"/>
        </w:rPr>
      </w:pPr>
      <w:r>
        <w:rPr>
          <w:rFonts w:eastAsia="微软雅黑"/>
          <w:kern w:val="2"/>
          <w:sz w:val="21"/>
        </w:rPr>
        <mc:AlternateContent>
          <mc:Choice Requires="wpg">
            <w:drawing>
              <wp:anchor distT="0" distB="0" distL="114300" distR="114300" simplePos="0" relativeHeight="251659264" behindDoc="0" locked="0" layoutInCell="1" allowOverlap="1">
                <wp:simplePos x="0" y="0"/>
                <wp:positionH relativeFrom="column">
                  <wp:posOffset>295910</wp:posOffset>
                </wp:positionH>
                <wp:positionV relativeFrom="paragraph">
                  <wp:posOffset>113665</wp:posOffset>
                </wp:positionV>
                <wp:extent cx="2879725" cy="2150110"/>
                <wp:effectExtent l="12700" t="0" r="3175" b="0"/>
                <wp:wrapNone/>
                <wp:docPr id="20" name="组合 9"/>
                <wp:cNvGraphicFramePr/>
                <a:graphic xmlns:a="http://schemas.openxmlformats.org/drawingml/2006/main">
                  <a:graphicData uri="http://schemas.microsoft.com/office/word/2010/wordprocessingGroup">
                    <wpg:wgp>
                      <wpg:cNvGrpSpPr/>
                      <wpg:grpSpPr>
                        <a:xfrm>
                          <a:off x="0" y="0"/>
                          <a:ext cx="2879725" cy="2150110"/>
                          <a:chOff x="12875" y="0"/>
                          <a:chExt cx="2584910" cy="1314450"/>
                        </a:xfrm>
                      </wpg:grpSpPr>
                      <wpg:grpSp>
                        <wpg:cNvPr id="10" name="组合 10"/>
                        <wpg:cNvGrpSpPr/>
                        <wpg:grpSpPr>
                          <a:xfrm>
                            <a:off x="12875" y="19459"/>
                            <a:ext cx="28339" cy="1275532"/>
                            <a:chOff x="1972" y="52"/>
                            <a:chExt cx="44" cy="1311"/>
                          </a:xfrm>
                        </wpg:grpSpPr>
                        <wps:wsp>
                          <wps:cNvPr id="2" name="直线 11"/>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3" name="直线 12"/>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4" name="直线 13"/>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5" name="直线 14"/>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6" name="直线 15"/>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7" name="直线 16"/>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8" name="直线 17"/>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9" name="直线 18"/>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grpSp>
                        <wpg:cNvPr id="19" name="组合 19"/>
                        <wpg:cNvGrpSpPr/>
                        <wpg:grpSpPr>
                          <a:xfrm>
                            <a:off x="2552700" y="0"/>
                            <a:ext cx="45085" cy="1314450"/>
                            <a:chOff x="1952" y="32"/>
                            <a:chExt cx="70" cy="1351"/>
                          </a:xfrm>
                        </wpg:grpSpPr>
                        <wps:wsp>
                          <wps:cNvPr id="11" name="直线 20"/>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12" name="直线 21"/>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13" name="直线 22"/>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14" name="直线 23"/>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15" name="直线 24"/>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16" name="直线 25"/>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17" name="直线 26"/>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18" name="直线 27"/>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wgp>
                  </a:graphicData>
                </a:graphic>
              </wp:anchor>
            </w:drawing>
          </mc:Choice>
          <mc:Fallback>
            <w:pict>
              <v:group id="组合 9" o:spid="_x0000_s1026" o:spt="203" style="position:absolute;left:0pt;margin-left:23.3pt;margin-top:8.95pt;height:169.3pt;width:226.75pt;z-index:251659264;mso-width-relative:page;mso-height-relative:page;" coordorigin="12875,0" coordsize="2584910,1314450" o:gfxdata="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1/qDFtkAAAAJAQAADwAAAAAAAAABACAAAAAiAAAAZHJzL2Rv&#10;d25yZXYueG1sUEsBAhQAFAAAAAgAh07iQC+VE3Y6BAAABCYAAA4AAAAAAAAAAQAgAAAAKAEAAGRy&#10;cy9lMm9Eb2MueG1sUEsFBgAAAAAGAAYAWQEAANQHAAAAAA==&#10;">
                <o:lock v:ext="edit" aspectratio="f"/>
                <v:group id="_x0000_s1026" o:spid="_x0000_s1026" o:spt="203" style="position:absolute;left:12875;top:19459;height:1275532;width:28339;" coordorigin="1972,52" coordsize="44,1311"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直线 11" o:spid="_x0000_s1026" o:spt="20" style="position:absolute;left:1972;top:52;flip:y;height:328;width:0;" filled="f" stroked="t" coordsize="21600,21600" o:gfxdata="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sKY+8AAAA&#10;2gAAAA8AAAAAAAAAAQAgAAAAIgAAAGRycy9kb3ducmV2LnhtbFBLAQIUABQAAAAIAIdO4kAzLwWe&#10;OwAAADkAAAAQAAAAAAAAAAEAIAAAAAsBAABkcnMvc2hhcGV4bWwueG1sUEsFBgAAAAAGAAYAWwEA&#10;ALUDAAAAAA==&#10;">
                    <v:fill on="f" focussize="0,0"/>
                    <v:stroke weight="1.99299212598425pt" color="#43A5A1" joinstyle="round"/>
                    <v:imagedata o:title=""/>
                    <o:lock v:ext="edit" aspectratio="f"/>
                  </v:line>
                  <v:line id="直线 12" o:spid="_x0000_s1026" o:spt="20" style="position:absolute;left:2016;top:52;flip:y;height:328;width:0;" filled="f" stroked="t" coordsize="21600,21600" o:gfxdata="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lWR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3" o:spid="_x0000_s1026" o:spt="20" style="position:absolute;left:1972;top:380;flip:y;height:327;width:0;" filled="f" stroked="t" coordsize="21600,21600" o:gfxdata="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kUY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4" o:spid="_x0000_s1026" o:spt="20" style="position:absolute;left:2016;top:380;flip:y;height:327;width:0;" filled="f" stroked="t" coordsize="21600,21600" o:gfxdata="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2h+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5" o:spid="_x0000_s1026" o:spt="20" style="position:absolute;left:1972;top:707;flip:y;height:328;width:0;" filled="f" stroked="t" coordsize="21600,21600" o:gfxdata="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cvj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6" o:spid="_x0000_s1026" o:spt="20" style="position:absolute;left:2016;top:707;flip:y;height:328;width:0;" filled="f" stroked="t" coordsize="21600,21600" o:gfxdata="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S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7" o:spid="_x0000_s1026" o:spt="20" style="position:absolute;left:1972;top:1035;flip:y;height:328;width:0;" filled="f" stroked="t" coordsize="21600,21600" o:gfxdata="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EHmW5AAAA2gAA&#10;AA8AAAAAAAAAAQAgAAAAIgAAAGRycy9kb3ducmV2LnhtbFBLAQIUABQAAAAIAIdO4kAzLwWeOwAA&#10;ADkAAAAQAAAAAAAAAAEAIAAAAAgBAABkcnMvc2hhcGV4bWwueG1sUEsFBgAAAAAGAAYAWwEAALID&#10;AAAAAA==&#10;">
                    <v:fill on="f" focussize="0,0"/>
                    <v:stroke weight="1.99299212598425pt" color="#43A5A1" joinstyle="round"/>
                    <v:imagedata o:title=""/>
                    <o:lock v:ext="edit" aspectratio="f"/>
                  </v:line>
                  <v:line id="直线 18" o:spid="_x0000_s1026" o:spt="20" style="position:absolute;left:2016;top:1035;flip:y;height:328;width:0;" filled="f" stroked="t" coordsize="21600,21600" o:gfxdata="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pie74A&#10;AADa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id="_x0000_s1026" o:spid="_x0000_s1026" o:spt="203" style="position:absolute;left:2552700;top:0;height:1314450;width:45085;" coordorigin="1952,32" coordsize="70,1351"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直线 20" o:spid="_x0000_s1026" o:spt="20" style="position:absolute;left:1972;top:52;flip:y;height:328;width:0;" filled="f" stroked="t" coordsize="21600,21600" o:gfxdata="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AOZvQAA&#10;ANsAAAAPAAAAAAAAAAEAIAAAACIAAABkcnMvZG93bnJldi54bWxQSwECFAAUAAAACACHTuJAMy8F&#10;njsAAAA5AAAAEAAAAAAAAAABACAAAAAMAQAAZHJzL3NoYXBleG1sLnhtbFBLBQYAAAAABgAGAFsB&#10;AAC2AwAAAAA=&#10;">
                    <v:fill on="f" focussize="0,0"/>
                    <v:stroke weight="1.99299212598425pt" color="#43A5A1" joinstyle="round"/>
                    <v:imagedata o:title=""/>
                    <o:lock v:ext="edit" aspectratio="f"/>
                  </v:line>
                  <v:line id="直线 21" o:spid="_x0000_s1026" o:spt="20" style="position:absolute;left:2016;top:52;flip:y;height:328;width:0;" filled="f" stroked="t" coordsize="21600,21600" o:gfxdata="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rHKb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2" o:spid="_x0000_s1026" o:spt="20" style="position:absolute;left:1972;top:380;flip:y;height:327;width:0;" filled="f" stroked="t" coordsize="21600,21600" o:gfxdata="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o4db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3" o:spid="_x0000_s1026" o:spt="20" style="position:absolute;left:2016;top:380;flip:y;height:327;width:0;" filled="f" stroked="t" coordsize="21600,21600" o:gfxdata="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U90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4" o:spid="_x0000_s1026" o:spt="20" style="position:absolute;left:1972;top:707;flip:y;height:328;width:0;" filled="f" stroked="t" coordsize="21600,21600" o:gfxdata="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8Fm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5" o:spid="_x0000_s1026" o:spt="20" style="position:absolute;left:2016;top:707;flip:y;height:328;width:0;" filled="f" stroked="t" coordsize="21600,21600" o:gfxdata="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d0mL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line id="直线 26" o:spid="_x0000_s1026" o:spt="20" style="position:absolute;left:1972;top:1035;flip:y;height:328;width:0;" filled="f" stroked="t" coordsize="21600,21600" o:gfxdata="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E+d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7" o:spid="_x0000_s1026" o:spt="20" style="position:absolute;left:2016;top:1035;flip:y;height:328;width:0;" filled="f" stroked="t" coordsize="21600,21600" o:gfxdata="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RFcb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w:pict>
          </mc:Fallback>
        </mc:AlternateContent>
      </w:r>
    </w:p>
    <w:p w14:paraId="07D31118">
      <w:pPr>
        <w:spacing w:before="35"/>
        <w:rPr>
          <w:rFonts w:eastAsia="微软雅黑"/>
          <w:sz w:val="21"/>
        </w:rPr>
      </w:pPr>
    </w:p>
    <w:p w14:paraId="34673FE8">
      <w:pPr>
        <w:rPr>
          <w:rFonts w:eastAsia="微软雅黑"/>
          <w:b/>
          <w:color w:val="FFFFFF"/>
          <w:sz w:val="36"/>
          <w:szCs w:val="36"/>
          <w:shd w:val="clear" w:color="auto" w:fill="43A5A1"/>
        </w:rPr>
      </w:pPr>
      <w:r>
        <w:rPr>
          <w:rFonts w:eastAsia="微软雅黑"/>
          <w:sz w:val="21"/>
        </w:rPr>
        <w:br w:type="page"/>
      </w:r>
      <w:bookmarkStart w:id="6" w:name="_Toc26493_WPSOffice_Level1"/>
    </w:p>
    <w:p w14:paraId="5E8185D6">
      <w:pPr>
        <w:jc w:val="center"/>
        <w:outlineLvl w:val="0"/>
        <w:rPr>
          <w:rFonts w:eastAsia="微软雅黑"/>
          <w:b/>
          <w:sz w:val="28"/>
          <w:szCs w:val="28"/>
        </w:rPr>
      </w:pPr>
      <w:bookmarkStart w:id="7" w:name="_Toc32417"/>
      <w:r>
        <w:rPr>
          <w:rFonts w:eastAsia="微软雅黑"/>
          <w:b/>
          <w:color w:val="FFFFFF"/>
          <w:sz w:val="36"/>
          <w:szCs w:val="36"/>
          <w:shd w:val="clear" w:color="auto" w:fill="43A5A1"/>
        </w:rPr>
        <w:t>检测项目</w:t>
      </w:r>
      <w:bookmarkEnd w:id="6"/>
      <w:bookmarkEnd w:id="7"/>
    </w:p>
    <w:p w14:paraId="44BC0DF6">
      <w:pPr>
        <w:pStyle w:val="32"/>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检测内容：</w:t>
      </w:r>
    </w:p>
    <w:p w14:paraId="1F365594">
      <w:pPr>
        <w:pStyle w:val="55"/>
        <w:spacing w:before="80" w:after="8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本产品对与肺癌密切相关的</w:t>
      </w:r>
      <w:r>
        <w:rPr>
          <w:rFonts w:hint="eastAsia" w:ascii="Times New Roman" w:hAnsi="Times New Roman" w:eastAsia="微软雅黑"/>
          <w:sz w:val="28"/>
          <w:szCs w:val="28"/>
          <w:lang w:eastAsia="zh-CN"/>
        </w:rPr>
        <w:t>60</w:t>
      </w:r>
      <w:r>
        <w:rPr>
          <w:rFonts w:ascii="Times New Roman" w:hAnsi="Times New Roman" w:eastAsia="微软雅黑"/>
          <w:sz w:val="28"/>
          <w:szCs w:val="28"/>
          <w:lang w:eastAsia="zh-CN"/>
        </w:rPr>
        <w:t>个基因进行高通量测序，分别在</w:t>
      </w:r>
      <w:r>
        <w:rPr>
          <w:rFonts w:hint="eastAsia" w:ascii="Times New Roman" w:hAnsi="Times New Roman" w:eastAsia="微软雅黑"/>
          <w:sz w:val="28"/>
          <w:szCs w:val="28"/>
          <w:lang w:eastAsia="zh-CN"/>
        </w:rPr>
        <w:t>49</w:t>
      </w:r>
      <w:r>
        <w:rPr>
          <w:rFonts w:ascii="Times New Roman" w:hAnsi="Times New Roman" w:eastAsia="微软雅黑"/>
          <w:sz w:val="28"/>
          <w:szCs w:val="28"/>
          <w:lang w:eastAsia="zh-CN"/>
        </w:rPr>
        <w:t>个基因的DNA水平及</w:t>
      </w:r>
      <w:r>
        <w:rPr>
          <w:rFonts w:hint="eastAsia" w:ascii="Times New Roman" w:hAnsi="Times New Roman" w:eastAsia="微软雅黑"/>
          <w:sz w:val="28"/>
          <w:szCs w:val="28"/>
          <w:lang w:eastAsia="zh-CN"/>
        </w:rPr>
        <w:t>23</w:t>
      </w:r>
      <w:r>
        <w:rPr>
          <w:rFonts w:ascii="Times New Roman" w:hAnsi="Times New Roman" w:eastAsia="微软雅黑"/>
          <w:sz w:val="28"/>
          <w:szCs w:val="28"/>
          <w:lang w:eastAsia="zh-CN"/>
        </w:rPr>
        <w:t>个基因的RNA水平检测突变，检测突变形式为点突变（SNV）、小片段插入缺失（INDEL）</w:t>
      </w:r>
      <w:r>
        <w:rPr>
          <w:rFonts w:hint="eastAsia" w:ascii="Times New Roman" w:hAnsi="Times New Roman" w:eastAsia="微软雅黑"/>
          <w:sz w:val="28"/>
          <w:szCs w:val="28"/>
          <w:lang w:eastAsia="zh-CN"/>
        </w:rPr>
        <w:t>、拷贝数变异</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CNV</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以及</w:t>
      </w:r>
      <w:r>
        <w:rPr>
          <w:rFonts w:ascii="Times New Roman" w:hAnsi="Times New Roman" w:eastAsia="微软雅黑"/>
          <w:sz w:val="28"/>
          <w:szCs w:val="28"/>
          <w:lang w:eastAsia="zh-CN"/>
        </w:rPr>
        <w:t>融合（FUSION）。</w:t>
      </w:r>
    </w:p>
    <w:p w14:paraId="29B95F97">
      <w:pPr>
        <w:pStyle w:val="55"/>
        <w:spacing w:before="80" w:after="20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本报告分析基因变异与靶向药物的相关性，给出靶向药物（FDA/NMPA批准药物、临床试验药物等），从而为临床制定治疗方案提供参考信息。</w:t>
      </w:r>
    </w:p>
    <w:p w14:paraId="2F9D9AF0">
      <w:pPr>
        <w:pStyle w:val="55"/>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DNA 测序基因分析列表</w:t>
      </w:r>
    </w:p>
    <w:tbl>
      <w:tblPr>
        <w:tblStyle w:val="24"/>
        <w:tblW w:w="485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7"/>
        <w:gridCol w:w="890"/>
        <w:gridCol w:w="959"/>
        <w:gridCol w:w="813"/>
        <w:gridCol w:w="916"/>
        <w:gridCol w:w="1050"/>
        <w:gridCol w:w="947"/>
        <w:gridCol w:w="1050"/>
        <w:gridCol w:w="994"/>
        <w:gridCol w:w="1027"/>
      </w:tblGrid>
      <w:tr w14:paraId="598597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3B55C00C">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AKT1</w:t>
            </w:r>
          </w:p>
        </w:tc>
        <w:tc>
          <w:tcPr>
            <w:tcW w:w="916" w:type="dxa"/>
            <w:tcBorders>
              <w:tl2br w:val="nil"/>
              <w:tr2bl w:val="nil"/>
            </w:tcBorders>
            <w:shd w:val="clear" w:color="auto" w:fill="auto"/>
            <w:vAlign w:val="center"/>
          </w:tcPr>
          <w:p w14:paraId="6909EC1D">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1050" w:type="dxa"/>
            <w:tcBorders>
              <w:tl2br w:val="nil"/>
              <w:tr2bl w:val="nil"/>
            </w:tcBorders>
            <w:shd w:val="clear" w:color="auto" w:fill="auto"/>
            <w:vAlign w:val="center"/>
          </w:tcPr>
          <w:p w14:paraId="4BBDA3C2">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AR</w:t>
            </w:r>
          </w:p>
        </w:tc>
        <w:tc>
          <w:tcPr>
            <w:tcW w:w="861" w:type="dxa"/>
            <w:tcBorders>
              <w:tl2br w:val="nil"/>
              <w:tr2bl w:val="nil"/>
            </w:tcBorders>
            <w:shd w:val="clear" w:color="auto" w:fill="auto"/>
            <w:vAlign w:val="center"/>
          </w:tcPr>
          <w:p w14:paraId="306AC92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894" w:type="dxa"/>
            <w:tcBorders>
              <w:tl2br w:val="nil"/>
              <w:tr2bl w:val="nil"/>
            </w:tcBorders>
            <w:shd w:val="clear" w:color="auto" w:fill="auto"/>
            <w:vAlign w:val="center"/>
          </w:tcPr>
          <w:p w14:paraId="4264AF4A">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CCND1</w:t>
            </w:r>
          </w:p>
        </w:tc>
        <w:tc>
          <w:tcPr>
            <w:tcW w:w="905" w:type="dxa"/>
            <w:tcBorders>
              <w:tl2br w:val="nil"/>
              <w:tr2bl w:val="nil"/>
            </w:tcBorders>
            <w:shd w:val="clear" w:color="auto" w:fill="auto"/>
            <w:vAlign w:val="center"/>
          </w:tcPr>
          <w:p w14:paraId="6C2C04A8">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CDK4</w:t>
            </w:r>
          </w:p>
        </w:tc>
        <w:tc>
          <w:tcPr>
            <w:tcW w:w="1027" w:type="dxa"/>
            <w:tcBorders>
              <w:tl2br w:val="nil"/>
              <w:tr2bl w:val="nil"/>
            </w:tcBorders>
            <w:shd w:val="clear" w:color="auto" w:fill="auto"/>
            <w:vAlign w:val="center"/>
          </w:tcPr>
          <w:p w14:paraId="68CFC69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CDK6</w:t>
            </w:r>
          </w:p>
        </w:tc>
        <w:tc>
          <w:tcPr>
            <w:tcW w:w="1050" w:type="dxa"/>
            <w:tcBorders>
              <w:tl2br w:val="nil"/>
              <w:tr2bl w:val="nil"/>
            </w:tcBorders>
            <w:shd w:val="clear" w:color="auto" w:fill="auto"/>
            <w:vAlign w:val="center"/>
          </w:tcPr>
          <w:p w14:paraId="262C626A">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CTNNB1</w:t>
            </w:r>
          </w:p>
        </w:tc>
        <w:tc>
          <w:tcPr>
            <w:tcW w:w="961" w:type="dxa"/>
            <w:tcBorders>
              <w:tl2br w:val="nil"/>
              <w:tr2bl w:val="nil"/>
            </w:tcBorders>
            <w:shd w:val="clear" w:color="auto" w:fill="auto"/>
            <w:vAlign w:val="center"/>
          </w:tcPr>
          <w:p w14:paraId="301D5654">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DDR2</w:t>
            </w:r>
          </w:p>
        </w:tc>
        <w:tc>
          <w:tcPr>
            <w:tcW w:w="994" w:type="dxa"/>
            <w:tcBorders>
              <w:tl2br w:val="nil"/>
              <w:tr2bl w:val="nil"/>
            </w:tcBorders>
            <w:shd w:val="clear" w:color="auto" w:fill="auto"/>
            <w:vAlign w:val="center"/>
          </w:tcPr>
          <w:p w14:paraId="17B32FC9">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r>
      <w:tr w14:paraId="684295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1958D66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916" w:type="dxa"/>
            <w:tcBorders>
              <w:tl2br w:val="nil"/>
              <w:tr2bl w:val="nil"/>
            </w:tcBorders>
            <w:shd w:val="clear" w:color="auto" w:fill="auto"/>
            <w:vAlign w:val="center"/>
          </w:tcPr>
          <w:p w14:paraId="376B5B7E">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ERBB3</w:t>
            </w:r>
          </w:p>
        </w:tc>
        <w:tc>
          <w:tcPr>
            <w:tcW w:w="1050" w:type="dxa"/>
            <w:tcBorders>
              <w:tl2br w:val="nil"/>
              <w:tr2bl w:val="nil"/>
            </w:tcBorders>
            <w:shd w:val="clear" w:color="auto" w:fill="auto"/>
            <w:vAlign w:val="center"/>
          </w:tcPr>
          <w:p w14:paraId="3DC59EBD">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ERBB4</w:t>
            </w:r>
          </w:p>
        </w:tc>
        <w:tc>
          <w:tcPr>
            <w:tcW w:w="861" w:type="dxa"/>
            <w:tcBorders>
              <w:tl2br w:val="nil"/>
              <w:tr2bl w:val="nil"/>
            </w:tcBorders>
            <w:shd w:val="clear" w:color="auto" w:fill="auto"/>
            <w:vAlign w:val="center"/>
          </w:tcPr>
          <w:p w14:paraId="78D3DF6E">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ESR1</w:t>
            </w:r>
          </w:p>
        </w:tc>
        <w:tc>
          <w:tcPr>
            <w:tcW w:w="894" w:type="dxa"/>
            <w:tcBorders>
              <w:tl2br w:val="nil"/>
              <w:tr2bl w:val="nil"/>
            </w:tcBorders>
            <w:shd w:val="clear" w:color="auto" w:fill="auto"/>
            <w:vAlign w:val="center"/>
          </w:tcPr>
          <w:p w14:paraId="3A6B4E1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FBXW7</w:t>
            </w:r>
          </w:p>
        </w:tc>
        <w:tc>
          <w:tcPr>
            <w:tcW w:w="905" w:type="dxa"/>
            <w:tcBorders>
              <w:tl2br w:val="nil"/>
              <w:tr2bl w:val="nil"/>
            </w:tcBorders>
            <w:shd w:val="clear" w:color="auto" w:fill="auto"/>
            <w:vAlign w:val="center"/>
          </w:tcPr>
          <w:p w14:paraId="140A9A7F">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27" w:type="dxa"/>
            <w:tcBorders>
              <w:tl2br w:val="nil"/>
              <w:tr2bl w:val="nil"/>
            </w:tcBorders>
            <w:shd w:val="clear" w:color="auto" w:fill="auto"/>
            <w:vAlign w:val="center"/>
          </w:tcPr>
          <w:p w14:paraId="4FCA745C">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1050" w:type="dxa"/>
            <w:tcBorders>
              <w:tl2br w:val="nil"/>
              <w:tr2bl w:val="nil"/>
            </w:tcBorders>
            <w:shd w:val="clear" w:color="auto" w:fill="auto"/>
            <w:vAlign w:val="center"/>
          </w:tcPr>
          <w:p w14:paraId="55E8B2FA">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961" w:type="dxa"/>
            <w:tcBorders>
              <w:tl2br w:val="nil"/>
              <w:tr2bl w:val="nil"/>
            </w:tcBorders>
            <w:shd w:val="clear" w:color="auto" w:fill="auto"/>
            <w:vAlign w:val="center"/>
          </w:tcPr>
          <w:p w14:paraId="1A094599">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FGFR4</w:t>
            </w:r>
          </w:p>
        </w:tc>
        <w:tc>
          <w:tcPr>
            <w:tcW w:w="994" w:type="dxa"/>
            <w:tcBorders>
              <w:tl2br w:val="nil"/>
              <w:tr2bl w:val="nil"/>
            </w:tcBorders>
            <w:shd w:val="clear" w:color="auto" w:fill="auto"/>
            <w:vAlign w:val="center"/>
          </w:tcPr>
          <w:p w14:paraId="5ED4714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GNA11</w:t>
            </w:r>
          </w:p>
        </w:tc>
      </w:tr>
      <w:tr w14:paraId="3FA1F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09A75BDE">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GNAQ</w:t>
            </w:r>
          </w:p>
        </w:tc>
        <w:tc>
          <w:tcPr>
            <w:tcW w:w="916" w:type="dxa"/>
            <w:tcBorders>
              <w:tl2br w:val="nil"/>
              <w:tr2bl w:val="nil"/>
            </w:tcBorders>
            <w:shd w:val="clear" w:color="auto" w:fill="auto"/>
            <w:vAlign w:val="center"/>
          </w:tcPr>
          <w:p w14:paraId="7242F6D7">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HRAS</w:t>
            </w:r>
          </w:p>
        </w:tc>
        <w:tc>
          <w:tcPr>
            <w:tcW w:w="1050" w:type="dxa"/>
            <w:tcBorders>
              <w:tl2br w:val="nil"/>
              <w:tr2bl w:val="nil"/>
            </w:tcBorders>
            <w:shd w:val="clear" w:color="auto" w:fill="auto"/>
            <w:vAlign w:val="center"/>
          </w:tcPr>
          <w:p w14:paraId="5E05C2A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IDH1</w:t>
            </w:r>
          </w:p>
        </w:tc>
        <w:tc>
          <w:tcPr>
            <w:tcW w:w="861" w:type="dxa"/>
            <w:tcBorders>
              <w:tl2br w:val="nil"/>
              <w:tr2bl w:val="nil"/>
            </w:tcBorders>
            <w:shd w:val="clear" w:color="auto" w:fill="auto"/>
            <w:vAlign w:val="center"/>
          </w:tcPr>
          <w:p w14:paraId="008A527E">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IDH2</w:t>
            </w:r>
          </w:p>
        </w:tc>
        <w:tc>
          <w:tcPr>
            <w:tcW w:w="894" w:type="dxa"/>
            <w:tcBorders>
              <w:tl2br w:val="nil"/>
              <w:tr2bl w:val="nil"/>
            </w:tcBorders>
            <w:shd w:val="clear" w:color="auto" w:fill="auto"/>
            <w:vAlign w:val="center"/>
          </w:tcPr>
          <w:p w14:paraId="5126E16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JAK1</w:t>
            </w:r>
          </w:p>
        </w:tc>
        <w:tc>
          <w:tcPr>
            <w:tcW w:w="905" w:type="dxa"/>
            <w:tcBorders>
              <w:tl2br w:val="nil"/>
              <w:tr2bl w:val="nil"/>
            </w:tcBorders>
            <w:shd w:val="clear" w:color="auto" w:fill="auto"/>
            <w:vAlign w:val="center"/>
          </w:tcPr>
          <w:p w14:paraId="5FE8A335">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JAK2</w:t>
            </w:r>
          </w:p>
        </w:tc>
        <w:tc>
          <w:tcPr>
            <w:tcW w:w="1027" w:type="dxa"/>
            <w:tcBorders>
              <w:tl2br w:val="nil"/>
              <w:tr2bl w:val="nil"/>
            </w:tcBorders>
            <w:shd w:val="clear" w:color="auto" w:fill="auto"/>
            <w:vAlign w:val="center"/>
          </w:tcPr>
          <w:p w14:paraId="11261212">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JAK3</w:t>
            </w:r>
          </w:p>
        </w:tc>
        <w:tc>
          <w:tcPr>
            <w:tcW w:w="1050" w:type="dxa"/>
            <w:tcBorders>
              <w:tl2br w:val="nil"/>
              <w:tr2bl w:val="nil"/>
            </w:tcBorders>
            <w:shd w:val="clear" w:color="auto" w:fill="auto"/>
            <w:vAlign w:val="center"/>
          </w:tcPr>
          <w:p w14:paraId="420080DA">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KIT</w:t>
            </w:r>
          </w:p>
        </w:tc>
        <w:tc>
          <w:tcPr>
            <w:tcW w:w="961" w:type="dxa"/>
            <w:tcBorders>
              <w:tl2br w:val="nil"/>
              <w:tr2bl w:val="nil"/>
            </w:tcBorders>
            <w:shd w:val="clear" w:color="auto" w:fill="auto"/>
            <w:vAlign w:val="center"/>
          </w:tcPr>
          <w:p w14:paraId="6406C769">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KRAS</w:t>
            </w:r>
          </w:p>
        </w:tc>
        <w:tc>
          <w:tcPr>
            <w:tcW w:w="994" w:type="dxa"/>
            <w:tcBorders>
              <w:tl2br w:val="nil"/>
              <w:tr2bl w:val="nil"/>
            </w:tcBorders>
            <w:shd w:val="clear" w:color="auto" w:fill="auto"/>
            <w:vAlign w:val="center"/>
          </w:tcPr>
          <w:p w14:paraId="2B7D81CF">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MAP2K1</w:t>
            </w:r>
          </w:p>
        </w:tc>
      </w:tr>
      <w:tr w14:paraId="6B593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750E62A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MAP2K2</w:t>
            </w:r>
          </w:p>
        </w:tc>
        <w:tc>
          <w:tcPr>
            <w:tcW w:w="916" w:type="dxa"/>
            <w:tcBorders>
              <w:tl2br w:val="nil"/>
              <w:tr2bl w:val="nil"/>
            </w:tcBorders>
            <w:shd w:val="clear" w:color="auto" w:fill="auto"/>
            <w:vAlign w:val="center"/>
          </w:tcPr>
          <w:p w14:paraId="3D4B904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1050" w:type="dxa"/>
            <w:tcBorders>
              <w:tl2br w:val="nil"/>
              <w:tr2bl w:val="nil"/>
            </w:tcBorders>
            <w:shd w:val="clear" w:color="auto" w:fill="auto"/>
            <w:vAlign w:val="center"/>
          </w:tcPr>
          <w:p w14:paraId="05C7EADE">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MTOR</w:t>
            </w:r>
          </w:p>
        </w:tc>
        <w:tc>
          <w:tcPr>
            <w:tcW w:w="861" w:type="dxa"/>
            <w:tcBorders>
              <w:tl2br w:val="nil"/>
              <w:tr2bl w:val="nil"/>
            </w:tcBorders>
            <w:shd w:val="clear" w:color="auto" w:fill="auto"/>
            <w:vAlign w:val="center"/>
          </w:tcPr>
          <w:p w14:paraId="5FD85BE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w:t>
            </w:r>
          </w:p>
        </w:tc>
        <w:tc>
          <w:tcPr>
            <w:tcW w:w="894" w:type="dxa"/>
            <w:tcBorders>
              <w:tl2br w:val="nil"/>
              <w:tr2bl w:val="nil"/>
            </w:tcBorders>
            <w:shd w:val="clear" w:color="auto" w:fill="auto"/>
            <w:vAlign w:val="center"/>
          </w:tcPr>
          <w:p w14:paraId="067217E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MYCN</w:t>
            </w:r>
          </w:p>
        </w:tc>
        <w:tc>
          <w:tcPr>
            <w:tcW w:w="905" w:type="dxa"/>
            <w:tcBorders>
              <w:tl2br w:val="nil"/>
              <w:tr2bl w:val="nil"/>
            </w:tcBorders>
            <w:shd w:val="clear" w:color="auto" w:fill="auto"/>
            <w:vAlign w:val="center"/>
          </w:tcPr>
          <w:p w14:paraId="5DA901D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NOTCH1</w:t>
            </w:r>
          </w:p>
        </w:tc>
        <w:tc>
          <w:tcPr>
            <w:tcW w:w="1027" w:type="dxa"/>
            <w:tcBorders>
              <w:tl2br w:val="nil"/>
              <w:tr2bl w:val="nil"/>
            </w:tcBorders>
            <w:shd w:val="clear" w:color="auto" w:fill="auto"/>
            <w:vAlign w:val="center"/>
          </w:tcPr>
          <w:p w14:paraId="4A46EB60">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NRAS</w:t>
            </w:r>
          </w:p>
        </w:tc>
        <w:tc>
          <w:tcPr>
            <w:tcW w:w="1050" w:type="dxa"/>
            <w:tcBorders>
              <w:tl2br w:val="nil"/>
              <w:tr2bl w:val="nil"/>
            </w:tcBorders>
            <w:shd w:val="clear" w:color="auto" w:fill="auto"/>
            <w:vAlign w:val="center"/>
          </w:tcPr>
          <w:p w14:paraId="68B89D1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61" w:type="dxa"/>
            <w:tcBorders>
              <w:tl2br w:val="nil"/>
              <w:tr2bl w:val="nil"/>
            </w:tcBorders>
            <w:shd w:val="clear" w:color="auto" w:fill="auto"/>
            <w:vAlign w:val="center"/>
          </w:tcPr>
          <w:p w14:paraId="241FCCCA">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PIK3CA</w:t>
            </w:r>
          </w:p>
        </w:tc>
        <w:tc>
          <w:tcPr>
            <w:tcW w:w="994" w:type="dxa"/>
            <w:tcBorders>
              <w:tl2br w:val="nil"/>
              <w:tr2bl w:val="nil"/>
            </w:tcBorders>
            <w:shd w:val="clear" w:color="auto" w:fill="auto"/>
            <w:vAlign w:val="center"/>
          </w:tcPr>
          <w:p w14:paraId="5455BF07">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PTEN</w:t>
            </w:r>
          </w:p>
        </w:tc>
      </w:tr>
      <w:tr w14:paraId="37AA50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28ADE6CF">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14:paraId="04AFA9C4">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RB1</w:t>
            </w:r>
          </w:p>
        </w:tc>
        <w:tc>
          <w:tcPr>
            <w:tcW w:w="1050" w:type="dxa"/>
            <w:tcBorders>
              <w:tl2br w:val="nil"/>
              <w:tr2bl w:val="nil"/>
            </w:tcBorders>
            <w:shd w:val="clear" w:color="auto" w:fill="auto"/>
            <w:vAlign w:val="center"/>
          </w:tcPr>
          <w:p w14:paraId="38A94EA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861" w:type="dxa"/>
            <w:tcBorders>
              <w:tl2br w:val="nil"/>
              <w:tr2bl w:val="nil"/>
            </w:tcBorders>
            <w:shd w:val="clear" w:color="auto" w:fill="auto"/>
            <w:vAlign w:val="center"/>
          </w:tcPr>
          <w:p w14:paraId="35F2A7B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94" w:type="dxa"/>
            <w:tcBorders>
              <w:tl2br w:val="nil"/>
              <w:tr2bl w:val="nil"/>
            </w:tcBorders>
            <w:shd w:val="clear" w:color="auto" w:fill="auto"/>
            <w:vAlign w:val="center"/>
          </w:tcPr>
          <w:p w14:paraId="0F1A0D14">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SMAD4</w:t>
            </w:r>
          </w:p>
        </w:tc>
        <w:tc>
          <w:tcPr>
            <w:tcW w:w="905" w:type="dxa"/>
            <w:tcBorders>
              <w:tl2br w:val="nil"/>
              <w:tr2bl w:val="nil"/>
            </w:tcBorders>
            <w:shd w:val="clear" w:color="auto" w:fill="auto"/>
            <w:vAlign w:val="center"/>
          </w:tcPr>
          <w:p w14:paraId="77D5376C">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SMO</w:t>
            </w:r>
          </w:p>
        </w:tc>
        <w:tc>
          <w:tcPr>
            <w:tcW w:w="1027" w:type="dxa"/>
            <w:tcBorders>
              <w:tl2br w:val="nil"/>
              <w:tr2bl w:val="nil"/>
            </w:tcBorders>
            <w:shd w:val="clear" w:color="auto" w:fill="auto"/>
            <w:vAlign w:val="center"/>
          </w:tcPr>
          <w:p w14:paraId="086065C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STK11</w:t>
            </w:r>
          </w:p>
        </w:tc>
        <w:tc>
          <w:tcPr>
            <w:tcW w:w="1050" w:type="dxa"/>
            <w:tcBorders>
              <w:tl2br w:val="nil"/>
              <w:tr2bl w:val="nil"/>
            </w:tcBorders>
            <w:shd w:val="clear" w:color="auto" w:fill="auto"/>
            <w:vAlign w:val="center"/>
          </w:tcPr>
          <w:p w14:paraId="6B53117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TP53</w:t>
            </w:r>
          </w:p>
        </w:tc>
        <w:tc>
          <w:tcPr>
            <w:tcW w:w="961" w:type="dxa"/>
            <w:tcBorders>
              <w:tl2br w:val="nil"/>
              <w:tr2bl w:val="nil"/>
            </w:tcBorders>
            <w:shd w:val="clear" w:color="auto" w:fill="auto"/>
            <w:vAlign w:val="center"/>
          </w:tcPr>
          <w:p w14:paraId="533CFB65">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UGT1A1</w:t>
            </w:r>
          </w:p>
        </w:tc>
        <w:tc>
          <w:tcPr>
            <w:tcW w:w="994" w:type="dxa"/>
            <w:tcBorders>
              <w:tl2br w:val="nil"/>
              <w:tr2bl w:val="nil"/>
            </w:tcBorders>
            <w:shd w:val="clear" w:color="auto" w:fill="auto"/>
            <w:vAlign w:val="center"/>
          </w:tcPr>
          <w:p w14:paraId="6818E0B5">
            <w:pPr>
              <w:pStyle w:val="23"/>
              <w:jc w:val="center"/>
              <w:rPr>
                <w:rFonts w:ascii="Times New Roman" w:hAnsi="Times New Roman" w:eastAsia="微软雅黑" w:cs="Times New Roman"/>
                <w:b/>
                <w:bCs/>
                <w:sz w:val="20"/>
                <w:szCs w:val="20"/>
              </w:rPr>
            </w:pPr>
          </w:p>
        </w:tc>
      </w:tr>
    </w:tbl>
    <w:p w14:paraId="2DBD1931">
      <w:pPr>
        <w:pStyle w:val="55"/>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RNA 测序基因分析列表</w:t>
      </w:r>
    </w:p>
    <w:tbl>
      <w:tblPr>
        <w:tblStyle w:val="24"/>
        <w:tblW w:w="485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7"/>
        <w:gridCol w:w="910"/>
        <w:gridCol w:w="1031"/>
        <w:gridCol w:w="861"/>
        <w:gridCol w:w="881"/>
        <w:gridCol w:w="904"/>
        <w:gridCol w:w="1014"/>
        <w:gridCol w:w="1034"/>
        <w:gridCol w:w="1050"/>
        <w:gridCol w:w="985"/>
      </w:tblGrid>
      <w:tr w14:paraId="751C4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4EDB0F1C">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ABL1</w:t>
            </w:r>
          </w:p>
        </w:tc>
        <w:tc>
          <w:tcPr>
            <w:tcW w:w="916" w:type="dxa"/>
            <w:tcBorders>
              <w:tl2br w:val="nil"/>
              <w:tr2bl w:val="nil"/>
            </w:tcBorders>
            <w:shd w:val="clear" w:color="auto" w:fill="auto"/>
            <w:vAlign w:val="center"/>
          </w:tcPr>
          <w:p w14:paraId="41EC939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AKT3</w:t>
            </w:r>
          </w:p>
        </w:tc>
        <w:tc>
          <w:tcPr>
            <w:tcW w:w="1050" w:type="dxa"/>
            <w:tcBorders>
              <w:tl2br w:val="nil"/>
              <w:tr2bl w:val="nil"/>
            </w:tcBorders>
            <w:shd w:val="clear" w:color="auto" w:fill="auto"/>
            <w:vAlign w:val="center"/>
          </w:tcPr>
          <w:p w14:paraId="5D93B34F">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861" w:type="dxa"/>
            <w:tcBorders>
              <w:tl2br w:val="nil"/>
              <w:tr2bl w:val="nil"/>
            </w:tcBorders>
            <w:shd w:val="clear" w:color="auto" w:fill="auto"/>
            <w:vAlign w:val="center"/>
          </w:tcPr>
          <w:p w14:paraId="4798002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AXL</w:t>
            </w:r>
          </w:p>
        </w:tc>
        <w:tc>
          <w:tcPr>
            <w:tcW w:w="894" w:type="dxa"/>
            <w:tcBorders>
              <w:tl2br w:val="nil"/>
              <w:tr2bl w:val="nil"/>
            </w:tcBorders>
            <w:shd w:val="clear" w:color="auto" w:fill="auto"/>
            <w:vAlign w:val="center"/>
          </w:tcPr>
          <w:p w14:paraId="3CFCF2D8">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905" w:type="dxa"/>
            <w:tcBorders>
              <w:tl2br w:val="nil"/>
              <w:tr2bl w:val="nil"/>
            </w:tcBorders>
            <w:shd w:val="clear" w:color="auto" w:fill="auto"/>
            <w:vAlign w:val="center"/>
          </w:tcPr>
          <w:p w14:paraId="2F23A96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c>
          <w:tcPr>
            <w:tcW w:w="1027" w:type="dxa"/>
            <w:tcBorders>
              <w:tl2br w:val="nil"/>
              <w:tr2bl w:val="nil"/>
            </w:tcBorders>
            <w:shd w:val="clear" w:color="auto" w:fill="auto"/>
            <w:vAlign w:val="center"/>
          </w:tcPr>
          <w:p w14:paraId="5DAA551C">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1050" w:type="dxa"/>
            <w:tcBorders>
              <w:tl2br w:val="nil"/>
              <w:tr2bl w:val="nil"/>
            </w:tcBorders>
            <w:shd w:val="clear" w:color="auto" w:fill="auto"/>
            <w:vAlign w:val="center"/>
          </w:tcPr>
          <w:p w14:paraId="38D85008">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ERG</w:t>
            </w:r>
          </w:p>
        </w:tc>
        <w:tc>
          <w:tcPr>
            <w:tcW w:w="961" w:type="dxa"/>
            <w:tcBorders>
              <w:tl2br w:val="nil"/>
              <w:tr2bl w:val="nil"/>
            </w:tcBorders>
            <w:shd w:val="clear" w:color="auto" w:fill="auto"/>
            <w:vAlign w:val="center"/>
          </w:tcPr>
          <w:p w14:paraId="7B731D0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ETV1</w:t>
            </w:r>
          </w:p>
        </w:tc>
        <w:tc>
          <w:tcPr>
            <w:tcW w:w="994" w:type="dxa"/>
            <w:tcBorders>
              <w:tl2br w:val="nil"/>
              <w:tr2bl w:val="nil"/>
            </w:tcBorders>
            <w:shd w:val="clear" w:color="auto" w:fill="auto"/>
            <w:vAlign w:val="center"/>
          </w:tcPr>
          <w:p w14:paraId="0AF62C8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ETV4</w:t>
            </w:r>
          </w:p>
        </w:tc>
      </w:tr>
      <w:tr w14:paraId="03775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3D278CB3">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ETV5</w:t>
            </w:r>
          </w:p>
        </w:tc>
        <w:tc>
          <w:tcPr>
            <w:tcW w:w="916" w:type="dxa"/>
            <w:tcBorders>
              <w:tl2br w:val="nil"/>
              <w:tr2bl w:val="nil"/>
            </w:tcBorders>
            <w:shd w:val="clear" w:color="auto" w:fill="auto"/>
            <w:vAlign w:val="center"/>
          </w:tcPr>
          <w:p w14:paraId="06B9E21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50" w:type="dxa"/>
            <w:tcBorders>
              <w:tl2br w:val="nil"/>
              <w:tr2bl w:val="nil"/>
            </w:tcBorders>
            <w:shd w:val="clear" w:color="auto" w:fill="auto"/>
            <w:vAlign w:val="center"/>
          </w:tcPr>
          <w:p w14:paraId="6A9AEAC5">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861" w:type="dxa"/>
            <w:tcBorders>
              <w:tl2br w:val="nil"/>
              <w:tr2bl w:val="nil"/>
            </w:tcBorders>
            <w:shd w:val="clear" w:color="auto" w:fill="auto"/>
            <w:vAlign w:val="center"/>
          </w:tcPr>
          <w:p w14:paraId="586960A5">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894" w:type="dxa"/>
            <w:tcBorders>
              <w:tl2br w:val="nil"/>
              <w:tr2bl w:val="nil"/>
            </w:tcBorders>
            <w:shd w:val="clear" w:color="auto" w:fill="auto"/>
            <w:vAlign w:val="center"/>
          </w:tcPr>
          <w:p w14:paraId="11F3BD77">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905" w:type="dxa"/>
            <w:tcBorders>
              <w:tl2br w:val="nil"/>
              <w:tr2bl w:val="nil"/>
            </w:tcBorders>
            <w:shd w:val="clear" w:color="auto" w:fill="auto"/>
            <w:vAlign w:val="center"/>
          </w:tcPr>
          <w:p w14:paraId="6E96A2A9">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NTRK1</w:t>
            </w:r>
          </w:p>
        </w:tc>
        <w:tc>
          <w:tcPr>
            <w:tcW w:w="1027" w:type="dxa"/>
            <w:tcBorders>
              <w:tl2br w:val="nil"/>
              <w:tr2bl w:val="nil"/>
            </w:tcBorders>
            <w:shd w:val="clear" w:color="auto" w:fill="auto"/>
            <w:vAlign w:val="center"/>
          </w:tcPr>
          <w:p w14:paraId="2EC25491">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NTRK2</w:t>
            </w:r>
          </w:p>
        </w:tc>
        <w:tc>
          <w:tcPr>
            <w:tcW w:w="1050" w:type="dxa"/>
            <w:tcBorders>
              <w:tl2br w:val="nil"/>
              <w:tr2bl w:val="nil"/>
            </w:tcBorders>
            <w:shd w:val="clear" w:color="auto" w:fill="auto"/>
            <w:vAlign w:val="center"/>
          </w:tcPr>
          <w:p w14:paraId="6C53FC8B">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NTRK3</w:t>
            </w:r>
          </w:p>
        </w:tc>
        <w:tc>
          <w:tcPr>
            <w:tcW w:w="961" w:type="dxa"/>
            <w:tcBorders>
              <w:tl2br w:val="nil"/>
              <w:tr2bl w:val="nil"/>
            </w:tcBorders>
            <w:shd w:val="clear" w:color="auto" w:fill="auto"/>
            <w:vAlign w:val="center"/>
          </w:tcPr>
          <w:p w14:paraId="2C0538B5">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94" w:type="dxa"/>
            <w:tcBorders>
              <w:tl2br w:val="nil"/>
              <w:tr2bl w:val="nil"/>
            </w:tcBorders>
            <w:shd w:val="clear" w:color="auto" w:fill="auto"/>
            <w:vAlign w:val="center"/>
          </w:tcPr>
          <w:p w14:paraId="40E4A592">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PPARG</w:t>
            </w:r>
          </w:p>
        </w:tc>
      </w:tr>
      <w:tr w14:paraId="72A53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14:paraId="2B017D10">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14:paraId="1FCDCB37">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1050" w:type="dxa"/>
            <w:tcBorders>
              <w:tl2br w:val="nil"/>
              <w:tr2bl w:val="nil"/>
            </w:tcBorders>
            <w:shd w:val="clear" w:color="auto" w:fill="auto"/>
            <w:vAlign w:val="center"/>
          </w:tcPr>
          <w:p w14:paraId="61957C16">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61" w:type="dxa"/>
            <w:tcBorders>
              <w:tl2br w:val="nil"/>
              <w:tr2bl w:val="nil"/>
            </w:tcBorders>
            <w:shd w:val="clear" w:color="auto" w:fill="auto"/>
            <w:vAlign w:val="center"/>
          </w:tcPr>
          <w:p w14:paraId="601F1CB4">
            <w:pPr>
              <w:pStyle w:val="23"/>
              <w:jc w:val="center"/>
              <w:rPr>
                <w:rFonts w:ascii="Times New Roman" w:hAnsi="Times New Roman" w:eastAsia="微软雅黑" w:cs="Times New Roman"/>
                <w:b/>
                <w:bCs/>
                <w:sz w:val="20"/>
                <w:szCs w:val="20"/>
              </w:rPr>
            </w:pPr>
          </w:p>
        </w:tc>
        <w:tc>
          <w:tcPr>
            <w:tcW w:w="894" w:type="dxa"/>
            <w:tcBorders>
              <w:tl2br w:val="nil"/>
              <w:tr2bl w:val="nil"/>
            </w:tcBorders>
            <w:shd w:val="clear" w:color="auto" w:fill="auto"/>
            <w:vAlign w:val="center"/>
          </w:tcPr>
          <w:p w14:paraId="02DFE546">
            <w:pPr>
              <w:pStyle w:val="23"/>
              <w:jc w:val="center"/>
              <w:rPr>
                <w:rFonts w:ascii="Times New Roman" w:hAnsi="Times New Roman" w:eastAsia="微软雅黑" w:cs="Times New Roman"/>
                <w:b/>
                <w:bCs/>
                <w:sz w:val="20"/>
                <w:szCs w:val="20"/>
              </w:rPr>
            </w:pPr>
          </w:p>
        </w:tc>
        <w:tc>
          <w:tcPr>
            <w:tcW w:w="905" w:type="dxa"/>
            <w:tcBorders>
              <w:tl2br w:val="nil"/>
              <w:tr2bl w:val="nil"/>
            </w:tcBorders>
            <w:shd w:val="clear" w:color="auto" w:fill="auto"/>
            <w:vAlign w:val="center"/>
          </w:tcPr>
          <w:p w14:paraId="7F23F4F4">
            <w:pPr>
              <w:pStyle w:val="23"/>
              <w:jc w:val="center"/>
              <w:rPr>
                <w:rFonts w:ascii="Times New Roman" w:hAnsi="Times New Roman" w:eastAsia="微软雅黑" w:cs="Times New Roman"/>
                <w:b/>
                <w:bCs/>
                <w:sz w:val="20"/>
                <w:szCs w:val="20"/>
              </w:rPr>
            </w:pPr>
          </w:p>
        </w:tc>
        <w:tc>
          <w:tcPr>
            <w:tcW w:w="1027" w:type="dxa"/>
            <w:tcBorders>
              <w:tl2br w:val="nil"/>
              <w:tr2bl w:val="nil"/>
            </w:tcBorders>
            <w:shd w:val="clear" w:color="auto" w:fill="auto"/>
            <w:vAlign w:val="center"/>
          </w:tcPr>
          <w:p w14:paraId="40F4D35E">
            <w:pPr>
              <w:pStyle w:val="23"/>
              <w:jc w:val="center"/>
              <w:rPr>
                <w:rFonts w:ascii="Times New Roman" w:hAnsi="Times New Roman" w:eastAsia="微软雅黑" w:cs="Times New Roman"/>
                <w:b/>
                <w:bCs/>
                <w:sz w:val="20"/>
                <w:szCs w:val="20"/>
              </w:rPr>
            </w:pPr>
          </w:p>
        </w:tc>
        <w:tc>
          <w:tcPr>
            <w:tcW w:w="1050" w:type="dxa"/>
            <w:tcBorders>
              <w:tl2br w:val="nil"/>
              <w:tr2bl w:val="nil"/>
            </w:tcBorders>
            <w:shd w:val="clear" w:color="auto" w:fill="auto"/>
            <w:vAlign w:val="center"/>
          </w:tcPr>
          <w:p w14:paraId="7C79CF8D">
            <w:pPr>
              <w:pStyle w:val="23"/>
              <w:jc w:val="center"/>
              <w:rPr>
                <w:rFonts w:ascii="Times New Roman" w:hAnsi="Times New Roman" w:eastAsia="微软雅黑" w:cs="Times New Roman"/>
                <w:b/>
                <w:bCs/>
                <w:sz w:val="20"/>
                <w:szCs w:val="20"/>
              </w:rPr>
            </w:pPr>
          </w:p>
        </w:tc>
        <w:tc>
          <w:tcPr>
            <w:tcW w:w="961" w:type="dxa"/>
            <w:tcBorders>
              <w:tl2br w:val="nil"/>
              <w:tr2bl w:val="nil"/>
            </w:tcBorders>
            <w:shd w:val="clear" w:color="auto" w:fill="auto"/>
            <w:vAlign w:val="center"/>
          </w:tcPr>
          <w:p w14:paraId="44732569">
            <w:pPr>
              <w:pStyle w:val="23"/>
              <w:jc w:val="center"/>
              <w:rPr>
                <w:rFonts w:ascii="Times New Roman" w:hAnsi="Times New Roman" w:eastAsia="微软雅黑" w:cs="Times New Roman"/>
                <w:b/>
                <w:bCs/>
                <w:sz w:val="20"/>
                <w:szCs w:val="20"/>
              </w:rPr>
            </w:pPr>
          </w:p>
        </w:tc>
        <w:tc>
          <w:tcPr>
            <w:tcW w:w="994" w:type="dxa"/>
            <w:tcBorders>
              <w:tl2br w:val="nil"/>
              <w:tr2bl w:val="nil"/>
            </w:tcBorders>
            <w:shd w:val="clear" w:color="auto" w:fill="auto"/>
            <w:vAlign w:val="center"/>
          </w:tcPr>
          <w:p w14:paraId="2EF99B83">
            <w:pPr>
              <w:pStyle w:val="23"/>
              <w:jc w:val="center"/>
              <w:rPr>
                <w:rFonts w:ascii="Times New Roman" w:hAnsi="Times New Roman" w:eastAsia="微软雅黑" w:cs="Times New Roman"/>
                <w:b/>
                <w:bCs/>
                <w:sz w:val="20"/>
                <w:szCs w:val="20"/>
              </w:rPr>
            </w:pPr>
          </w:p>
        </w:tc>
      </w:tr>
    </w:tbl>
    <w:p w14:paraId="4C868FFB">
      <w:pPr>
        <w:pStyle w:val="55"/>
        <w:spacing w:before="87"/>
        <w:ind w:firstLine="0" w:firstLineChars="0"/>
        <w:rPr>
          <w:rFonts w:ascii="Times New Roman" w:hAnsi="Times New Roman" w:eastAsia="微软雅黑"/>
          <w:bCs/>
          <w:sz w:val="24"/>
          <w:szCs w:val="24"/>
          <w:lang w:eastAsia="zh-CN"/>
        </w:rPr>
      </w:pPr>
    </w:p>
    <w:p w14:paraId="61EF2ADB">
      <w:pPr>
        <w:pStyle w:val="32"/>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质量控制：</w:t>
      </w:r>
    </w:p>
    <w:tbl>
      <w:tblPr>
        <w:tblStyle w:val="6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2"/>
        <w:gridCol w:w="2368"/>
        <w:gridCol w:w="2845"/>
        <w:gridCol w:w="2375"/>
      </w:tblGrid>
      <w:tr w14:paraId="35BD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tcBorders>
              <w:tl2br w:val="nil"/>
              <w:tr2bl w:val="nil"/>
            </w:tcBorders>
            <w:shd w:val="clear" w:color="auto" w:fill="00A79F"/>
            <w:vAlign w:val="center"/>
          </w:tcPr>
          <w:p w14:paraId="188CA15C">
            <w:pPr>
              <w:pStyle w:val="33"/>
              <w:spacing w:after="0" w:line="260" w:lineRule="auto"/>
              <w:jc w:val="cente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t>质控环节</w:t>
            </w:r>
          </w:p>
        </w:tc>
        <w:tc>
          <w:tcPr>
            <w:tcW w:w="1250" w:type="pct"/>
            <w:tcBorders>
              <w:tl2br w:val="nil"/>
              <w:tr2bl w:val="nil"/>
            </w:tcBorders>
            <w:shd w:val="clear" w:color="auto" w:fill="00A79F"/>
            <w:vAlign w:val="center"/>
          </w:tcPr>
          <w:p w14:paraId="29768DB4">
            <w:pPr>
              <w:pStyle w:val="33"/>
              <w:spacing w:after="0" w:line="260" w:lineRule="auto"/>
              <w:jc w:val="cente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t>质控参数</w:t>
            </w:r>
          </w:p>
        </w:tc>
        <w:tc>
          <w:tcPr>
            <w:tcW w:w="1249" w:type="pct"/>
            <w:tcBorders>
              <w:tl2br w:val="nil"/>
              <w:tr2bl w:val="nil"/>
            </w:tcBorders>
            <w:shd w:val="clear" w:color="auto" w:fill="00A79F"/>
          </w:tcPr>
          <w:p w14:paraId="0161774C">
            <w:pPr>
              <w:pStyle w:val="33"/>
              <w:spacing w:after="0" w:line="260" w:lineRule="auto"/>
              <w:jc w:val="cente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t>质控数据</w:t>
            </w:r>
          </w:p>
        </w:tc>
        <w:tc>
          <w:tcPr>
            <w:tcW w:w="1252" w:type="pct"/>
            <w:tcBorders>
              <w:tl2br w:val="nil"/>
              <w:tr2bl w:val="nil"/>
            </w:tcBorders>
            <w:shd w:val="clear" w:color="auto" w:fill="00A79F"/>
          </w:tcPr>
          <w:p w14:paraId="4763A8C9">
            <w:pPr>
              <w:pStyle w:val="33"/>
              <w:spacing w:after="0" w:line="260" w:lineRule="auto"/>
              <w:jc w:val="cente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kern w:val="2"/>
                <w:sz w:val="21"/>
                <w:szCs w:val="21"/>
                <w:lang w:eastAsia="zh-CN"/>
                <w14:textFill>
                  <w14:solidFill>
                    <w14:schemeClr w14:val="bg1"/>
                  </w14:solidFill>
                </w14:textFill>
              </w:rPr>
              <w:t>质控标准</w:t>
            </w:r>
          </w:p>
        </w:tc>
      </w:tr>
      <w:tr w14:paraId="59A4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vMerge w:val="restart"/>
            <w:tcBorders>
              <w:tl2br w:val="nil"/>
              <w:tr2bl w:val="nil"/>
            </w:tcBorders>
            <w:vAlign w:val="center"/>
          </w:tcPr>
          <w:p w14:paraId="2284F8C7">
            <w:pPr>
              <w:widowControl w:val="0"/>
              <w:spacing w:before="1" w:after="0" w:line="249" w:lineRule="auto"/>
              <w:ind w:left="262" w:right="131"/>
              <w:jc w:val="center"/>
              <w:rPr>
                <w:rFonts w:hint="default" w:ascii="Times New Roman" w:hAnsi="Times New Roman" w:eastAsia="微软雅黑" w:cs="Times New Roman"/>
                <w:b/>
                <w:bCs/>
                <w:kern w:val="2"/>
                <w:sz w:val="18"/>
                <w:szCs w:val="18"/>
                <w:lang w:eastAsia="zh-CN"/>
              </w:rPr>
            </w:pPr>
            <w:r>
              <w:rPr>
                <w:rFonts w:hint="default" w:ascii="Times New Roman" w:hAnsi="Times New Roman" w:eastAsia="微软雅黑" w:cs="Times New Roman"/>
                <w:b/>
                <w:bCs/>
                <w:kern w:val="2"/>
                <w:sz w:val="18"/>
                <w:szCs w:val="18"/>
                <w:lang w:eastAsia="zh-CN"/>
              </w:rPr>
              <w:t>核酸质控</w:t>
            </w:r>
          </w:p>
        </w:tc>
        <w:tc>
          <w:tcPr>
            <w:tcW w:w="1250" w:type="pct"/>
            <w:tcBorders>
              <w:tl2br w:val="nil"/>
              <w:tr2bl w:val="nil"/>
            </w:tcBorders>
            <w:vAlign w:val="center"/>
          </w:tcPr>
          <w:p w14:paraId="15974D32">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DNA总量</w:t>
            </w:r>
          </w:p>
        </w:tc>
        <w:tc>
          <w:tcPr>
            <w:tcW w:w="1249" w:type="pct"/>
            <w:tcBorders>
              <w:tl2br w:val="nil"/>
              <w:tr2bl w:val="nil"/>
            </w:tcBorders>
            <w:vAlign w:val="center"/>
          </w:tcPr>
          <w:p w14:paraId="4990F7AE">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 DNANucleic }}ng</w:t>
            </w:r>
          </w:p>
        </w:tc>
        <w:tc>
          <w:tcPr>
            <w:tcW w:w="1252" w:type="pct"/>
            <w:tcBorders>
              <w:tl2br w:val="nil"/>
              <w:tr2bl w:val="nil"/>
            </w:tcBorders>
            <w:vAlign w:val="center"/>
          </w:tcPr>
          <w:p w14:paraId="0456D4F1">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≥10ng</w:t>
            </w:r>
          </w:p>
        </w:tc>
      </w:tr>
      <w:tr w14:paraId="32FE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vMerge w:val="continue"/>
            <w:tcBorders>
              <w:tl2br w:val="nil"/>
              <w:tr2bl w:val="nil"/>
            </w:tcBorders>
            <w:vAlign w:val="center"/>
          </w:tcPr>
          <w:p w14:paraId="43E1BE37">
            <w:pPr>
              <w:widowControl w:val="0"/>
              <w:spacing w:before="1" w:after="0" w:line="249" w:lineRule="auto"/>
              <w:ind w:left="262" w:right="131"/>
              <w:jc w:val="center"/>
              <w:rPr>
                <w:rFonts w:hint="default" w:ascii="Times New Roman" w:hAnsi="Times New Roman" w:eastAsia="微软雅黑" w:cs="Times New Roman"/>
                <w:b/>
                <w:bCs/>
                <w:kern w:val="2"/>
                <w:sz w:val="18"/>
                <w:szCs w:val="18"/>
                <w:lang w:eastAsia="zh-CN"/>
              </w:rPr>
            </w:pPr>
          </w:p>
        </w:tc>
        <w:tc>
          <w:tcPr>
            <w:tcW w:w="1250" w:type="pct"/>
            <w:tcBorders>
              <w:tl2br w:val="nil"/>
              <w:tr2bl w:val="nil"/>
            </w:tcBorders>
            <w:vAlign w:val="center"/>
          </w:tcPr>
          <w:p w14:paraId="1A2F4566">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RNA总量</w:t>
            </w:r>
          </w:p>
        </w:tc>
        <w:tc>
          <w:tcPr>
            <w:tcW w:w="1249" w:type="pct"/>
            <w:tcBorders>
              <w:tl2br w:val="nil"/>
              <w:tr2bl w:val="nil"/>
            </w:tcBorders>
            <w:vAlign w:val="center"/>
          </w:tcPr>
          <w:p w14:paraId="3462B264">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highlight w:val="none"/>
                <w:lang w:eastAsia="zh-CN"/>
              </w:rPr>
              <w:t>{{ RNANucleic }}ng</w:t>
            </w:r>
          </w:p>
        </w:tc>
        <w:tc>
          <w:tcPr>
            <w:tcW w:w="1252" w:type="pct"/>
            <w:tcBorders>
              <w:tl2br w:val="nil"/>
              <w:tr2bl w:val="nil"/>
            </w:tcBorders>
            <w:vAlign w:val="center"/>
          </w:tcPr>
          <w:p w14:paraId="3FE3C606">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≥40ng</w:t>
            </w:r>
          </w:p>
        </w:tc>
      </w:tr>
      <w:tr w14:paraId="5CE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vMerge w:val="restart"/>
            <w:tcBorders>
              <w:tl2br w:val="nil"/>
              <w:tr2bl w:val="nil"/>
            </w:tcBorders>
            <w:vAlign w:val="center"/>
          </w:tcPr>
          <w:p w14:paraId="2E2DE2FB">
            <w:pPr>
              <w:widowControl w:val="0"/>
              <w:spacing w:before="1" w:after="0" w:line="249" w:lineRule="auto"/>
              <w:ind w:left="262" w:right="131"/>
              <w:jc w:val="center"/>
              <w:rPr>
                <w:rFonts w:hint="default" w:ascii="Times New Roman" w:hAnsi="Times New Roman" w:eastAsia="微软雅黑" w:cs="Times New Roman"/>
                <w:b/>
                <w:bCs/>
                <w:kern w:val="2"/>
                <w:sz w:val="18"/>
                <w:szCs w:val="18"/>
                <w:lang w:eastAsia="zh-CN"/>
              </w:rPr>
            </w:pPr>
            <w:r>
              <w:rPr>
                <w:rFonts w:hint="default" w:ascii="Times New Roman" w:hAnsi="Times New Roman" w:eastAsia="微软雅黑" w:cs="Times New Roman"/>
                <w:b/>
                <w:bCs/>
                <w:kern w:val="2"/>
                <w:sz w:val="18"/>
                <w:szCs w:val="18"/>
                <w:lang w:eastAsia="zh-CN"/>
              </w:rPr>
              <w:t>测序质控</w:t>
            </w:r>
          </w:p>
        </w:tc>
        <w:tc>
          <w:tcPr>
            <w:tcW w:w="1250" w:type="pct"/>
            <w:tcBorders>
              <w:tl2br w:val="nil"/>
              <w:tr2bl w:val="nil"/>
            </w:tcBorders>
            <w:vAlign w:val="center"/>
          </w:tcPr>
          <w:p w14:paraId="7FA52BCA">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平均测序深度</w:t>
            </w:r>
          </w:p>
        </w:tc>
        <w:tc>
          <w:tcPr>
            <w:tcW w:w="1249" w:type="pct"/>
            <w:tcBorders>
              <w:tl2br w:val="nil"/>
              <w:tr2bl w:val="nil"/>
            </w:tcBorders>
            <w:vAlign w:val="center"/>
          </w:tcPr>
          <w:p w14:paraId="58271FA7">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 meanSequencingDepth }}X</w:t>
            </w:r>
          </w:p>
        </w:tc>
        <w:tc>
          <w:tcPr>
            <w:tcW w:w="1252" w:type="pct"/>
            <w:tcBorders>
              <w:tl2br w:val="nil"/>
              <w:tr2bl w:val="nil"/>
            </w:tcBorders>
            <w:vAlign w:val="center"/>
          </w:tcPr>
          <w:p w14:paraId="471A8071">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≥3000X</w:t>
            </w:r>
          </w:p>
        </w:tc>
      </w:tr>
      <w:tr w14:paraId="5A25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vMerge w:val="continue"/>
            <w:tcBorders>
              <w:tl2br w:val="nil"/>
              <w:tr2bl w:val="nil"/>
            </w:tcBorders>
            <w:vAlign w:val="center"/>
          </w:tcPr>
          <w:p w14:paraId="5DAE93F3">
            <w:pPr>
              <w:widowControl w:val="0"/>
              <w:spacing w:before="1" w:after="0" w:line="249" w:lineRule="auto"/>
              <w:ind w:left="262" w:right="131"/>
              <w:jc w:val="center"/>
              <w:rPr>
                <w:rFonts w:hint="default" w:ascii="Times New Roman" w:hAnsi="Times New Roman" w:eastAsia="微软雅黑" w:cs="Times New Roman"/>
                <w:b/>
                <w:bCs/>
                <w:kern w:val="2"/>
                <w:sz w:val="18"/>
                <w:szCs w:val="18"/>
                <w:lang w:eastAsia="zh-CN"/>
              </w:rPr>
            </w:pPr>
          </w:p>
        </w:tc>
        <w:tc>
          <w:tcPr>
            <w:tcW w:w="1250" w:type="pct"/>
            <w:tcBorders>
              <w:tl2br w:val="nil"/>
              <w:tr2bl w:val="nil"/>
            </w:tcBorders>
            <w:vAlign w:val="center"/>
          </w:tcPr>
          <w:p w14:paraId="7A22735F">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目标区域覆盖度</w:t>
            </w:r>
          </w:p>
        </w:tc>
        <w:tc>
          <w:tcPr>
            <w:tcW w:w="1249" w:type="pct"/>
            <w:tcBorders>
              <w:tl2br w:val="nil"/>
              <w:tr2bl w:val="nil"/>
            </w:tcBorders>
            <w:vAlign w:val="center"/>
          </w:tcPr>
          <w:p w14:paraId="2B733200">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highlight w:val="none"/>
                <w:lang w:eastAsia="zh-CN"/>
              </w:rPr>
              <w:t>{{ targetAreaCoverage }}%</w:t>
            </w:r>
          </w:p>
        </w:tc>
        <w:tc>
          <w:tcPr>
            <w:tcW w:w="1252" w:type="pct"/>
            <w:tcBorders>
              <w:tl2br w:val="nil"/>
              <w:tr2bl w:val="nil"/>
            </w:tcBorders>
            <w:vAlign w:val="center"/>
          </w:tcPr>
          <w:p w14:paraId="4A4591A9">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kern w:val="2"/>
                <w:sz w:val="18"/>
                <w:szCs w:val="18"/>
                <w:lang w:eastAsia="zh-CN"/>
              </w:rPr>
              <w:t>≥95%</w:t>
            </w:r>
          </w:p>
        </w:tc>
      </w:tr>
      <w:tr w14:paraId="7FCA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1247" w:type="pct"/>
            <w:tcBorders>
              <w:tl2br w:val="nil"/>
              <w:tr2bl w:val="nil"/>
            </w:tcBorders>
            <w:vAlign w:val="center"/>
          </w:tcPr>
          <w:p w14:paraId="715150C6">
            <w:pPr>
              <w:widowControl w:val="0"/>
              <w:spacing w:before="1" w:after="0" w:line="249" w:lineRule="auto"/>
              <w:ind w:left="262" w:right="131"/>
              <w:jc w:val="center"/>
              <w:rPr>
                <w:rFonts w:hint="default" w:ascii="Times New Roman" w:hAnsi="Times New Roman" w:eastAsia="微软雅黑" w:cs="Times New Roman"/>
                <w:b/>
                <w:bCs/>
                <w:kern w:val="2"/>
                <w:sz w:val="18"/>
                <w:szCs w:val="18"/>
                <w:lang w:eastAsia="zh-CN"/>
              </w:rPr>
            </w:pPr>
            <w:r>
              <w:rPr>
                <w:rFonts w:hint="default" w:ascii="Times New Roman" w:hAnsi="Times New Roman" w:eastAsia="微软雅黑" w:cs="Times New Roman"/>
                <w:b/>
                <w:bCs/>
                <w:kern w:val="2"/>
                <w:sz w:val="18"/>
                <w:szCs w:val="18"/>
                <w:lang w:eastAsia="zh-CN"/>
              </w:rPr>
              <w:t>总体质量评估</w:t>
            </w:r>
          </w:p>
        </w:tc>
        <w:tc>
          <w:tcPr>
            <w:tcW w:w="3752" w:type="pct"/>
            <w:gridSpan w:val="3"/>
            <w:tcBorders>
              <w:tl2br w:val="nil"/>
              <w:tr2bl w:val="nil"/>
            </w:tcBorders>
            <w:vAlign w:val="center"/>
          </w:tcPr>
          <w:p w14:paraId="6B05B019">
            <w:pPr>
              <w:widowControl w:val="0"/>
              <w:spacing w:before="1" w:after="0" w:line="249" w:lineRule="auto"/>
              <w:ind w:left="262" w:right="131"/>
              <w:jc w:val="center"/>
              <w:rPr>
                <w:rFonts w:hint="default" w:ascii="Times New Roman" w:hAnsi="Times New Roman" w:eastAsia="微软雅黑" w:cs="Times New Roman"/>
                <w:kern w:val="2"/>
                <w:sz w:val="18"/>
                <w:szCs w:val="18"/>
                <w:lang w:eastAsia="zh-CN"/>
              </w:rPr>
            </w:pPr>
            <w:r>
              <w:rPr>
                <w:rFonts w:hint="default" w:ascii="Times New Roman" w:hAnsi="Times New Roman" w:eastAsia="微软雅黑" w:cs="Times New Roman"/>
                <w:b/>
                <w:bCs/>
                <w:kern w:val="2"/>
                <w:sz w:val="18"/>
                <w:szCs w:val="18"/>
                <w:lang w:eastAsia="zh-CN"/>
              </w:rPr>
              <w:t>合格</w:t>
            </w:r>
          </w:p>
        </w:tc>
      </w:tr>
    </w:tbl>
    <w:p w14:paraId="0F851CB9">
      <w:pPr>
        <w:pStyle w:val="11"/>
        <w:spacing w:before="7"/>
        <w:rPr>
          <w:rFonts w:eastAsia="微软雅黑"/>
          <w:b/>
          <w:sz w:val="9"/>
        </w:rPr>
      </w:pPr>
    </w:p>
    <w:p w14:paraId="2F98D0F4">
      <w:pPr>
        <w:spacing w:before="35" w:after="0" w:line="260" w:lineRule="auto"/>
        <w:ind w:left="153"/>
        <w:rPr>
          <w:rFonts w:eastAsia="微软雅黑"/>
          <w:sz w:val="21"/>
        </w:rPr>
      </w:pPr>
      <w:bookmarkStart w:id="8" w:name="_Toc15716_WPSOffice_Level2"/>
      <w:bookmarkStart w:id="9" w:name="_Toc32457_WPSOffice_Level2"/>
      <w:r>
        <w:rPr>
          <w:rFonts w:eastAsia="微软雅黑"/>
          <w:sz w:val="21"/>
        </w:rPr>
        <w:t>注：</w:t>
      </w:r>
      <w:bookmarkEnd w:id="8"/>
      <w:bookmarkEnd w:id="9"/>
    </w:p>
    <w:p w14:paraId="22B647F7">
      <w:pPr>
        <w:spacing w:before="35" w:after="0" w:line="260" w:lineRule="auto"/>
        <w:ind w:left="153"/>
        <w:rPr>
          <w:rFonts w:eastAsia="微软雅黑"/>
          <w:sz w:val="21"/>
        </w:rPr>
      </w:pPr>
      <w:r>
        <w:rPr>
          <w:rFonts w:eastAsia="微软雅黑"/>
          <w:sz w:val="21"/>
        </w:rPr>
        <w:t>1. 检测结果仅供医生参考，不作为临床诊疗的依据。</w:t>
      </w:r>
    </w:p>
    <w:p w14:paraId="7AB1B924">
      <w:pPr>
        <w:spacing w:before="35" w:after="0" w:line="260" w:lineRule="auto"/>
        <w:ind w:left="153"/>
        <w:rPr>
          <w:rFonts w:eastAsia="微软雅黑"/>
          <w:sz w:val="21"/>
        </w:rPr>
      </w:pPr>
      <w:r>
        <w:rPr>
          <w:rFonts w:eastAsia="微软雅黑"/>
          <w:sz w:val="21"/>
        </w:rPr>
        <w:t>2. 检测结果仅对本样本负责。</w:t>
      </w:r>
    </w:p>
    <w:p w14:paraId="648AA746">
      <w:pPr>
        <w:adjustRightInd w:val="0"/>
        <w:snapToGrid w:val="0"/>
        <w:spacing w:after="0" w:line="260" w:lineRule="auto"/>
        <w:rPr>
          <w:rFonts w:eastAsia="微软雅黑"/>
          <w:sz w:val="18"/>
          <w:szCs w:val="18"/>
        </w:rPr>
        <w:sectPr>
          <w:footerReference r:id="rId10" w:type="default"/>
          <w:pgSz w:w="11900" w:h="16840"/>
          <w:pgMar w:top="1440" w:right="1080" w:bottom="1440" w:left="1080" w:header="567" w:footer="720" w:gutter="0"/>
          <w:pgNumType w:start="1"/>
          <w:cols w:space="720" w:num="1"/>
        </w:sectPr>
      </w:pPr>
    </w:p>
    <w:p w14:paraId="71851200">
      <w:pPr>
        <w:adjustRightInd w:val="0"/>
        <w:snapToGrid w:val="0"/>
        <w:jc w:val="center"/>
        <w:outlineLvl w:val="0"/>
        <w:rPr>
          <w:rFonts w:eastAsia="微软雅黑"/>
          <w:sz w:val="28"/>
          <w:szCs w:val="28"/>
        </w:rPr>
      </w:pPr>
      <w:bookmarkStart w:id="10" w:name="_Toc120_WPSOffice_Level1"/>
      <w:bookmarkStart w:id="11" w:name="_Toc9330"/>
      <w:r>
        <w:rPr>
          <w:rFonts w:eastAsia="微软雅黑"/>
          <w:b/>
          <w:color w:val="FFFFFF"/>
          <w:sz w:val="36"/>
          <w:szCs w:val="36"/>
          <w:shd w:val="clear" w:color="auto" w:fill="43A5A1"/>
        </w:rPr>
        <w:t>检测结果</w:t>
      </w:r>
      <w:bookmarkEnd w:id="10"/>
      <w:bookmarkEnd w:id="11"/>
    </w:p>
    <w:p w14:paraId="5C0AAA11">
      <w:pPr>
        <w:adjustRightInd w:val="0"/>
        <w:snapToGrid w:val="0"/>
        <w:rPr>
          <w:rFonts w:eastAsia="微软雅黑"/>
        </w:rPr>
      </w:pPr>
      <w:bookmarkStart w:id="12" w:name="_Toc10474_WPSOffice_Level1"/>
      <w:bookmarkStart w:id="13" w:name="_Toc25853_WPSOffice_Level1"/>
      <w:bookmarkStart w:id="14" w:name="_Toc13794_WPSOffice_Level1"/>
      <w:bookmarkStart w:id="15" w:name="_Toc15541"/>
      <w:r>
        <w:rPr>
          <w:rFonts w:hint="eastAsia" w:eastAsia="微软雅黑"/>
        </w:rPr>
        <w:t>本次样本共检出{{ summaryOfRresults.thisGeneticmarkerVwListSize }}个</w:t>
      </w:r>
      <w:r>
        <w:rPr>
          <w:rFonts w:hint="eastAsia" w:eastAsia="微软雅黑"/>
          <w:lang w:val="en-US" w:eastAsia="zh-CN"/>
        </w:rPr>
        <w:t>变异位点</w:t>
      </w:r>
      <w:r>
        <w:rPr>
          <w:rFonts w:hint="eastAsia" w:eastAsia="微软雅黑"/>
        </w:rPr>
        <w:t>，其中{{summaryOfRresults.somaticDrugCount}}个与靶向药物相关。</w:t>
      </w:r>
      <w:r>
        <w:rPr>
          <w:rFonts w:eastAsia="微软雅黑"/>
        </w:rPr>
        <w:t>具体信息详见“附录1：基因变异及靶向药物结果解析”。</w:t>
      </w:r>
    </w:p>
    <w:p w14:paraId="263E3A1A">
      <w:pPr>
        <w:adjustRightInd w:val="0"/>
        <w:snapToGrid w:val="0"/>
        <w:rPr>
          <w:rFonts w:eastAsia="微软雅黑"/>
        </w:rPr>
      </w:pPr>
      <w:r>
        <w:rPr>
          <w:rFonts w:eastAsia="微软雅黑"/>
        </w:rPr>
        <w:t>若样本同时检出敏感突变和耐药突变，用药时请综合考虑。</w:t>
      </w:r>
      <w:bookmarkEnd w:id="12"/>
      <w:bookmarkEnd w:id="13"/>
      <w:bookmarkEnd w:id="14"/>
      <w:bookmarkEnd w:id="15"/>
    </w:p>
    <w:p w14:paraId="607EE588">
      <w:pPr>
        <w:pStyle w:val="3"/>
        <w:ind w:left="0"/>
        <w:rPr>
          <w:rFonts w:eastAsia="微软雅黑"/>
          <w:sz w:val="18"/>
          <w:szCs w:val="18"/>
        </w:rPr>
      </w:pPr>
      <w:bookmarkStart w:id="16" w:name="_Toc92381254"/>
      <w:bookmarkStart w:id="17" w:name="_Toc27011"/>
      <w:r>
        <w:rPr>
          <w:rFonts w:ascii="Times New Roman" w:hAnsi="Times New Roman" w:eastAsia="微软雅黑"/>
          <w:lang w:eastAsia="zh-CN"/>
        </w:rPr>
        <w:t>1、靶向药物提示汇总</w:t>
      </w:r>
      <w:bookmarkEnd w:id="16"/>
      <w:bookmarkEnd w:id="17"/>
    </w:p>
    <w:tbl>
      <w:tblPr>
        <w:tblStyle w:val="31"/>
        <w:tblW w:w="514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3"/>
        <w:gridCol w:w="1074"/>
        <w:gridCol w:w="1524"/>
        <w:gridCol w:w="1073"/>
        <w:gridCol w:w="2877"/>
        <w:gridCol w:w="2585"/>
      </w:tblGrid>
      <w:tr w14:paraId="168E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blHeader/>
          <w:jc w:val="center"/>
        </w:trPr>
        <w:tc>
          <w:tcPr>
            <w:tcW w:w="449" w:type="pct"/>
            <w:shd w:val="clear" w:color="auto" w:fill="43A5A1"/>
            <w:vAlign w:val="center"/>
          </w:tcPr>
          <w:p w14:paraId="6FA2D40E">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shd w:val="clear" w:color="auto" w:fill="43A5A1"/>
            <w:vAlign w:val="center"/>
          </w:tcPr>
          <w:p w14:paraId="327345F6">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shd w:val="clear" w:color="auto" w:fill="43A5A1"/>
            <w:vAlign w:val="center"/>
          </w:tcPr>
          <w:p w14:paraId="7A24EC88">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534" w:type="pct"/>
            <w:shd w:val="clear" w:color="auto" w:fill="43A5A1"/>
            <w:vAlign w:val="center"/>
          </w:tcPr>
          <w:p w14:paraId="2E1E6329">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eastAsia="en-US" w:bidi="ar"/>
              </w:rPr>
              <w:t>/</w:t>
            </w:r>
            <w:r>
              <w:rPr>
                <w:rFonts w:hint="default" w:ascii="Times New Roman" w:hAnsi="Times New Roman" w:eastAsia="微软雅黑" w:cs="Times New Roman"/>
                <w:b/>
                <w:color w:val="FFFFFF"/>
                <w:sz w:val="21"/>
                <w:szCs w:val="21"/>
                <w:lang w:val="en-US" w:eastAsia="zh-CN"/>
              </w:rPr>
              <w:t>NDF</w:t>
            </w:r>
            <w:r>
              <w:rPr>
                <w:rFonts w:hint="eastAsia" w:eastAsia="微软雅黑"/>
                <w:b/>
                <w:color w:val="FFFFFF"/>
                <w:sz w:val="21"/>
                <w:szCs w:val="21"/>
                <w:lang w:val="en-US" w:eastAsia="zh-CN"/>
              </w:rPr>
              <w:t>值</w:t>
            </w:r>
          </w:p>
        </w:tc>
        <w:tc>
          <w:tcPr>
            <w:tcW w:w="1433" w:type="pct"/>
            <w:shd w:val="clear" w:color="auto" w:fill="43A5A1"/>
            <w:vAlign w:val="center"/>
          </w:tcPr>
          <w:p w14:paraId="0054C7CD">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287" w:type="pct"/>
            <w:shd w:val="clear" w:color="auto" w:fill="43A5A1"/>
            <w:vAlign w:val="center"/>
          </w:tcPr>
          <w:p w14:paraId="7AE86491">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352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6"/>
            <w:shd w:val="clear" w:color="auto" w:fill="F2F2F2"/>
            <w:vAlign w:val="center"/>
          </w:tcPr>
          <w:p w14:paraId="3AE1B6DD">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5E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6"/>
            <w:shd w:val="clear" w:color="auto" w:fill="F2F2F2"/>
            <w:vAlign w:val="center"/>
          </w:tcPr>
          <w:p w14:paraId="5197B82D">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07E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shd w:val="clear" w:color="auto" w:fill="F2F2F2"/>
            <w:vAlign w:val="center"/>
          </w:tcPr>
          <w:p w14:paraId="0D9834E6">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F2F2F2"/>
            <w:vAlign w:val="center"/>
          </w:tcPr>
          <w:p w14:paraId="4B270DCE">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F2F2F2"/>
            <w:vAlign w:val="center"/>
          </w:tcPr>
          <w:p w14:paraId="2BDA9037">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34" w:type="pct"/>
            <w:shd w:val="clear" w:color="auto" w:fill="F2F2F2"/>
            <w:vAlign w:val="center"/>
          </w:tcPr>
          <w:p w14:paraId="24D0FDB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433" w:type="pct"/>
            <w:shd w:val="clear" w:color="auto" w:fill="F2F2F2"/>
            <w:vAlign w:val="center"/>
          </w:tcPr>
          <w:p w14:paraId="05B57E9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C87E6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91807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DBEE6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91F0B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87" w:type="pct"/>
            <w:shd w:val="clear" w:color="auto" w:fill="F2F2F2"/>
            <w:vAlign w:val="center"/>
          </w:tcPr>
          <w:p w14:paraId="21394AB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21717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234B4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C962C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A7008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449E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6"/>
            <w:shd w:val="clear" w:color="auto" w:fill="F2F2F2"/>
            <w:vAlign w:val="center"/>
          </w:tcPr>
          <w:p w14:paraId="3FBCC771">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79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6"/>
            <w:shd w:val="clear" w:color="auto" w:fill="F2F2F2"/>
            <w:vAlign w:val="center"/>
          </w:tcPr>
          <w:p w14:paraId="5CF0C8D9">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D31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shd w:val="clear" w:color="auto" w:fill="F2F2F2"/>
            <w:vAlign w:val="center"/>
          </w:tcPr>
          <w:p w14:paraId="7F7BDE35">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F2F2F2"/>
            <w:vAlign w:val="center"/>
          </w:tcPr>
          <w:p w14:paraId="2299614D">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F2F2F2"/>
            <w:vAlign w:val="center"/>
          </w:tcPr>
          <w:p w14:paraId="43CD5388">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34" w:type="pct"/>
            <w:shd w:val="clear" w:color="auto" w:fill="F2F2F2"/>
            <w:vAlign w:val="center"/>
          </w:tcPr>
          <w:p w14:paraId="3C7C94E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433" w:type="pct"/>
            <w:shd w:val="clear" w:color="auto" w:fill="F2F2F2"/>
            <w:vAlign w:val="center"/>
          </w:tcPr>
          <w:p w14:paraId="376E012F">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87" w:type="pct"/>
            <w:shd w:val="clear" w:color="auto" w:fill="F2F2F2"/>
            <w:vAlign w:val="center"/>
          </w:tcPr>
          <w:p w14:paraId="24626ACC">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E2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6"/>
            <w:shd w:val="clear" w:color="auto" w:fill="F2F2F2"/>
            <w:vAlign w:val="center"/>
          </w:tcPr>
          <w:p w14:paraId="52184AE8">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44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6"/>
            <w:shd w:val="clear" w:color="auto" w:fill="F2F2F2"/>
            <w:vAlign w:val="center"/>
          </w:tcPr>
          <w:p w14:paraId="6B94C60E">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53E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shd w:val="clear" w:color="auto" w:fill="F2F2F2"/>
            <w:vAlign w:val="center"/>
          </w:tcPr>
          <w:p w14:paraId="3CE5DDE2">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F2F2F2"/>
            <w:vAlign w:val="center"/>
          </w:tcPr>
          <w:p w14:paraId="59E1D00E">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tip.comutation1 }}</w:t>
            </w:r>
          </w:p>
        </w:tc>
        <w:tc>
          <w:tcPr>
            <w:tcW w:w="759" w:type="pct"/>
            <w:shd w:val="clear" w:color="auto" w:fill="F2F2F2"/>
            <w:vAlign w:val="center"/>
          </w:tcPr>
          <w:p w14:paraId="6317A58E">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534" w:type="pct"/>
            <w:shd w:val="clear" w:color="auto" w:fill="F2F2F2"/>
            <w:vAlign w:val="center"/>
          </w:tcPr>
          <w:p w14:paraId="409994C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433" w:type="pct"/>
            <w:shd w:val="clear" w:color="auto" w:fill="F2F2F2"/>
            <w:vAlign w:val="center"/>
          </w:tcPr>
          <w:p w14:paraId="18E7FDE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63513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9114C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3513B1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58CA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87" w:type="pct"/>
            <w:shd w:val="clear" w:color="auto" w:fill="F2F2F2"/>
            <w:vAlign w:val="center"/>
          </w:tcPr>
          <w:p w14:paraId="444578C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6A8D1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76857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A284D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A8738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771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6"/>
            <w:shd w:val="clear" w:color="auto" w:fill="F2F2F2"/>
            <w:vAlign w:val="center"/>
          </w:tcPr>
          <w:p w14:paraId="5D694163">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03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6"/>
            <w:shd w:val="clear" w:color="auto" w:fill="F2F2F2"/>
            <w:vAlign w:val="center"/>
          </w:tcPr>
          <w:p w14:paraId="4B418121">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17DD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0" w:hRule="atLeast"/>
          <w:jc w:val="center"/>
        </w:trPr>
        <w:tc>
          <w:tcPr>
            <w:tcW w:w="449" w:type="pct"/>
            <w:shd w:val="clear" w:color="auto" w:fill="F2F2F2"/>
            <w:vAlign w:val="center"/>
          </w:tcPr>
          <w:p w14:paraId="03501491">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F2F2F2"/>
            <w:vAlign w:val="center"/>
          </w:tcPr>
          <w:p w14:paraId="589BDF39">
            <w:pPr>
              <w:keepNext w:val="0"/>
              <w:keepLines w:val="0"/>
              <w:pageBreakBefore w:val="0"/>
              <w:widowControl w:val="0"/>
              <w:kinsoku/>
              <w:wordWrap/>
              <w:overflowPunct/>
              <w:topLinePunct w:val="0"/>
              <w:autoSpaceDE/>
              <w:autoSpaceDN/>
              <w:bidi w:val="0"/>
              <w:adjustRightInd/>
              <w:snapToGrid/>
              <w:spacing w:after="0" w:line="240" w:lineRule="auto"/>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F2F2F2"/>
            <w:vAlign w:val="center"/>
          </w:tcPr>
          <w:p w14:paraId="6613833D">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shd w:val="clear" w:color="auto" w:fill="F2F2F2"/>
            <w:vAlign w:val="center"/>
          </w:tcPr>
          <w:p w14:paraId="4FBFEF3A">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3" w:type="pct"/>
            <w:shd w:val="clear" w:color="auto" w:fill="F2F2F2"/>
            <w:vAlign w:val="center"/>
          </w:tcPr>
          <w:p w14:paraId="73AB288E">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87" w:type="pct"/>
            <w:shd w:val="clear" w:color="auto" w:fill="F2F2F2"/>
            <w:vAlign w:val="center"/>
          </w:tcPr>
          <w:p w14:paraId="5AE0E6C9">
            <w:pPr>
              <w:keepNext w:val="0"/>
              <w:keepLines w:val="0"/>
              <w:pageBreakBefore w:val="0"/>
              <w:widowControl w:val="0"/>
              <w:kinsoku/>
              <w:wordWrap/>
              <w:overflowPunct/>
              <w:topLinePunct w:val="0"/>
              <w:autoSpaceDE/>
              <w:autoSpaceDN/>
              <w:bidi w:val="0"/>
              <w:adjustRightInd/>
              <w:snapToGrid/>
              <w:spacing w:after="0" w:line="240" w:lineRule="auto"/>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4EF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6"/>
            <w:shd w:val="clear" w:color="auto" w:fill="F2F2F2"/>
            <w:vAlign w:val="center"/>
          </w:tcPr>
          <w:p w14:paraId="13F46B7B">
            <w:pPr>
              <w:keepNext w:val="0"/>
              <w:keepLines w:val="0"/>
              <w:pageBreakBefore w:val="0"/>
              <w:widowControl w:val="0"/>
              <w:kinsoku/>
              <w:wordWrap/>
              <w:overflowPunct/>
              <w:topLinePunct w:val="0"/>
              <w:autoSpaceDE/>
              <w:autoSpaceDN/>
              <w:bidi w:val="0"/>
              <w:adjustRightInd/>
              <w:snapToGrid/>
              <w:spacing w:after="0" w:line="240"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9E828EC">
      <w:pPr>
        <w:keepNext w:val="0"/>
        <w:keepLines w:val="0"/>
        <w:pageBreakBefore w:val="0"/>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FCFC5D7">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本报告所列举的药物或基因变异并未按照基因或者药物的重要性排序，具体决策需参照临床实际。</w:t>
      </w:r>
    </w:p>
    <w:p w14:paraId="7D41E5E2">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69E621F">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sz w:val="18"/>
          <w:szCs w:val="18"/>
          <w:lang w:eastAsia="zh-CN"/>
        </w:rPr>
        <w:t>）</w:t>
      </w:r>
      <w:r>
        <w:rPr>
          <w:rFonts w:hint="eastAsia" w:ascii="Times New Roman" w:hAnsi="Times New Roman" w:eastAsia="微软雅黑" w:cs="Times New Roman"/>
          <w:bCs/>
          <w:sz w:val="18"/>
          <w:szCs w:val="18"/>
          <w:lang w:eastAsia="zh-CN"/>
        </w:rPr>
        <w:t>。</w:t>
      </w:r>
    </w:p>
    <w:p w14:paraId="4F962A88">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85017E0">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可能耐药药物：FDA/NMPA已经批准的、NCCN指南推荐的、临床试验或者临床研究有明确结果的、药物敏感性可能降低或产生耐药的靶向药物。</w:t>
      </w:r>
    </w:p>
    <w:p w14:paraId="4F26DE7B">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“-”表示该位点无相应靶向药物提示。</w:t>
      </w:r>
    </w:p>
    <w:p w14:paraId="682D4903">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*标注的药物：NMPA批准的靶向药物。</w:t>
      </w:r>
    </w:p>
    <w:p w14:paraId="5D095E32">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分析注释时采用RefSeq转录本编号。</w:t>
      </w:r>
    </w:p>
    <w:p w14:paraId="7EA33C05">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变异丰度：在某位点产生突变的等位基因在该位点全部等位基因中所占比率。</w:t>
      </w:r>
    </w:p>
    <w:p w14:paraId="633223C4">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bCs/>
          <w:sz w:val="18"/>
          <w:szCs w:val="18"/>
          <w:lang w:eastAsia="zh-CN"/>
        </w:rPr>
      </w:pPr>
      <w:r>
        <w:rPr>
          <w:rFonts w:eastAsia="微软雅黑"/>
          <w:sz w:val="18"/>
          <w:szCs w:val="18"/>
        </w:rPr>
        <w:t>若该基因发生的是融合突变，NDF值指该位点的融合支持Reads数占样本总Reads数的比例的对数值（log 值）。</w:t>
      </w:r>
    </w:p>
    <w:p w14:paraId="7DF3B08B">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sz w:val="18"/>
          <w:szCs w:val="18"/>
          <w:lang w:eastAsia="zh-CN"/>
        </w:rPr>
        <w:t>{% if complex == True %}</w:t>
      </w:r>
    </w:p>
    <w:p w14:paraId="7AB759C2">
      <w:pPr>
        <w:pStyle w:val="11"/>
        <w:keepNext w:val="0"/>
        <w:keepLines w:val="0"/>
        <w:pageBreakBefore w:val="0"/>
        <w:numPr>
          <w:ilvl w:val="0"/>
          <w:numId w:val="2"/>
        </w:numPr>
        <w:kinsoku/>
        <w:wordWrap/>
        <w:overflowPunct/>
        <w:topLinePunct w:val="0"/>
        <w:autoSpaceDE/>
        <w:autoSpaceDN/>
        <w:bidi w:val="0"/>
        <w:adjustRightInd/>
        <w:snapToGrid/>
        <w:spacing w:before="0" w:after="0" w:line="260" w:lineRule="auto"/>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 endif %}</w:t>
      </w:r>
    </w:p>
    <w:p w14:paraId="46961BB6">
      <w:pPr>
        <w:pStyle w:val="72"/>
        <w:numPr>
          <w:ilvl w:val="0"/>
          <w:numId w:val="3"/>
        </w:numPr>
        <w:ind w:firstLineChars="0"/>
        <w:rPr>
          <w:rFonts w:eastAsia="微软雅黑"/>
          <w:spacing w:val="-3"/>
          <w:sz w:val="18"/>
          <w:szCs w:val="18"/>
        </w:rPr>
      </w:pPr>
      <w:r>
        <w:rPr>
          <w:rFonts w:eastAsia="微软雅黑"/>
          <w:spacing w:val="-3"/>
          <w:sz w:val="18"/>
          <w:szCs w:val="18"/>
        </w:rPr>
        <w:br w:type="page"/>
      </w:r>
    </w:p>
    <w:p w14:paraId="5CFCBB44">
      <w:pPr>
        <w:jc w:val="center"/>
        <w:outlineLvl w:val="0"/>
        <w:rPr>
          <w:rFonts w:eastAsia="微软雅黑"/>
          <w:color w:val="FFFFFF" w:themeColor="background1"/>
          <w:sz w:val="36"/>
          <w:szCs w:val="36"/>
          <w:shd w:val="clear" w:color="auto" w:fill="41A5A1"/>
          <w14:textFill>
            <w14:solidFill>
              <w14:schemeClr w14:val="bg1"/>
            </w14:solidFill>
          </w14:textFill>
        </w:rPr>
      </w:pPr>
      <w:bookmarkStart w:id="18" w:name="_Toc16944"/>
      <w:bookmarkStart w:id="19" w:name="_Toc29336_WPSOffice_Level1"/>
      <w:r>
        <w:rPr>
          <w:rFonts w:eastAsia="微软雅黑"/>
          <w:color w:val="FFFFFF" w:themeColor="background1"/>
          <w:sz w:val="36"/>
          <w:szCs w:val="36"/>
          <w:shd w:val="clear" w:color="auto" w:fill="41A5A1"/>
          <w14:textFill>
            <w14:solidFill>
              <w14:schemeClr w14:val="bg1"/>
            </w14:solidFill>
          </w14:textFill>
        </w:rPr>
        <w:t>附录</w:t>
      </w:r>
      <w:bookmarkEnd w:id="18"/>
      <w:bookmarkEnd w:id="19"/>
    </w:p>
    <w:p w14:paraId="06999050">
      <w:pPr>
        <w:rPr>
          <w:rFonts w:eastAsia="微软雅黑"/>
          <w:sz w:val="28"/>
          <w:szCs w:val="28"/>
        </w:rPr>
      </w:pPr>
    </w:p>
    <w:p w14:paraId="1BF3C7FF">
      <w:pPr>
        <w:numPr>
          <w:ilvl w:val="0"/>
          <w:numId w:val="4"/>
        </w:numPr>
        <w:tabs>
          <w:tab w:val="clear" w:pos="312"/>
        </w:tabs>
        <w:outlineLvl w:val="1"/>
        <w:rPr>
          <w:rFonts w:eastAsia="微软雅黑"/>
          <w:b/>
          <w:sz w:val="30"/>
          <w:szCs w:val="30"/>
        </w:rPr>
      </w:pPr>
      <w:bookmarkStart w:id="20" w:name="_Toc13828_WPSOffice_Level1"/>
      <w:bookmarkStart w:id="21" w:name="_Toc12289"/>
      <w:r>
        <w:rPr>
          <w:rFonts w:eastAsia="微软雅黑"/>
          <w:b/>
          <w:sz w:val="30"/>
          <w:szCs w:val="30"/>
        </w:rPr>
        <w:t>基因变异及靶向药物结果解析</w:t>
      </w:r>
      <w:bookmarkEnd w:id="20"/>
      <w:bookmarkEnd w:id="21"/>
    </w:p>
    <w:p w14:paraId="0121F7C4">
      <w:pPr>
        <w:rPr>
          <w:rFonts w:eastAsia="微软雅黑"/>
        </w:rPr>
      </w:pPr>
      <w:r>
        <w:rPr>
          <w:rFonts w:hint="eastAsia" w:ascii="Times New Roman" w:hAnsi="Times New Roman" w:eastAsia="微软雅黑" w:cs="Times New Roman"/>
          <w:b w:val="0"/>
          <w:bCs/>
          <w:sz w:val="18"/>
          <w:szCs w:val="18"/>
        </w:rPr>
        <w:t xml:space="preserve">{% if </w:t>
      </w:r>
      <w:r>
        <w:rPr>
          <w:rFonts w:hint="default" w:ascii="Times New Roman" w:hAnsi="Times New Roman" w:eastAsia="微软雅黑" w:cs="Times New Roman"/>
          <w:b w:val="0"/>
          <w:bCs/>
          <w:sz w:val="18"/>
          <w:szCs w:val="18"/>
          <w:lang w:eastAsia="zh-CN"/>
        </w:rPr>
        <w:t>BodyDrugDrugDetectionStr</w:t>
      </w:r>
      <w:r>
        <w:rPr>
          <w:rFonts w:hint="eastAsia" w:ascii="Times New Roman" w:hAnsi="Times New Roman" w:eastAsia="微软雅黑" w:cs="Times New Roman"/>
          <w:b w:val="0"/>
          <w:bCs/>
          <w:sz w:val="18"/>
          <w:szCs w:val="18"/>
          <w:lang w:val="en-US" w:eastAsia="zh-CN"/>
        </w:rPr>
        <w:t xml:space="preserve"> </w:t>
      </w:r>
      <w:r>
        <w:rPr>
          <w:rFonts w:hint="eastAsia" w:ascii="Times New Roman" w:hAnsi="Times New Roman" w:eastAsia="微软雅黑" w:cs="Times New Roman"/>
          <w:b w:val="0"/>
          <w:bCs/>
          <w:sz w:val="18"/>
          <w:szCs w:val="18"/>
        </w:rPr>
        <w:t>== [] and unknownVarAnalysisStr == [] %}</w:t>
      </w:r>
      <w:r>
        <w:rPr>
          <w:rFonts w:eastAsia="微软雅黑"/>
          <w:bCs/>
          <w:sz w:val="18"/>
          <w:szCs w:val="18"/>
        </w:rPr>
        <w:t>未检出靶向用药相关的</w:t>
      </w:r>
      <w:r>
        <w:rPr>
          <w:rFonts w:hint="eastAsia" w:eastAsia="微软雅黑"/>
          <w:bCs/>
          <w:sz w:val="18"/>
          <w:szCs w:val="18"/>
          <w:lang w:val="en-US" w:eastAsia="zh-CN"/>
        </w:rPr>
        <w:t>变异位点</w:t>
      </w:r>
      <w:r>
        <w:rPr>
          <w:rFonts w:eastAsia="微软雅黑"/>
          <w:bCs/>
          <w:sz w:val="18"/>
          <w:szCs w:val="18"/>
        </w:rPr>
        <w:t>；未检出未知临床意义</w:t>
      </w:r>
      <w:r>
        <w:rPr>
          <w:rFonts w:hint="eastAsia" w:eastAsia="微软雅黑"/>
          <w:bCs/>
          <w:sz w:val="18"/>
          <w:szCs w:val="18"/>
          <w:lang w:val="en-US" w:eastAsia="zh-CN"/>
        </w:rPr>
        <w:t>变异位点</w:t>
      </w:r>
      <w:r>
        <w:rPr>
          <w:rFonts w:eastAsia="微软雅黑"/>
          <w:bCs/>
          <w:sz w:val="18"/>
          <w:szCs w:val="18"/>
        </w:rPr>
        <w:t>。{% endif %}</w:t>
      </w:r>
    </w:p>
    <w:p w14:paraId="121C5BA9">
      <w:pPr>
        <w:spacing w:before="26" w:after="120" w:afterLines="50"/>
        <w:rPr>
          <w:rFonts w:eastAsia="微软雅黑"/>
          <w:b/>
          <w:color w:val="45A3A7"/>
        </w:rPr>
      </w:pPr>
      <w:bookmarkStart w:id="22" w:name="_Toc14159"/>
      <w:bookmarkStart w:id="23" w:name="_Toc32302"/>
      <w:bookmarkStart w:id="24" w:name="_Toc19234"/>
      <w:bookmarkStart w:id="25" w:name="_Toc32443_WPSOffice_Level2"/>
      <w:bookmarkStart w:id="26" w:name="_Toc23606"/>
      <w:bookmarkStart w:id="27" w:name="_Toc6634"/>
      <w:bookmarkStart w:id="28" w:name="_Toc4331_WPSOffice_Level2"/>
      <w:r>
        <w:rPr>
          <w:rFonts w:hint="eastAsia" w:eastAsia="微软雅黑"/>
          <w:b/>
          <w:color w:val="45A3A7"/>
        </w:rPr>
        <w:t>{%if BodyDrugDrugDetectionStr or unknownVarAnalysisStr %}</w:t>
      </w:r>
      <w:bookmarkEnd w:id="22"/>
      <w:bookmarkEnd w:id="23"/>
      <w:bookmarkEnd w:id="24"/>
      <w:bookmarkEnd w:id="25"/>
      <w:bookmarkEnd w:id="26"/>
      <w:bookmarkEnd w:id="27"/>
      <w:bookmarkEnd w:id="28"/>
      <w:r>
        <w:rPr>
          <w:rFonts w:hint="eastAsia" w:eastAsia="微软雅黑"/>
          <w:b/>
          <w:color w:val="45A3A7"/>
          <w:lang w:val="en-US" w:eastAsia="zh-CN"/>
        </w:rPr>
        <w:t>变异位点结果</w:t>
      </w:r>
      <w:r>
        <w:rPr>
          <w:rFonts w:eastAsia="微软雅黑"/>
          <w:b/>
          <w:color w:val="45A3A7"/>
        </w:rPr>
        <w:t>解析</w:t>
      </w:r>
      <w:r>
        <w:rPr>
          <w:rFonts w:hint="eastAsia" w:eastAsia="微软雅黑"/>
          <w:b/>
          <w:color w:val="45A3A7"/>
          <w:lang w:bidi="ar"/>
        </w:rPr>
        <w:t>{% for tdd in BodyDrugNoComplexStr %}</w:t>
      </w:r>
    </w:p>
    <w:p w14:paraId="4226AC9C">
      <w:pPr>
        <w:keepNext/>
        <w:widowControl w:val="0"/>
        <w:spacing w:before="360" w:beforeLines="150" w:after="0" w:line="260" w:lineRule="auto"/>
        <w:rPr>
          <w:rFonts w:eastAsia="微软雅黑"/>
          <w:b/>
          <w:color w:val="45A3A7"/>
          <w:lang w:eastAsia="zh-CN" w:bidi="ar"/>
        </w:rPr>
      </w:pPr>
      <w:r>
        <w:rPr>
          <w:rFonts w:hint="eastAsia" w:eastAsia="微软雅黑"/>
          <w:b/>
          <w:color w:val="45A3A7"/>
          <w:lang w:eastAsia="zh-CN" w:bidi="ar"/>
        </w:rPr>
        <w:t>{{ tdd.gene }}</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2"/>
        <w:gridCol w:w="1191"/>
        <w:gridCol w:w="8247"/>
      </w:tblGrid>
      <w:tr w14:paraId="4436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799BA16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shd w:val="clear" w:color="auto" w:fill="auto"/>
            <w:vAlign w:val="center"/>
          </w:tcPr>
          <w:p w14:paraId="5DF8D5A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A31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4" w:hRule="atLeast"/>
          <w:jc w:val="center"/>
        </w:trPr>
        <w:tc>
          <w:tcPr>
            <w:tcW w:w="1623" w:type="dxa"/>
            <w:gridSpan w:val="2"/>
            <w:shd w:val="clear" w:color="auto" w:fill="auto"/>
            <w:vAlign w:val="center"/>
          </w:tcPr>
          <w:p w14:paraId="0504EC61">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变异丰度/NDF值</w:t>
            </w:r>
          </w:p>
        </w:tc>
        <w:tc>
          <w:tcPr>
            <w:tcW w:w="8247" w:type="dxa"/>
            <w:shd w:val="clear" w:color="auto" w:fill="auto"/>
            <w:vAlign w:val="center"/>
          </w:tcPr>
          <w:p w14:paraId="24AF966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8F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7DB035FF">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54705A55">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72A8661E">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5D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9C5D8F3">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0DDB458E">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59EE35F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14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BFBF8C4">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19957FA">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6719E46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98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3C2CC75">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BC98A4F">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33625AF2">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92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41267674">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4AD6EA1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094E916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58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D69D0C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1E69DAF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7FF210F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70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41B0FFA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56FC110">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3EC6742F">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9F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359448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5CFF14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7177DD2D">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08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23" w:type="dxa"/>
            <w:gridSpan w:val="2"/>
            <w:shd w:val="clear" w:color="auto" w:fill="auto"/>
            <w:vAlign w:val="center"/>
          </w:tcPr>
          <w:p w14:paraId="7EE5B69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shd w:val="clear" w:color="auto" w:fill="auto"/>
            <w:vAlign w:val="center"/>
          </w:tcPr>
          <w:p w14:paraId="5A1D8921">
            <w:pPr>
              <w:keepNext/>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6C59D7F">
            <w:pPr>
              <w:keepNext/>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F0DC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F13451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B1EC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auto" w:sz="4" w:space="0"/>
              <w:left w:val="single" w:color="auto" w:sz="4" w:space="0"/>
              <w:bottom w:val="single" w:color="auto" w:sz="4" w:space="0"/>
              <w:right w:val="single" w:color="auto" w:sz="4" w:space="0"/>
            </w:tcBorders>
            <w:shd w:val="clear" w:color="auto" w:fill="43A5A1"/>
            <w:vAlign w:val="center"/>
          </w:tcPr>
          <w:p w14:paraId="7DA018A4">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auto" w:sz="4" w:space="0"/>
              <w:left w:val="single" w:color="auto" w:sz="4" w:space="0"/>
              <w:bottom w:val="single" w:color="auto" w:sz="4" w:space="0"/>
              <w:right w:val="single" w:color="auto" w:sz="4" w:space="0"/>
            </w:tcBorders>
            <w:shd w:val="clear" w:color="auto" w:fill="43A5A1"/>
            <w:vAlign w:val="center"/>
          </w:tcPr>
          <w:p w14:paraId="63BB6570">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single" w:color="auto" w:sz="4" w:space="0"/>
              <w:left w:val="single" w:color="auto" w:sz="4" w:space="0"/>
              <w:bottom w:val="single" w:color="auto" w:sz="4" w:space="0"/>
              <w:right w:val="single" w:color="auto" w:sz="4" w:space="0"/>
            </w:tcBorders>
            <w:shd w:val="clear" w:color="auto" w:fill="43A5A1"/>
            <w:vAlign w:val="center"/>
          </w:tcPr>
          <w:p w14:paraId="07E8017E">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single" w:color="auto" w:sz="4" w:space="0"/>
              <w:left w:val="single" w:color="auto" w:sz="4" w:space="0"/>
              <w:bottom w:val="single" w:color="auto" w:sz="4" w:space="0"/>
              <w:right w:val="single" w:color="auto" w:sz="4" w:space="0"/>
            </w:tcBorders>
            <w:shd w:val="clear" w:color="auto" w:fill="43A5A1"/>
            <w:vAlign w:val="center"/>
          </w:tcPr>
          <w:p w14:paraId="61025FFD">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72CB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303AAD2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B64D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uto" w:sz="4" w:space="0"/>
              <w:left w:val="single" w:color="auto" w:sz="4" w:space="0"/>
              <w:bottom w:val="single" w:color="auto" w:sz="4" w:space="0"/>
              <w:right w:val="single" w:color="auto" w:sz="4" w:space="0"/>
            </w:tcBorders>
            <w:shd w:val="clear" w:color="auto" w:fill="auto"/>
            <w:vAlign w:val="center"/>
          </w:tcPr>
          <w:p w14:paraId="551EFE75">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14:paraId="4817D8E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uto" w:sz="4" w:space="0"/>
              <w:left w:val="single" w:color="auto" w:sz="4" w:space="0"/>
              <w:bottom w:val="single" w:color="auto" w:sz="4" w:space="0"/>
              <w:right w:val="single" w:color="auto" w:sz="4" w:space="0"/>
            </w:tcBorders>
            <w:shd w:val="clear" w:color="auto" w:fill="auto"/>
            <w:vAlign w:val="center"/>
          </w:tcPr>
          <w:p w14:paraId="47DEC70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uto" w:sz="4" w:space="0"/>
              <w:left w:val="single" w:color="auto" w:sz="4" w:space="0"/>
              <w:bottom w:val="single" w:color="auto" w:sz="4" w:space="0"/>
              <w:right w:val="single" w:color="auto" w:sz="4" w:space="0"/>
            </w:tcBorders>
            <w:shd w:val="clear" w:color="auto" w:fill="auto"/>
            <w:vAlign w:val="center"/>
          </w:tcPr>
          <w:p w14:paraId="73612972">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0DC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2302F7AD">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5EAAA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2FA968">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26"/>
        <w:gridCol w:w="1417"/>
        <w:gridCol w:w="1261"/>
        <w:gridCol w:w="5666"/>
      </w:tblGrid>
      <w:tr w14:paraId="1229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43A5A1"/>
            <w:vAlign w:val="center"/>
          </w:tcPr>
          <w:p w14:paraId="37747432">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17582BCE">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6B933A01">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2A66B76E">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27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30AAF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8FB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15A169B3">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shd w:val="clear" w:color="auto" w:fill="auto"/>
            <w:vAlign w:val="center"/>
          </w:tcPr>
          <w:p w14:paraId="1C23057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shd w:val="clear" w:color="auto" w:fill="auto"/>
            <w:vAlign w:val="center"/>
          </w:tcPr>
          <w:p w14:paraId="2126070C">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shd w:val="clear" w:color="auto" w:fill="auto"/>
            <w:vAlign w:val="center"/>
          </w:tcPr>
          <w:p w14:paraId="3B325CC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50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915EA2E">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43F2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3F67830">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45"/>
        <w:gridCol w:w="3884"/>
        <w:gridCol w:w="1246"/>
        <w:gridCol w:w="1035"/>
        <w:gridCol w:w="1204"/>
        <w:gridCol w:w="856"/>
      </w:tblGrid>
      <w:tr w14:paraId="1B86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0" w:hRule="atLeast"/>
          <w:jc w:val="center"/>
        </w:trPr>
        <w:tc>
          <w:tcPr>
            <w:tcW w:w="1645" w:type="dxa"/>
            <w:shd w:val="clear" w:color="auto" w:fill="43A5A1"/>
            <w:vAlign w:val="center"/>
          </w:tcPr>
          <w:p w14:paraId="788BF189">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3F1DB926">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4FFE8493">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6FBDF621">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21BCE911">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5D9B86FC">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C7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870" w:type="dxa"/>
            <w:gridSpan w:val="6"/>
            <w:shd w:val="clear" w:color="auto" w:fill="auto"/>
            <w:vAlign w:val="center"/>
          </w:tcPr>
          <w:p w14:paraId="49BB150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BC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45" w:type="dxa"/>
            <w:shd w:val="clear" w:color="auto" w:fill="auto"/>
            <w:vAlign w:val="center"/>
          </w:tcPr>
          <w:p w14:paraId="501ACC1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shd w:val="clear" w:color="auto" w:fill="auto"/>
            <w:vAlign w:val="center"/>
          </w:tcPr>
          <w:p w14:paraId="7BB1FCD0">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shd w:val="clear" w:color="auto" w:fill="auto"/>
            <w:vAlign w:val="center"/>
          </w:tcPr>
          <w:p w14:paraId="01F136A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shd w:val="clear" w:color="auto" w:fill="auto"/>
            <w:vAlign w:val="center"/>
          </w:tcPr>
          <w:p w14:paraId="6F98983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shd w:val="clear" w:color="auto" w:fill="auto"/>
            <w:vAlign w:val="center"/>
          </w:tcPr>
          <w:p w14:paraId="44021A5A">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3E7E9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1492F287">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BC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870" w:type="dxa"/>
            <w:gridSpan w:val="6"/>
            <w:shd w:val="clear" w:color="auto" w:fill="auto"/>
            <w:vAlign w:val="center"/>
          </w:tcPr>
          <w:p w14:paraId="37A6A807">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25705D6">
      <w:pPr>
        <w:pStyle w:val="73"/>
        <w:rPr>
          <w:color w:val="auto"/>
        </w:rPr>
      </w:pPr>
      <w:r>
        <w:rPr>
          <w:rFonts w:hint="eastAsia"/>
          <w:color w:val="auto"/>
        </w:rPr>
        <w:t>{% endif %}{% endfor %}{% for vus in unknownVarAnalysisStr %}</w:t>
      </w:r>
    </w:p>
    <w:p w14:paraId="2B641BB8">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vus.gene}}</w:t>
      </w:r>
    </w:p>
    <w:tbl>
      <w:tblPr>
        <w:tblStyle w:val="2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843"/>
        <w:gridCol w:w="8027"/>
      </w:tblGrid>
      <w:tr w14:paraId="0295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rPr>
        <w:tc>
          <w:tcPr>
            <w:tcW w:w="1843" w:type="dxa"/>
            <w:shd w:val="clear" w:color="auto" w:fill="auto"/>
            <w:vAlign w:val="center"/>
          </w:tcPr>
          <w:p w14:paraId="094741C3">
            <w:pPr>
              <w:keepNext/>
              <w:keepLines w:val="0"/>
              <w:pageBreakBefore w:val="0"/>
              <w:widowControl/>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shd w:val="clear" w:color="auto" w:fill="auto"/>
            <w:vAlign w:val="center"/>
          </w:tcPr>
          <w:p w14:paraId="381F4C03">
            <w:pPr>
              <w:keepNext/>
              <w:keepLines w:val="0"/>
              <w:pageBreakBefore w:val="0"/>
              <w:widowControl/>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492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shd w:val="clear" w:color="auto" w:fill="auto"/>
            <w:vAlign w:val="center"/>
          </w:tcPr>
          <w:p w14:paraId="317FCF18">
            <w:pPr>
              <w:keepNext/>
              <w:keepLines w:val="0"/>
              <w:pageBreakBefore w:val="0"/>
              <w:widowControl/>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shd w:val="clear" w:color="auto" w:fill="auto"/>
            <w:vAlign w:val="center"/>
          </w:tcPr>
          <w:p w14:paraId="774243BB">
            <w:pPr>
              <w:keepNext/>
              <w:keepLines w:val="0"/>
              <w:pageBreakBefore w:val="0"/>
              <w:widowControl/>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89E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center"/>
          </w:tcPr>
          <w:p w14:paraId="64CBA168">
            <w:pPr>
              <w:keepNext/>
              <w:keepLines w:val="0"/>
              <w:pageBreakBefore w:val="0"/>
              <w:widowControl/>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shd w:val="clear" w:color="auto" w:fill="auto"/>
            <w:vAlign w:val="center"/>
          </w:tcPr>
          <w:p w14:paraId="575947F4">
            <w:pPr>
              <w:keepNext/>
              <w:keepLines w:val="0"/>
              <w:pageBreakBefore w:val="0"/>
              <w:widowControl/>
              <w:kinsoku/>
              <w:wordWrap/>
              <w:overflowPunct/>
              <w:topLinePunct w:val="0"/>
              <w:autoSpaceDE/>
              <w:autoSpaceDN/>
              <w:bidi w:val="0"/>
              <w:adjustRightInd/>
              <w:snapToGrid/>
              <w:spacing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0A18A7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823DF7F">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w:t>
      </w:r>
      <w:r>
        <w:rPr>
          <w:rFonts w:hint="eastAsia" w:eastAsia="微软雅黑" w:cs="Times New Roman"/>
          <w:b/>
          <w:color w:val="43A5A1"/>
          <w:sz w:val="24"/>
          <w:szCs w:val="24"/>
          <w:lang w:val="en-US" w:eastAsia="zh-CN"/>
        </w:rPr>
        <w:t>1</w:t>
      </w:r>
      <w:r>
        <w:rPr>
          <w:rFonts w:hint="eastAsia" w:ascii="Times New Roman" w:hAnsi="Times New Roman" w:eastAsia="微软雅黑" w:cs="Times New Roman"/>
          <w:b/>
          <w:color w:val="43A5A1"/>
          <w:sz w:val="24"/>
          <w:szCs w:val="24"/>
          <w:lang w:eastAsia="zh-CN"/>
        </w:rPr>
        <w:t xml:space="preserve"> }}</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2"/>
        <w:gridCol w:w="1191"/>
        <w:gridCol w:w="8247"/>
      </w:tblGrid>
      <w:tr w14:paraId="5605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shd w:val="clear" w:color="auto" w:fill="auto"/>
            <w:vAlign w:val="center"/>
          </w:tcPr>
          <w:p w14:paraId="5F93165F">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shd w:val="clear" w:color="auto" w:fill="auto"/>
            <w:vAlign w:val="center"/>
          </w:tcPr>
          <w:p w14:paraId="01C9308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30" w:name="_GoBack"/>
            <w:bookmarkEnd w:id="30"/>
          </w:p>
        </w:tc>
      </w:tr>
      <w:tr w14:paraId="7814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shd w:val="clear" w:color="auto" w:fill="auto"/>
            <w:vAlign w:val="center"/>
          </w:tcPr>
          <w:p w14:paraId="78E948BF">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shd w:val="clear" w:color="auto" w:fill="auto"/>
            <w:vAlign w:val="center"/>
          </w:tcPr>
          <w:p w14:paraId="406AC61E">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1E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7FCD001A">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shd w:val="clear" w:color="auto" w:fill="auto"/>
            <w:vAlign w:val="center"/>
          </w:tcPr>
          <w:p w14:paraId="643C14DC">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4FAD5FF6">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BC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F100D9C">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6D7FF23F">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1D971AC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28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4A5AFD7B">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48182E0">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4AEE803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59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041AA6B5">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76D33CE0">
            <w:pPr>
              <w:keepLines w:val="0"/>
              <w:pageBreakBefore w:val="0"/>
              <w:widowControl/>
              <w:kinsoku/>
              <w:wordWrap/>
              <w:overflowPunct/>
              <w:topLinePunct w:val="0"/>
              <w:autoSpaceDE/>
              <w:autoSpaceDN/>
              <w:bidi w:val="0"/>
              <w:adjustRightInd/>
              <w:snapToGrid/>
              <w:spacing w:after="0" w:line="25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2C4C89F0">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01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760C2A64">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shd w:val="clear" w:color="auto" w:fill="auto"/>
            <w:vAlign w:val="center"/>
          </w:tcPr>
          <w:p w14:paraId="2FE35C1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shd w:val="clear" w:color="auto" w:fill="auto"/>
            <w:vAlign w:val="center"/>
          </w:tcPr>
          <w:p w14:paraId="6EC7F070">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8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FD062F4">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3BFDB57A">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shd w:val="clear" w:color="auto" w:fill="auto"/>
            <w:vAlign w:val="center"/>
          </w:tcPr>
          <w:p w14:paraId="099F2E9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C6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0F63C217">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5B6B188A">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shd w:val="clear" w:color="auto" w:fill="auto"/>
            <w:vAlign w:val="center"/>
          </w:tcPr>
          <w:p w14:paraId="09DB356F">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67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A3174B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p>
        </w:tc>
        <w:tc>
          <w:tcPr>
            <w:tcW w:w="1191" w:type="dxa"/>
            <w:shd w:val="clear" w:color="auto" w:fill="auto"/>
            <w:vAlign w:val="center"/>
          </w:tcPr>
          <w:p w14:paraId="2D958351">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shd w:val="clear" w:color="auto" w:fill="auto"/>
            <w:vAlign w:val="center"/>
          </w:tcPr>
          <w:p w14:paraId="2EE4FE8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8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23" w:type="dxa"/>
            <w:gridSpan w:val="2"/>
            <w:shd w:val="clear" w:color="auto" w:fill="auto"/>
            <w:vAlign w:val="center"/>
          </w:tcPr>
          <w:p w14:paraId="03C52C1E">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shd w:val="clear" w:color="auto" w:fill="auto"/>
            <w:vAlign w:val="center"/>
          </w:tcPr>
          <w:p w14:paraId="31C18280">
            <w:pPr>
              <w:keepNext/>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AACCF5">
            <w:pPr>
              <w:keepNext/>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E7ED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7F47CE1">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32"/>
        <w:gridCol w:w="5695"/>
      </w:tblGrid>
      <w:tr w14:paraId="1066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526" w:type="dxa"/>
            <w:shd w:val="clear" w:color="auto" w:fill="43A5A1"/>
            <w:vAlign w:val="center"/>
          </w:tcPr>
          <w:p w14:paraId="75C313E3">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6702AD61">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43A5A1"/>
            <w:vAlign w:val="center"/>
          </w:tcPr>
          <w:p w14:paraId="37A78119">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43A5A1"/>
            <w:vAlign w:val="center"/>
          </w:tcPr>
          <w:p w14:paraId="300101A7">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A6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EBD894E">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E23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93FAE32">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129F1864">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5AFB337C">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2FA07706">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44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2204C7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D01E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1F5269">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261"/>
        <w:gridCol w:w="5666"/>
      </w:tblGrid>
      <w:tr w14:paraId="5D08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526" w:type="dxa"/>
            <w:shd w:val="clear" w:color="auto" w:fill="43A5A1"/>
            <w:vAlign w:val="center"/>
          </w:tcPr>
          <w:p w14:paraId="3A6BFB7F">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43A5A1"/>
            <w:vAlign w:val="center"/>
          </w:tcPr>
          <w:p w14:paraId="33211A68">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43A5A1"/>
            <w:vAlign w:val="center"/>
          </w:tcPr>
          <w:p w14:paraId="4F85B0AF">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43A5A1"/>
            <w:vAlign w:val="center"/>
          </w:tcPr>
          <w:p w14:paraId="46C19DEE">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87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254EC1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132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14:paraId="130C0F22">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4EDCFE2C">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2C93EF8C">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42D0696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F8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BA023D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02D6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CBE2F94">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02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645" w:type="dxa"/>
            <w:shd w:val="clear" w:color="auto" w:fill="43A5A1"/>
            <w:vAlign w:val="center"/>
          </w:tcPr>
          <w:p w14:paraId="35290A2A">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43A5A1"/>
            <w:vAlign w:val="center"/>
          </w:tcPr>
          <w:p w14:paraId="73230EDC">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43A5A1"/>
            <w:vAlign w:val="center"/>
          </w:tcPr>
          <w:p w14:paraId="239E811A">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43A5A1"/>
            <w:vAlign w:val="center"/>
          </w:tcPr>
          <w:p w14:paraId="66CA7FC9">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43A5A1"/>
            <w:vAlign w:val="center"/>
          </w:tcPr>
          <w:p w14:paraId="77C64CBE">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43A5A1"/>
            <w:vAlign w:val="center"/>
          </w:tcPr>
          <w:p w14:paraId="1FC182F2">
            <w:pPr>
              <w:keepNext/>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B7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0E4F7D93">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77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vAlign w:val="center"/>
          </w:tcPr>
          <w:p w14:paraId="0066E4C9">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0D1AA61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74220B05">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627AD14B">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1762C43A">
            <w:pPr>
              <w:keepLines w:val="0"/>
              <w:pageBreakBefore w:val="0"/>
              <w:widowControl/>
              <w:kinsoku/>
              <w:wordWrap/>
              <w:overflowPunct/>
              <w:topLinePunct w:val="0"/>
              <w:autoSpaceDE/>
              <w:autoSpaceDN/>
              <w:bidi w:val="0"/>
              <w:adjustRightInd/>
              <w:snapToGrid/>
              <w:spacing w:after="0" w:line="249"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97D75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490FBF18">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B70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vAlign w:val="center"/>
          </w:tcPr>
          <w:p w14:paraId="5E60C46E">
            <w:pPr>
              <w:keepNext/>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A992D4">
      <w:pPr>
        <w:keepNext/>
        <w:widowControl w:val="0"/>
        <w:spacing w:before="360" w:beforeLines="150" w:after="0" w:line="260" w:lineRule="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p>
    <w:p w14:paraId="36D9ADE1">
      <w:pPr>
        <w:pStyle w:val="67"/>
        <w:spacing w:before="11"/>
        <w:rPr>
          <w:rFonts w:eastAsia="微软雅黑"/>
          <w:sz w:val="19"/>
          <w:szCs w:val="19"/>
        </w:rPr>
      </w:pPr>
      <w:r>
        <w:rPr>
          <w:rFonts w:eastAsia="微软雅黑"/>
          <w:sz w:val="19"/>
          <w:szCs w:val="19"/>
        </w:rPr>
        <w:t>注：</w:t>
      </w:r>
    </w:p>
    <w:p w14:paraId="280D20D7">
      <w:pPr>
        <w:pStyle w:val="55"/>
        <w:numPr>
          <w:ilvl w:val="0"/>
          <w:numId w:val="5"/>
        </w:numPr>
        <w:spacing w:after="0" w:line="240" w:lineRule="auto"/>
        <w:ind w:firstLineChars="0"/>
        <w:rPr>
          <w:rFonts w:ascii="Times New Roman" w:hAnsi="Times New Roman" w:eastAsia="微软雅黑"/>
          <w:sz w:val="18"/>
          <w:szCs w:val="18"/>
          <w:lang w:eastAsia="zh-CN"/>
        </w:rPr>
      </w:pPr>
      <w:r>
        <w:rPr>
          <w:rFonts w:ascii="Times New Roman" w:hAnsi="Times New Roman" w:eastAsia="微软雅黑"/>
          <w:sz w:val="18"/>
          <w:szCs w:val="18"/>
          <w:lang w:eastAsia="zh-CN"/>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14:paraId="527FBD21">
      <w:pPr>
        <w:pStyle w:val="55"/>
        <w:numPr>
          <w:ilvl w:val="0"/>
          <w:numId w:val="5"/>
        </w:numPr>
        <w:spacing w:after="0" w:line="240" w:lineRule="auto"/>
        <w:ind w:firstLineChars="0"/>
        <w:rPr>
          <w:rFonts w:ascii="Times New Roman" w:hAnsi="Times New Roman" w:eastAsia="微软雅黑"/>
          <w:sz w:val="18"/>
          <w:szCs w:val="18"/>
          <w:lang w:eastAsia="zh-CN"/>
        </w:rPr>
      </w:pPr>
      <w:r>
        <w:rPr>
          <w:rFonts w:ascii="Times New Roman" w:hAnsi="Times New Roman" w:eastAsia="微软雅黑"/>
          <w:sz w:val="18"/>
          <w:szCs w:val="18"/>
          <w:lang w:eastAsia="zh-CN"/>
        </w:rPr>
        <w:t>指南推荐指在NCCN\CSCO\ASCO\ESMO指南中有明确的表格或文字说明，有本癌种该位点突变可获益的靶向药。</w:t>
      </w:r>
    </w:p>
    <w:p w14:paraId="62FA920C">
      <w:pPr>
        <w:pStyle w:val="55"/>
        <w:numPr>
          <w:ilvl w:val="0"/>
          <w:numId w:val="5"/>
        </w:numPr>
        <w:spacing w:after="0" w:line="240" w:lineRule="auto"/>
        <w:ind w:firstLineChars="0"/>
        <w:rPr>
          <w:rFonts w:ascii="Times New Roman" w:hAnsi="Times New Roman" w:eastAsia="微软雅黑"/>
          <w:spacing w:val="-3"/>
          <w:sz w:val="18"/>
          <w:szCs w:val="18"/>
          <w:lang w:eastAsia="zh-CN"/>
        </w:rPr>
      </w:pPr>
      <w:r>
        <w:rPr>
          <w:rFonts w:ascii="Times New Roman" w:hAnsi="Times New Roman" w:eastAsia="微软雅黑"/>
          <w:spacing w:val="-3"/>
          <w:sz w:val="18"/>
          <w:szCs w:val="18"/>
          <w:lang w:eastAsia="zh-CN"/>
        </w:rPr>
        <w:t>正在开放招募的临床试验药物信息来自 www.clinicaltrials.gov 和www.chinadrugtrials.org.cn。临床试验信息实时更新，使用相关结果时，请务必确认其最新状态。</w:t>
      </w:r>
    </w:p>
    <w:p w14:paraId="408F4E28">
      <w:pPr>
        <w:keepNext/>
        <w:keepLines w:val="0"/>
        <w:pageBreakBefore w:val="0"/>
        <w:widowControl w:val="0"/>
        <w:kinsoku/>
        <w:wordWrap/>
        <w:overflowPunct/>
        <w:topLinePunct w:val="0"/>
        <w:autoSpaceDE/>
        <w:autoSpaceDN/>
        <w:bidi w:val="0"/>
        <w:adjustRightInd/>
        <w:snapToGrid/>
        <w:spacing w:after="0" w:line="260" w:lineRule="auto"/>
        <w:jc w:val="left"/>
        <w:textAlignment w:val="auto"/>
        <w:rPr>
          <w:rFonts w:hint="eastAsia" w:ascii="Times New Roman" w:hAnsi="Times New Roman" w:eastAsia="微软雅黑" w:cs="Times New Roman"/>
          <w:b/>
          <w:sz w:val="24"/>
          <w:szCs w:val="24"/>
          <w:lang w:eastAsia="zh-CN"/>
        </w:rPr>
      </w:pP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2212757C">
      <w:pPr>
        <w:numPr>
          <w:ilvl w:val="0"/>
          <w:numId w:val="4"/>
        </w:numPr>
        <w:tabs>
          <w:tab w:val="clear" w:pos="312"/>
        </w:tabs>
        <w:spacing w:before="26"/>
        <w:ind w:left="20"/>
        <w:outlineLvl w:val="1"/>
        <w:rPr>
          <w:rFonts w:eastAsia="微软雅黑"/>
          <w:b/>
          <w:bCs/>
          <w:sz w:val="30"/>
          <w:szCs w:val="30"/>
        </w:rPr>
      </w:pPr>
      <w:bookmarkStart w:id="29" w:name="_Toc14690"/>
      <w:r>
        <w:rPr>
          <w:rFonts w:hint="eastAsia" w:eastAsia="微软雅黑"/>
          <w:b/>
          <w:bCs/>
          <w:sz w:val="30"/>
          <w:szCs w:val="30"/>
        </w:rPr>
        <w:t>NCCN指南推荐相关基因列表</w:t>
      </w:r>
      <w:bookmarkEnd w:id="29"/>
    </w:p>
    <w:p w14:paraId="22171F3C">
      <w:pPr>
        <w:spacing w:before="26"/>
        <w:rPr>
          <w:rFonts w:eastAsia="微软雅黑"/>
        </w:rPr>
      </w:pPr>
      <w:r>
        <w:rPr>
          <w:rFonts w:eastAsia="微软雅黑"/>
          <w:b/>
          <w:sz w:val="30"/>
          <w:szCs w:val="30"/>
          <w:lang w:bidi="ar"/>
        </w:rPr>
        <w:t>EGFR</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3"/>
        <w:gridCol w:w="7102"/>
      </w:tblGrid>
      <w:tr w14:paraId="66EEB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51"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8D41015">
            <w:pPr>
              <w:spacing w:beforeAutospacing="1" w:after="0" w:line="273" w:lineRule="auto"/>
              <w:jc w:val="center"/>
              <w:rPr>
                <w:rFonts w:eastAsia="微软雅黑"/>
                <w:b/>
                <w:color w:val="FFFFFF"/>
              </w:rPr>
            </w:pPr>
            <w:r>
              <w:rPr>
                <w:rFonts w:eastAsia="微软雅黑"/>
                <w:b/>
                <w:color w:val="FFFFFF"/>
                <w:lang w:bidi="ar"/>
              </w:rPr>
              <w:t>基因说明</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5F5EF4D8">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EGFR基因位于7p11，是原癌基因c-erbB1的表达产物，是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p>
        </w:tc>
      </w:tr>
      <w:tr w14:paraId="78852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38BF835F">
            <w:pPr>
              <w:spacing w:beforeAutospacing="1" w:after="0" w:line="273" w:lineRule="auto"/>
              <w:jc w:val="center"/>
              <w:rPr>
                <w:rFonts w:eastAsia="微软雅黑"/>
                <w:b/>
                <w:color w:val="FFFFFF"/>
              </w:rPr>
            </w:pPr>
            <w:r>
              <w:rPr>
                <w:rFonts w:eastAsia="微软雅黑"/>
                <w:b/>
                <w:color w:val="FFFFFF"/>
                <w:lang w:bidi="ar"/>
              </w:rPr>
              <w:t>靶向药物</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50627AB0">
            <w:pPr>
              <w:widowControl w:val="0"/>
              <w:spacing w:beforeAutospacing="1" w:after="0" w:line="256" w:lineRule="auto"/>
              <w:rPr>
                <w:rFonts w:eastAsia="微软雅黑"/>
                <w:sz w:val="18"/>
                <w:szCs w:val="18"/>
              </w:rPr>
            </w:pPr>
            <w:r>
              <w:rPr>
                <w:rFonts w:eastAsia="微软雅黑"/>
                <w:b/>
                <w:sz w:val="18"/>
                <w:szCs w:val="18"/>
                <w:lang w:bidi="ar"/>
              </w:rPr>
              <w:t>厄洛替尼*</w:t>
            </w:r>
            <w:r>
              <w:rPr>
                <w:rFonts w:eastAsia="微软雅黑"/>
                <w:sz w:val="18"/>
                <w:szCs w:val="18"/>
                <w:lang w:bidi="ar"/>
              </w:rPr>
              <w:t>、</w:t>
            </w:r>
            <w:r>
              <w:rPr>
                <w:rFonts w:eastAsia="微软雅黑"/>
                <w:b/>
                <w:sz w:val="18"/>
                <w:szCs w:val="18"/>
                <w:lang w:bidi="ar"/>
              </w:rPr>
              <w:t>吉非替尼*</w:t>
            </w:r>
            <w:r>
              <w:rPr>
                <w:rFonts w:eastAsia="微软雅黑"/>
                <w:sz w:val="18"/>
                <w:szCs w:val="18"/>
                <w:lang w:bidi="ar"/>
              </w:rPr>
              <w:t>、</w:t>
            </w:r>
            <w:r>
              <w:rPr>
                <w:rFonts w:eastAsia="微软雅黑"/>
                <w:b/>
                <w:sz w:val="18"/>
                <w:szCs w:val="18"/>
                <w:lang w:bidi="ar"/>
              </w:rPr>
              <w:t>阿法替尼*、达可替尼*</w:t>
            </w:r>
            <w:r>
              <w:rPr>
                <w:rFonts w:eastAsia="微软雅黑"/>
                <w:sz w:val="18"/>
                <w:szCs w:val="18"/>
                <w:lang w:bidi="ar"/>
              </w:rPr>
              <w:t>、</w:t>
            </w:r>
            <w:r>
              <w:rPr>
                <w:rFonts w:eastAsia="微软雅黑"/>
                <w:b/>
                <w:sz w:val="18"/>
                <w:szCs w:val="18"/>
                <w:lang w:bidi="ar"/>
              </w:rPr>
              <w:t>奥希替尼</w:t>
            </w:r>
            <w:r>
              <w:rPr>
                <w:rFonts w:eastAsia="微软雅黑"/>
                <w:b/>
                <w:sz w:val="18"/>
                <w:szCs w:val="18"/>
                <w:vertAlign w:val="superscript"/>
                <w:lang w:bidi="ar"/>
              </w:rPr>
              <w:t>*</w:t>
            </w:r>
            <w:r>
              <w:rPr>
                <w:rFonts w:eastAsia="微软雅黑"/>
                <w:b/>
                <w:sz w:val="18"/>
                <w:szCs w:val="18"/>
                <w:lang w:bidi="ar"/>
              </w:rPr>
              <w:t>、埃克替尼*</w:t>
            </w:r>
          </w:p>
        </w:tc>
      </w:tr>
      <w:tr w14:paraId="00E19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4"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24676B88">
            <w:pPr>
              <w:spacing w:beforeAutospacing="1" w:after="0" w:line="273" w:lineRule="auto"/>
              <w:jc w:val="center"/>
              <w:rPr>
                <w:rFonts w:eastAsia="微软雅黑"/>
                <w:b/>
                <w:color w:val="FFFFFF"/>
              </w:rPr>
            </w:pPr>
            <w:r>
              <w:rPr>
                <w:rFonts w:eastAsia="微软雅黑"/>
                <w:b/>
                <w:color w:val="FFFFFF"/>
                <w:lang w:bidi="ar"/>
              </w:rPr>
              <w:t>用药提示</w:t>
            </w:r>
          </w:p>
          <w:p w14:paraId="5E5561E0">
            <w:pPr>
              <w:spacing w:beforeAutospacing="1" w:after="0" w:line="273" w:lineRule="auto"/>
              <w:jc w:val="center"/>
              <w:rPr>
                <w:rFonts w:eastAsia="微软雅黑"/>
                <w:b/>
                <w:color w:val="FFFFFF"/>
              </w:rPr>
            </w:pPr>
            <w:r>
              <w:rPr>
                <w:rFonts w:eastAsia="微软雅黑"/>
                <w:b/>
                <w:color w:val="FFFFFF"/>
                <w:lang w:bidi="ar"/>
              </w:rPr>
              <w:t>（仅供参考）</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087FB3D3">
            <w:pPr>
              <w:spacing w:beforeAutospacing="1" w:after="0" w:line="273" w:lineRule="auto"/>
              <w:rPr>
                <w:rFonts w:eastAsia="微软雅黑"/>
                <w:color w:val="000000"/>
                <w:sz w:val="18"/>
                <w:szCs w:val="18"/>
              </w:rPr>
            </w:pPr>
            <w:r>
              <w:rPr>
                <w:rFonts w:eastAsia="微软雅黑"/>
                <w:sz w:val="18"/>
                <w:szCs w:val="18"/>
                <w:lang w:bidi="ar"/>
              </w:rPr>
              <w:t>EGFR 基因是非小细胞肺癌(NSCLC) 中最常见的驱动基因之一。PIONEER研究显示51.4%未经选择的亚裔晚期肺腺癌患者伴有EGFR 敏感突变，在不吸烟腺癌中髙达60%</w:t>
            </w:r>
            <w:r>
              <w:rPr>
                <w:rFonts w:eastAsia="微软雅黑"/>
                <w:sz w:val="18"/>
                <w:szCs w:val="18"/>
                <w:vertAlign w:val="superscript"/>
                <w:lang w:bidi="ar"/>
              </w:rPr>
              <w:t xml:space="preserve"> [16]</w:t>
            </w:r>
            <w:r>
              <w:rPr>
                <w:rFonts w:eastAsia="微软雅黑"/>
                <w:sz w:val="18"/>
                <w:szCs w:val="18"/>
                <w:lang w:bidi="ar"/>
              </w:rPr>
              <w:t>。NCCN 指南指出，EGFR 基因中exon19 del，exon19 ins，exon21（L858R，L861Q），exon 18（G719X），exon20（S768I） 的突变是与EGFR TKI 的敏感性相关</w:t>
            </w:r>
            <w:r>
              <w:rPr>
                <w:rFonts w:eastAsia="微软雅黑"/>
                <w:sz w:val="18"/>
                <w:szCs w:val="18"/>
                <w:vertAlign w:val="superscript"/>
                <w:lang w:bidi="ar"/>
              </w:rPr>
              <w:t>[17]</w:t>
            </w:r>
            <w:r>
              <w:rPr>
                <w:rFonts w:eastAsia="微软雅黑"/>
                <w:sz w:val="18"/>
                <w:szCs w:val="18"/>
                <w:lang w:bidi="ar"/>
              </w:rPr>
              <w:t>。EGFR exon20 的插入突变通常与EGFR TKI 的耐药预后相关</w:t>
            </w:r>
            <w:r>
              <w:rPr>
                <w:rFonts w:eastAsia="微软雅黑"/>
                <w:sz w:val="18"/>
                <w:szCs w:val="18"/>
                <w:vertAlign w:val="superscript"/>
                <w:lang w:bidi="ar"/>
              </w:rPr>
              <w:t>[18-19]</w:t>
            </w:r>
            <w:r>
              <w:rPr>
                <w:rFonts w:eastAsia="微软雅黑"/>
                <w:sz w:val="18"/>
                <w:szCs w:val="18"/>
                <w:lang w:bidi="ar"/>
              </w:rPr>
              <w:t>。研究发现，EGFR TKI 的原发耐药通常与KRAS 的突变相关；获得性耐药通常与EGFR 基因的二次突变（如T790M）、旁路激酶的扩增（如MET 基因）、从非小细胞肺癌向小细胞肺癌的组织学转变、以及上皮细胞-间充质转化（EMT）相关。另外，凡德他尼是一种多靶点（EGFR, RET, VEGFR2 等）激酶抑制剂；尼妥珠单抗、西妥昔单抗是EGFR 的单克隆抗体</w:t>
            </w:r>
            <w:r>
              <w:rPr>
                <w:rFonts w:eastAsia="微软雅黑"/>
                <w:sz w:val="18"/>
                <w:szCs w:val="18"/>
                <w:vertAlign w:val="superscript"/>
                <w:lang w:bidi="ar"/>
              </w:rPr>
              <w:t>[20-35]</w:t>
            </w:r>
            <w:r>
              <w:rPr>
                <w:rFonts w:eastAsia="微软雅黑"/>
                <w:sz w:val="18"/>
                <w:szCs w:val="18"/>
                <w:lang w:bidi="ar"/>
              </w:rPr>
              <w:t>，联合其他靶向药、单抗以及化疗药用于肺癌的治疗的临床试验正在开展。</w:t>
            </w:r>
          </w:p>
        </w:tc>
      </w:tr>
    </w:tbl>
    <w:p w14:paraId="050FA37C">
      <w:pPr>
        <w:spacing w:before="26" w:line="256" w:lineRule="auto"/>
        <w:rPr>
          <w:rFonts w:eastAsia="微软雅黑"/>
          <w:b/>
          <w:sz w:val="30"/>
          <w:szCs w:val="30"/>
        </w:rPr>
      </w:pPr>
      <w:r>
        <w:rPr>
          <w:rFonts w:eastAsia="微软雅黑"/>
          <w:b/>
          <w:sz w:val="30"/>
          <w:szCs w:val="30"/>
          <w:lang w:bidi="ar"/>
        </w:rPr>
        <w:t xml:space="preserve"> </w:t>
      </w:r>
    </w:p>
    <w:p w14:paraId="09755E55">
      <w:pPr>
        <w:spacing w:before="26"/>
        <w:rPr>
          <w:rFonts w:eastAsia="微软雅黑"/>
        </w:rPr>
      </w:pPr>
      <w:r>
        <w:rPr>
          <w:rFonts w:eastAsia="微软雅黑"/>
          <w:b/>
          <w:sz w:val="30"/>
          <w:szCs w:val="30"/>
          <w:lang w:bidi="ar"/>
        </w:rPr>
        <w:t>ALK</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03016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74984F7A">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088994F6">
            <w:pPr>
              <w:spacing w:beforeAutospacing="1" w:after="0" w:line="273" w:lineRule="auto"/>
              <w:rPr>
                <w:rFonts w:eastAsia="微软雅黑"/>
                <w:color w:val="000000"/>
                <w:sz w:val="18"/>
                <w:szCs w:val="18"/>
              </w:rPr>
            </w:pPr>
            <w:r>
              <w:rPr>
                <w:rFonts w:eastAsia="微软雅黑"/>
                <w:color w:val="000000"/>
                <w:sz w:val="18"/>
                <w:szCs w:val="18"/>
                <w:lang w:bidi="ar"/>
              </w:rPr>
              <w:t>ALK位于染色体2p23，是致癌驱动基因，该基因编码的蛋白是受体酪氨酸激酶家族的一部分，该蛋白为一种跨膜受体酪氨酸激酶，是胰岛素受体超家族的一员，受体络氨酸激酶通过信号传导将信号从细胞表面传导到细胞内，并通过激活MAPK和PI3K信号通路促进细胞增殖。ALK激活突变、融合已经在各种癌症中被报道过，其融合形式与克唑替尼的敏感性相关。与ALK相关的疾病包括非小细胞肺癌、结直肠癌、卵巢癌、横纹肌肉瘤等。</w:t>
            </w:r>
          </w:p>
        </w:tc>
      </w:tr>
      <w:tr w14:paraId="43176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41955D64">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066B3B1C">
            <w:pPr>
              <w:widowControl w:val="0"/>
              <w:spacing w:beforeAutospacing="1" w:after="0" w:line="256" w:lineRule="auto"/>
              <w:rPr>
                <w:rFonts w:eastAsia="微软雅黑"/>
                <w:sz w:val="18"/>
                <w:szCs w:val="18"/>
              </w:rPr>
            </w:pPr>
            <w:r>
              <w:rPr>
                <w:rFonts w:eastAsia="微软雅黑"/>
                <w:b/>
                <w:sz w:val="18"/>
                <w:szCs w:val="18"/>
                <w:lang w:bidi="ar"/>
              </w:rPr>
              <w:t>克唑替尼*</w:t>
            </w:r>
            <w:r>
              <w:rPr>
                <w:rFonts w:eastAsia="微软雅黑"/>
                <w:sz w:val="18"/>
                <w:szCs w:val="18"/>
                <w:lang w:bidi="ar"/>
              </w:rPr>
              <w:t>、</w:t>
            </w:r>
            <w:r>
              <w:rPr>
                <w:rFonts w:eastAsia="微软雅黑"/>
                <w:b/>
                <w:sz w:val="18"/>
                <w:szCs w:val="18"/>
                <w:lang w:bidi="ar"/>
              </w:rPr>
              <w:t>塞瑞替尼*</w:t>
            </w:r>
            <w:r>
              <w:rPr>
                <w:rFonts w:eastAsia="微软雅黑"/>
                <w:sz w:val="18"/>
                <w:szCs w:val="18"/>
                <w:lang w:bidi="ar"/>
              </w:rPr>
              <w:t>、</w:t>
            </w:r>
            <w:r>
              <w:rPr>
                <w:rFonts w:hint="eastAsia" w:eastAsia="微软雅黑"/>
                <w:b/>
                <w:sz w:val="18"/>
                <w:szCs w:val="18"/>
                <w:lang w:bidi="ar"/>
              </w:rPr>
              <w:t>布格替尼*</w:t>
            </w:r>
            <w:r>
              <w:rPr>
                <w:rFonts w:eastAsia="微软雅黑"/>
                <w:sz w:val="18"/>
                <w:szCs w:val="18"/>
                <w:lang w:bidi="ar"/>
              </w:rPr>
              <w:t>、</w:t>
            </w:r>
            <w:r>
              <w:rPr>
                <w:rFonts w:eastAsia="微软雅黑"/>
                <w:b/>
                <w:sz w:val="18"/>
                <w:szCs w:val="18"/>
                <w:lang w:bidi="ar"/>
              </w:rPr>
              <w:t>阿来替尼*</w:t>
            </w:r>
            <w:r>
              <w:rPr>
                <w:rFonts w:eastAsia="微软雅黑"/>
                <w:sz w:val="18"/>
                <w:szCs w:val="18"/>
                <w:lang w:bidi="ar"/>
              </w:rPr>
              <w:t>、</w:t>
            </w:r>
            <w:r>
              <w:rPr>
                <w:rFonts w:eastAsia="微软雅黑"/>
                <w:b/>
                <w:sz w:val="18"/>
                <w:szCs w:val="18"/>
                <w:lang w:bidi="ar"/>
              </w:rPr>
              <w:t>劳拉替尼</w:t>
            </w:r>
          </w:p>
        </w:tc>
      </w:tr>
      <w:tr w14:paraId="4EAB7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5090BAD0">
            <w:pPr>
              <w:spacing w:beforeAutospacing="1" w:after="0" w:line="273" w:lineRule="auto"/>
              <w:jc w:val="center"/>
              <w:rPr>
                <w:rFonts w:eastAsia="微软雅黑"/>
                <w:b/>
                <w:color w:val="FFFFFF"/>
              </w:rPr>
            </w:pPr>
            <w:r>
              <w:rPr>
                <w:rFonts w:eastAsia="微软雅黑"/>
                <w:b/>
                <w:color w:val="FFFFFF"/>
                <w:lang w:bidi="ar"/>
              </w:rPr>
              <w:t>用药提示</w:t>
            </w:r>
          </w:p>
          <w:p w14:paraId="7E43610E">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0CB24687">
            <w:pPr>
              <w:spacing w:beforeAutospacing="1" w:after="0" w:line="273" w:lineRule="auto"/>
              <w:rPr>
                <w:rFonts w:eastAsia="微软雅黑"/>
                <w:color w:val="000000"/>
                <w:sz w:val="18"/>
                <w:szCs w:val="18"/>
              </w:rPr>
            </w:pPr>
            <w:r>
              <w:rPr>
                <w:rFonts w:eastAsia="微软雅黑"/>
                <w:color w:val="000000"/>
                <w:sz w:val="18"/>
                <w:szCs w:val="18"/>
                <w:lang w:bidi="ar"/>
              </w:rPr>
              <w:t>在肺癌中EML4-ALK是最常见的 ALK 基因重排方式。FDA批准克唑替尼和塞瑞替尼用于ALK 融合的一线治疗，阿来替尼和Brigatinib用于经克唑替尼治疗失败的二线治疗，阿来替尼和Brigatinib对于中枢神经系统转移有较好疗效。FDA批准Lorlatinib用于治疗ALK阳性的第一代或第二代药物耐药后的肺癌患者。当使用一代TKI导致耐药之后，ALK发生耐药突变频率大约在20%~30%，其中，G1202R的突变占了10%左右。而应用二代ALK抑制剂发生的耐药突变上升到了40%~60%左右，其中G1202R的突变也提高至40%~60%。不同的ALK耐药位点变异对不同ALK TKI 的敏感性不同，例如1151Tins，L1152R/P，C1156Y/T，F1174T/N，L1196M，G1202R，S1206C/V，G1269A/S，F1246Y等位点发生突变会导致对一代ALK 抑制剂克唑替尼产生耐药性，而L1196M 对阿来替尼和塞瑞替尼敏感，G1202R 等大部分位点对三代TKI 劳拉替尼敏感等</w:t>
            </w:r>
            <w:r>
              <w:rPr>
                <w:rFonts w:eastAsia="微软雅黑"/>
                <w:color w:val="000000"/>
                <w:sz w:val="18"/>
                <w:szCs w:val="18"/>
                <w:vertAlign w:val="superscript"/>
                <w:lang w:bidi="ar"/>
              </w:rPr>
              <w:t>[1-7]</w:t>
            </w:r>
            <w:r>
              <w:rPr>
                <w:rFonts w:eastAsia="微软雅黑"/>
                <w:color w:val="000000"/>
                <w:sz w:val="18"/>
                <w:szCs w:val="18"/>
                <w:lang w:bidi="ar"/>
              </w:rPr>
              <w:t>。研究发现ALK 基因融合，对EGFR TKIs 药物埃克替尼，厄洛替尼，吉非替尼，阿法替尼敏感性降低</w:t>
            </w:r>
            <w:r>
              <w:rPr>
                <w:rFonts w:eastAsia="微软雅黑"/>
                <w:sz w:val="18"/>
                <w:szCs w:val="18"/>
                <w:vertAlign w:val="superscript"/>
                <w:lang w:bidi="ar"/>
              </w:rPr>
              <w:t>[8-15]</w:t>
            </w:r>
            <w:r>
              <w:rPr>
                <w:rFonts w:eastAsia="微软雅黑"/>
                <w:color w:val="000000"/>
                <w:sz w:val="18"/>
                <w:szCs w:val="18"/>
                <w:lang w:bidi="ar"/>
              </w:rPr>
              <w:t>[NCCN_Non-Small Cell Lung Cancer_2020_V2]。</w:t>
            </w:r>
          </w:p>
        </w:tc>
      </w:tr>
    </w:tbl>
    <w:p w14:paraId="207D0061">
      <w:pPr>
        <w:spacing w:before="26" w:line="256" w:lineRule="auto"/>
        <w:ind w:left="20"/>
        <w:rPr>
          <w:rFonts w:eastAsia="微软雅黑"/>
          <w:b/>
          <w:sz w:val="30"/>
          <w:szCs w:val="30"/>
        </w:rPr>
      </w:pPr>
    </w:p>
    <w:p w14:paraId="03602888">
      <w:pPr>
        <w:spacing w:before="26"/>
        <w:rPr>
          <w:rFonts w:eastAsia="微软雅黑"/>
        </w:rPr>
      </w:pPr>
      <w:r>
        <w:rPr>
          <w:rFonts w:eastAsia="微软雅黑"/>
          <w:b/>
          <w:sz w:val="30"/>
          <w:szCs w:val="30"/>
          <w:lang w:bidi="ar"/>
        </w:rPr>
        <w:t>ROS1</w:t>
      </w:r>
    </w:p>
    <w:tbl>
      <w:tblPr>
        <w:tblStyle w:val="24"/>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79"/>
      </w:tblGrid>
      <w:tr w14:paraId="447A8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0BCD8880">
            <w:pPr>
              <w:spacing w:beforeAutospacing="1" w:after="0" w:line="273" w:lineRule="auto"/>
              <w:jc w:val="center"/>
              <w:rPr>
                <w:rFonts w:eastAsia="微软雅黑"/>
                <w:b/>
                <w:color w:val="FFFFFF"/>
              </w:rPr>
            </w:pPr>
            <w:r>
              <w:rPr>
                <w:rFonts w:eastAsia="微软雅黑"/>
                <w:b/>
                <w:color w:val="FFFFFF"/>
                <w:lang w:bidi="ar"/>
              </w:rPr>
              <w:t>基因说明</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42D8B06D">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w:t>
            </w:r>
          </w:p>
        </w:tc>
      </w:tr>
      <w:tr w14:paraId="23E5C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BAA9C83">
            <w:pPr>
              <w:spacing w:beforeAutospacing="1" w:after="0" w:line="273" w:lineRule="auto"/>
              <w:jc w:val="center"/>
              <w:rPr>
                <w:rFonts w:eastAsia="微软雅黑"/>
                <w:b/>
                <w:color w:val="FFFFFF"/>
              </w:rPr>
            </w:pPr>
            <w:r>
              <w:rPr>
                <w:rFonts w:eastAsia="微软雅黑"/>
                <w:b/>
                <w:color w:val="FFFFFF"/>
                <w:lang w:bidi="ar"/>
              </w:rPr>
              <w:t>靶向药物</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17B0131A">
            <w:pPr>
              <w:widowControl w:val="0"/>
              <w:spacing w:beforeAutospacing="1" w:after="0" w:line="256" w:lineRule="auto"/>
              <w:rPr>
                <w:rFonts w:eastAsia="微软雅黑"/>
                <w:sz w:val="18"/>
                <w:szCs w:val="18"/>
              </w:rPr>
            </w:pPr>
            <w:r>
              <w:rPr>
                <w:rFonts w:eastAsia="微软雅黑"/>
                <w:b/>
                <w:sz w:val="18"/>
                <w:szCs w:val="18"/>
                <w:lang w:bidi="ar"/>
              </w:rPr>
              <w:t>克唑替尼*</w:t>
            </w:r>
            <w:r>
              <w:rPr>
                <w:rFonts w:eastAsia="微软雅黑"/>
                <w:sz w:val="18"/>
                <w:szCs w:val="18"/>
                <w:lang w:bidi="ar"/>
              </w:rPr>
              <w:t>、</w:t>
            </w:r>
            <w:r>
              <w:rPr>
                <w:rFonts w:eastAsia="微软雅黑"/>
                <w:b/>
                <w:sz w:val="18"/>
                <w:szCs w:val="18"/>
                <w:lang w:bidi="ar"/>
              </w:rPr>
              <w:t>恩曲替尼</w:t>
            </w:r>
            <w:r>
              <w:rPr>
                <w:rFonts w:eastAsia="微软雅黑"/>
                <w:sz w:val="18"/>
                <w:szCs w:val="18"/>
                <w:lang w:bidi="ar"/>
              </w:rPr>
              <w:t>、</w:t>
            </w:r>
            <w:r>
              <w:rPr>
                <w:rFonts w:eastAsia="微软雅黑"/>
                <w:b/>
                <w:sz w:val="18"/>
                <w:szCs w:val="18"/>
                <w:lang w:bidi="ar"/>
              </w:rPr>
              <w:t>劳拉替尼、塞瑞替尼*</w:t>
            </w:r>
          </w:p>
        </w:tc>
      </w:tr>
      <w:tr w14:paraId="08A52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57627A8">
            <w:pPr>
              <w:spacing w:beforeAutospacing="1" w:after="0" w:line="273" w:lineRule="auto"/>
              <w:jc w:val="center"/>
              <w:rPr>
                <w:rFonts w:eastAsia="微软雅黑"/>
                <w:b/>
                <w:color w:val="FFFFFF"/>
              </w:rPr>
            </w:pPr>
            <w:r>
              <w:rPr>
                <w:rFonts w:eastAsia="微软雅黑"/>
                <w:b/>
                <w:color w:val="FFFFFF"/>
                <w:lang w:bidi="ar"/>
              </w:rPr>
              <w:t>用药提示</w:t>
            </w:r>
          </w:p>
          <w:p w14:paraId="2FDDFEB1">
            <w:pPr>
              <w:spacing w:beforeAutospacing="1" w:after="0" w:line="273" w:lineRule="auto"/>
              <w:jc w:val="center"/>
              <w:rPr>
                <w:rFonts w:eastAsia="微软雅黑"/>
                <w:b/>
                <w:color w:val="FFFFFF"/>
              </w:rPr>
            </w:pPr>
            <w:r>
              <w:rPr>
                <w:rFonts w:eastAsia="微软雅黑"/>
                <w:b/>
                <w:color w:val="FFFFFF"/>
                <w:lang w:bidi="ar"/>
              </w:rPr>
              <w:t>（仅供参考）</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45CFF888">
            <w:pPr>
              <w:adjustRightInd w:val="0"/>
              <w:snapToGrid w:val="0"/>
              <w:spacing w:beforeAutospacing="1" w:after="0" w:line="273" w:lineRule="auto"/>
              <w:rPr>
                <w:rFonts w:eastAsia="微软雅黑"/>
                <w:sz w:val="18"/>
                <w:szCs w:val="18"/>
              </w:rPr>
            </w:pPr>
            <w:r>
              <w:rPr>
                <w:rFonts w:eastAsia="微软雅黑"/>
                <w:sz w:val="18"/>
                <w:szCs w:val="18"/>
                <w:lang w:bidi="ar"/>
              </w:rPr>
              <w:t>ROS1 基因重排代表一类新的独特的NSCLC 分子亚型，一般认为ROS1 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基因融合对克唑替尼（ALK，MET，ROS1抑制剂）类药物敏感性增加；对厄洛替尼、吉非替尼敏感性降低</w:t>
            </w:r>
            <w:r>
              <w:rPr>
                <w:rFonts w:eastAsia="微软雅黑"/>
                <w:sz w:val="18"/>
                <w:szCs w:val="18"/>
                <w:vertAlign w:val="superscript"/>
                <w:lang w:bidi="ar"/>
              </w:rPr>
              <w:t>[49-53]</w:t>
            </w:r>
            <w:r>
              <w:rPr>
                <w:rFonts w:eastAsia="微软雅黑"/>
                <w:sz w:val="18"/>
                <w:szCs w:val="18"/>
                <w:lang w:bidi="ar"/>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w:t>
            </w:r>
            <w:r>
              <w:rPr>
                <w:rFonts w:eastAsia="微软雅黑"/>
                <w:sz w:val="18"/>
                <w:szCs w:val="18"/>
                <w:vertAlign w:val="superscript"/>
                <w:lang w:bidi="ar"/>
              </w:rPr>
              <w:t>[54-55]</w:t>
            </w:r>
            <w:r>
              <w:rPr>
                <w:rFonts w:eastAsia="微软雅黑"/>
                <w:sz w:val="18"/>
                <w:szCs w:val="18"/>
                <w:lang w:bidi="ar"/>
              </w:rPr>
              <w:t>。NCCN指南推荐劳拉替尼用于经克唑替尼或塞瑞替尼治疗后疾病进展的ROS1-阳性的非小细胞肺癌患者的后续治疗[NCCN_Non-Small Cell Lung Cancer_2020_V1]。有临床前试验表明，卡博替尼可以对ROS1 阳性且出现G2032R 耐药突变的肿瘤依然有效</w:t>
            </w:r>
            <w:r>
              <w:rPr>
                <w:rFonts w:eastAsia="微软雅黑"/>
                <w:sz w:val="18"/>
                <w:szCs w:val="18"/>
                <w:vertAlign w:val="superscript"/>
                <w:lang w:bidi="ar"/>
              </w:rPr>
              <w:t>[56-57]</w:t>
            </w:r>
            <w:r>
              <w:rPr>
                <w:rFonts w:eastAsia="微软雅黑"/>
                <w:sz w:val="18"/>
                <w:szCs w:val="18"/>
                <w:lang w:bidi="ar"/>
              </w:rPr>
              <w:t>。PF-06463922（ALK/ROS1 抑制剂）也在临床前试验中表明对ROS1 阳性且出现G2032R 耐药突变依旧敏感</w:t>
            </w:r>
            <w:r>
              <w:rPr>
                <w:rFonts w:eastAsia="微软雅黑"/>
                <w:sz w:val="18"/>
                <w:szCs w:val="18"/>
                <w:vertAlign w:val="superscript"/>
                <w:lang w:bidi="ar"/>
              </w:rPr>
              <w:t>[58]</w:t>
            </w:r>
            <w:r>
              <w:rPr>
                <w:rFonts w:eastAsia="微软雅黑"/>
                <w:sz w:val="18"/>
                <w:szCs w:val="18"/>
                <w:lang w:bidi="ar"/>
              </w:rPr>
              <w:t>。</w:t>
            </w:r>
          </w:p>
        </w:tc>
      </w:tr>
    </w:tbl>
    <w:p w14:paraId="2229E578">
      <w:pPr>
        <w:spacing w:before="26" w:line="256" w:lineRule="auto"/>
        <w:rPr>
          <w:rFonts w:eastAsia="微软雅黑"/>
          <w:lang w:bidi="ar"/>
        </w:rPr>
      </w:pPr>
    </w:p>
    <w:p w14:paraId="54351815">
      <w:pPr>
        <w:spacing w:after="0"/>
        <w:rPr>
          <w:rFonts w:eastAsia="微软雅黑"/>
          <w:b/>
          <w:bCs/>
          <w:color w:val="0070C0"/>
          <w:sz w:val="28"/>
          <w:szCs w:val="28"/>
        </w:rPr>
      </w:pPr>
      <w:r>
        <w:rPr>
          <w:rFonts w:eastAsia="微软雅黑"/>
          <w:b/>
          <w:bCs/>
          <w:color w:val="0070C0"/>
          <w:sz w:val="28"/>
          <w:szCs w:val="28"/>
          <w:lang w:bidi="ar"/>
        </w:rPr>
        <w:br w:type="page"/>
      </w:r>
    </w:p>
    <w:p w14:paraId="1AD8FE9F">
      <w:pPr>
        <w:spacing w:before="26"/>
        <w:rPr>
          <w:rFonts w:eastAsia="微软雅黑"/>
        </w:rPr>
      </w:pPr>
      <w:r>
        <w:rPr>
          <w:rFonts w:eastAsia="微软雅黑"/>
          <w:b/>
          <w:sz w:val="30"/>
          <w:szCs w:val="30"/>
          <w:lang w:bidi="ar"/>
        </w:rPr>
        <w:t>BRAF</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629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0FE6C911">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65BF1F17">
            <w:pPr>
              <w:spacing w:beforeAutospacing="1" w:after="0" w:line="273" w:lineRule="auto"/>
              <w:rPr>
                <w:rFonts w:eastAsia="微软雅黑"/>
                <w:color w:val="000000"/>
                <w:sz w:val="18"/>
                <w:szCs w:val="18"/>
              </w:rPr>
            </w:pPr>
            <w:r>
              <w:rPr>
                <w:rFonts w:eastAsia="微软雅黑"/>
                <w:color w:val="000000"/>
                <w:sz w:val="18"/>
                <w:szCs w:val="18"/>
                <w:lang w:bidi="ar"/>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与BRAF相关的疾病包括黑色素瘤、结直肠癌、肺癌、非何杰金氏淋巴瘤等。</w:t>
            </w:r>
          </w:p>
        </w:tc>
      </w:tr>
      <w:tr w14:paraId="49F29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6475D06E">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68098F19">
            <w:pPr>
              <w:widowControl w:val="0"/>
              <w:spacing w:beforeAutospacing="1" w:after="0" w:line="256" w:lineRule="auto"/>
              <w:rPr>
                <w:rFonts w:eastAsia="微软雅黑"/>
                <w:sz w:val="18"/>
                <w:szCs w:val="18"/>
              </w:rPr>
            </w:pPr>
            <w:r>
              <w:rPr>
                <w:rFonts w:eastAsia="微软雅黑"/>
                <w:b/>
                <w:sz w:val="18"/>
                <w:szCs w:val="18"/>
                <w:lang w:bidi="ar"/>
              </w:rPr>
              <w:t>达拉非尼+曲美替尼</w:t>
            </w:r>
            <w:r>
              <w:rPr>
                <w:rFonts w:eastAsia="微软雅黑"/>
                <w:sz w:val="18"/>
                <w:szCs w:val="18"/>
                <w:lang w:bidi="ar"/>
              </w:rPr>
              <w:t>、</w:t>
            </w:r>
            <w:r>
              <w:rPr>
                <w:rFonts w:eastAsia="微软雅黑"/>
                <w:b/>
                <w:sz w:val="18"/>
                <w:szCs w:val="18"/>
                <w:lang w:bidi="ar"/>
              </w:rPr>
              <w:t>维莫非尼</w:t>
            </w:r>
            <w:r>
              <w:rPr>
                <w:rFonts w:eastAsia="微软雅黑"/>
                <w:sz w:val="18"/>
                <w:szCs w:val="18"/>
                <w:lang w:bidi="ar"/>
              </w:rPr>
              <w:t>、</w:t>
            </w:r>
            <w:r>
              <w:rPr>
                <w:rFonts w:eastAsia="微软雅黑"/>
                <w:b/>
                <w:sz w:val="18"/>
                <w:szCs w:val="18"/>
                <w:lang w:bidi="ar"/>
              </w:rPr>
              <w:t>达拉非尼</w:t>
            </w:r>
          </w:p>
        </w:tc>
      </w:tr>
      <w:tr w14:paraId="34D0E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7E54AEAE">
            <w:pPr>
              <w:spacing w:beforeAutospacing="1" w:after="0" w:line="273" w:lineRule="auto"/>
              <w:jc w:val="center"/>
              <w:rPr>
                <w:rFonts w:eastAsia="微软雅黑"/>
                <w:b/>
                <w:color w:val="FFFFFF"/>
              </w:rPr>
            </w:pPr>
            <w:r>
              <w:rPr>
                <w:rFonts w:eastAsia="微软雅黑"/>
                <w:b/>
                <w:color w:val="FFFFFF"/>
                <w:lang w:bidi="ar"/>
              </w:rPr>
              <w:t>用药提示</w:t>
            </w:r>
          </w:p>
          <w:p w14:paraId="78DAFF4D">
            <w:pPr>
              <w:spacing w:beforeAutospacing="1" w:after="0" w:line="273" w:lineRule="auto"/>
              <w:jc w:val="center"/>
              <w:rPr>
                <w:rFonts w:eastAsia="微软雅黑"/>
                <w:b/>
                <w:color w:val="000000"/>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6C67F01C">
            <w:pPr>
              <w:adjustRightInd w:val="0"/>
              <w:snapToGrid w:val="0"/>
              <w:spacing w:beforeAutospacing="1" w:after="0" w:line="273" w:lineRule="auto"/>
              <w:jc w:val="both"/>
              <w:rPr>
                <w:rFonts w:eastAsia="微软雅黑"/>
                <w:sz w:val="18"/>
                <w:szCs w:val="18"/>
              </w:rPr>
            </w:pPr>
            <w:r>
              <w:rPr>
                <w:rFonts w:eastAsia="微软雅黑"/>
                <w:sz w:val="18"/>
                <w:szCs w:val="18"/>
                <w:lang w:bidi="ar"/>
              </w:rPr>
              <w:t>大约有2%-4% 的肺癌患者有BRAF 突变，其中约一半为BRAF V600E 突变。BRAF 突变病人具有独特的临床病理特征：以吸烟人群为主，预后欠佳，对含铂化疗方案反应率低。FDA批准达拉菲尼联合曲美替尼的组合疗法用于BRAF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V600E突变的非鳞非小细胞肺癌患者的一线治疗方案，联合治疗不耐受的患者建议使用单药达拉非尼或维莫非尼进行治疗[NCCN_Non-Small Cell Lung Cancer_2020_V1]。有研究认为肺癌中，V600E 突变对BRAF 抑制剂Tafinlar+Mekinist 组合疗法(NCT01336634) 的敏感性增加</w:t>
            </w:r>
            <w:r>
              <w:rPr>
                <w:rFonts w:eastAsia="微软雅黑"/>
                <w:sz w:val="18"/>
                <w:szCs w:val="18"/>
                <w:vertAlign w:val="superscript"/>
                <w:lang w:bidi="ar"/>
              </w:rPr>
              <w:t>[59-61]</w:t>
            </w:r>
            <w:r>
              <w:rPr>
                <w:rFonts w:eastAsia="微软雅黑"/>
                <w:sz w:val="18"/>
                <w:szCs w:val="18"/>
                <w:lang w:bidi="ar"/>
              </w:rPr>
              <w:t>。NCCN指南指出EGFR-TKI 不适用于携带BRAF V600E 突变的非小细胞肺癌患者[NCCN-Non-Small Cell Lung Cancer-2020.V2]。</w:t>
            </w:r>
          </w:p>
        </w:tc>
      </w:tr>
    </w:tbl>
    <w:p w14:paraId="41FE22F7">
      <w:pPr>
        <w:spacing w:before="26" w:line="256" w:lineRule="auto"/>
        <w:rPr>
          <w:rFonts w:eastAsia="微软雅黑"/>
          <w:lang w:bidi="ar"/>
        </w:rPr>
      </w:pPr>
    </w:p>
    <w:p w14:paraId="07FEFCAB">
      <w:pPr>
        <w:spacing w:before="26"/>
        <w:rPr>
          <w:rFonts w:eastAsia="微软雅黑"/>
          <w:b/>
          <w:sz w:val="30"/>
          <w:szCs w:val="30"/>
        </w:rPr>
      </w:pPr>
      <w:r>
        <w:rPr>
          <w:rFonts w:eastAsia="微软雅黑"/>
          <w:b/>
          <w:sz w:val="30"/>
          <w:szCs w:val="30"/>
          <w:lang w:bidi="ar"/>
        </w:rPr>
        <w:t>KRAS</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70EAF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AAFDF42">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9D21747">
            <w:pPr>
              <w:spacing w:beforeAutospacing="1" w:after="0" w:line="273" w:lineRule="auto"/>
              <w:rPr>
                <w:rFonts w:eastAsia="微软雅黑"/>
                <w:color w:val="000000"/>
                <w:sz w:val="18"/>
                <w:szCs w:val="18"/>
              </w:rPr>
            </w:pPr>
            <w:r>
              <w:rPr>
                <w:rFonts w:eastAsia="微软雅黑"/>
                <w:color w:val="000000"/>
                <w:sz w:val="18"/>
                <w:szCs w:val="18"/>
                <w:lang w:bidi="ar"/>
              </w:rPr>
              <w:t>KRAS基因位于12p12，是一种原癌基因，编码K-Ras蛋白质，它是信号传导通路中EGFR下游的关键调节因子，发生突变后导致自身的持续活化，进而持续激活下游Ras/Raf/MEK/ERK和PI3K/Akt信号通路。从而不受上游EGFR信号的调控，使EGFR靶向药物无效。在人类恶性肿瘤中KRAS基因是最常见的突变基因，在胰腺癌、结直肠癌和肺癌中突变频率很高，5%到15%的亚洲肺癌患者有KRAS基因突变。</w:t>
            </w:r>
          </w:p>
        </w:tc>
      </w:tr>
      <w:tr w14:paraId="43D0E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3DA4195A">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FEBE2F5">
            <w:pPr>
              <w:adjustRightInd w:val="0"/>
              <w:snapToGrid w:val="0"/>
              <w:spacing w:beforeAutospacing="1" w:after="0" w:line="273" w:lineRule="auto"/>
              <w:rPr>
                <w:rFonts w:eastAsia="微软雅黑"/>
                <w:sz w:val="18"/>
                <w:szCs w:val="18"/>
                <w:vertAlign w:val="superscript"/>
              </w:rPr>
            </w:pPr>
            <w:r>
              <w:rPr>
                <w:rFonts w:eastAsia="微软雅黑"/>
                <w:sz w:val="18"/>
                <w:szCs w:val="18"/>
                <w:lang w:bidi="ar"/>
              </w:rPr>
              <w:t>吉非替尼+依维莫司、司美替尼 + MK2206、AMG510、Belvarafenib、Navitoclax + 曲美替尼</w:t>
            </w:r>
          </w:p>
        </w:tc>
      </w:tr>
      <w:tr w14:paraId="2896D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36CA4BA6">
            <w:pPr>
              <w:spacing w:beforeAutospacing="1" w:after="0" w:line="273" w:lineRule="auto"/>
              <w:jc w:val="center"/>
              <w:rPr>
                <w:rFonts w:eastAsia="微软雅黑"/>
                <w:b/>
                <w:color w:val="FFFFFF"/>
              </w:rPr>
            </w:pPr>
            <w:r>
              <w:rPr>
                <w:rFonts w:eastAsia="微软雅黑"/>
                <w:b/>
                <w:color w:val="FFFFFF"/>
                <w:lang w:bidi="ar"/>
              </w:rPr>
              <w:t>用药提示</w:t>
            </w:r>
          </w:p>
          <w:p w14:paraId="796291AE">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DF185CD">
            <w:pPr>
              <w:adjustRightInd w:val="0"/>
              <w:snapToGrid w:val="0"/>
              <w:spacing w:beforeAutospacing="1" w:after="0" w:line="273" w:lineRule="auto"/>
              <w:jc w:val="both"/>
              <w:rPr>
                <w:rFonts w:eastAsia="微软雅黑"/>
                <w:sz w:val="18"/>
                <w:szCs w:val="18"/>
              </w:rPr>
            </w:pPr>
            <w:r>
              <w:rPr>
                <w:rFonts w:eastAsia="微软雅黑"/>
                <w:sz w:val="18"/>
                <w:szCs w:val="18"/>
                <w:lang w:bidi="ar"/>
              </w:rPr>
              <w:t>NCCN 指南指出，肺癌患者中大约有1% 的人同时具有KRAS 和EGFR 突变</w:t>
            </w:r>
            <w:r>
              <w:rPr>
                <w:rFonts w:eastAsia="微软雅黑"/>
                <w:sz w:val="18"/>
                <w:szCs w:val="18"/>
                <w:vertAlign w:val="superscript"/>
                <w:lang w:bidi="ar"/>
              </w:rPr>
              <w:t>[36]</w:t>
            </w:r>
            <w:r>
              <w:rPr>
                <w:rFonts w:eastAsia="微软雅黑"/>
                <w:sz w:val="18"/>
                <w:szCs w:val="18"/>
                <w:lang w:bidi="ar"/>
              </w:rPr>
              <w:t>，而且更容易出现在非亚裔、吸烟、和粘液型肺腺癌患者中</w:t>
            </w:r>
            <w:r>
              <w:rPr>
                <w:rFonts w:eastAsia="微软雅黑"/>
                <w:sz w:val="18"/>
                <w:szCs w:val="18"/>
                <w:vertAlign w:val="superscript"/>
                <w:lang w:bidi="ar"/>
              </w:rPr>
              <w:t>[37]</w:t>
            </w:r>
            <w:r>
              <w:rPr>
                <w:rFonts w:eastAsia="微软雅黑"/>
                <w:sz w:val="18"/>
                <w:szCs w:val="18"/>
                <w:lang w:bidi="ar"/>
              </w:rPr>
              <w:t>，KRAS 突变与吸烟之间的关系非常密切</w:t>
            </w:r>
            <w:r>
              <w:rPr>
                <w:rFonts w:eastAsia="微软雅黑"/>
                <w:sz w:val="18"/>
                <w:szCs w:val="18"/>
                <w:vertAlign w:val="superscript"/>
                <w:lang w:bidi="ar"/>
              </w:rPr>
              <w:t>[38]</w:t>
            </w:r>
            <w:r>
              <w:rPr>
                <w:rFonts w:eastAsia="微软雅黑"/>
                <w:sz w:val="18"/>
                <w:szCs w:val="18"/>
                <w:lang w:bidi="ar"/>
              </w:rPr>
              <w:t>，同时KRAS 突变也是EGFR TKI原发性耐药的重要原因。NCCN指南指出KRAS突变状态预示患者可能对EGFR TKI治疗无效[NCCN_NSCLC_2020_V2]。在II期临床研究中发现，携带KRAS突变和KRAS野生型的非小细胞肺癌（NSCLC）患者接受司美替尼联合MK2206治疗后，8周疾病控制率分别为62%（13/21）和49%（24/49）</w:t>
            </w:r>
            <w:r>
              <w:rPr>
                <w:rFonts w:eastAsia="微软雅黑"/>
                <w:sz w:val="18"/>
                <w:szCs w:val="18"/>
                <w:vertAlign w:val="superscript"/>
                <w:lang w:bidi="ar"/>
              </w:rPr>
              <w:t>[62]</w:t>
            </w:r>
            <w:r>
              <w:rPr>
                <w:rFonts w:eastAsia="微软雅黑"/>
                <w:sz w:val="18"/>
                <w:szCs w:val="18"/>
                <w:lang w:bidi="ar"/>
              </w:rPr>
              <w:t>；13%的非小细胞肺癌（NSCLC）患者在接受吉非替尼联合依维莫司治疗后部分缓解，其中2例携带KRAS G12F突变患者有响应</w:t>
            </w:r>
            <w:r>
              <w:rPr>
                <w:rFonts w:eastAsia="微软雅黑"/>
                <w:sz w:val="18"/>
                <w:szCs w:val="18"/>
                <w:vertAlign w:val="superscript"/>
                <w:lang w:bidi="ar"/>
              </w:rPr>
              <w:t>[63]</w:t>
            </w:r>
            <w:r>
              <w:rPr>
                <w:rFonts w:eastAsia="微软雅黑"/>
                <w:sz w:val="18"/>
                <w:szCs w:val="18"/>
                <w:lang w:bidi="ar"/>
              </w:rPr>
              <w:t>。临床试验表明抑制剂AMG510、Belvarafenib对KRAS 突变的非小细胞肺癌患者有明显的治疗效果，目前还有曲美替尼或司美替尼联合其他用药或治疗方式的临床研究正在进行。</w:t>
            </w:r>
          </w:p>
        </w:tc>
      </w:tr>
    </w:tbl>
    <w:p w14:paraId="5FF7F83B">
      <w:pPr>
        <w:spacing w:before="26" w:line="256" w:lineRule="auto"/>
        <w:rPr>
          <w:rFonts w:eastAsia="微软雅黑"/>
          <w:lang w:bidi="ar"/>
        </w:rPr>
      </w:pPr>
    </w:p>
    <w:p w14:paraId="777A7568">
      <w:pPr>
        <w:spacing w:after="0"/>
        <w:rPr>
          <w:rFonts w:eastAsia="微软雅黑"/>
          <w:b/>
          <w:bCs/>
          <w:color w:val="0070C0"/>
          <w:sz w:val="28"/>
          <w:szCs w:val="28"/>
        </w:rPr>
      </w:pPr>
      <w:r>
        <w:rPr>
          <w:rFonts w:eastAsia="微软雅黑"/>
          <w:b/>
          <w:bCs/>
          <w:color w:val="0070C0"/>
          <w:sz w:val="28"/>
          <w:szCs w:val="28"/>
          <w:lang w:bidi="ar"/>
        </w:rPr>
        <w:br w:type="page"/>
      </w:r>
    </w:p>
    <w:p w14:paraId="1AC3E7D6">
      <w:pPr>
        <w:spacing w:before="26"/>
        <w:rPr>
          <w:rFonts w:eastAsia="微软雅黑"/>
          <w:sz w:val="30"/>
          <w:szCs w:val="30"/>
        </w:rPr>
      </w:pPr>
      <w:r>
        <w:rPr>
          <w:rFonts w:eastAsia="微软雅黑"/>
          <w:b/>
          <w:sz w:val="30"/>
          <w:szCs w:val="30"/>
          <w:lang w:bidi="ar"/>
        </w:rPr>
        <w:t>PIK3CA</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0BE0E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5B1755C7">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6AE88FF9">
            <w:pPr>
              <w:adjustRightInd w:val="0"/>
              <w:snapToGrid w:val="0"/>
              <w:spacing w:beforeAutospacing="1" w:after="0" w:line="273" w:lineRule="auto"/>
              <w:jc w:val="both"/>
              <w:rPr>
                <w:rFonts w:eastAsia="微软雅黑"/>
                <w:color w:val="000000"/>
                <w:sz w:val="18"/>
                <w:szCs w:val="18"/>
              </w:rPr>
            </w:pPr>
            <w:r>
              <w:rPr>
                <w:rFonts w:eastAsia="微软雅黑"/>
                <w:sz w:val="18"/>
                <w:szCs w:val="18"/>
                <w:lang w:bidi="ar"/>
              </w:rPr>
              <w:t>PIK3CA基因位于3q26.32，磷脂酰肌醇 3-激酶由一个 85kDa 的调节亚基和一个 110kDa 的催化亚基组成。PIK3CA编码的p110-alpha蛋白是磷脂酰肌醇3-激酶（PI3K）的催化亚基，以 ATP 依赖的方式磷酸化PtdIns, PtdIns4P 和 PtdIns (4, 5) P2。其所在通路—PI3K/Akt/mTOR 通路可调控细胞的生长、增殖、分化、活力和存活。</w:t>
            </w:r>
          </w:p>
        </w:tc>
      </w:tr>
      <w:tr w14:paraId="09190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45A0CADD">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0B1B9967">
            <w:pPr>
              <w:adjustRightInd w:val="0"/>
              <w:snapToGrid w:val="0"/>
              <w:spacing w:beforeAutospacing="1" w:after="0" w:line="273" w:lineRule="auto"/>
              <w:rPr>
                <w:rFonts w:eastAsia="微软雅黑"/>
                <w:sz w:val="18"/>
                <w:szCs w:val="18"/>
              </w:rPr>
            </w:pPr>
            <w:r>
              <w:rPr>
                <w:rFonts w:eastAsia="微软雅黑"/>
                <w:sz w:val="18"/>
                <w:szCs w:val="18"/>
                <w:lang w:bidi="ar"/>
              </w:rPr>
              <w:t>MK2206、</w:t>
            </w:r>
            <w:r>
              <w:rPr>
                <w:rFonts w:eastAsia="微软雅黑"/>
                <w:b/>
                <w:sz w:val="18"/>
                <w:szCs w:val="18"/>
                <w:lang w:bidi="ar"/>
              </w:rPr>
              <w:t>依维莫司*</w:t>
            </w:r>
            <w:r>
              <w:rPr>
                <w:rFonts w:eastAsia="微软雅黑"/>
                <w:sz w:val="18"/>
                <w:szCs w:val="18"/>
                <w:lang w:bidi="ar"/>
              </w:rPr>
              <w:t>、</w:t>
            </w:r>
            <w:r>
              <w:rPr>
                <w:rFonts w:eastAsia="微软雅黑"/>
                <w:b/>
                <w:sz w:val="18"/>
                <w:szCs w:val="18"/>
                <w:lang w:bidi="ar"/>
              </w:rPr>
              <w:t>替西罗莫司</w:t>
            </w:r>
            <w:r>
              <w:rPr>
                <w:rFonts w:eastAsia="微软雅黑"/>
                <w:sz w:val="18"/>
                <w:szCs w:val="18"/>
                <w:lang w:bidi="ar"/>
              </w:rPr>
              <w:t>、</w:t>
            </w:r>
            <w:r>
              <w:rPr>
                <w:rFonts w:eastAsia="微软雅黑"/>
                <w:b/>
                <w:sz w:val="18"/>
                <w:szCs w:val="18"/>
                <w:lang w:bidi="ar"/>
              </w:rPr>
              <w:t>西罗莫司</w:t>
            </w:r>
            <w:r>
              <w:rPr>
                <w:rFonts w:eastAsia="微软雅黑"/>
                <w:sz w:val="18"/>
                <w:szCs w:val="18"/>
                <w:lang w:bidi="ar"/>
              </w:rPr>
              <w:t>、Copanlisib</w:t>
            </w:r>
          </w:p>
        </w:tc>
      </w:tr>
      <w:tr w14:paraId="0FCAC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6E0254C2">
            <w:pPr>
              <w:spacing w:beforeAutospacing="1" w:after="0" w:line="273" w:lineRule="auto"/>
              <w:jc w:val="center"/>
              <w:rPr>
                <w:rFonts w:eastAsia="微软雅黑"/>
                <w:b/>
                <w:color w:val="FFFFFF"/>
              </w:rPr>
            </w:pPr>
            <w:r>
              <w:rPr>
                <w:rFonts w:eastAsia="微软雅黑"/>
                <w:b/>
                <w:color w:val="FFFFFF"/>
                <w:lang w:bidi="ar"/>
              </w:rPr>
              <w:t>用药提示</w:t>
            </w:r>
          </w:p>
          <w:p w14:paraId="4AD40F8E">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2E66B1E">
            <w:pPr>
              <w:adjustRightInd w:val="0"/>
              <w:snapToGrid w:val="0"/>
              <w:spacing w:beforeAutospacing="1" w:after="0" w:line="273" w:lineRule="auto"/>
              <w:rPr>
                <w:rFonts w:eastAsia="微软雅黑"/>
                <w:sz w:val="18"/>
                <w:szCs w:val="18"/>
              </w:rPr>
            </w:pPr>
            <w:r>
              <w:rPr>
                <w:rFonts w:eastAsia="微软雅黑"/>
                <w:sz w:val="18"/>
                <w:szCs w:val="18"/>
                <w:lang w:bidi="ar"/>
              </w:rPr>
              <w:t>研究发现非小细胞肺癌人群中大约有1 3% 的患者发生PIK3CA 突变</w:t>
            </w:r>
            <w:r>
              <w:rPr>
                <w:rFonts w:eastAsia="微软雅黑"/>
                <w:sz w:val="18"/>
                <w:szCs w:val="18"/>
                <w:vertAlign w:val="superscript"/>
                <w:lang w:bidi="ar"/>
              </w:rPr>
              <w:t>[41]</w:t>
            </w:r>
            <w:r>
              <w:rPr>
                <w:rFonts w:eastAsia="微软雅黑"/>
                <w:sz w:val="18"/>
                <w:szCs w:val="18"/>
                <w:lang w:bidi="ar"/>
              </w:rPr>
              <w:t>，其在肺鳞癌中比肺腺癌更常见，PIK3CA突变主要发生在外显子10和外显子21 内的热点区域。PIK3CA 突变可以与EGFR突变共存</w:t>
            </w:r>
            <w:r>
              <w:rPr>
                <w:rFonts w:eastAsia="微软雅黑"/>
                <w:sz w:val="18"/>
                <w:szCs w:val="18"/>
                <w:vertAlign w:val="superscript"/>
                <w:lang w:bidi="ar"/>
              </w:rPr>
              <w:t>[42-44]</w:t>
            </w:r>
            <w:r>
              <w:rPr>
                <w:rFonts w:eastAsia="微软雅黑"/>
                <w:sz w:val="18"/>
                <w:szCs w:val="18"/>
                <w:lang w:bidi="ar"/>
              </w:rPr>
              <w:t>，有临床前的研究表明，PIK3CA基因位于EGFR信号通路的下游，PIK3CA的激活突变维持PI3K-AKT在细胞内的信号传导，可能影响EGFR TKI(吉非替尼与厄洛替尼)的疗效</w:t>
            </w:r>
            <w:r>
              <w:rPr>
                <w:rFonts w:eastAsia="微软雅黑"/>
                <w:sz w:val="18"/>
                <w:szCs w:val="18"/>
                <w:vertAlign w:val="superscript"/>
                <w:lang w:bidi="ar"/>
              </w:rPr>
              <w:t>[45-47]</w:t>
            </w:r>
            <w:r>
              <w:rPr>
                <w:rFonts w:eastAsia="微软雅黑"/>
                <w:sz w:val="18"/>
                <w:szCs w:val="18"/>
                <w:lang w:bidi="ar"/>
              </w:rPr>
              <w:t>。目前PI3K 抑制剂对PIK3CA 基因突变患者的疗效研究多处于临床前</w:t>
            </w:r>
            <w:r>
              <w:rPr>
                <w:rFonts w:eastAsia="微软雅黑"/>
                <w:sz w:val="18"/>
                <w:szCs w:val="18"/>
                <w:vertAlign w:val="superscript"/>
                <w:lang w:bidi="ar"/>
              </w:rPr>
              <w:t>[48]</w:t>
            </w:r>
            <w:r>
              <w:rPr>
                <w:rFonts w:eastAsia="微软雅黑"/>
                <w:sz w:val="18"/>
                <w:szCs w:val="18"/>
                <w:lang w:bidi="ar"/>
              </w:rPr>
              <w:t>，如MK2206、依维莫司、替西罗莫司、西罗莫司、Copanlisib等在PIK3CA 突变的肺癌或实体肿瘤中正在开展临床试验。</w:t>
            </w:r>
          </w:p>
        </w:tc>
      </w:tr>
    </w:tbl>
    <w:p w14:paraId="564A9409">
      <w:pPr>
        <w:spacing w:before="26"/>
        <w:rPr>
          <w:rFonts w:eastAsia="微软雅黑"/>
          <w:b/>
          <w:sz w:val="30"/>
          <w:szCs w:val="30"/>
          <w:lang w:bidi="ar"/>
        </w:rPr>
      </w:pPr>
    </w:p>
    <w:p w14:paraId="103ECB82">
      <w:pPr>
        <w:spacing w:before="26"/>
        <w:rPr>
          <w:rFonts w:eastAsia="微软雅黑"/>
          <w:b/>
          <w:sz w:val="30"/>
          <w:szCs w:val="30"/>
        </w:rPr>
      </w:pPr>
      <w:r>
        <w:rPr>
          <w:rFonts w:eastAsia="微软雅黑"/>
          <w:b/>
          <w:sz w:val="30"/>
          <w:szCs w:val="30"/>
          <w:lang w:bidi="ar"/>
        </w:rPr>
        <w:t>MET</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57146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BDDF524">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3B4DF44">
            <w:pPr>
              <w:spacing w:beforeAutospacing="1" w:after="0" w:line="273" w:lineRule="auto"/>
              <w:rPr>
                <w:rFonts w:eastAsia="微软雅黑"/>
                <w:color w:val="000000"/>
                <w:sz w:val="18"/>
                <w:szCs w:val="18"/>
              </w:rPr>
            </w:pPr>
            <w:r>
              <w:rPr>
                <w:rFonts w:eastAsia="微软雅黑"/>
                <w:color w:val="000000"/>
                <w:sz w:val="18"/>
                <w:szCs w:val="18"/>
                <w:lang w:bidi="ar"/>
              </w:rPr>
              <w:t>MET基因位于7q31.2，是原癌基因，编码的蛋白属于具酪氨酸酶活性的生长因子受体，是肝细胞生长因子受体，具有酪氨酸激酶活性，与多种癌基因产物和调节蛋白相关。MET激活后，使底物磷酸化，激活细胞内PI3K-AKT-mTOR 及RAS-RAF-MEK-ERK等多个下游通路。与MET 相关的疾病包括乳头状肾细胞癌、非小细胞肺癌等。</w:t>
            </w:r>
          </w:p>
        </w:tc>
      </w:tr>
      <w:tr w14:paraId="77F94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2C5A8807">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B48B69B">
            <w:pPr>
              <w:adjustRightInd w:val="0"/>
              <w:snapToGrid w:val="0"/>
              <w:spacing w:beforeAutospacing="1" w:after="0" w:line="273" w:lineRule="auto"/>
              <w:rPr>
                <w:rFonts w:eastAsia="微软雅黑"/>
                <w:sz w:val="18"/>
                <w:szCs w:val="18"/>
                <w:vertAlign w:val="superscript"/>
              </w:rPr>
            </w:pPr>
            <w:r>
              <w:rPr>
                <w:rFonts w:eastAsia="微软雅黑"/>
                <w:b/>
                <w:sz w:val="18"/>
                <w:szCs w:val="18"/>
                <w:lang w:bidi="ar"/>
              </w:rPr>
              <w:t>克唑替尼*</w:t>
            </w:r>
            <w:r>
              <w:rPr>
                <w:rFonts w:eastAsia="微软雅黑"/>
                <w:sz w:val="18"/>
                <w:szCs w:val="18"/>
                <w:lang w:bidi="ar"/>
              </w:rPr>
              <w:t>、沃利替尼、Tepotinib、Capmatinib、</w:t>
            </w:r>
            <w:r>
              <w:rPr>
                <w:rFonts w:eastAsia="微软雅黑"/>
                <w:b/>
                <w:sz w:val="18"/>
                <w:szCs w:val="18"/>
                <w:lang w:bidi="ar"/>
              </w:rPr>
              <w:t>卡博替尼</w:t>
            </w:r>
          </w:p>
        </w:tc>
      </w:tr>
      <w:tr w14:paraId="5CC2A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12EEAE8A">
            <w:pPr>
              <w:spacing w:beforeAutospacing="1" w:after="0" w:line="273" w:lineRule="auto"/>
              <w:jc w:val="center"/>
              <w:rPr>
                <w:rFonts w:eastAsia="微软雅黑"/>
                <w:b/>
                <w:color w:val="FFFFFF"/>
              </w:rPr>
            </w:pPr>
            <w:r>
              <w:rPr>
                <w:rFonts w:eastAsia="微软雅黑"/>
                <w:b/>
                <w:color w:val="FFFFFF"/>
                <w:lang w:bidi="ar"/>
              </w:rPr>
              <w:t>用药提示</w:t>
            </w:r>
          </w:p>
          <w:p w14:paraId="640F1319">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6081F3F">
            <w:pPr>
              <w:adjustRightInd w:val="0"/>
              <w:snapToGrid w:val="0"/>
              <w:spacing w:beforeAutospacing="1" w:after="0" w:line="273" w:lineRule="auto"/>
              <w:jc w:val="both"/>
              <w:rPr>
                <w:rFonts w:eastAsia="微软雅黑"/>
                <w:sz w:val="18"/>
                <w:szCs w:val="18"/>
              </w:rPr>
            </w:pPr>
            <w:r>
              <w:rPr>
                <w:rFonts w:eastAsia="微软雅黑"/>
                <w:sz w:val="18"/>
                <w:szCs w:val="18"/>
                <w:lang w:bidi="ar"/>
              </w:rPr>
              <w:t>c-MET 基因是原癌基因，其配体是肝细胞生长因子（HGF），HGF和 c-MET的结合能够促进细胞的增殖、迁移、分化和形态改变，HGF/c-MET 信号通路的异常主要有以下三种机制：在基因层面包括基因重排、激活突变和基因扩增；转录上调导致的 c-MET 蛋白的过表达；通过配体依赖的自分泌或旁分泌机制使得 c-MET 蛋白持续激活。 MET 常发生的变异主要包括14 号外显子跳跃突变，尤其高发于肺肉瘤样癌。NCCN指南推荐克唑替尼用于治疗MET 14号外显子跳跃突变的非小细胞肺癌[NCCN_Non-Small Cell Lung Cancer_2020_V1]。在II期试验中，Savolitinib（沃利替尼）治疗MET exon 14跳跃突变肺肉瘤样癌患者（14例）或其他类型（包括MET exon 14跳跃突变）的非小细胞肺癌（20例）患者，51.6%（16/31）患者部分缓解，32.3%（10/31）患者病情稳定 [AACR Annual Meeting 2019, Abstract CT031]。还有一项II期试验中，Capmatinib治疗MET exon 14跳跃突变非小细胞肺癌患者，在先前接受过治疗的69例患者中，ORR为39.1%，先前未接受过治疗的28例患者中，ORR为71.4% [J Clin Oncol 37, 2019 (suppl; abstr 9004)]。</w:t>
            </w:r>
          </w:p>
        </w:tc>
      </w:tr>
    </w:tbl>
    <w:p w14:paraId="5DA0A272">
      <w:pPr>
        <w:spacing w:after="0"/>
        <w:rPr>
          <w:rFonts w:eastAsia="微软雅黑"/>
          <w:b/>
          <w:bCs/>
          <w:color w:val="0070C0"/>
          <w:sz w:val="28"/>
          <w:szCs w:val="28"/>
        </w:rPr>
      </w:pPr>
      <w:r>
        <w:rPr>
          <w:rFonts w:eastAsia="微软雅黑"/>
          <w:b/>
          <w:bCs/>
          <w:color w:val="0070C0"/>
          <w:sz w:val="28"/>
          <w:szCs w:val="28"/>
          <w:lang w:bidi="ar"/>
        </w:rPr>
        <w:br w:type="page"/>
      </w:r>
    </w:p>
    <w:p w14:paraId="455F9DDF">
      <w:pPr>
        <w:spacing w:before="26"/>
        <w:rPr>
          <w:rFonts w:eastAsia="微软雅黑"/>
        </w:rPr>
      </w:pPr>
      <w:r>
        <w:rPr>
          <w:rFonts w:eastAsia="微软雅黑"/>
          <w:b/>
          <w:sz w:val="30"/>
          <w:szCs w:val="30"/>
          <w:lang w:bidi="ar"/>
        </w:rPr>
        <w:t>ERBB2</w:t>
      </w:r>
    </w:p>
    <w:tbl>
      <w:tblPr>
        <w:tblStyle w:val="24"/>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5"/>
        <w:gridCol w:w="7098"/>
      </w:tblGrid>
      <w:tr w14:paraId="4FAD0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42"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5B8F625A">
            <w:pPr>
              <w:spacing w:beforeAutospacing="1" w:after="0" w:line="273" w:lineRule="auto"/>
              <w:jc w:val="center"/>
              <w:rPr>
                <w:rFonts w:eastAsia="微软雅黑"/>
                <w:b/>
                <w:color w:val="FFFFFF"/>
              </w:rPr>
            </w:pPr>
            <w:r>
              <w:rPr>
                <w:rFonts w:eastAsia="微软雅黑"/>
                <w:b/>
                <w:color w:val="FFFFFF"/>
                <w:lang w:bidi="ar"/>
              </w:rPr>
              <w:t>基因说明</w:t>
            </w:r>
          </w:p>
        </w:tc>
        <w:tc>
          <w:tcPr>
            <w:tcW w:w="3676" w:type="pct"/>
            <w:tcBorders>
              <w:top w:val="single" w:color="000000" w:sz="4" w:space="0"/>
              <w:left w:val="nil"/>
              <w:bottom w:val="single" w:color="000000" w:sz="4" w:space="0"/>
              <w:right w:val="single" w:color="000000" w:sz="4" w:space="0"/>
            </w:tcBorders>
            <w:shd w:val="clear" w:color="auto" w:fill="auto"/>
            <w:vAlign w:val="center"/>
          </w:tcPr>
          <w:p w14:paraId="41A8E0BA">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在细胞增殖、凋亡、细胞骨架重排等生物学过程中具有重要作用。ERBB2的激活突变可引起细胞过度增殖进而诱发肿瘤形成。</w:t>
            </w:r>
          </w:p>
        </w:tc>
      </w:tr>
      <w:tr w14:paraId="0F41B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0E8AA78C">
            <w:pPr>
              <w:spacing w:beforeAutospacing="1" w:after="0" w:line="273" w:lineRule="auto"/>
              <w:jc w:val="center"/>
              <w:rPr>
                <w:rFonts w:eastAsia="微软雅黑"/>
                <w:b/>
                <w:color w:val="FFFFFF"/>
              </w:rPr>
            </w:pPr>
            <w:r>
              <w:rPr>
                <w:rFonts w:eastAsia="微软雅黑"/>
                <w:b/>
                <w:color w:val="FFFFFF"/>
                <w:lang w:bidi="ar"/>
              </w:rPr>
              <w:t>靶向药物</w:t>
            </w:r>
          </w:p>
        </w:tc>
        <w:tc>
          <w:tcPr>
            <w:tcW w:w="3676" w:type="pct"/>
            <w:tcBorders>
              <w:top w:val="single" w:color="000000" w:sz="4" w:space="0"/>
              <w:left w:val="nil"/>
              <w:bottom w:val="single" w:color="000000" w:sz="4" w:space="0"/>
              <w:right w:val="single" w:color="000000" w:sz="4" w:space="0"/>
            </w:tcBorders>
            <w:shd w:val="clear" w:color="auto" w:fill="auto"/>
            <w:vAlign w:val="center"/>
          </w:tcPr>
          <w:p w14:paraId="63DD257C">
            <w:pPr>
              <w:adjustRightInd w:val="0"/>
              <w:snapToGrid w:val="0"/>
              <w:spacing w:beforeAutospacing="1" w:after="0" w:line="273" w:lineRule="auto"/>
              <w:rPr>
                <w:rFonts w:eastAsia="微软雅黑"/>
                <w:sz w:val="18"/>
                <w:szCs w:val="18"/>
              </w:rPr>
            </w:pPr>
            <w:r>
              <w:rPr>
                <w:rFonts w:eastAsia="微软雅黑"/>
                <w:b/>
                <w:sz w:val="18"/>
                <w:szCs w:val="18"/>
                <w:lang w:bidi="ar"/>
              </w:rPr>
              <w:t>曲妥珠单抗-美坦新偶联物（TDM-1）</w:t>
            </w:r>
            <w:r>
              <w:rPr>
                <w:rFonts w:eastAsia="微软雅黑"/>
                <w:sz w:val="18"/>
                <w:szCs w:val="18"/>
                <w:lang w:bidi="ar"/>
              </w:rPr>
              <w:t>、来那替尼 + 曲妥珠单抗、</w:t>
            </w:r>
            <w:r>
              <w:rPr>
                <w:rFonts w:eastAsia="微软雅黑"/>
                <w:b/>
                <w:sz w:val="18"/>
                <w:szCs w:val="18"/>
                <w:lang w:bidi="ar"/>
              </w:rPr>
              <w:t>阿法替尼*</w:t>
            </w:r>
            <w:r>
              <w:rPr>
                <w:rFonts w:eastAsia="微软雅黑"/>
                <w:sz w:val="18"/>
                <w:szCs w:val="18"/>
                <w:lang w:bidi="ar"/>
              </w:rPr>
              <w:t>、拉帕替尼、</w:t>
            </w:r>
            <w:r>
              <w:rPr>
                <w:rFonts w:eastAsia="微软雅黑"/>
                <w:b/>
                <w:sz w:val="18"/>
                <w:szCs w:val="18"/>
                <w:lang w:bidi="ar"/>
              </w:rPr>
              <w:t>来那替尼</w:t>
            </w:r>
          </w:p>
        </w:tc>
      </w:tr>
      <w:tr w14:paraId="5DD7F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7"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56BC59F1">
            <w:pPr>
              <w:spacing w:beforeAutospacing="1" w:after="0" w:line="273" w:lineRule="auto"/>
              <w:jc w:val="center"/>
              <w:rPr>
                <w:rFonts w:eastAsia="微软雅黑"/>
                <w:b/>
                <w:color w:val="FFFFFF"/>
              </w:rPr>
            </w:pPr>
            <w:r>
              <w:rPr>
                <w:rFonts w:eastAsia="微软雅黑"/>
                <w:b/>
                <w:color w:val="FFFFFF"/>
                <w:lang w:bidi="ar"/>
              </w:rPr>
              <w:t>用药提示</w:t>
            </w:r>
          </w:p>
          <w:p w14:paraId="3C062C08">
            <w:pPr>
              <w:spacing w:beforeAutospacing="1" w:after="0" w:line="273" w:lineRule="auto"/>
              <w:jc w:val="center"/>
              <w:rPr>
                <w:rFonts w:eastAsia="微软雅黑"/>
                <w:b/>
                <w:color w:val="FFFFFF"/>
              </w:rPr>
            </w:pPr>
            <w:r>
              <w:rPr>
                <w:rFonts w:eastAsia="微软雅黑"/>
                <w:b/>
                <w:color w:val="FFFFFF"/>
                <w:lang w:bidi="ar"/>
              </w:rPr>
              <w:t>（仅供参考）</w:t>
            </w:r>
          </w:p>
        </w:tc>
        <w:tc>
          <w:tcPr>
            <w:tcW w:w="3676" w:type="pct"/>
            <w:tcBorders>
              <w:top w:val="single" w:color="000000" w:sz="4" w:space="0"/>
              <w:left w:val="nil"/>
              <w:bottom w:val="single" w:color="000000" w:sz="4" w:space="0"/>
              <w:right w:val="single" w:color="000000" w:sz="4" w:space="0"/>
            </w:tcBorders>
            <w:shd w:val="clear" w:color="auto" w:fill="auto"/>
            <w:vAlign w:val="center"/>
          </w:tcPr>
          <w:p w14:paraId="39266EBD">
            <w:pPr>
              <w:spacing w:beforeAutospacing="1" w:after="0" w:line="273" w:lineRule="auto"/>
              <w:rPr>
                <w:rFonts w:eastAsia="微软雅黑"/>
                <w:sz w:val="18"/>
                <w:szCs w:val="18"/>
              </w:rPr>
            </w:pPr>
            <w:r>
              <w:rPr>
                <w:rFonts w:eastAsia="微软雅黑"/>
                <w:sz w:val="18"/>
                <w:szCs w:val="18"/>
                <w:lang w:bidi="ar"/>
              </w:rPr>
              <w:t>ERBB2常发生的变异是20号外显子插入，携带 ERBB2 活化突变的晚期 NSCLC 对 ERBB2 抑制剂可能敏感。NCCN指南推荐曲妥珠单抗-美坦新偶联物（TDM-1）用于HER2突变的非小细胞肺癌患者[NCCN_Non-Small Cell Lung Cancer_2020_V1]。目前来那替尼联合曲妥珠单抗、阿法替尼、拉帕替尼、来那替尼等用于治疗ERBB2突变和20号外显子插入的肺癌患者的临床试验均在开展。</w:t>
            </w:r>
          </w:p>
        </w:tc>
      </w:tr>
    </w:tbl>
    <w:p w14:paraId="0ECC1C3A">
      <w:pPr>
        <w:spacing w:before="26" w:after="0" w:line="256" w:lineRule="auto"/>
        <w:rPr>
          <w:rFonts w:eastAsia="微软雅黑"/>
          <w:b/>
          <w:sz w:val="30"/>
          <w:szCs w:val="30"/>
        </w:rPr>
      </w:pPr>
    </w:p>
    <w:p w14:paraId="6E1426C5">
      <w:pPr>
        <w:spacing w:before="26" w:after="0"/>
        <w:rPr>
          <w:rFonts w:eastAsia="微软雅黑"/>
          <w:b/>
          <w:sz w:val="30"/>
          <w:szCs w:val="30"/>
        </w:rPr>
      </w:pPr>
      <w:r>
        <w:rPr>
          <w:rFonts w:eastAsia="微软雅黑"/>
          <w:b/>
          <w:sz w:val="30"/>
          <w:szCs w:val="30"/>
          <w:lang w:bidi="ar"/>
        </w:rPr>
        <w:t>RET</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14:paraId="78427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6714ACC5">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272BB249">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RET基因位于10q11.21，编码受体酪氨酸激酶，是钙粘蛋白超家族的成员，参与转导细胞生长和分化信号。 RET基因在神经嵴发展中起至关重要的作用，活化的 RET可使其底物磷酸化，引起多个下游细胞通路激活。RET基因的激活点突变可引起遗传性癌症综合征和多发性内分泌瘤，体细胞点突变与甲状腺髓样癌有关。已证实其两个不同亚型的突变均与疾病相关联：IIA型-多发性内分泌瘤，IIB型-巨结肠疾病和甲状腺髓样癌。与RET 相关的疾病还包括非小细胞肺癌等。</w:t>
            </w:r>
          </w:p>
        </w:tc>
      </w:tr>
      <w:tr w14:paraId="7C262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065902F4">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5115B66C">
            <w:pPr>
              <w:adjustRightInd w:val="0"/>
              <w:snapToGrid w:val="0"/>
              <w:spacing w:beforeAutospacing="1" w:after="0" w:line="273" w:lineRule="auto"/>
              <w:rPr>
                <w:rFonts w:eastAsia="微软雅黑"/>
                <w:sz w:val="18"/>
                <w:szCs w:val="18"/>
              </w:rPr>
            </w:pPr>
            <w:r>
              <w:rPr>
                <w:rFonts w:eastAsia="微软雅黑"/>
                <w:b/>
                <w:sz w:val="18"/>
                <w:szCs w:val="18"/>
                <w:lang w:bidi="ar"/>
              </w:rPr>
              <w:t>凡德他尼、卡博替尼、仑伐替尼*</w:t>
            </w:r>
            <w:r>
              <w:rPr>
                <w:rFonts w:eastAsia="微软雅黑"/>
                <w:sz w:val="18"/>
                <w:szCs w:val="18"/>
                <w:lang w:bidi="ar"/>
              </w:rPr>
              <w:t>、LOXO292、</w:t>
            </w:r>
            <w:r>
              <w:rPr>
                <w:rFonts w:eastAsia="微软雅黑"/>
                <w:b/>
                <w:sz w:val="18"/>
                <w:szCs w:val="18"/>
                <w:lang w:bidi="ar"/>
              </w:rPr>
              <w:t>舒尼替尼*、瑞戈非尼*</w:t>
            </w:r>
          </w:p>
        </w:tc>
      </w:tr>
      <w:tr w14:paraId="26167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47C59A52">
            <w:pPr>
              <w:spacing w:beforeAutospacing="1" w:after="0" w:line="273" w:lineRule="auto"/>
              <w:jc w:val="center"/>
              <w:rPr>
                <w:rFonts w:eastAsia="微软雅黑"/>
                <w:b/>
                <w:color w:val="FFFFFF"/>
              </w:rPr>
            </w:pPr>
            <w:r>
              <w:rPr>
                <w:rFonts w:eastAsia="微软雅黑"/>
                <w:b/>
                <w:color w:val="FFFFFF"/>
                <w:lang w:bidi="ar"/>
              </w:rPr>
              <w:t>用药提示</w:t>
            </w:r>
          </w:p>
          <w:p w14:paraId="4793537C">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5DA0125F">
            <w:pPr>
              <w:adjustRightInd w:val="0"/>
              <w:snapToGrid w:val="0"/>
              <w:spacing w:beforeAutospacing="1" w:after="0" w:line="273" w:lineRule="auto"/>
              <w:rPr>
                <w:rFonts w:eastAsia="微软雅黑"/>
                <w:sz w:val="18"/>
                <w:szCs w:val="18"/>
              </w:rPr>
            </w:pPr>
            <w:r>
              <w:rPr>
                <w:rFonts w:eastAsia="微软雅黑"/>
                <w:sz w:val="18"/>
                <w:szCs w:val="18"/>
                <w:lang w:bidi="ar"/>
              </w:rPr>
              <w:t>RET 重排是肺癌中的一种非小细胞肺癌的新的驱动癌基因，发现于1-2%的NSCLC患者中。非小细胞肺癌中的临床试验研究表明， RET 基因融合时，对卡博替尼和凡德他尼敏感，NCCN指南推荐携带RET融合的晚期非小细胞肺癌患者使用凡德他尼（category 2A）、卡博替尼[NCCN_NSCLC_2020_V1]。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w:t>
            </w:r>
            <w:r>
              <w:rPr>
                <w:rFonts w:eastAsia="微软雅黑"/>
                <w:sz w:val="18"/>
                <w:szCs w:val="18"/>
                <w:vertAlign w:val="superscript"/>
                <w:lang w:bidi="ar"/>
              </w:rPr>
              <w:t>[64]</w:t>
            </w:r>
            <w:r>
              <w:rPr>
                <w:rFonts w:eastAsia="微软雅黑"/>
                <w:sz w:val="18"/>
                <w:szCs w:val="18"/>
                <w:lang w:bidi="ar"/>
              </w:rPr>
              <w:t>。在I/II期试验（LIBRETTO-001）中，RET激酶抑制剂Selpercatinib（LOXO292）治疗的RET融合阳性非小细胞肺癌患者，其中KIF5B占59%，先前接受过铂类化疗的105例患者客观缓解率为68%，先前未接受治疗的34例患者客观缓解率为85%</w:t>
            </w:r>
            <w:r>
              <w:rPr>
                <w:rFonts w:eastAsia="微软雅黑"/>
                <w:sz w:val="18"/>
                <w:szCs w:val="18"/>
                <w:vertAlign w:val="superscript"/>
                <w:lang w:bidi="ar"/>
              </w:rPr>
              <w:t xml:space="preserve"> [65]</w:t>
            </w:r>
            <w:r>
              <w:rPr>
                <w:rFonts w:eastAsia="微软雅黑"/>
                <w:sz w:val="18"/>
                <w:szCs w:val="18"/>
                <w:lang w:bidi="ar"/>
              </w:rPr>
              <w:t>。</w:t>
            </w:r>
          </w:p>
        </w:tc>
      </w:tr>
    </w:tbl>
    <w:p w14:paraId="57B4B378">
      <w:pPr>
        <w:spacing w:after="0"/>
        <w:rPr>
          <w:rFonts w:eastAsia="微软雅黑"/>
          <w:b/>
          <w:bCs/>
          <w:color w:val="0070C0"/>
          <w:sz w:val="28"/>
          <w:szCs w:val="28"/>
        </w:rPr>
      </w:pPr>
      <w:r>
        <w:rPr>
          <w:rFonts w:eastAsia="微软雅黑"/>
          <w:b/>
          <w:bCs/>
          <w:color w:val="0070C0"/>
          <w:sz w:val="28"/>
          <w:szCs w:val="28"/>
          <w:lang w:bidi="ar"/>
        </w:rPr>
        <w:br w:type="page"/>
      </w:r>
    </w:p>
    <w:p w14:paraId="5386C13E">
      <w:pPr>
        <w:spacing w:before="26"/>
        <w:rPr>
          <w:rFonts w:eastAsia="微软雅黑"/>
          <w:b/>
          <w:sz w:val="30"/>
          <w:szCs w:val="30"/>
        </w:rPr>
      </w:pPr>
      <w:r>
        <w:rPr>
          <w:rFonts w:eastAsia="微软雅黑"/>
          <w:b/>
          <w:sz w:val="30"/>
          <w:szCs w:val="30"/>
          <w:lang w:bidi="ar"/>
        </w:rPr>
        <w:t>NTRK1/2/3</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81"/>
      </w:tblGrid>
      <w:tr w14:paraId="583BD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666C8E20">
            <w:pPr>
              <w:spacing w:beforeAutospacing="1" w:after="0" w:line="273" w:lineRule="auto"/>
              <w:jc w:val="center"/>
              <w:rPr>
                <w:rFonts w:eastAsia="微软雅黑"/>
                <w:b/>
                <w:color w:val="FFFFFF"/>
              </w:rPr>
            </w:pPr>
            <w:r>
              <w:rPr>
                <w:rFonts w:eastAsia="微软雅黑"/>
                <w:b/>
                <w:color w:val="FFFFFF"/>
                <w:lang w:bidi="ar"/>
              </w:rPr>
              <w:t>基因说明</w:t>
            </w:r>
          </w:p>
        </w:tc>
        <w:tc>
          <w:tcPr>
            <w:tcW w:w="3719" w:type="pct"/>
            <w:tcBorders>
              <w:top w:val="single" w:color="000000" w:sz="4" w:space="0"/>
              <w:left w:val="nil"/>
              <w:bottom w:val="single" w:color="000000" w:sz="4" w:space="0"/>
              <w:right w:val="single" w:color="000000" w:sz="4" w:space="0"/>
            </w:tcBorders>
            <w:shd w:val="clear" w:color="auto" w:fill="auto"/>
            <w:vAlign w:val="center"/>
          </w:tcPr>
          <w:p w14:paraId="41CC2CB3">
            <w:pPr>
              <w:adjustRightInd w:val="0"/>
              <w:snapToGrid w:val="0"/>
              <w:spacing w:beforeAutospacing="1" w:after="0" w:line="273" w:lineRule="auto"/>
              <w:jc w:val="both"/>
              <w:rPr>
                <w:rFonts w:eastAsia="微软雅黑"/>
                <w:color w:val="000000"/>
                <w:sz w:val="18"/>
                <w:szCs w:val="18"/>
              </w:rPr>
            </w:pPr>
            <w:r>
              <w:rPr>
                <w:rFonts w:hint="eastAsia" w:eastAsia="微软雅黑"/>
                <w:color w:val="000000"/>
                <w:sz w:val="18"/>
                <w:szCs w:val="18"/>
                <w:lang w:bidi="ar"/>
              </w:rPr>
              <w:t>NTRK基因家族包括NTRK1、NTRK2和NTRK3</w:t>
            </w:r>
            <w:r>
              <w:rPr>
                <w:rFonts w:eastAsia="微软雅黑"/>
                <w:color w:val="000000"/>
                <w:sz w:val="18"/>
                <w:szCs w:val="18"/>
                <w:lang w:bidi="ar"/>
              </w:rPr>
              <w:t>，</w:t>
            </w:r>
            <w:r>
              <w:rPr>
                <w:rFonts w:hint="eastAsia" w:eastAsia="微软雅黑"/>
                <w:color w:val="000000"/>
                <w:sz w:val="18"/>
                <w:szCs w:val="18"/>
                <w:lang w:bidi="ar"/>
              </w:rPr>
              <w:t>该家族</w:t>
            </w:r>
            <w:r>
              <w:rPr>
                <w:rFonts w:eastAsia="微软雅黑"/>
                <w:color w:val="000000"/>
                <w:sz w:val="18"/>
                <w:szCs w:val="18"/>
                <w:lang w:bidi="ar"/>
              </w:rPr>
              <w:t>编码的蛋白属于神经营养因子酪氨酸激酶受体家族的成员。这</w:t>
            </w:r>
            <w:r>
              <w:rPr>
                <w:rFonts w:hint="eastAsia" w:eastAsia="微软雅黑"/>
                <w:color w:val="000000"/>
                <w:sz w:val="18"/>
                <w:szCs w:val="18"/>
                <w:lang w:bidi="ar"/>
              </w:rPr>
              <w:t>类</w:t>
            </w:r>
            <w:r>
              <w:rPr>
                <w:rFonts w:eastAsia="微软雅黑"/>
                <w:color w:val="000000"/>
                <w:sz w:val="18"/>
                <w:szCs w:val="18"/>
                <w:lang w:bidi="ar"/>
              </w:rPr>
              <w:t>激酶是一种膜结合受体，通过与神经营养因子结合，使其自身以及MAPK信号通路的成员磷酸化。这种激酶导致细胞分化。</w:t>
            </w:r>
            <w:r>
              <w:rPr>
                <w:rFonts w:hint="eastAsia" w:eastAsia="微软雅黑"/>
                <w:color w:val="000000"/>
                <w:sz w:val="18"/>
                <w:szCs w:val="18"/>
                <w:lang w:bidi="ar"/>
              </w:rPr>
              <w:t>其相关通路包括NF-kappaB通路和NGF通路。</w:t>
            </w:r>
          </w:p>
        </w:tc>
      </w:tr>
      <w:tr w14:paraId="1EB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36FAEB85">
            <w:pPr>
              <w:spacing w:beforeAutospacing="1" w:after="0" w:line="273" w:lineRule="auto"/>
              <w:jc w:val="center"/>
              <w:rPr>
                <w:rFonts w:eastAsia="微软雅黑"/>
                <w:b/>
                <w:color w:val="FFFFFF"/>
              </w:rPr>
            </w:pPr>
            <w:r>
              <w:rPr>
                <w:rFonts w:eastAsia="微软雅黑"/>
                <w:b/>
                <w:color w:val="FFFFFF"/>
                <w:lang w:bidi="ar"/>
              </w:rPr>
              <w:t>靶向药物</w:t>
            </w:r>
          </w:p>
        </w:tc>
        <w:tc>
          <w:tcPr>
            <w:tcW w:w="3719" w:type="pct"/>
            <w:tcBorders>
              <w:top w:val="single" w:color="000000" w:sz="4" w:space="0"/>
              <w:left w:val="nil"/>
              <w:bottom w:val="single" w:color="000000" w:sz="4" w:space="0"/>
              <w:right w:val="single" w:color="000000" w:sz="4" w:space="0"/>
            </w:tcBorders>
            <w:shd w:val="clear" w:color="auto" w:fill="auto"/>
            <w:vAlign w:val="center"/>
          </w:tcPr>
          <w:p w14:paraId="442E567C">
            <w:pPr>
              <w:adjustRightInd w:val="0"/>
              <w:snapToGrid w:val="0"/>
              <w:spacing w:beforeAutospacing="1" w:after="0" w:line="273" w:lineRule="auto"/>
              <w:rPr>
                <w:rFonts w:eastAsia="微软雅黑"/>
                <w:sz w:val="18"/>
                <w:szCs w:val="18"/>
              </w:rPr>
            </w:pPr>
            <w:r>
              <w:rPr>
                <w:rFonts w:eastAsia="微软雅黑"/>
                <w:b/>
                <w:sz w:val="18"/>
                <w:szCs w:val="18"/>
                <w:lang w:bidi="ar"/>
              </w:rPr>
              <w:t>恩曲替尼、拉罗替尼*</w:t>
            </w:r>
          </w:p>
        </w:tc>
      </w:tr>
      <w:tr w14:paraId="64AA3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14:paraId="73E0F79F">
            <w:pPr>
              <w:spacing w:beforeAutospacing="1" w:after="0" w:line="273" w:lineRule="auto"/>
              <w:jc w:val="center"/>
              <w:rPr>
                <w:rFonts w:eastAsia="微软雅黑"/>
                <w:b/>
                <w:color w:val="FFFFFF"/>
              </w:rPr>
            </w:pPr>
            <w:r>
              <w:rPr>
                <w:rFonts w:eastAsia="微软雅黑"/>
                <w:b/>
                <w:color w:val="FFFFFF"/>
                <w:lang w:bidi="ar"/>
              </w:rPr>
              <w:t>用药提示</w:t>
            </w:r>
          </w:p>
          <w:p w14:paraId="2F253FD7">
            <w:pPr>
              <w:spacing w:beforeAutospacing="1" w:after="0" w:line="273" w:lineRule="auto"/>
              <w:jc w:val="center"/>
              <w:rPr>
                <w:rFonts w:eastAsia="微软雅黑"/>
                <w:b/>
                <w:color w:val="FFFFFF"/>
              </w:rPr>
            </w:pPr>
            <w:r>
              <w:rPr>
                <w:rFonts w:eastAsia="微软雅黑"/>
                <w:b/>
                <w:color w:val="FFFFFF"/>
                <w:lang w:bidi="ar"/>
              </w:rPr>
              <w:t>（仅供参考）</w:t>
            </w:r>
          </w:p>
        </w:tc>
        <w:tc>
          <w:tcPr>
            <w:tcW w:w="3719" w:type="pct"/>
            <w:tcBorders>
              <w:top w:val="single" w:color="000000" w:sz="4" w:space="0"/>
              <w:left w:val="nil"/>
              <w:bottom w:val="single" w:color="000000" w:sz="4" w:space="0"/>
              <w:right w:val="single" w:color="000000" w:sz="4" w:space="0"/>
            </w:tcBorders>
            <w:shd w:val="clear" w:color="auto" w:fill="auto"/>
            <w:vAlign w:val="center"/>
          </w:tcPr>
          <w:p w14:paraId="7F2BF5AC">
            <w:pPr>
              <w:spacing w:beforeAutospacing="1" w:after="0" w:line="256" w:lineRule="auto"/>
              <w:rPr>
                <w:rFonts w:eastAsia="微软雅黑"/>
                <w:sz w:val="18"/>
                <w:szCs w:val="18"/>
              </w:rPr>
            </w:pPr>
            <w:r>
              <w:rPr>
                <w:rFonts w:eastAsia="微软雅黑"/>
                <w:sz w:val="18"/>
                <w:szCs w:val="18"/>
                <w:lang w:bidi="ar"/>
              </w:rPr>
              <w:t>NTRK基因家族</w:t>
            </w:r>
            <w:r>
              <w:rPr>
                <w:rFonts w:hint="eastAsia" w:eastAsia="微软雅黑"/>
                <w:sz w:val="18"/>
                <w:szCs w:val="18"/>
                <w:lang w:bidi="ar"/>
              </w:rPr>
              <w:t>（</w:t>
            </w:r>
            <w:r>
              <w:rPr>
                <w:rFonts w:eastAsia="微软雅黑"/>
                <w:sz w:val="18"/>
                <w:szCs w:val="18"/>
                <w:lang w:bidi="ar"/>
              </w:rPr>
              <w:t>NTRK1、NTRK2和NTRK3</w:t>
            </w:r>
            <w:r>
              <w:rPr>
                <w:rFonts w:hint="eastAsia" w:eastAsia="微软雅黑"/>
                <w:sz w:val="18"/>
                <w:szCs w:val="18"/>
                <w:lang w:bidi="ar"/>
              </w:rPr>
              <w:t>）</w:t>
            </w:r>
            <w:r>
              <w:rPr>
                <w:rFonts w:eastAsia="微软雅黑"/>
                <w:sz w:val="18"/>
                <w:szCs w:val="18"/>
                <w:lang w:bidi="ar"/>
              </w:rPr>
              <w:t>如果与其它基因发生融合，可导致异常激活，从而引起肿瘤的发生，NTRK1突变与融合发生于多种癌症中。针对NTRK1突变的治疗措施主要包括RTK抑制剂和更专一的NTRK家族激酶抑制剂。拉罗替尼和恩曲替尼作为为NTRK基因抑制剂，均被FDA批准上市，用于治疗患有NTRK基因融合的局部晚期或转移性实体瘤的成人和儿童患者，是一种广谱抗癌靶向药。NCCN指南推荐拉罗替尼和恩曲替尼被推荐用于NTRK融合阳性晚期或转移性非小细胞肺癌患者的治疗[NCCN-Non-Small Cell Lung Cancer-2020.V1]。</w:t>
            </w:r>
          </w:p>
        </w:tc>
      </w:tr>
    </w:tbl>
    <w:p w14:paraId="2475F3E6">
      <w:pPr>
        <w:spacing w:after="0" w:line="360" w:lineRule="auto"/>
        <w:rPr>
          <w:rFonts w:eastAsia="微软雅黑"/>
          <w:bCs/>
          <w:sz w:val="18"/>
          <w:szCs w:val="18"/>
        </w:rPr>
      </w:pPr>
      <w:r>
        <w:rPr>
          <w:rFonts w:eastAsia="微软雅黑"/>
          <w:bCs/>
          <w:sz w:val="30"/>
          <w:szCs w:val="30"/>
          <w:lang w:bidi="ar"/>
        </w:rPr>
        <w:t xml:space="preserve"> </w:t>
      </w:r>
      <w:r>
        <w:rPr>
          <w:rFonts w:eastAsia="微软雅黑"/>
          <w:bCs/>
          <w:sz w:val="18"/>
          <w:szCs w:val="18"/>
          <w:lang w:bidi="ar"/>
        </w:rPr>
        <w:t>注：</w:t>
      </w:r>
    </w:p>
    <w:p w14:paraId="658A0A55">
      <w:pPr>
        <w:spacing w:after="0"/>
        <w:ind w:left="168" w:leftChars="70"/>
        <w:rPr>
          <w:rFonts w:eastAsia="微软雅黑"/>
          <w:color w:val="000000"/>
          <w:sz w:val="18"/>
          <w:szCs w:val="18"/>
        </w:rPr>
      </w:pPr>
      <w:r>
        <w:rPr>
          <w:rFonts w:eastAsia="微软雅黑"/>
          <w:color w:val="000000"/>
          <w:sz w:val="18"/>
          <w:szCs w:val="18"/>
        </w:rPr>
        <w:t>标粗药物表示：FDA/NMPA已批准药物，无标粗药物为未上市药物。</w:t>
      </w:r>
    </w:p>
    <w:p w14:paraId="14858963">
      <w:pPr>
        <w:spacing w:after="0"/>
        <w:ind w:left="168" w:leftChars="70"/>
        <w:rPr>
          <w:rFonts w:hint="eastAsia" w:eastAsia="微软雅黑"/>
          <w:color w:val="000000"/>
          <w:sz w:val="18"/>
          <w:szCs w:val="18"/>
          <w:lang w:eastAsia="zh-CN"/>
        </w:rPr>
      </w:pPr>
      <w:r>
        <w:rPr>
          <w:rFonts w:eastAsia="微软雅黑"/>
          <w:color w:val="000000"/>
          <w:sz w:val="18"/>
          <w:szCs w:val="18"/>
        </w:rPr>
        <w:t>* 标注的药物表示：NMPA批准的靶向药物</w:t>
      </w:r>
      <w:r>
        <w:rPr>
          <w:rFonts w:hint="eastAsia" w:eastAsia="微软雅黑"/>
          <w:color w:val="000000"/>
          <w:sz w:val="18"/>
          <w:szCs w:val="18"/>
          <w:lang w:eastAsia="zh-CN"/>
        </w:rPr>
        <w:t>。</w:t>
      </w:r>
    </w:p>
    <w:sectPr>
      <w:footerReference r:id="rId11" w:type="default"/>
      <w:pgSz w:w="11900" w:h="16840"/>
      <w:pgMar w:top="1440" w:right="1080" w:bottom="1440" w:left="1080" w:header="567"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MT">
    <w:altName w:val="Arial"/>
    <w:panose1 w:val="00000000000000000000"/>
    <w:charset w:val="00"/>
    <w:family w:val="auto"/>
    <w:pitch w:val="default"/>
    <w:sig w:usb0="00000000" w:usb1="00000000" w:usb2="00000001" w:usb3="00000000" w:csb0="400001BF" w:csb1="DFF70000"/>
  </w:font>
  <w:font w:name="TimesNewRomanPSMT">
    <w:altName w:val="Times New Roman"/>
    <w:panose1 w:val="00000000000000000000"/>
    <w:charset w:val="00"/>
    <w:family w:val="auto"/>
    <w:pitch w:val="default"/>
    <w:sig w:usb0="00000000" w:usb1="00000000" w:usb2="00000001" w:usb3="00000000" w:csb0="400001BF" w:csb1="DFF70000"/>
  </w:font>
  <w:font w:name="Helvetica Neue">
    <w:altName w:val="Times New Roman"/>
    <w:panose1 w:val="00000000000000000000"/>
    <w:charset w:val="00"/>
    <w:family w:val="auto"/>
    <w:pitch w:val="default"/>
    <w:sig w:usb0="00000000" w:usb1="00000000" w:usb2="00000010" w:usb3="00000000" w:csb0="00000000" w:csb1="00000000"/>
  </w:font>
  <w:font w:name="font-weight : 400">
    <w:altName w:val="Calibri"/>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思源黑体 Regular">
    <w:altName w:val="Yu Gothic"/>
    <w:panose1 w:val="00000000000000000000"/>
    <w:charset w:val="80"/>
    <w:family w:val="swiss"/>
    <w:pitch w:val="default"/>
    <w:sig w:usb0="00000000" w:usb1="00000000" w:usb2="00000016" w:usb3="00000000" w:csb0="002E0107"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5C2C6">
    <w:pPr>
      <w:pStyle w:val="16"/>
    </w:pPr>
    <w:r>
      <w:rPr>
        <w:rFonts w:hint="eastAsia"/>
        <w:lang w:eastAsia="zh-CN"/>
      </w:rPr>
      <mc:AlternateContent>
        <mc:Choice Requires="wps">
          <w:drawing>
            <wp:anchor distT="0" distB="0" distL="114300" distR="114300" simplePos="0" relativeHeight="251668480" behindDoc="0" locked="0" layoutInCell="1" allowOverlap="1">
              <wp:simplePos x="0" y="0"/>
              <wp:positionH relativeFrom="column">
                <wp:posOffset>448310</wp:posOffset>
              </wp:positionH>
              <wp:positionV relativeFrom="paragraph">
                <wp:posOffset>-3810</wp:posOffset>
              </wp:positionV>
              <wp:extent cx="5283200" cy="428625"/>
              <wp:effectExtent l="0" t="0" r="0" b="0"/>
              <wp:wrapNone/>
              <wp:docPr id="44" name="矩形 44"/>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81E996">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pt;margin-top:-0.3pt;height:33.75pt;width:416pt;z-index:251668480;v-text-anchor:middle;mso-width-relative:page;mso-height-relative:page;" filled="f" stroked="f" coordsize="21600,21600" o:gfxdata="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tgX5dUAAAAHAQAADwAA&#10;AAAAAAABACAAAAAiAAAAZHJzL2Rvd25yZXYueG1sUEsBAhQAFAAAAAgAh07iQKfMmUJSAgAAmAQA&#10;AA4AAAAAAAAAAQAgAAAAJAEAAGRycy9lMm9Eb2MueG1sUEsFBgAAAAAGAAYAWQEAAOgFAAAAAA==&#10;">
              <v:fill on="f" focussize="0,0"/>
              <v:stroke on="f" weight="2pt"/>
              <v:imagedata o:title=""/>
              <o:lock v:ext="edit" aspectratio="f"/>
              <v:textbox>
                <w:txbxContent>
                  <w:p w14:paraId="7C81E996">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v:textbox>
            </v:rect>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0" name="直接连接符 30"/>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2336;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J2EHNuUBAACs&#10;AwAADgAAAAAAAAABACAAAAAhAQAAZHJzL2Uyb0RvYy54bWxQSwUGAAAAAAYABgBZAQAAeAUAAAAA&#10;">
              <v:fill on="f" focussize="0,0"/>
              <v:stroke color="#000000" joinstyle="round"/>
              <v:imagedata o:title=""/>
              <o:lock v:ext="edit" aspectratio="f"/>
            </v:line>
          </w:pict>
        </mc:Fallback>
      </mc:AlternateContent>
    </w:r>
  </w:p>
  <w:p w14:paraId="2350B710">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7F77F">
    <w:pPr>
      <w:pStyle w:val="16"/>
    </w:pPr>
    <w:r>
      <w:rPr>
        <w:rFonts w:hint="eastAsia"/>
        <w:lang w:eastAsia="zh-CN"/>
      </w:rPr>
      <mc:AlternateContent>
        <mc:Choice Requires="wps">
          <w:drawing>
            <wp:anchor distT="0" distB="0" distL="114300" distR="114300" simplePos="0" relativeHeight="251667456" behindDoc="0" locked="0" layoutInCell="1" allowOverlap="1">
              <wp:simplePos x="0" y="0"/>
              <wp:positionH relativeFrom="column">
                <wp:posOffset>477520</wp:posOffset>
              </wp:positionH>
              <wp:positionV relativeFrom="paragraph">
                <wp:posOffset>-247650</wp:posOffset>
              </wp:positionV>
              <wp:extent cx="5283200" cy="428625"/>
              <wp:effectExtent l="0" t="0" r="0" b="0"/>
              <wp:wrapNone/>
              <wp:docPr id="69" name="矩形 6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ACF5FE">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pt;margin-top:-19.5pt;height:33.75pt;width:416pt;z-index:251667456;v-text-anchor:middle;mso-width-relative:page;mso-height-relative:page;" filled="f" stroked="f" coordsize="21600,21600" o:gfxdata="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2+y6K2QAAAAkB&#10;AAAPAAAAAAAAAAEAIAAAACIAAABkcnMvZG93bnJldi54bWxQSwECFAAUAAAACACHTuJA325+CVMC&#10;AACYBAAADgAAAAAAAAABACAAAAAoAQAAZHJzL2Uyb0RvYy54bWxQSwUGAAAAAAYABgBZAQAA7QUA&#10;AAAA&#10;">
              <v:fill on="f" focussize="0,0"/>
              <v:stroke on="f" weight="2pt"/>
              <v:imagedata o:title=""/>
              <o:lock v:ext="edit" aspectratio="f"/>
              <v:textbox>
                <w:txbxContent>
                  <w:p w14:paraId="61ACF5FE">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8CF87">
    <w:pPr>
      <w:spacing w:line="14" w:lineRule="auto"/>
      <w:rPr>
        <w:sz w:val="20"/>
        <w:szCs w:val="20"/>
      </w:rPr>
    </w:pPr>
    <w:r>
      <w:rPr>
        <w:rFonts w:hint="eastAsia"/>
      </w:rPr>
      <mc:AlternateContent>
        <mc:Choice Requires="wps">
          <w:drawing>
            <wp:anchor distT="0" distB="0" distL="114300" distR="114300" simplePos="0" relativeHeight="251669504" behindDoc="0" locked="0" layoutInCell="1" allowOverlap="1">
              <wp:simplePos x="0" y="0"/>
              <wp:positionH relativeFrom="column">
                <wp:posOffset>428625</wp:posOffset>
              </wp:positionH>
              <wp:positionV relativeFrom="paragraph">
                <wp:posOffset>-1270</wp:posOffset>
              </wp:positionV>
              <wp:extent cx="5283200" cy="428625"/>
              <wp:effectExtent l="0" t="0" r="0" b="0"/>
              <wp:wrapNone/>
              <wp:docPr id="41" name="矩形 41"/>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379511">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75pt;margin-top:-0.1pt;height:33.75pt;width:416pt;z-index:251669504;v-text-anchor:middle;mso-width-relative:page;mso-height-relative:page;" filled="f" stroked="f" coordsize="21600,21600" o:gfxdata="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gcRNNUAAAAHAQAADwAA&#10;AAAAAAABACAAAAAiAAAAZHJzL2Rvd25yZXYueG1sUEsBAhQAFAAAAAgAh07iQMGIf+tSAgAAmAQA&#10;AA4AAAAAAAAAAQAgAAAAJAEAAGRycy9lMm9Eb2MueG1sUEsFBgAAAAAGAAYAWQEAAOgFAAAAAA==&#10;">
              <v:fill on="f" focussize="0,0"/>
              <v:stroke on="f" weight="2pt"/>
              <v:imagedata o:title=""/>
              <o:lock v:ext="edit" aspectratio="f"/>
              <v:textbox>
                <w:txbxContent>
                  <w:p w14:paraId="76379511">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3360;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FTTBbOUBAACs&#10;AwAADgAAAAAAAAABACAAAAAhAQAAZHJzL2Uyb0RvYy54bWxQSwUGAAAAAAYABgBZAQAAe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2B341C7">
                          <w:pPr>
                            <w:pStyle w:val="16"/>
                            <w:tabs>
                              <w:tab w:val="center" w:pos="4153"/>
                              <w:tab w:val="right" w:pos="8306"/>
                            </w:tabs>
                            <w:rPr>
                              <w:lang w:eastAsia="zh-CN"/>
                            </w:rPr>
                          </w:pPr>
                        </w:p>
                      </w:txbxContent>
                    </wps:txbx>
                    <wps:bodyPr vert="horz" wrap="none" lIns="0" tIns="0" rIns="0" bIns="0" anchor="t" upright="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0lY7tAAAAAFAQAADwAAAAAA&#10;AAABACAAAAAiAAAAZHJzL2Rvd25yZXYueG1sUEsBAhQAFAAAAAgAh07iQCpW/6ziAQAAugMAAA4A&#10;AAAAAAAAAQAgAAAAHwEAAGRycy9lMm9Eb2MueG1sUEsFBgAAAAAGAAYAWQEAAHMFAAAAAA==&#10;">
              <v:fill on="f" focussize="0,0"/>
              <v:stroke on="f" weight="0.5pt"/>
              <v:imagedata o:title=""/>
              <o:lock v:ext="edit" aspectratio="f"/>
              <v:textbox inset="0mm,0mm,0mm,0mm" style="mso-fit-shape-to-text:t;">
                <w:txbxContent>
                  <w:p w14:paraId="72B341C7">
                    <w:pPr>
                      <w:pStyle w:val="16"/>
                      <w:tabs>
                        <w:tab w:val="center" w:pos="4153"/>
                        <w:tab w:val="right" w:pos="8306"/>
                      </w:tabs>
                      <w:rPr>
                        <w:lang w:eastAsia="zh-C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2220044"/>
    </w:sdtPr>
    <w:sdtContent>
      <w:p w14:paraId="2902E94F">
        <w:pPr>
          <w:pStyle w:val="16"/>
          <w:jc w:val="center"/>
        </w:pPr>
        <w:r>
          <w:rPr>
            <w:rFonts w:hint="eastAsia"/>
            <w:lang w:eastAsia="zh-CN"/>
          </w:rPr>
          <mc:AlternateContent>
            <mc:Choice Requires="wps">
              <w:drawing>
                <wp:anchor distT="0" distB="0" distL="114300" distR="114300" simplePos="0" relativeHeight="251670528" behindDoc="0" locked="0" layoutInCell="1" allowOverlap="1">
                  <wp:simplePos x="0" y="0"/>
                  <wp:positionH relativeFrom="column">
                    <wp:posOffset>451485</wp:posOffset>
                  </wp:positionH>
                  <wp:positionV relativeFrom="paragraph">
                    <wp:posOffset>24765</wp:posOffset>
                  </wp:positionV>
                  <wp:extent cx="5283200" cy="428625"/>
                  <wp:effectExtent l="0" t="0" r="0" b="0"/>
                  <wp:wrapNone/>
                  <wp:docPr id="73" name="矩形 73"/>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B6ECA5">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5pt;margin-top:1.95pt;height:33.75pt;width:416pt;z-index:251670528;v-text-anchor:middle;mso-width-relative:page;mso-height-relative:page;" filled="f" stroked="f" coordsize="21600,21600" o:gfxdata="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TWofdQAAAAHAQAADwAA&#10;AAAAAAABACAAAAAiAAAAZHJzL2Rvd25yZXYueG1sUEsBAhQAFAAAAAgAh07iQA+/jqBTAgAAmAQA&#10;AA4AAAAAAAAAAQAgAAAAIwEAAGRycy9lMm9Eb2MueG1sUEsFBgAAAAAGAAYAWQEAAOgFAAAAAA==&#10;">
                  <v:fill on="f" focussize="0,0"/>
                  <v:stroke on="f" weight="2pt"/>
                  <v:imagedata o:title=""/>
                  <o:lock v:ext="edit" aspectratio="f"/>
                  <v:textbox>
                    <w:txbxContent>
                      <w:p w14:paraId="2EB6ECA5">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2" name="直接连接符 32"/>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4384;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Q8uLg+UBAACs&#10;AwAADgAAAAAAAAABACAAAAAhAQAAZHJzL2Uyb0RvYy54bWxQSwUGAAAAAAYABgBZAQAAe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rPr>
            <w:lang w:val="zh-CN" w:eastAsia="zh-CN"/>
          </w:rPr>
          <w:t>5</w:t>
        </w:r>
        <w:r>
          <w:fldChar w:fldCharType="end"/>
        </w:r>
      </w:p>
    </w:sdtContent>
  </w:sdt>
  <w:p w14:paraId="1E6ED417">
    <w:pPr>
      <w:tabs>
        <w:tab w:val="left" w:pos="2869"/>
      </w:tabs>
      <w:spacing w:line="14" w:lineRule="auto"/>
      <w:rPr>
        <w:sz w:val="20"/>
        <w:szCs w:val="20"/>
      </w:rPr>
    </w:pPr>
    <w:r>
      <w:rPr>
        <w:rFonts w:hint="eastAsia"/>
        <w:sz w:val="20"/>
        <w:szCs w:val="20"/>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9074830"/>
    </w:sdtPr>
    <w:sdtContent>
      <w:p w14:paraId="793A6F09">
        <w:pPr>
          <w:pStyle w:val="16"/>
          <w:jc w:val="center"/>
        </w:pPr>
        <w:r>
          <w:fldChar w:fldCharType="begin"/>
        </w:r>
        <w:r>
          <w:instrText xml:space="preserve">PAGE   \* MERGEFORMAT</w:instrText>
        </w:r>
        <w:r>
          <w:fldChar w:fldCharType="separate"/>
        </w:r>
        <w:r>
          <w:rPr>
            <w:lang w:val="zh-CN" w:eastAsia="zh-CN"/>
          </w:rPr>
          <w:t>29</w:t>
        </w:r>
        <w:r>
          <w:fldChar w:fldCharType="end"/>
        </w:r>
      </w:p>
    </w:sdtContent>
  </w:sdt>
  <w:p w14:paraId="37EA48AE">
    <w:pPr>
      <w:spacing w:line="14" w:lineRule="auto"/>
      <w:rPr>
        <w:sz w:val="20"/>
        <w:szCs w:val="20"/>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425450</wp:posOffset>
              </wp:positionH>
              <wp:positionV relativeFrom="paragraph">
                <wp:posOffset>-235585</wp:posOffset>
              </wp:positionV>
              <wp:extent cx="5283200" cy="428625"/>
              <wp:effectExtent l="0" t="0" r="0" b="0"/>
              <wp:wrapNone/>
              <wp:docPr id="79" name="矩形 7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908FC">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18.55pt;height:33.75pt;width:416pt;z-index:251671552;v-text-anchor:middle;mso-width-relative:page;mso-height-relative:page;" filled="f" stroked="f" coordsize="21600,21600" o:gfxdata="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bN6M2QAAAAkB&#10;AAAPAAAAAAAAAAEAIAAAACIAAABkcnMvZG93bnJldi54bWxQSwECFAAUAAAACACHTuJAgjEzKFMC&#10;AACYBAAADgAAAAAAAAABACAAAAAoAQAAZHJzL2Uyb0RvYy54bWxQSwUGAAAAAAYABgBZAQAA7QUA&#10;AAAA&#10;">
              <v:fill on="f" focussize="0,0"/>
              <v:stroke on="f" weight="2pt"/>
              <v:imagedata o:title=""/>
              <o:lock v:ext="edit" aspectratio="f"/>
              <v:textbox>
                <w:txbxContent>
                  <w:p w14:paraId="4DA908FC">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-254635</wp:posOffset>
              </wp:positionV>
              <wp:extent cx="6228080" cy="0"/>
              <wp:effectExtent l="0" t="4445" r="1270" b="508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05pt;height:0pt;width:490.4pt;mso-position-horizontal:center;mso-position-horizontal-relative:margin;z-index:251666432;mso-width-relative:page;mso-height-relative:page;" filled="f" stroked="t" coordsize="21600,21600" o:gfxdata="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Rw/id1QAAAAgB&#10;AAAPAAAAAAAAAAEAIAAAACIAAABkcnMvZG93bnJldi54bWxQSwECFAAUAAAACACHTuJAM8KUvOUB&#10;AACsAwAADgAAAAAAAAABACAAAAAkAQAAZHJzL2Uyb0RvYy54bWxQSwUGAAAAAAYABgBZAQAAewUA&#10;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F7979">
    <w:pPr>
      <w:tabs>
        <w:tab w:val="center" w:pos="4950"/>
      </w:tabs>
      <w:spacing w:line="14" w:lineRule="auto"/>
      <w:rPr>
        <w:sz w:val="20"/>
        <w:szCs w:val="20"/>
      </w:rPr>
    </w:pPr>
    <w:r>
      <w:rPr>
        <w:sz w:val="20"/>
        <w:szCs w:val="20"/>
      </w:rPr>
      <w:tab/>
    </w:r>
  </w:p>
  <w:p w14:paraId="055915FA">
    <w:pPr>
      <w:spacing w:line="14" w:lineRule="auto"/>
      <w:rPr>
        <w:sz w:val="20"/>
        <w:szCs w:val="20"/>
      </w:rPr>
    </w:pPr>
    <w:r>
      <w:rPr>
        <w:rFonts w:eastAsia="Calibri"/>
      </w:rPr>
      <mc:AlternateContent>
        <mc:Choice Requires="wpg">
          <w:drawing>
            <wp:anchor distT="0" distB="0" distL="114300" distR="114300" simplePos="0" relativeHeight="251660288" behindDoc="1" locked="0" layoutInCell="1" allowOverlap="1">
              <wp:simplePos x="0" y="0"/>
              <wp:positionH relativeFrom="margin">
                <wp:align>center</wp:align>
              </wp:positionH>
              <wp:positionV relativeFrom="paragraph">
                <wp:posOffset>19685</wp:posOffset>
              </wp:positionV>
              <wp:extent cx="6228080" cy="54610"/>
              <wp:effectExtent l="0" t="2540" r="0" b="0"/>
              <wp:wrapNone/>
              <wp:docPr id="25"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2" name="组合 2"/>
                      <wpg:cNvGrpSpPr/>
                      <wpg:grpSpPr>
                        <a:xfrm>
                          <a:off x="1133" y="-1520"/>
                          <a:ext cx="9634" cy="2"/>
                          <a:chOff x="1133" y="-1520"/>
                          <a:chExt cx="9634" cy="2"/>
                        </a:xfrm>
                      </wpg:grpSpPr>
                      <wps:wsp>
                        <wps:cNvPr id="21"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4" name="组合 4"/>
                      <wpg:cNvGrpSpPr/>
                      <wpg:grpSpPr>
                        <a:xfrm>
                          <a:off x="1133" y="-1468"/>
                          <a:ext cx="9634" cy="2"/>
                          <a:chOff x="1133" y="-1468"/>
                          <a:chExt cx="9634" cy="2"/>
                        </a:xfrm>
                      </wpg:grpSpPr>
                      <wps:wsp>
                        <wps:cNvPr id="23"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55pt;height:4.3pt;width:490.4pt;mso-position-horizontal:center;mso-position-horizontal-relative:margin;z-index:-251656192;mso-width-relative:page;mso-height-relative:page;" coordorigin="1103,-1523" coordsize="9693,86" o:gfxdata="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gkDuk1QAAAAUBAAAPAAAAAAAA&#10;AAEAIAAAACIAAABkcnMvZG93bnJldi54bWxQSwECFAAUAAAACACHTuJAroTzDTIDAABwCwAADgAA&#10;AAAAAAABACAAAAAkAQAAZHJzL2Uyb0RvYy54bWxQSwUGAAAAAAYABgBZAQAAyAYAAAAA&#10;">
              <o:lock v:ext="edit" aspectratio="f"/>
              <v:group id="组合 2" o:spid="_x0000_s1026" o:spt="203" style="position:absolute;left:1133;top:-1520;height:2;width:9634;" coordorigin="1133,-1520" coordsize="9634,2"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任意多边形 3" o:spid="_x0000_s1026" o:spt="100" style="position:absolute;left:1133;top:-1520;height:0;width:9634;" filled="f" stroked="t" coordsize="9634,2" o:gfxdata="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R4ErsAAADb&#10;AAAADwAAAAAAAAABACAAAAAiAAAAZHJzL2Rvd25yZXYueG1sUEsBAhQAFAAAAAgAh07iQDMvBZ47&#10;AAAAOQAAABAAAAAAAAAAAQAgAAAACgEAAGRycy9zaGFwZXhtbC54bWxQSwUGAAAAAAYABgBbAQAA&#10;tAMA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oJYztLkAAADb&#10;AAAADwAAAGRycy9kb3ducmV2LnhtbEWPwarCMBRE94L/EK7gTtMqT6QaXRQUu9TnB1yba1ua3JQm&#10;Wt/fvwiCy2FmzjDb/csa8aTeN44VpPMEBHHpdMOVguvvYbYG4QOyRuOYFPyRh/1uPNpipt3AZ3pe&#10;QiUihH2GCuoQukxKX9Zk0c9dRxy9u+sthij7Suoehwi3Ri6SZCUtNhwXauwor6lsLw+rIG+KW14M&#10;7creU3M8Xqkw7eFHqekkTTYgAr3CN/xpn7SCxRLe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WM7S5AAAA2wAA&#10;AA8AAAAAAAAAAQAgAAAAIgAAAGRycy9kb3ducmV2LnhtbFBLAQIUABQAAAAIAIdO4kAzLwWeOwAA&#10;ADkAAAAQAAAAAAAAAAEAIAAAAAgBAABkcnMvc2hhcGV4bWwueG1sUEsFBgAAAAAGAAYAWwEAALID&#10;AAAAAA==&#10;" path="m0,0l9634,0e">
                  <v:fill on="f" focussize="0,0"/>
                  <v:stroke weight="2.98740157480315pt" color="#001639" joinstyle="round"/>
                  <v:imagedata o:title=""/>
                  <o:lock v:ext="edit" aspectratio="f"/>
                </v:shape>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62FB0">
    <w:pPr>
      <w:pStyle w:val="17"/>
      <w:pBdr>
        <w:bottom w:val="none" w:color="auto" w:sz="0" w:space="0"/>
      </w:pBdr>
      <w:jc w:val="right"/>
      <w:rPr>
        <w:lang w:eastAsia="zh-CN"/>
      </w:rPr>
    </w:pPr>
    <w:r>
      <w:rPr>
        <w:rFonts w:eastAsia="Calibri"/>
        <w:lang w:eastAsia="zh-CN"/>
      </w:rPr>
      <mc:AlternateContent>
        <mc:Choice Requires="wpg">
          <w:drawing>
            <wp:anchor distT="0" distB="0" distL="114300" distR="114300" simplePos="0" relativeHeight="251665408" behindDoc="1" locked="0" layoutInCell="1" allowOverlap="1">
              <wp:simplePos x="0" y="0"/>
              <wp:positionH relativeFrom="margin">
                <wp:align>center</wp:align>
              </wp:positionH>
              <wp:positionV relativeFrom="paragraph">
                <wp:posOffset>17780</wp:posOffset>
              </wp:positionV>
              <wp:extent cx="6228080" cy="54610"/>
              <wp:effectExtent l="0" t="2540" r="0" b="0"/>
              <wp:wrapNone/>
              <wp:docPr id="26"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7" name="组合 2"/>
                      <wpg:cNvGrpSpPr/>
                      <wpg:grpSpPr>
                        <a:xfrm>
                          <a:off x="1133" y="-1520"/>
                          <a:ext cx="9634" cy="2"/>
                          <a:chOff x="1133" y="-1520"/>
                          <a:chExt cx="9634" cy="2"/>
                        </a:xfrm>
                      </wpg:grpSpPr>
                      <wps:wsp>
                        <wps:cNvPr id="28"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9" name="组合 4"/>
                      <wpg:cNvGrpSpPr/>
                      <wpg:grpSpPr>
                        <a:xfrm>
                          <a:off x="1133" y="-1468"/>
                          <a:ext cx="9634" cy="2"/>
                          <a:chOff x="1133" y="-1468"/>
                          <a:chExt cx="9634" cy="2"/>
                        </a:xfrm>
                      </wpg:grpSpPr>
                      <wps:wsp>
                        <wps:cNvPr id="37"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4pt;height:4.3pt;width:490.4pt;mso-position-horizontal:center;mso-position-horizontal-relative:margin;z-index:-251651072;mso-width-relative:page;mso-height-relative:page;" coordorigin="1103,-1523" coordsize="9693,86" o:gfxdata="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bWRNYtUAAAAFAQAADwAAAAAA&#10;AAABACAAAAAiAAAAZHJzL2Rvd25yZXYueG1sUEsBAhQAFAAAAAgAh07iQD9+xgUzAwAAcAsAAA4A&#10;AAAAAAAAAQAgAAAAJAEAAGRycy9lMm9Eb2MueG1sUEsFBgAAAAAGAAYAWQEAAMkGAAAAAA==&#10;">
              <o:lock v:ext="edit" aspectratio="f"/>
              <v:group id="组合 2" o:spid="_x0000_s1026" o:spt="203" style="position:absolute;left:1133;top:-1520;height:2;width:9634;" coordorigin="1133,-1520" coordsize="9634,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任意多边形 3" o:spid="_x0000_s1026" o:spt="100" style="position:absolute;left:1133;top:-1520;height:0;width:9634;" filled="f" stroked="t" coordsize="9634,2" o:gfxdata="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V7Rj7gAAADbAAAA&#10;DwAAAAAAAAABACAAAAAiAAAAZHJzL2Rvd25yZXYueG1sUEsBAhQAFAAAAAgAh07iQDMvBZ47AAAA&#10;OQAAABAAAAAAAAAAAQAgAAAABwEAAGRycy9zaGFwZXhtbC54bWxQSwUGAAAAAAYABgBbAQAAsQMA&#10;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WnSjarsAAADb&#10;AAAADwAAAGRycy9kb3ducmV2LnhtbEWP3YrCMBSE7xd8h3CEvVvTrvhDNXpRUOylPw9wbI5taXJS&#10;mmjdt98IgpfDzHzDrLdPa8SDet84VpBOEhDEpdMNVwou593PEoQPyBqNY1LwRx62m9HXGjPtBj7S&#10;4xQqESHsM1RQh9BlUvqyJot+4jri6N1cbzFE2VdS9zhEuDXyN0nm0mLDcaHGjvKayvZ0twryprjm&#10;xdDO7S01+/2FCtPuZkp9j9NkBSLQM3zC7/ZBK5gu4PUl/g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SjarsAAADb&#10;AAAADwAAAAAAAAABACAAAAAiAAAAZHJzL2Rvd25yZXYueG1sUEsBAhQAFAAAAAgAh07iQDMvBZ47&#10;AAAAOQAAABAAAAAAAAAAAQAgAAAACgEAAGRycy9zaGFwZXhtbC54bWxQSwUGAAAAAAYABgBbAQAA&#10;tAMAAAAA&#10;" path="m0,0l9634,0e">
                  <v:fill on="f" focussize="0,0"/>
                  <v:stroke weight="2.98740157480315pt" color="#001639" joinstyle="round"/>
                  <v:imagedata o:title=""/>
                  <o:lock v:ext="edit" aspectratio="f"/>
                </v:shape>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94559"/>
    <w:multiLevelType w:val="singleLevel"/>
    <w:tmpl w:val="B5894559"/>
    <w:lvl w:ilvl="0" w:tentative="0">
      <w:start w:val="1"/>
      <w:numFmt w:val="decimal"/>
      <w:lvlText w:val="%1."/>
      <w:lvlJc w:val="left"/>
      <w:pPr>
        <w:tabs>
          <w:tab w:val="left" w:pos="312"/>
        </w:tabs>
      </w:pPr>
    </w:lvl>
  </w:abstractNum>
  <w:abstractNum w:abstractNumId="1">
    <w:nsid w:val="CDF7081B"/>
    <w:multiLevelType w:val="multilevel"/>
    <w:tmpl w:val="CDF708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D5DF8DF0"/>
    <w:multiLevelType w:val="singleLevel"/>
    <w:tmpl w:val="D5DF8DF0"/>
    <w:lvl w:ilvl="0" w:tentative="0">
      <w:start w:val="1"/>
      <w:numFmt w:val="decimal"/>
      <w:lvlText w:val="%1."/>
      <w:lvlJc w:val="left"/>
      <w:pPr>
        <w:ind w:left="425" w:hanging="425"/>
      </w:pPr>
      <w:rPr>
        <w:rFonts w:hint="default"/>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6EFF0652"/>
    <w:multiLevelType w:val="multilevel"/>
    <w:tmpl w:val="6EFF06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1"/>
  </w:num>
  <w:num w:numId="2">
    <w:abstractNumId w:val="3"/>
  </w:num>
  <w:num w:numId="3">
    <w:abstractNumId w:val="2"/>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61D8"/>
    <w:rsid w:val="000112EB"/>
    <w:rsid w:val="00022184"/>
    <w:rsid w:val="00041814"/>
    <w:rsid w:val="000474D7"/>
    <w:rsid w:val="00080A2F"/>
    <w:rsid w:val="00097159"/>
    <w:rsid w:val="000A5330"/>
    <w:rsid w:val="000C5FD9"/>
    <w:rsid w:val="000E1441"/>
    <w:rsid w:val="000E3E77"/>
    <w:rsid w:val="000E5E43"/>
    <w:rsid w:val="001039AD"/>
    <w:rsid w:val="00107EE9"/>
    <w:rsid w:val="00117B2E"/>
    <w:rsid w:val="00121B20"/>
    <w:rsid w:val="00151F44"/>
    <w:rsid w:val="00153EFA"/>
    <w:rsid w:val="001671D4"/>
    <w:rsid w:val="00172A27"/>
    <w:rsid w:val="00187395"/>
    <w:rsid w:val="00196655"/>
    <w:rsid w:val="001B6815"/>
    <w:rsid w:val="001C16A7"/>
    <w:rsid w:val="001C69B6"/>
    <w:rsid w:val="001D3E48"/>
    <w:rsid w:val="001E47F3"/>
    <w:rsid w:val="001F6383"/>
    <w:rsid w:val="00204D32"/>
    <w:rsid w:val="00221013"/>
    <w:rsid w:val="00225D72"/>
    <w:rsid w:val="00245594"/>
    <w:rsid w:val="002547D7"/>
    <w:rsid w:val="00263564"/>
    <w:rsid w:val="00264571"/>
    <w:rsid w:val="00266037"/>
    <w:rsid w:val="00277BA8"/>
    <w:rsid w:val="0028386C"/>
    <w:rsid w:val="002A2EB1"/>
    <w:rsid w:val="002E0315"/>
    <w:rsid w:val="003056C9"/>
    <w:rsid w:val="00313480"/>
    <w:rsid w:val="00325812"/>
    <w:rsid w:val="003359DD"/>
    <w:rsid w:val="00341971"/>
    <w:rsid w:val="003442D5"/>
    <w:rsid w:val="00351C1B"/>
    <w:rsid w:val="00387D71"/>
    <w:rsid w:val="00393527"/>
    <w:rsid w:val="003B0F44"/>
    <w:rsid w:val="003B1689"/>
    <w:rsid w:val="0041729D"/>
    <w:rsid w:val="004A15FB"/>
    <w:rsid w:val="004B5C51"/>
    <w:rsid w:val="004B6AD8"/>
    <w:rsid w:val="004C3ED3"/>
    <w:rsid w:val="004C7A64"/>
    <w:rsid w:val="005014CC"/>
    <w:rsid w:val="005022D1"/>
    <w:rsid w:val="0050324A"/>
    <w:rsid w:val="005220E1"/>
    <w:rsid w:val="005251EE"/>
    <w:rsid w:val="00531CB1"/>
    <w:rsid w:val="00561FB0"/>
    <w:rsid w:val="00565183"/>
    <w:rsid w:val="00567E29"/>
    <w:rsid w:val="00571286"/>
    <w:rsid w:val="00581F02"/>
    <w:rsid w:val="005C537A"/>
    <w:rsid w:val="005C5BB8"/>
    <w:rsid w:val="005E1B79"/>
    <w:rsid w:val="005F444D"/>
    <w:rsid w:val="00600CDC"/>
    <w:rsid w:val="006115D7"/>
    <w:rsid w:val="0061758E"/>
    <w:rsid w:val="00623BF1"/>
    <w:rsid w:val="00641C63"/>
    <w:rsid w:val="00661FA2"/>
    <w:rsid w:val="006852C8"/>
    <w:rsid w:val="00694DB4"/>
    <w:rsid w:val="006A7B1E"/>
    <w:rsid w:val="006C15C9"/>
    <w:rsid w:val="006C6BB0"/>
    <w:rsid w:val="006F5AA2"/>
    <w:rsid w:val="0074412C"/>
    <w:rsid w:val="007475C7"/>
    <w:rsid w:val="00770710"/>
    <w:rsid w:val="007761D9"/>
    <w:rsid w:val="00783BBC"/>
    <w:rsid w:val="00792D89"/>
    <w:rsid w:val="0079441E"/>
    <w:rsid w:val="007A364B"/>
    <w:rsid w:val="007C266B"/>
    <w:rsid w:val="007C4850"/>
    <w:rsid w:val="007C76FE"/>
    <w:rsid w:val="007E0361"/>
    <w:rsid w:val="00814200"/>
    <w:rsid w:val="00854563"/>
    <w:rsid w:val="008572C7"/>
    <w:rsid w:val="00860D9F"/>
    <w:rsid w:val="008F22BA"/>
    <w:rsid w:val="00904D49"/>
    <w:rsid w:val="009146B4"/>
    <w:rsid w:val="0093248C"/>
    <w:rsid w:val="009422FA"/>
    <w:rsid w:val="00953142"/>
    <w:rsid w:val="009627AB"/>
    <w:rsid w:val="00972CA8"/>
    <w:rsid w:val="009741D0"/>
    <w:rsid w:val="00975366"/>
    <w:rsid w:val="0099309C"/>
    <w:rsid w:val="009A00C6"/>
    <w:rsid w:val="009A3450"/>
    <w:rsid w:val="009A3875"/>
    <w:rsid w:val="009A4443"/>
    <w:rsid w:val="009B781F"/>
    <w:rsid w:val="009C01A4"/>
    <w:rsid w:val="009D71C0"/>
    <w:rsid w:val="00A445A2"/>
    <w:rsid w:val="00A45150"/>
    <w:rsid w:val="00A45A4C"/>
    <w:rsid w:val="00A6188C"/>
    <w:rsid w:val="00A6200C"/>
    <w:rsid w:val="00A81598"/>
    <w:rsid w:val="00AA2746"/>
    <w:rsid w:val="00AA3230"/>
    <w:rsid w:val="00AA5B0F"/>
    <w:rsid w:val="00AB2676"/>
    <w:rsid w:val="00AB2B86"/>
    <w:rsid w:val="00AD3455"/>
    <w:rsid w:val="00AE0832"/>
    <w:rsid w:val="00B05CDA"/>
    <w:rsid w:val="00B83187"/>
    <w:rsid w:val="00BA3618"/>
    <w:rsid w:val="00BB2AEE"/>
    <w:rsid w:val="00BD0344"/>
    <w:rsid w:val="00BE2FD9"/>
    <w:rsid w:val="00BF1080"/>
    <w:rsid w:val="00BF4AB4"/>
    <w:rsid w:val="00C07E9E"/>
    <w:rsid w:val="00C11153"/>
    <w:rsid w:val="00C25D42"/>
    <w:rsid w:val="00C273C4"/>
    <w:rsid w:val="00C4698A"/>
    <w:rsid w:val="00C81CF2"/>
    <w:rsid w:val="00C94B2D"/>
    <w:rsid w:val="00CC0E68"/>
    <w:rsid w:val="00CE29C7"/>
    <w:rsid w:val="00CE344E"/>
    <w:rsid w:val="00D15A0B"/>
    <w:rsid w:val="00D74BD1"/>
    <w:rsid w:val="00DA20DD"/>
    <w:rsid w:val="00DA75FD"/>
    <w:rsid w:val="00DC1A46"/>
    <w:rsid w:val="00E058A0"/>
    <w:rsid w:val="00E1161C"/>
    <w:rsid w:val="00E31803"/>
    <w:rsid w:val="00E43327"/>
    <w:rsid w:val="00E511C9"/>
    <w:rsid w:val="00E5387F"/>
    <w:rsid w:val="00E63463"/>
    <w:rsid w:val="00E81CFE"/>
    <w:rsid w:val="00EA015E"/>
    <w:rsid w:val="00EA1524"/>
    <w:rsid w:val="00EB1448"/>
    <w:rsid w:val="00ED57B8"/>
    <w:rsid w:val="00EE5541"/>
    <w:rsid w:val="00F0347C"/>
    <w:rsid w:val="00F135F5"/>
    <w:rsid w:val="00F176F8"/>
    <w:rsid w:val="00F30BEB"/>
    <w:rsid w:val="00F410AB"/>
    <w:rsid w:val="00F66E09"/>
    <w:rsid w:val="00FA0D8D"/>
    <w:rsid w:val="00FB2741"/>
    <w:rsid w:val="00FC30B4"/>
    <w:rsid w:val="00FC5C5A"/>
    <w:rsid w:val="00FD34B8"/>
    <w:rsid w:val="00FD40E2"/>
    <w:rsid w:val="00FD4DAB"/>
    <w:rsid w:val="00FD71D6"/>
    <w:rsid w:val="00FE7618"/>
    <w:rsid w:val="02FE0DDE"/>
    <w:rsid w:val="05CD2EC1"/>
    <w:rsid w:val="06640AA0"/>
    <w:rsid w:val="080F01FD"/>
    <w:rsid w:val="08472D3A"/>
    <w:rsid w:val="08763B54"/>
    <w:rsid w:val="0C5A6EAE"/>
    <w:rsid w:val="0C73206F"/>
    <w:rsid w:val="0CDC38A8"/>
    <w:rsid w:val="0D9037F8"/>
    <w:rsid w:val="0DA71FDE"/>
    <w:rsid w:val="0DD813C8"/>
    <w:rsid w:val="0E110932"/>
    <w:rsid w:val="0EDB1EC0"/>
    <w:rsid w:val="0EF73DF0"/>
    <w:rsid w:val="0F2608D2"/>
    <w:rsid w:val="10EC435D"/>
    <w:rsid w:val="13B263E1"/>
    <w:rsid w:val="13DC7CBE"/>
    <w:rsid w:val="14FE5D65"/>
    <w:rsid w:val="15277487"/>
    <w:rsid w:val="1573E7D4"/>
    <w:rsid w:val="166D0B5E"/>
    <w:rsid w:val="1677191E"/>
    <w:rsid w:val="16DB3947"/>
    <w:rsid w:val="17ED0C4F"/>
    <w:rsid w:val="19542A56"/>
    <w:rsid w:val="19B82A0F"/>
    <w:rsid w:val="19E00A34"/>
    <w:rsid w:val="19FF4BF2"/>
    <w:rsid w:val="1AB55B00"/>
    <w:rsid w:val="1B561D37"/>
    <w:rsid w:val="1B8F2E78"/>
    <w:rsid w:val="1C537102"/>
    <w:rsid w:val="1CE407B8"/>
    <w:rsid w:val="1D1A2F67"/>
    <w:rsid w:val="1D596BDF"/>
    <w:rsid w:val="1DB42167"/>
    <w:rsid w:val="1E1A576B"/>
    <w:rsid w:val="1F053C4D"/>
    <w:rsid w:val="1F22736F"/>
    <w:rsid w:val="1F707405"/>
    <w:rsid w:val="1F7F74E9"/>
    <w:rsid w:val="21C07983"/>
    <w:rsid w:val="22787AE0"/>
    <w:rsid w:val="2417128C"/>
    <w:rsid w:val="24AA01E0"/>
    <w:rsid w:val="250C7404"/>
    <w:rsid w:val="25227A45"/>
    <w:rsid w:val="253A7BF8"/>
    <w:rsid w:val="256B495A"/>
    <w:rsid w:val="26465324"/>
    <w:rsid w:val="28F25389"/>
    <w:rsid w:val="294100AB"/>
    <w:rsid w:val="29D60DFE"/>
    <w:rsid w:val="29F404FD"/>
    <w:rsid w:val="2E5043F2"/>
    <w:rsid w:val="2EE807A6"/>
    <w:rsid w:val="2F9B4DA9"/>
    <w:rsid w:val="30B12607"/>
    <w:rsid w:val="31470C6A"/>
    <w:rsid w:val="318C4058"/>
    <w:rsid w:val="36143A93"/>
    <w:rsid w:val="36705F1B"/>
    <w:rsid w:val="37692AB0"/>
    <w:rsid w:val="378F5EAF"/>
    <w:rsid w:val="386466F3"/>
    <w:rsid w:val="394C04BA"/>
    <w:rsid w:val="39BC626A"/>
    <w:rsid w:val="39FB633D"/>
    <w:rsid w:val="3B1763F6"/>
    <w:rsid w:val="3B6A680C"/>
    <w:rsid w:val="3C822EA8"/>
    <w:rsid w:val="3DEFBA70"/>
    <w:rsid w:val="3E150DBD"/>
    <w:rsid w:val="3EEE09DB"/>
    <w:rsid w:val="40343412"/>
    <w:rsid w:val="40470A9D"/>
    <w:rsid w:val="40D02ADD"/>
    <w:rsid w:val="40EB4D37"/>
    <w:rsid w:val="42463945"/>
    <w:rsid w:val="426E6811"/>
    <w:rsid w:val="427963A8"/>
    <w:rsid w:val="429B7366"/>
    <w:rsid w:val="446A72A9"/>
    <w:rsid w:val="44E42B34"/>
    <w:rsid w:val="46BD3051"/>
    <w:rsid w:val="46C32562"/>
    <w:rsid w:val="476D5F64"/>
    <w:rsid w:val="48A96088"/>
    <w:rsid w:val="49130203"/>
    <w:rsid w:val="4A317778"/>
    <w:rsid w:val="4A665010"/>
    <w:rsid w:val="4B2C060C"/>
    <w:rsid w:val="4B392FC1"/>
    <w:rsid w:val="4B4D0BBD"/>
    <w:rsid w:val="4B996712"/>
    <w:rsid w:val="4C444E3B"/>
    <w:rsid w:val="4C96021E"/>
    <w:rsid w:val="4E206756"/>
    <w:rsid w:val="4E356E24"/>
    <w:rsid w:val="4F615F9E"/>
    <w:rsid w:val="528405AB"/>
    <w:rsid w:val="530F53C9"/>
    <w:rsid w:val="548F1308"/>
    <w:rsid w:val="55A02424"/>
    <w:rsid w:val="55AD59F9"/>
    <w:rsid w:val="55E70B51"/>
    <w:rsid w:val="567D3F51"/>
    <w:rsid w:val="56DB6FDA"/>
    <w:rsid w:val="571C6C94"/>
    <w:rsid w:val="57AC2533"/>
    <w:rsid w:val="57CFF70C"/>
    <w:rsid w:val="58436FF5"/>
    <w:rsid w:val="58A953F5"/>
    <w:rsid w:val="591075D9"/>
    <w:rsid w:val="5AED5B84"/>
    <w:rsid w:val="5BA4045F"/>
    <w:rsid w:val="5BD83BA3"/>
    <w:rsid w:val="5BF71B15"/>
    <w:rsid w:val="5C55628A"/>
    <w:rsid w:val="5C8E7333"/>
    <w:rsid w:val="5D2F3697"/>
    <w:rsid w:val="5D553990"/>
    <w:rsid w:val="5E54464F"/>
    <w:rsid w:val="5FEF1711"/>
    <w:rsid w:val="5FF7A1AF"/>
    <w:rsid w:val="60B04D5F"/>
    <w:rsid w:val="62666A0E"/>
    <w:rsid w:val="636E3E71"/>
    <w:rsid w:val="63BE7AF9"/>
    <w:rsid w:val="63D36BBB"/>
    <w:rsid w:val="63FE6F27"/>
    <w:rsid w:val="643429D4"/>
    <w:rsid w:val="64C05CA4"/>
    <w:rsid w:val="64D84B35"/>
    <w:rsid w:val="65486764"/>
    <w:rsid w:val="6639539F"/>
    <w:rsid w:val="667E8F68"/>
    <w:rsid w:val="670561A3"/>
    <w:rsid w:val="670D5430"/>
    <w:rsid w:val="675F6781"/>
    <w:rsid w:val="67D74976"/>
    <w:rsid w:val="69725AA8"/>
    <w:rsid w:val="69FC3D8F"/>
    <w:rsid w:val="6A534E1A"/>
    <w:rsid w:val="6B226A4C"/>
    <w:rsid w:val="6CC26103"/>
    <w:rsid w:val="6CC54938"/>
    <w:rsid w:val="6DA86043"/>
    <w:rsid w:val="6DD688EC"/>
    <w:rsid w:val="6E5B2E78"/>
    <w:rsid w:val="6F7F49A3"/>
    <w:rsid w:val="6FE40A14"/>
    <w:rsid w:val="70B95ECD"/>
    <w:rsid w:val="72A716DA"/>
    <w:rsid w:val="732A4A61"/>
    <w:rsid w:val="7426655C"/>
    <w:rsid w:val="74EFD510"/>
    <w:rsid w:val="751D7347"/>
    <w:rsid w:val="75850B3D"/>
    <w:rsid w:val="759F2438"/>
    <w:rsid w:val="75FC65BC"/>
    <w:rsid w:val="797D2E2E"/>
    <w:rsid w:val="7A4E5E7B"/>
    <w:rsid w:val="7A9861FE"/>
    <w:rsid w:val="7AB65DAC"/>
    <w:rsid w:val="7B35172F"/>
    <w:rsid w:val="7B570950"/>
    <w:rsid w:val="7B7F295D"/>
    <w:rsid w:val="7C326F18"/>
    <w:rsid w:val="7CFE7873"/>
    <w:rsid w:val="7DB84F29"/>
    <w:rsid w:val="7DEB2465"/>
    <w:rsid w:val="7F4BB557"/>
    <w:rsid w:val="7FAE60F6"/>
    <w:rsid w:val="7FEE9E47"/>
    <w:rsid w:val="BDB3ABA0"/>
    <w:rsid w:val="BF7FC543"/>
    <w:rsid w:val="BFBB6496"/>
    <w:rsid w:val="D7DFFCC3"/>
    <w:rsid w:val="D7FB1A80"/>
    <w:rsid w:val="DFFF8193"/>
    <w:rsid w:val="F46ACC35"/>
    <w:rsid w:val="FF5F3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imes New Roman"/>
      <w:sz w:val="24"/>
      <w:szCs w:val="24"/>
      <w:lang w:val="en-US" w:eastAsia="zh-CN" w:bidi="ar-SA"/>
    </w:rPr>
  </w:style>
  <w:style w:type="paragraph" w:styleId="2">
    <w:name w:val="heading 1"/>
    <w:basedOn w:val="1"/>
    <w:next w:val="1"/>
    <w:link w:val="50"/>
    <w:qFormat/>
    <w:uiPriority w:val="0"/>
    <w:pPr>
      <w:widowControl w:val="0"/>
      <w:spacing w:before="7"/>
      <w:ind w:left="412"/>
      <w:outlineLvl w:val="0"/>
    </w:pPr>
    <w:rPr>
      <w:rFonts w:ascii="黑体" w:hAnsi="黑体" w:eastAsia="黑体"/>
      <w:b/>
      <w:sz w:val="30"/>
      <w:szCs w:val="30"/>
      <w:lang w:eastAsia="en-US"/>
    </w:rPr>
  </w:style>
  <w:style w:type="paragraph" w:styleId="3">
    <w:name w:val="heading 2"/>
    <w:basedOn w:val="1"/>
    <w:next w:val="1"/>
    <w:qFormat/>
    <w:uiPriority w:val="0"/>
    <w:pPr>
      <w:widowControl w:val="0"/>
      <w:ind w:left="4132"/>
      <w:outlineLvl w:val="1"/>
    </w:pPr>
    <w:rPr>
      <w:rFonts w:ascii="宋体" w:hAnsi="宋体"/>
      <w:b/>
      <w:lang w:eastAsia="en-US"/>
    </w:rPr>
  </w:style>
  <w:style w:type="paragraph" w:styleId="4">
    <w:name w:val="heading 3"/>
    <w:basedOn w:val="1"/>
    <w:next w:val="1"/>
    <w:qFormat/>
    <w:uiPriority w:val="0"/>
    <w:pPr>
      <w:widowControl w:val="0"/>
      <w:ind w:left="20"/>
      <w:outlineLvl w:val="2"/>
    </w:pPr>
    <w:rPr>
      <w:rFonts w:eastAsia="Times New Roman"/>
      <w:b/>
      <w:sz w:val="21"/>
      <w:szCs w:val="21"/>
      <w:lang w:eastAsia="en-US"/>
    </w:rPr>
  </w:style>
  <w:style w:type="paragraph" w:styleId="5">
    <w:name w:val="heading 4"/>
    <w:basedOn w:val="1"/>
    <w:next w:val="1"/>
    <w:qFormat/>
    <w:uiPriority w:val="0"/>
    <w:pPr>
      <w:widowControl w:val="0"/>
      <w:ind w:left="459"/>
      <w:outlineLvl w:val="3"/>
    </w:pPr>
    <w:rPr>
      <w:rFonts w:eastAsia="Times New Roman"/>
      <w:sz w:val="20"/>
      <w:szCs w:val="20"/>
      <w:lang w:eastAsia="en-US"/>
    </w:rPr>
  </w:style>
  <w:style w:type="paragraph" w:styleId="6">
    <w:name w:val="heading 5"/>
    <w:basedOn w:val="1"/>
    <w:next w:val="1"/>
    <w:qFormat/>
    <w:uiPriority w:val="0"/>
    <w:pPr>
      <w:widowControl w:val="0"/>
      <w:spacing w:before="44"/>
      <w:ind w:left="133"/>
      <w:outlineLvl w:val="4"/>
    </w:pPr>
    <w:rPr>
      <w:rFonts w:ascii="宋体" w:hAnsi="宋体"/>
      <w:b/>
      <w:sz w:val="18"/>
      <w:szCs w:val="18"/>
      <w:lang w:eastAsia="en-US"/>
    </w:rPr>
  </w:style>
  <w:style w:type="paragraph" w:styleId="7">
    <w:name w:val="heading 6"/>
    <w:basedOn w:val="1"/>
    <w:next w:val="1"/>
    <w:link w:val="58"/>
    <w:qFormat/>
    <w:uiPriority w:val="0"/>
    <w:pPr>
      <w:keepNext/>
      <w:keepLines/>
      <w:spacing w:before="240" w:after="64" w:line="320" w:lineRule="auto"/>
      <w:outlineLvl w:val="5"/>
    </w:pPr>
    <w:rPr>
      <w:rFonts w:ascii="Cambria" w:hAnsi="Cambria"/>
      <w:b/>
    </w:rPr>
  </w:style>
  <w:style w:type="paragraph" w:styleId="8">
    <w:name w:val="heading 7"/>
    <w:basedOn w:val="1"/>
    <w:next w:val="1"/>
    <w:qFormat/>
    <w:uiPriority w:val="0"/>
    <w:pPr>
      <w:ind w:left="133"/>
      <w:outlineLvl w:val="6"/>
    </w:pPr>
    <w:rPr>
      <w:b/>
      <w:sz w:val="18"/>
      <w:szCs w:val="1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qFormat/>
    <w:uiPriority w:val="0"/>
    <w:pPr>
      <w:ind w:left="1440"/>
    </w:pPr>
    <w:rPr>
      <w:rFonts w:ascii="Calibri" w:hAnsi="Calibri"/>
      <w:sz w:val="20"/>
      <w:szCs w:val="20"/>
    </w:rPr>
  </w:style>
  <w:style w:type="paragraph" w:styleId="10">
    <w:name w:val="annotation text"/>
    <w:basedOn w:val="1"/>
    <w:link w:val="35"/>
    <w:qFormat/>
    <w:uiPriority w:val="0"/>
    <w:pPr>
      <w:widowControl w:val="0"/>
    </w:pPr>
    <w:rPr>
      <w:rFonts w:ascii="Calibri" w:hAnsi="Calibri"/>
      <w:sz w:val="22"/>
      <w:szCs w:val="22"/>
      <w:lang w:eastAsia="en-US"/>
    </w:rPr>
  </w:style>
  <w:style w:type="paragraph" w:styleId="11">
    <w:name w:val="Body Text"/>
    <w:basedOn w:val="1"/>
    <w:link w:val="41"/>
    <w:qFormat/>
    <w:uiPriority w:val="0"/>
    <w:pPr>
      <w:widowControl w:val="0"/>
      <w:spacing w:before="61"/>
      <w:ind w:left="631" w:hanging="362"/>
    </w:pPr>
    <w:rPr>
      <w:rFonts w:eastAsia="Times New Roman"/>
      <w:sz w:val="15"/>
      <w:szCs w:val="15"/>
      <w:lang w:eastAsia="en-US"/>
    </w:rPr>
  </w:style>
  <w:style w:type="paragraph" w:styleId="12">
    <w:name w:val="toc 5"/>
    <w:basedOn w:val="1"/>
    <w:next w:val="1"/>
    <w:qFormat/>
    <w:uiPriority w:val="0"/>
    <w:pPr>
      <w:ind w:left="960"/>
    </w:pPr>
    <w:rPr>
      <w:rFonts w:ascii="Calibri" w:hAnsi="Calibri"/>
      <w:sz w:val="20"/>
      <w:szCs w:val="20"/>
    </w:rPr>
  </w:style>
  <w:style w:type="paragraph" w:styleId="13">
    <w:name w:val="toc 3"/>
    <w:basedOn w:val="1"/>
    <w:next w:val="1"/>
    <w:qFormat/>
    <w:uiPriority w:val="39"/>
    <w:pPr>
      <w:ind w:left="480"/>
    </w:pPr>
    <w:rPr>
      <w:rFonts w:ascii="Calibri" w:hAnsi="Calibri"/>
      <w:sz w:val="22"/>
      <w:szCs w:val="22"/>
    </w:rPr>
  </w:style>
  <w:style w:type="paragraph" w:styleId="14">
    <w:name w:val="toc 8"/>
    <w:basedOn w:val="1"/>
    <w:next w:val="1"/>
    <w:qFormat/>
    <w:uiPriority w:val="0"/>
    <w:pPr>
      <w:ind w:left="1680"/>
    </w:pPr>
    <w:rPr>
      <w:rFonts w:ascii="Calibri" w:hAnsi="Calibri"/>
      <w:sz w:val="20"/>
      <w:szCs w:val="20"/>
    </w:rPr>
  </w:style>
  <w:style w:type="paragraph" w:styleId="15">
    <w:name w:val="Balloon Text"/>
    <w:basedOn w:val="1"/>
    <w:link w:val="34"/>
    <w:qFormat/>
    <w:uiPriority w:val="0"/>
    <w:pPr>
      <w:widowControl w:val="0"/>
    </w:pPr>
    <w:rPr>
      <w:rFonts w:ascii="Calibri" w:hAnsi="Calibri"/>
      <w:sz w:val="18"/>
      <w:szCs w:val="18"/>
      <w:lang w:eastAsia="en-US"/>
    </w:rPr>
  </w:style>
  <w:style w:type="paragraph" w:styleId="16">
    <w:name w:val="footer"/>
    <w:basedOn w:val="1"/>
    <w:link w:val="38"/>
    <w:qFormat/>
    <w:uiPriority w:val="99"/>
    <w:pPr>
      <w:widowControl w:val="0"/>
      <w:snapToGrid w:val="0"/>
    </w:pPr>
    <w:rPr>
      <w:rFonts w:ascii="Calibri" w:hAnsi="Calibri"/>
      <w:sz w:val="18"/>
      <w:szCs w:val="18"/>
      <w:lang w:eastAsia="en-US"/>
    </w:rPr>
  </w:style>
  <w:style w:type="paragraph" w:styleId="17">
    <w:name w:val="header"/>
    <w:basedOn w:val="1"/>
    <w:link w:val="37"/>
    <w:qFormat/>
    <w:uiPriority w:val="99"/>
    <w:pPr>
      <w:widowControl w:val="0"/>
      <w:pBdr>
        <w:bottom w:val="single" w:color="auto" w:sz="6" w:space="1"/>
      </w:pBdr>
      <w:snapToGrid w:val="0"/>
      <w:jc w:val="center"/>
    </w:pPr>
    <w:rPr>
      <w:rFonts w:ascii="Calibri" w:hAnsi="Calibri"/>
      <w:sz w:val="18"/>
      <w:szCs w:val="18"/>
      <w:lang w:eastAsia="en-US"/>
    </w:rPr>
  </w:style>
  <w:style w:type="paragraph" w:styleId="18">
    <w:name w:val="toc 1"/>
    <w:basedOn w:val="1"/>
    <w:next w:val="1"/>
    <w:qFormat/>
    <w:uiPriority w:val="39"/>
    <w:pPr>
      <w:spacing w:line="360" w:lineRule="auto"/>
    </w:pPr>
    <w:rPr>
      <w:rFonts w:ascii="Calibri" w:hAnsi="Calibri"/>
      <w:b/>
      <w:sz w:val="32"/>
    </w:rPr>
  </w:style>
  <w:style w:type="paragraph" w:styleId="19">
    <w:name w:val="toc 4"/>
    <w:basedOn w:val="1"/>
    <w:next w:val="1"/>
    <w:qFormat/>
    <w:uiPriority w:val="0"/>
    <w:pPr>
      <w:ind w:left="720"/>
    </w:pPr>
    <w:rPr>
      <w:rFonts w:ascii="Calibri" w:hAnsi="Calibri"/>
      <w:sz w:val="20"/>
      <w:szCs w:val="20"/>
    </w:rPr>
  </w:style>
  <w:style w:type="paragraph" w:styleId="20">
    <w:name w:val="toc 6"/>
    <w:basedOn w:val="1"/>
    <w:next w:val="1"/>
    <w:qFormat/>
    <w:uiPriority w:val="0"/>
    <w:pPr>
      <w:ind w:left="1200"/>
    </w:pPr>
    <w:rPr>
      <w:rFonts w:ascii="Calibri" w:hAnsi="Calibri"/>
      <w:sz w:val="20"/>
      <w:szCs w:val="20"/>
    </w:rPr>
  </w:style>
  <w:style w:type="paragraph" w:styleId="21">
    <w:name w:val="toc 2"/>
    <w:basedOn w:val="1"/>
    <w:next w:val="1"/>
    <w:qFormat/>
    <w:uiPriority w:val="39"/>
    <w:pPr>
      <w:spacing w:line="360" w:lineRule="auto"/>
      <w:ind w:left="238"/>
    </w:pPr>
    <w:rPr>
      <w:rFonts w:ascii="Calibri" w:hAnsi="Calibri"/>
      <w:b/>
      <w:sz w:val="28"/>
      <w:szCs w:val="22"/>
    </w:rPr>
  </w:style>
  <w:style w:type="paragraph" w:styleId="22">
    <w:name w:val="toc 9"/>
    <w:basedOn w:val="1"/>
    <w:next w:val="1"/>
    <w:qFormat/>
    <w:uiPriority w:val="0"/>
    <w:pPr>
      <w:ind w:left="1920"/>
    </w:pPr>
    <w:rPr>
      <w:rFonts w:ascii="Calibri" w:hAnsi="Calibri"/>
      <w:sz w:val="20"/>
      <w:szCs w:val="20"/>
    </w:rPr>
  </w:style>
  <w:style w:type="paragraph" w:styleId="23">
    <w:name w:val="Normal (Web)"/>
    <w:basedOn w:val="1"/>
    <w:qFormat/>
    <w:uiPriority w:val="99"/>
    <w:pPr>
      <w:spacing w:before="100" w:beforeAutospacing="1" w:after="100" w:afterAutospacing="1" w:line="240" w:lineRule="auto"/>
    </w:pPr>
    <w:rPr>
      <w:rFonts w:ascii="宋体" w:hAnsi="宋体" w:cs="宋体"/>
    </w:rPr>
  </w:style>
  <w:style w:type="table" w:styleId="25">
    <w:name w:val="Table Grid"/>
    <w:basedOn w:val="24"/>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6"/>
    <w:qFormat/>
    <w:uiPriority w:val="99"/>
    <w:rPr>
      <w:color w:val="0000FF"/>
      <w:u w:val="single"/>
    </w:rPr>
  </w:style>
  <w:style w:type="character" w:styleId="28">
    <w:name w:val="annotation reference"/>
    <w:basedOn w:val="26"/>
    <w:qFormat/>
    <w:uiPriority w:val="0"/>
    <w:rPr>
      <w:sz w:val="21"/>
      <w:szCs w:val="21"/>
    </w:rPr>
  </w:style>
  <w:style w:type="paragraph" w:customStyle="1" w:styleId="29">
    <w:name w:val="批注主题1"/>
    <w:basedOn w:val="10"/>
    <w:next w:val="10"/>
    <w:link w:val="36"/>
    <w:qFormat/>
    <w:uiPriority w:val="0"/>
    <w:rPr>
      <w:b/>
    </w:rPr>
  </w:style>
  <w:style w:type="paragraph" w:customStyle="1" w:styleId="30">
    <w:name w:val="普通(网站)1"/>
    <w:basedOn w:val="1"/>
    <w:qFormat/>
    <w:uiPriority w:val="0"/>
    <w:pPr>
      <w:spacing w:before="100" w:beforeAutospacing="1" w:after="100" w:afterAutospacing="1"/>
    </w:pPr>
    <w:rPr>
      <w:rFonts w:ascii="宋体" w:hAnsi="宋体" w:cs="宋体"/>
    </w:rPr>
  </w:style>
  <w:style w:type="table" w:customStyle="1" w:styleId="31">
    <w:name w:val="Table Normal1"/>
    <w:qFormat/>
    <w:uiPriority w:val="2"/>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2">
    <w:name w:val="列出段落1"/>
    <w:basedOn w:val="1"/>
    <w:qFormat/>
    <w:uiPriority w:val="0"/>
    <w:pPr>
      <w:widowControl w:val="0"/>
    </w:pPr>
    <w:rPr>
      <w:rFonts w:ascii="Calibri" w:hAnsi="Calibri"/>
      <w:sz w:val="22"/>
      <w:szCs w:val="22"/>
      <w:lang w:eastAsia="en-US"/>
    </w:rPr>
  </w:style>
  <w:style w:type="paragraph" w:customStyle="1" w:styleId="33">
    <w:name w:val="Table Paragraph"/>
    <w:basedOn w:val="1"/>
    <w:qFormat/>
    <w:uiPriority w:val="1"/>
    <w:pPr>
      <w:widowControl w:val="0"/>
    </w:pPr>
    <w:rPr>
      <w:rFonts w:ascii="Calibri" w:hAnsi="Calibri"/>
      <w:sz w:val="22"/>
      <w:szCs w:val="22"/>
      <w:lang w:eastAsia="en-US"/>
    </w:rPr>
  </w:style>
  <w:style w:type="character" w:customStyle="1" w:styleId="34">
    <w:name w:val="批注框文本 字符"/>
    <w:basedOn w:val="26"/>
    <w:link w:val="15"/>
    <w:qFormat/>
    <w:uiPriority w:val="0"/>
    <w:rPr>
      <w:sz w:val="18"/>
      <w:szCs w:val="18"/>
    </w:rPr>
  </w:style>
  <w:style w:type="character" w:customStyle="1" w:styleId="35">
    <w:name w:val="批注文字 字符"/>
    <w:basedOn w:val="26"/>
    <w:link w:val="10"/>
    <w:qFormat/>
    <w:uiPriority w:val="0"/>
  </w:style>
  <w:style w:type="character" w:customStyle="1" w:styleId="36">
    <w:name w:val="批注主题 字符"/>
    <w:basedOn w:val="35"/>
    <w:link w:val="29"/>
    <w:qFormat/>
    <w:uiPriority w:val="0"/>
    <w:rPr>
      <w:b/>
    </w:rPr>
  </w:style>
  <w:style w:type="character" w:customStyle="1" w:styleId="37">
    <w:name w:val="页眉 字符"/>
    <w:basedOn w:val="26"/>
    <w:link w:val="17"/>
    <w:qFormat/>
    <w:uiPriority w:val="99"/>
    <w:rPr>
      <w:sz w:val="18"/>
      <w:szCs w:val="18"/>
    </w:rPr>
  </w:style>
  <w:style w:type="character" w:customStyle="1" w:styleId="38">
    <w:name w:val="页脚 字符"/>
    <w:basedOn w:val="26"/>
    <w:link w:val="16"/>
    <w:qFormat/>
    <w:uiPriority w:val="99"/>
    <w:rPr>
      <w:sz w:val="18"/>
      <w:szCs w:val="18"/>
    </w:rPr>
  </w:style>
  <w:style w:type="paragraph" w:customStyle="1" w:styleId="39">
    <w:name w:val="Default"/>
    <w:qFormat/>
    <w:uiPriority w:val="0"/>
    <w:pPr>
      <w:widowControl w:val="0"/>
      <w:autoSpaceDE w:val="0"/>
      <w:autoSpaceDN w:val="0"/>
      <w:adjustRightInd w:val="0"/>
      <w:spacing w:after="160" w:line="259" w:lineRule="auto"/>
    </w:pPr>
    <w:rPr>
      <w:rFonts w:ascii="Times New Roman" w:hAnsi="Times New Roman" w:eastAsia="宋体" w:cs="Times New Roman"/>
      <w:color w:val="000000"/>
      <w:sz w:val="24"/>
      <w:szCs w:val="24"/>
      <w:lang w:val="en-US" w:eastAsia="en-US" w:bidi="ar-SA"/>
    </w:rPr>
  </w:style>
  <w:style w:type="paragraph" w:customStyle="1" w:styleId="40">
    <w:name w:val="CM18"/>
    <w:basedOn w:val="39"/>
    <w:next w:val="39"/>
    <w:qFormat/>
    <w:uiPriority w:val="0"/>
    <w:rPr>
      <w:color w:val="auto"/>
    </w:rPr>
  </w:style>
  <w:style w:type="character" w:customStyle="1" w:styleId="41">
    <w:name w:val="正文文本 字符"/>
    <w:basedOn w:val="26"/>
    <w:link w:val="11"/>
    <w:qFormat/>
    <w:uiPriority w:val="0"/>
    <w:rPr>
      <w:rFonts w:hint="default" w:ascii="Times New Roman" w:hAnsi="Times New Roman" w:eastAsia="Times New Roman"/>
      <w:sz w:val="15"/>
      <w:szCs w:val="15"/>
    </w:rPr>
  </w:style>
  <w:style w:type="character" w:customStyle="1" w:styleId="42">
    <w:name w:val="fontstyle01"/>
    <w:basedOn w:val="26"/>
    <w:qFormat/>
    <w:uiPriority w:val="0"/>
    <w:rPr>
      <w:rFonts w:hint="default" w:ascii="ArialMT" w:hAnsi="ArialMT" w:eastAsia="ArialMT" w:cs="ArialMT"/>
      <w:color w:val="005B9A"/>
      <w:sz w:val="22"/>
      <w:szCs w:val="22"/>
    </w:rPr>
  </w:style>
  <w:style w:type="character" w:customStyle="1" w:styleId="43">
    <w:name w:val="fontstyle21"/>
    <w:basedOn w:val="26"/>
    <w:qFormat/>
    <w:uiPriority w:val="0"/>
    <w:rPr>
      <w:rFonts w:hint="default" w:ascii="TimesNewRomanPSMT" w:hAnsi="TimesNewRomanPSMT" w:eastAsia="TimesNewRomanPSMT" w:cs="TimesNewRomanPSMT"/>
      <w:color w:val="000000"/>
      <w:sz w:val="18"/>
      <w:szCs w:val="18"/>
    </w:rPr>
  </w:style>
  <w:style w:type="character" w:customStyle="1" w:styleId="44">
    <w:name w:val="fontstyle11"/>
    <w:basedOn w:val="26"/>
    <w:qFormat/>
    <w:uiPriority w:val="0"/>
    <w:rPr>
      <w:rFonts w:hint="default" w:ascii="TimesNewRomanPSMT" w:hAnsi="TimesNewRomanPSMT" w:eastAsia="TimesNewRomanPSMT" w:cs="TimesNewRomanPSMT"/>
      <w:color w:val="000000"/>
      <w:sz w:val="18"/>
      <w:szCs w:val="18"/>
    </w:rPr>
  </w:style>
  <w:style w:type="paragraph" w:customStyle="1" w:styleId="45">
    <w:name w:val="列出段落2"/>
    <w:basedOn w:val="1"/>
    <w:qFormat/>
    <w:uiPriority w:val="0"/>
    <w:pPr>
      <w:widowControl w:val="0"/>
      <w:ind w:firstLine="420" w:firstLineChars="200"/>
    </w:pPr>
    <w:rPr>
      <w:rFonts w:ascii="Calibri" w:hAnsi="Calibri"/>
      <w:sz w:val="22"/>
      <w:szCs w:val="22"/>
      <w:lang w:eastAsia="en-US"/>
    </w:rPr>
  </w:style>
  <w:style w:type="paragraph" w:customStyle="1" w:styleId="46">
    <w:name w:val="目录标题1"/>
    <w:basedOn w:val="2"/>
    <w:next w:val="1"/>
    <w:qFormat/>
    <w:uiPriority w:val="0"/>
    <w:pPr>
      <w:keepNext/>
      <w:keepLines/>
      <w:widowControl/>
      <w:spacing w:before="480" w:line="276" w:lineRule="auto"/>
      <w:ind w:left="0"/>
      <w:outlineLvl w:val="9"/>
    </w:pPr>
    <w:rPr>
      <w:rFonts w:ascii="Cambria" w:hAnsi="Cambria" w:eastAsia="宋体"/>
      <w:color w:val="366091"/>
      <w:sz w:val="28"/>
      <w:szCs w:val="28"/>
      <w:lang w:eastAsia="zh-CN"/>
    </w:rPr>
  </w:style>
  <w:style w:type="table" w:customStyle="1" w:styleId="47">
    <w:name w:val="网格型浅色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48">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table" w:customStyle="1" w:styleId="49">
    <w:name w:val="网格型浅色1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character" w:customStyle="1" w:styleId="50">
    <w:name w:val="标题 1 字符"/>
    <w:basedOn w:val="26"/>
    <w:link w:val="2"/>
    <w:qFormat/>
    <w:uiPriority w:val="0"/>
    <w:rPr>
      <w:rFonts w:hint="default" w:ascii="黑体" w:hAnsi="黑体" w:eastAsia="黑体" w:cs="Times New Roman"/>
      <w:b/>
      <w:sz w:val="30"/>
      <w:szCs w:val="30"/>
      <w:lang w:eastAsia="en-US"/>
    </w:rPr>
  </w:style>
  <w:style w:type="character" w:customStyle="1" w:styleId="51">
    <w:name w:val="font21"/>
    <w:basedOn w:val="26"/>
    <w:qFormat/>
    <w:uiPriority w:val="0"/>
    <w:rPr>
      <w:rFonts w:hint="default" w:ascii="Times New Roman" w:hAnsi="Times New Roman" w:cs="Times New Roman"/>
      <w:color w:val="000000"/>
      <w:sz w:val="18"/>
      <w:szCs w:val="18"/>
      <w:u w:val="none"/>
    </w:rPr>
  </w:style>
  <w:style w:type="character" w:customStyle="1" w:styleId="52">
    <w:name w:val="font11"/>
    <w:basedOn w:val="26"/>
    <w:qFormat/>
    <w:uiPriority w:val="0"/>
    <w:rPr>
      <w:rFonts w:hint="eastAsia" w:ascii="宋体" w:hAnsi="宋体" w:eastAsia="宋体"/>
      <w:color w:val="000000"/>
      <w:sz w:val="18"/>
      <w:szCs w:val="18"/>
      <w:u w:val="none"/>
    </w:rPr>
  </w:style>
  <w:style w:type="paragraph" w:customStyle="1" w:styleId="53">
    <w:name w:val="默认"/>
    <w:qFormat/>
    <w:uiPriority w:val="0"/>
    <w:pPr>
      <w:spacing w:after="160" w:line="259" w:lineRule="auto"/>
    </w:pPr>
    <w:rPr>
      <w:rFonts w:ascii="Helvetica Neue" w:hAnsi="Helvetica Neue" w:eastAsia="Helvetica Neue" w:cs="Helvetica Neue"/>
      <w:color w:val="000000"/>
      <w:sz w:val="22"/>
      <w:szCs w:val="22"/>
      <w:lang w:val="en-US" w:eastAsia="zh-CN" w:bidi="ar-SA"/>
    </w:rPr>
  </w:style>
  <w:style w:type="paragraph" w:customStyle="1" w:styleId="54">
    <w:name w:val="正文文本1"/>
    <w:qFormat/>
    <w:uiPriority w:val="0"/>
    <w:pPr>
      <w:widowControl w:val="0"/>
      <w:spacing w:before="61" w:after="160" w:line="259" w:lineRule="auto"/>
      <w:ind w:left="631" w:hanging="362"/>
    </w:pPr>
    <w:rPr>
      <w:rFonts w:ascii="Times New Roman" w:hAnsi="Times New Roman" w:eastAsia="Times New Roman" w:cs="Times New Roman"/>
      <w:color w:val="000000"/>
      <w:sz w:val="15"/>
      <w:szCs w:val="15"/>
      <w:lang w:val="en-US" w:eastAsia="zh-CN" w:bidi="ar-SA"/>
    </w:rPr>
  </w:style>
  <w:style w:type="paragraph" w:customStyle="1" w:styleId="55">
    <w:name w:val="列出段落3"/>
    <w:basedOn w:val="1"/>
    <w:qFormat/>
    <w:uiPriority w:val="0"/>
    <w:pPr>
      <w:widowControl w:val="0"/>
      <w:ind w:firstLine="420" w:firstLineChars="200"/>
    </w:pPr>
    <w:rPr>
      <w:rFonts w:ascii="Calibri" w:hAnsi="Calibri"/>
      <w:sz w:val="22"/>
      <w:szCs w:val="22"/>
      <w:lang w:eastAsia="en-US"/>
    </w:rPr>
  </w:style>
  <w:style w:type="table" w:customStyle="1" w:styleId="56">
    <w:name w:val="网格型1"/>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7">
    <w:name w:val="TOC 标题1"/>
    <w:basedOn w:val="2"/>
    <w:next w:val="1"/>
    <w:qFormat/>
    <w:uiPriority w:val="0"/>
    <w:pPr>
      <w:keepNext/>
      <w:keepLines/>
      <w:widowControl/>
      <w:spacing w:before="240"/>
      <w:ind w:left="0"/>
      <w:outlineLvl w:val="9"/>
    </w:pPr>
    <w:rPr>
      <w:rFonts w:ascii="Cambria" w:hAnsi="Cambria" w:eastAsia="宋体"/>
      <w:b w:val="0"/>
      <w:color w:val="366091"/>
      <w:sz w:val="32"/>
      <w:szCs w:val="32"/>
      <w:lang w:eastAsia="zh-CN"/>
    </w:rPr>
  </w:style>
  <w:style w:type="character" w:customStyle="1" w:styleId="58">
    <w:name w:val="标题 6 字符"/>
    <w:basedOn w:val="26"/>
    <w:link w:val="7"/>
    <w:qFormat/>
    <w:uiPriority w:val="0"/>
    <w:rPr>
      <w:rFonts w:hint="default" w:ascii="Cambria" w:hAnsi="Cambria" w:eastAsia="宋体" w:cs="Times New Roman"/>
      <w:b/>
      <w:sz w:val="24"/>
      <w:szCs w:val="24"/>
    </w:rPr>
  </w:style>
  <w:style w:type="character" w:customStyle="1" w:styleId="59">
    <w:name w:val="font01"/>
    <w:basedOn w:val="26"/>
    <w:qFormat/>
    <w:uiPriority w:val="0"/>
    <w:rPr>
      <w:rFonts w:hint="default" w:ascii="font-weight : 400" w:hAnsi="font-weight : 400" w:eastAsia="font-weight : 400" w:cs="font-weight : 400"/>
      <w:color w:val="000000"/>
      <w:sz w:val="22"/>
      <w:szCs w:val="22"/>
      <w:u w:val="none"/>
    </w:rPr>
  </w:style>
  <w:style w:type="paragraph" w:customStyle="1" w:styleId="60">
    <w:name w:val="WPSOffice手动目录 1"/>
    <w:qFormat/>
    <w:uiPriority w:val="0"/>
    <w:pPr>
      <w:spacing w:after="160" w:line="259" w:lineRule="auto"/>
    </w:pPr>
    <w:rPr>
      <w:rFonts w:asciiTheme="minorHAnsi" w:hAnsiTheme="minorHAnsi" w:eastAsiaTheme="minorEastAsia" w:cstheme="minorBidi"/>
      <w:lang w:val="en-US" w:eastAsia="zh-CN" w:bidi="ar-SA"/>
    </w:rPr>
  </w:style>
  <w:style w:type="paragraph" w:customStyle="1" w:styleId="61">
    <w:name w:val="WPSOffice手动目录 2"/>
    <w:qFormat/>
    <w:uiPriority w:val="0"/>
    <w:pPr>
      <w:spacing w:after="160" w:line="259" w:lineRule="auto"/>
      <w:ind w:left="200" w:leftChars="200"/>
    </w:pPr>
    <w:rPr>
      <w:rFonts w:asciiTheme="minorHAnsi" w:hAnsiTheme="minorHAnsi" w:eastAsiaTheme="minorEastAsia" w:cstheme="minorBidi"/>
      <w:lang w:val="en-US" w:eastAsia="zh-CN" w:bidi="ar-SA"/>
    </w:rPr>
  </w:style>
  <w:style w:type="paragraph" w:customStyle="1" w:styleId="62">
    <w:name w:val="TOC 标题2"/>
    <w:basedOn w:val="2"/>
    <w:next w:val="1"/>
    <w:unhideWhenUsed/>
    <w:qFormat/>
    <w:uiPriority w:val="39"/>
    <w:pPr>
      <w:keepNext/>
      <w:keepLines/>
      <w:widowControl/>
      <w:spacing w:before="240"/>
      <w:ind w:left="0"/>
      <w:outlineLvl w:val="9"/>
    </w:pPr>
    <w:rPr>
      <w:rFonts w:asciiTheme="majorHAnsi" w:hAnsiTheme="majorHAnsi" w:eastAsiaTheme="majorEastAsia" w:cstheme="majorBidi"/>
      <w:b w:val="0"/>
      <w:color w:val="376092" w:themeColor="accent1" w:themeShade="BF"/>
      <w:sz w:val="32"/>
      <w:szCs w:val="32"/>
      <w:lang w:eastAsia="zh-CN"/>
    </w:rPr>
  </w:style>
  <w:style w:type="paragraph" w:customStyle="1" w:styleId="63">
    <w:name w:val="列出段落4"/>
    <w:basedOn w:val="1"/>
    <w:qFormat/>
    <w:uiPriority w:val="99"/>
    <w:pPr>
      <w:ind w:firstLine="420" w:firstLineChars="200"/>
    </w:pPr>
  </w:style>
  <w:style w:type="paragraph" w:customStyle="1" w:styleId="64">
    <w:name w:val="无间隔1"/>
    <w:link w:val="65"/>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65">
    <w:name w:val="No Spacing Char"/>
    <w:basedOn w:val="26"/>
    <w:link w:val="64"/>
    <w:qFormat/>
    <w:uiPriority w:val="1"/>
    <w:rPr>
      <w:rFonts w:asciiTheme="minorHAnsi" w:hAnsiTheme="minorHAnsi" w:eastAsiaTheme="minorEastAsia" w:cstheme="minorBidi"/>
      <w:sz w:val="22"/>
      <w:szCs w:val="22"/>
    </w:rPr>
  </w:style>
  <w:style w:type="paragraph" w:customStyle="1" w:styleId="66">
    <w:name w:val="列表段落1"/>
    <w:basedOn w:val="1"/>
    <w:qFormat/>
    <w:uiPriority w:val="0"/>
    <w:pPr>
      <w:widowControl w:val="0"/>
      <w:ind w:firstLine="420" w:firstLineChars="200"/>
    </w:pPr>
    <w:rPr>
      <w:rFonts w:ascii="宋体" w:hAnsi="宋体" w:cs="宋体"/>
      <w:sz w:val="22"/>
      <w:szCs w:val="22"/>
      <w:lang w:eastAsia="en-US"/>
    </w:rPr>
  </w:style>
  <w:style w:type="paragraph" w:customStyle="1" w:styleId="67">
    <w:name w:val="正文1"/>
    <w:qFormat/>
    <w:uiPriority w:val="0"/>
    <w:rPr>
      <w:rFonts w:ascii="Times New Roman" w:hAnsi="Times New Roman" w:eastAsia="宋体" w:cs="Times New Roman"/>
      <w:sz w:val="24"/>
      <w:szCs w:val="24"/>
      <w:lang w:val="en-US" w:eastAsia="zh-CN" w:bidi="ar-SA"/>
    </w:rPr>
  </w:style>
  <w:style w:type="table" w:customStyle="1" w:styleId="68">
    <w:name w:val="网格型2"/>
    <w:basedOn w:val="24"/>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9">
    <w:name w:val="普通(网站)2"/>
    <w:basedOn w:val="1"/>
    <w:qFormat/>
    <w:uiPriority w:val="0"/>
    <w:pPr>
      <w:spacing w:after="0" w:line="240" w:lineRule="auto"/>
    </w:pPr>
  </w:style>
  <w:style w:type="table" w:customStyle="1" w:styleId="70">
    <w:name w:val="普通表格1"/>
    <w:semiHidden/>
    <w:qFormat/>
    <w:uiPriority w:val="0"/>
    <w:rPr>
      <w:rFonts w:eastAsia="Times New Roman"/>
    </w:rPr>
    <w:tblPr>
      <w:tblCellMar>
        <w:top w:w="0" w:type="dxa"/>
        <w:left w:w="108" w:type="dxa"/>
        <w:bottom w:w="0" w:type="dxa"/>
        <w:right w:w="108" w:type="dxa"/>
      </w:tblCellMar>
    </w:tblPr>
  </w:style>
  <w:style w:type="table" w:customStyle="1" w:styleId="71">
    <w:name w:val="Table Normal"/>
    <w:qFormat/>
    <w:uiPriority w:val="0"/>
    <w:tblPr>
      <w:tblCellMar>
        <w:top w:w="0" w:type="dxa"/>
        <w:left w:w="0" w:type="dxa"/>
        <w:bottom w:w="0" w:type="dxa"/>
        <w:right w:w="0" w:type="dxa"/>
      </w:tblCellMar>
    </w:tblPr>
  </w:style>
  <w:style w:type="paragraph" w:customStyle="1" w:styleId="72">
    <w:name w:val="列表段落2"/>
    <w:basedOn w:val="1"/>
    <w:qFormat/>
    <w:uiPriority w:val="99"/>
    <w:pPr>
      <w:ind w:firstLine="420" w:firstLineChars="200"/>
    </w:pPr>
  </w:style>
  <w:style w:type="paragraph" w:customStyle="1" w:styleId="73">
    <w:name w:val="样式1"/>
    <w:basedOn w:val="11"/>
    <w:autoRedefine/>
    <w:qFormat/>
    <w:uiPriority w:val="1"/>
    <w:pPr>
      <w:spacing w:line="276" w:lineRule="auto"/>
    </w:pPr>
    <w:rPr>
      <w:rFonts w:ascii="Times New Roman" w:hAnsi="Times New Roman" w:eastAsia="微软雅黑" w:cs="Times New Roman"/>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2716</Words>
  <Characters>8258</Characters>
  <Lines>197</Lines>
  <Paragraphs>55</Paragraphs>
  <TotalTime>0</TotalTime>
  <ScaleCrop>false</ScaleCrop>
  <LinksUpToDate>false</LinksUpToDate>
  <CharactersWithSpaces>9026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2019-07-21T07:00:00Z</dcterms:created>
  <dc:creator>caojun</dc:creator>
  <cp:lastModifiedBy>tassles-L</cp:lastModifiedBy>
  <cp:lastPrinted>2019-12-12T08:39:00Z</cp:lastPrinted>
  <dcterms:modified xsi:type="dcterms:W3CDTF">2025-12-15T10:03:55Z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linkTarget="0">
    <vt:lpwstr>6</vt:lpwstr>
  </property>
  <property fmtid="{D5CDD505-2E9C-101B-9397-08002B2CF9AE}" pid="4" name="ICV">
    <vt:lpwstr>82127808E65D4F34B663EC2F9D1DBBB4</vt:lpwstr>
  </property>
  <property fmtid="{D5CDD505-2E9C-101B-9397-08002B2CF9AE}" pid="5" name="KSOTemplateDocerSaveRecord">
    <vt:lpwstr>eyJoZGlkIjoiY2Y2NjU5MGIzZGFmM2M5NTIxMmI2NjdmNGQ0NDdjMDUiLCJ1c2VySWQiOiI2MjE3NDUxNTQifQ==</vt:lpwstr>
  </property>
</Properties>
</file>