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9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4"/>
        <w:gridCol w:w="5049"/>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5049"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肿瘤融合基因</w:t>
            </w:r>
            <w:r>
              <w:rPr>
                <w:rFonts w:hint="eastAsia" w:ascii="微软雅黑" w:eastAsia="微软雅黑"/>
                <w:sz w:val="30"/>
                <w:szCs w:val="18"/>
                <w:lang w:val="en-US" w:eastAsia="zh-CN"/>
              </w:rPr>
              <w:t>RNA</w:t>
            </w:r>
            <w:r>
              <w:rPr>
                <w:rFonts w:hint="eastAsia" w:ascii="微软雅黑" w:eastAsia="微软雅黑"/>
                <w:sz w:val="30"/>
                <w:szCs w:val="18"/>
                <w:lang w:eastAsia="zh-CN"/>
              </w:rPr>
              <w:t>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5049"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5049"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193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5049"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193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5049"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56A8FEF">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_Toc23558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_Toc23558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07CD7C17">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_Toc5426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_Toc5426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4F46E89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_Toc756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_Toc756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4F81352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_Toc6860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_Toc6860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D87B80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_Toc26911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_Toc26911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FB7C0F2">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_Toc20741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_Toc20741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4</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brainGliomaFlag %}</w:t>
      </w:r>
    </w:p>
    <w:p w14:paraId="52E26210">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_Toc9056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脑胶质瘤相关分子标记物检测结果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_Toc9056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1"/>
          <w:szCs w:val="21"/>
          <w:lang w:val="en-US" w:eastAsia="zh-CN" w:bidi="ar-SA"/>
        </w:rPr>
        <w:t>{% endif %}{% if disease.Sarcoma or disease.Midline or disease.KidneyFlag %}</w:t>
      </w:r>
    </w:p>
    <w:p w14:paraId="313A3E3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_Toc17945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辅助诊断提示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_Toc17945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1A3B27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_Toc10436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靶向药物用药提示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_Toc10436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BodyDrugDrugDetectionStr or unknownVarAnalysisStr %}</w:t>
      </w:r>
    </w:p>
    <w:p w14:paraId="144158A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_Toc6061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_Toc6061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421C2C7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_Toc24548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变异位点结果解析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_Toc24548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w:t>
      </w:r>
    </w:p>
    <w:p w14:paraId="74E2F328">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_Toc31581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_Toc31581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14</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brainGliomaFlag %}</w:t>
      </w:r>
    </w:p>
    <w:p w14:paraId="03EA297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常见胶质瘤分型相关基因变异</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 if disease.Midline %}</w:t>
      </w:r>
    </w:p>
    <w:p w14:paraId="53C78C0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_Toc29846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中线癌相关分子标记物检测意义</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_Toc29846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 if disease.KidneyFlag %}</w:t>
      </w:r>
    </w:p>
    <w:p w14:paraId="356C07E4">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_Toc5318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分子定义的肾细胞癌的形态学和分子特征</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_Toc5318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 if disease.Sarcoma %}</w:t>
      </w:r>
    </w:p>
    <w:p w14:paraId="6D62E23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_Toc27163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常见肉瘤分型相关基因变异</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_Toc27163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eastAsia" w:ascii="Times New Roman" w:hAnsi="Times New Roman" w:eastAsia="微软雅黑" w:cs="Times New Roman"/>
          <w:sz w:val="24"/>
          <w:szCs w:val="21"/>
          <w:lang w:val="en-US" w:eastAsia="zh-CN" w:bidi="ar-SA"/>
        </w:rPr>
        <w:t>{% endif %}</w:t>
      </w:r>
    </w:p>
    <w:p w14:paraId="285425F5">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_Toc11937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val="en-US" w:eastAsia="zh-CN"/>
        </w:rPr>
        <w:t>1166个基因</w:t>
      </w:r>
      <w:r>
        <w:rPr>
          <w:rFonts w:hint="eastAsia" w:ascii="Times New Roman" w:hAnsi="Times New Roman" w:eastAsia="微软雅黑" w:cs="Times New Roman"/>
          <w:color w:val="auto"/>
          <w:szCs w:val="21"/>
          <w:highlight w:val="none"/>
          <w:lang w:eastAsia="zh-CN"/>
        </w:rPr>
        <w:t>）</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_Toc11937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FFFFA0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_Toc8432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_Toc8432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0626090">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_Toc8716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_Toc8716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F09F1FF">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009_WPSOffice_Level1"/>
      <w:bookmarkStart w:id="1" w:name="_Toc10446"/>
      <w:bookmarkStart w:id="2" w:name="_Toc24178_WPSOffice_Level1"/>
      <w:bookmarkStart w:id="3" w:name="_Toc27500"/>
      <w:bookmarkStart w:id="4" w:name="_Toc13806"/>
      <w:bookmarkStart w:id="5" w:name="_Toc30143_WPSOffice_Level1"/>
      <w:bookmarkStart w:id="6" w:name="_Toc32054"/>
      <w:bookmarkStart w:id="7" w:name="_Toc4230"/>
      <w:bookmarkStart w:id="8" w:name="_Toc21669"/>
      <w:bookmarkStart w:id="9" w:name="_Toc24397"/>
    </w:p>
    <w:p w14:paraId="09CA5424">
      <w:pPr>
        <w:pStyle w:val="2"/>
        <w:numPr>
          <w:ilvl w:val="255"/>
          <w:numId w:val="0"/>
        </w:numPr>
        <w:jc w:val="left"/>
        <w:rPr>
          <w:rFonts w:hint="eastAsia" w:eastAsia="微软雅黑" w:cs="Times New Roman"/>
          <w:sz w:val="44"/>
          <w:szCs w:val="44"/>
          <w:lang w:val="en-US" w:eastAsia="zh-CN"/>
        </w:rPr>
      </w:pPr>
      <w:bookmarkStart w:id="10" w:name="_Toc23558"/>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rFonts w:hint="eastAsia"/>
                <w:spacing w:val="8"/>
                <w:lang w:eastAsia="zh-CN"/>
              </w:rPr>
              <w:t>肿瘤融合基因</w:t>
            </w:r>
            <w:r>
              <w:rPr>
                <w:rFonts w:hint="eastAsia"/>
                <w:spacing w:val="8"/>
                <w:lang w:val="en-US" w:eastAsia="zh-CN"/>
              </w:rPr>
              <w:t>RNA</w:t>
            </w:r>
            <w:r>
              <w:rPr>
                <w:rFonts w:hint="eastAsia"/>
                <w:spacing w:val="8"/>
                <w:lang w:eastAsia="zh-CN"/>
              </w:rPr>
              <w:t>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5426"/>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rFonts w:hint="eastAsia"/>
                <w:spacing w:val="-2"/>
                <w:lang w:eastAsia="zh-CN"/>
              </w:rPr>
              <w:t>分子分型</w:t>
            </w:r>
            <w:r>
              <w:rPr>
                <w:spacing w:val="-2"/>
                <w:lang w:eastAsia="zh-CN"/>
              </w:rPr>
              <w:t>辅助诊断、靶向治疗</w:t>
            </w:r>
            <w:r>
              <w:rPr>
                <w:rFonts w:hint="eastAsia"/>
                <w:spacing w:val="-2"/>
                <w:lang w:eastAsia="zh-CN"/>
              </w:rPr>
              <w:t>相关基因融合检测</w:t>
            </w:r>
          </w:p>
        </w:tc>
        <w:tc>
          <w:tcPr>
            <w:tcW w:w="6368" w:type="dxa"/>
            <w:tcBorders>
              <w:left w:val="single" w:color="auto" w:sz="4" w:space="0"/>
            </w:tcBorders>
          </w:tcPr>
          <w:p w14:paraId="04BCD3D8">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rFonts w:hint="eastAsia"/>
                <w:spacing w:val="2"/>
                <w:lang w:eastAsia="zh-CN"/>
              </w:rPr>
            </w:pPr>
            <w:r>
              <w:rPr>
                <w:rFonts w:hint="eastAsia"/>
                <w:spacing w:val="2"/>
                <w:lang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rFonts w:hint="eastAsia"/>
                <w:spacing w:val="2"/>
                <w:lang w:eastAsia="zh-CN"/>
              </w:rPr>
              <w:t>本报告全面分析基因融合变异，{% if brainGliomaFlag or disease.Sarcoma or disease.Midline or disease.KidneyFlag %}可以辅助肿瘤分型诊断并{% endif %}给出用药提示，从而为临床制定治疗方案提供参考信息。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756"/>
      <w:bookmarkStart w:id="15" w:name="_Toc149837254"/>
      <w:bookmarkStart w:id="16" w:name="_Toc11436"/>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686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1AE570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16955E97">
            <w:pPr>
              <w:pStyle w:val="51"/>
              <w:spacing w:before="203" w:line="219" w:lineRule="auto"/>
              <w:ind w:left="129"/>
              <w:rPr>
                <w:sz w:val="30"/>
                <w:szCs w:val="30"/>
              </w:rPr>
            </w:pPr>
            <w:bookmarkStart w:id="18" w:name="_Toc149837255"/>
            <w:bookmarkStart w:id="19" w:name="_Toc32584"/>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04C8DA0A">
            <w:pPr>
              <w:pStyle w:val="51"/>
              <w:spacing w:before="97" w:line="219" w:lineRule="auto"/>
              <w:ind w:left="98"/>
              <w:jc w:val="both"/>
              <w:rPr>
                <w:sz w:val="21"/>
                <w:szCs w:val="21"/>
              </w:rPr>
            </w:pPr>
            <w:r>
              <w:rPr>
                <w:b/>
                <w:bCs/>
                <w:spacing w:val="-4"/>
                <w:sz w:val="21"/>
                <w:szCs w:val="21"/>
                <w:lang w:eastAsia="zh-CN"/>
              </w:rPr>
              <w:t>靶向治疗</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w:t>
            </w:r>
            <w:r>
              <w:rPr>
                <w:rFonts w:hint="eastAsia"/>
                <w:spacing w:val="-1"/>
                <w:sz w:val="16"/>
                <w:szCs w:val="16"/>
                <w:lang w:eastAsia="zh-CN"/>
              </w:rPr>
              <w:t>%}</w:t>
            </w:r>
          </w:p>
        </w:tc>
      </w:tr>
      <w:tr w14:paraId="36F7B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8E1F721">
            <w:pPr>
              <w:pStyle w:val="23"/>
              <w:ind w:left="119" w:leftChars="0"/>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20DF0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Times New Roman"/>
                <w:b/>
                <w:bCs/>
                <w:sz w:val="21"/>
                <w:szCs w:val="21"/>
                <w:lang w:val="en-US" w:eastAsia="zh-CN" w:bidi="ar-SA"/>
              </w:rPr>
            </w:pPr>
            <w:r>
              <w:rPr>
                <w:rFonts w:hint="eastAsia" w:ascii="宋体" w:hAnsi="宋体" w:eastAsia="宋体" w:cs="宋体"/>
                <w:b/>
                <w:bCs/>
                <w:spacing w:val="-5"/>
                <w:sz w:val="21"/>
                <w:szCs w:val="21"/>
                <w:lang w:val="en-US" w:eastAsia="zh-CN" w:bidi="ar-SA"/>
              </w:rPr>
              <w:t>脑胶质瘤相关分子标记物检测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B99D174">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val="en-US" w:eastAsia="zh-CN"/>
              </w:rPr>
              <w:t>共</w:t>
            </w:r>
            <w:r>
              <w:rPr>
                <w:rFonts w:hint="eastAsia"/>
                <w:spacing w:val="-1"/>
                <w:sz w:val="16"/>
                <w:szCs w:val="16"/>
                <w:lang w:eastAsia="zh-CN"/>
              </w:rPr>
              <w:t>检出{{ summaryOfRresults</w:t>
            </w:r>
            <w:r>
              <w:rPr>
                <w:rFonts w:hint="eastAsia"/>
                <w:spacing w:val="-1"/>
                <w:sz w:val="16"/>
                <w:szCs w:val="16"/>
                <w:lang w:val="en-US" w:eastAsia="zh-CN"/>
              </w:rPr>
              <w:t>.brainGliomaSize</w:t>
            </w:r>
            <w:r>
              <w:rPr>
                <w:rFonts w:hint="eastAsia"/>
                <w:spacing w:val="-1"/>
                <w:sz w:val="16"/>
                <w:szCs w:val="16"/>
                <w:lang w:eastAsia="zh-CN"/>
              </w:rPr>
              <w:t xml:space="preserve"> }}个与脑胶质瘤诊断预后相关的分子标志物</w:t>
            </w:r>
          </w:p>
        </w:tc>
      </w:tr>
      <w:tr w14:paraId="08CE1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34E2F27E">
            <w:pPr>
              <w:pStyle w:val="23"/>
              <w:ind w:left="119" w:leftChars="0"/>
              <w:rPr>
                <w:rFonts w:hint="eastAsia" w:ascii="宋体" w:hAnsi="宋体" w:eastAsia="宋体" w:cs="宋体"/>
                <w:spacing w:val="-1"/>
                <w:sz w:val="16"/>
                <w:szCs w:val="16"/>
                <w:lang w:val="en-US" w:eastAsia="zh-CN" w:bidi="ar-SA"/>
              </w:rPr>
            </w:pPr>
            <w:r>
              <w:rPr>
                <w:rFonts w:hint="eastAsia" w:ascii="Times New Roman" w:hAnsi="Times New Roman" w:eastAsia="微软雅黑" w:cs="黑体"/>
                <w:sz w:val="21"/>
                <w:highlight w:val="none"/>
                <w:lang w:val="en-US" w:eastAsia="zh-CN"/>
              </w:rPr>
              <w:t>{%tr endif %}</w:t>
            </w:r>
          </w:p>
        </w:tc>
      </w:tr>
      <w:tr w14:paraId="09A1E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77F2FDF7">
            <w:pPr>
              <w:pStyle w:val="23"/>
              <w:ind w:left="119" w:leftChars="0"/>
              <w:rPr>
                <w:rFonts w:hint="eastAsia" w:ascii="宋体" w:hAnsi="宋体" w:eastAsia="宋体" w:cs="宋体"/>
                <w:spacing w:val="-1"/>
                <w:sz w:val="16"/>
                <w:szCs w:val="16"/>
                <w:lang w:val="en-US" w:eastAsia="zh-CN" w:bidi="ar-SA"/>
              </w:rPr>
            </w:pPr>
            <w:r>
              <w:rPr>
                <w:rFonts w:hint="eastAsia" w:ascii="Times New Roman" w:hAnsi="Times New Roman" w:eastAsia="微软雅黑" w:cs="黑体"/>
                <w:sz w:val="21"/>
                <w:highlight w:val="none"/>
                <w:lang w:val="en-US" w:eastAsia="zh-CN"/>
              </w:rPr>
              <w:t>{%tr if disease.Sarcoma or disease.Midline or disease.KidneyFlag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23"/>
              <w:ind w:left="119" w:leftChars="0"/>
              <w:jc w:val="center"/>
              <w:rPr>
                <w:rFonts w:hint="eastAsia" w:ascii="Times New Roman" w:hAnsi="Times New Roman" w:eastAsia="微软雅黑" w:cs="Times New Roman"/>
                <w:b/>
                <w:bCs/>
                <w:sz w:val="21"/>
                <w:szCs w:val="22"/>
                <w:highlight w:val="yellow"/>
                <w:lang w:val="en-US" w:eastAsia="zh-CN" w:bidi="ar-SA"/>
              </w:rPr>
            </w:pPr>
            <w:r>
              <w:rPr>
                <w:rFonts w:hint="eastAsia" w:ascii="宋体" w:hAnsi="宋体" w:eastAsia="宋体" w:cs="宋体"/>
                <w:b/>
                <w:bCs/>
                <w:spacing w:val="-5"/>
                <w:sz w:val="21"/>
                <w:szCs w:val="21"/>
                <w:lang w:val="en-US" w:eastAsia="zh-CN" w:bidi="ar-SA"/>
              </w:rPr>
              <w:t>辅助诊断</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EF0F621">
            <w:pPr>
              <w:pStyle w:val="23"/>
              <w:ind w:left="119" w:leftChars="0"/>
              <w:rPr>
                <w:rFonts w:hint="eastAsia" w:ascii="Times New Roman" w:hAnsi="Times New Roman" w:eastAsia="微软雅黑" w:cs="Times New Roman"/>
                <w:sz w:val="21"/>
                <w:szCs w:val="21"/>
                <w:highlight w:val="yellow"/>
                <w:lang w:val="en-US" w:eastAsia="zh-CN" w:bidi="ar-SA"/>
              </w:rPr>
            </w:pPr>
            <w:r>
              <w:rPr>
                <w:rFonts w:hint="eastAsia"/>
                <w:spacing w:val="-1"/>
                <w:sz w:val="16"/>
                <w:szCs w:val="16"/>
                <w:lang w:val="en-US" w:eastAsia="zh-CN"/>
              </w:rPr>
              <w:t>共检出{% if disease.Sarcoma %}{{ summaryOfRresults.geneRearrangementVariationSize2 }}{% else %}{{summaryOfRresults.cancerCount1166}}{% endif %}个基因重排与辅助诊断相关</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4092047">
            <w:pPr>
              <w:pStyle w:val="23"/>
              <w:ind w:left="119" w:leftChars="0"/>
              <w:rPr>
                <w:rFonts w:hint="eastAsia" w:ascii="宋体" w:hAnsi="宋体" w:eastAsia="宋体" w:cs="宋体"/>
                <w:spacing w:val="-1"/>
                <w:sz w:val="16"/>
                <w:szCs w:val="16"/>
                <w:lang w:val="en-US" w:eastAsia="zh-CN" w:bidi="ar-SA"/>
              </w:rPr>
            </w:pPr>
            <w:r>
              <w:rPr>
                <w:rFonts w:hint="eastAsia" w:ascii="Times New Roman" w:hAnsi="Times New Roman" w:eastAsia="微软雅黑" w:cs="黑体"/>
                <w:sz w:val="21"/>
                <w:highlight w:val="none"/>
                <w:lang w:val="en-US" w:eastAsia="zh-CN"/>
              </w:rPr>
              <w:t>{%tr endif %}</w:t>
            </w:r>
          </w:p>
        </w:tc>
      </w:tr>
    </w:tbl>
    <w:p w14:paraId="6B311CB0">
      <w:pPr>
        <w:rPr>
          <w:lang w:eastAsia="zh-CN"/>
        </w:rPr>
      </w:pPr>
    </w:p>
    <w:p w14:paraId="48DB3686">
      <w:pPr>
        <w:pStyle w:val="3"/>
        <w:numPr>
          <w:ilvl w:val="255"/>
          <w:numId w:val="0"/>
        </w:numPr>
        <w:jc w:val="left"/>
        <w:rPr>
          <w:rFonts w:hint="eastAsia"/>
          <w:color w:val="auto"/>
          <w:lang w:eastAsia="zh-CN"/>
        </w:rPr>
      </w:pPr>
      <w:bookmarkStart w:id="20" w:name="_Toc26911"/>
      <w:r>
        <w:rPr>
          <w:rFonts w:hint="eastAsia"/>
          <w:color w:val="auto"/>
          <w:lang w:eastAsia="zh-CN"/>
        </w:rPr>
        <w:t>检测质控参数</w:t>
      </w:r>
      <w:bookmarkEnd w:id="20"/>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3CE318B6">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584" w:type="dxa"/>
            <w:vMerge w:val="restart"/>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highlight w:val="none"/>
                <w:lang w:val="en-US" w:eastAsia="zh-CN"/>
              </w:rPr>
              <w:t>R</w:t>
            </w:r>
            <w:r>
              <w:rPr>
                <w:rFonts w:hint="eastAsia" w:ascii="微软雅黑" w:hAnsi="微软雅黑" w:eastAsia="微软雅黑" w:cs="微软雅黑"/>
                <w:b/>
                <w:bCs/>
                <w:spacing w:val="-5"/>
                <w:sz w:val="23"/>
                <w:szCs w:val="23"/>
                <w:highlight w:val="none"/>
              </w:rPr>
              <w:t>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测序总reads数（条）</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rna.total_reads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≥12,000,000</w:t>
            </w:r>
          </w:p>
        </w:tc>
      </w:tr>
      <w:tr w14:paraId="3655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584" w:type="dxa"/>
            <w:vMerge w:val="continue"/>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xml:space="preserve">{{ </w:t>
            </w:r>
            <w:r>
              <w:rPr>
                <w:rFonts w:hint="eastAsia" w:ascii="微软雅黑" w:hAnsi="微软雅黑" w:eastAsia="微软雅黑" w:cs="微软雅黑"/>
                <w:sz w:val="21"/>
                <w:szCs w:val="21"/>
                <w:lang w:val="en-US" w:eastAsia="zh-CN"/>
              </w:rPr>
              <w:t>rna.</w:t>
            </w:r>
            <w:r>
              <w:rPr>
                <w:rFonts w:hint="eastAsia" w:ascii="微软雅黑" w:hAnsi="微软雅黑" w:eastAsia="微软雅黑" w:cs="微软雅黑"/>
                <w:sz w:val="21"/>
                <w:szCs w:val="21"/>
                <w:lang w:eastAsia="zh-CN"/>
              </w:rPr>
              <w:t>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584" w:type="dxa"/>
            <w:vMerge w:val="continue"/>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584" w:type="dxa"/>
            <w:vMerge w:val="continue"/>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rna.total_reads | oqa(12000000,10000000)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20741"/>
      <w:r>
        <w:rPr>
          <w:rFonts w:hint="eastAsia"/>
          <w:color w:val="auto"/>
          <w:sz w:val="44"/>
          <w:szCs w:val="44"/>
          <w:lang w:eastAsia="zh-CN"/>
        </w:rPr>
        <w:t>检测结果详述</w:t>
      </w:r>
      <w:bookmarkEnd w:id="21"/>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22" w:name="_Toc15109"/>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val="en-US" w:eastAsia="en-US"/>
        </w:rPr>
      </w:pPr>
      <w:bookmarkStart w:id="23" w:name="_Toc7667"/>
      <w:bookmarkStart w:id="24" w:name="_Toc9056"/>
      <w:r>
        <w:rPr>
          <w:rFonts w:hint="eastAsia"/>
          <w:color w:val="auto"/>
          <w:lang w:val="en-US" w:eastAsia="zh-CN"/>
        </w:rPr>
        <w:t>脑胶质瘤相关分子标记物检测结果</w:t>
      </w:r>
      <w:bookmarkEnd w:id="22"/>
      <w:bookmarkEnd w:id="23"/>
      <w:bookmarkEnd w:id="24"/>
    </w:p>
    <w:tbl>
      <w:tblPr>
        <w:tblStyle w:val="17"/>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A9D18E"/>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b/>
                <w:bCs/>
                <w:color w:val="auto"/>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A9D18E"/>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b/>
                <w:bCs/>
                <w:color w:val="auto"/>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A9D18E"/>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b/>
                <w:bCs/>
                <w:color w:val="auto"/>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B2235B3">
      <w:pPr>
        <w:numPr>
          <w:ilvl w:val="0"/>
          <w:numId w:val="8"/>
        </w:numPr>
        <w:rPr>
          <w:rFonts w:hint="eastAsia"/>
          <w:color w:val="auto"/>
          <w:lang w:val="en-US" w:eastAsia="zh-CN"/>
        </w:rPr>
      </w:pPr>
      <w:r>
        <w:rPr>
          <w:rFonts w:ascii="Times New Roman" w:hAnsi="Times New Roman" w:eastAsia="微软雅黑" w:cs="Times New Roman"/>
          <w:sz w:val="18"/>
          <w:szCs w:val="18"/>
          <w:lang w:eastAsia="zh-CN"/>
        </w:rPr>
        <w:t>本报告仅对本次标本检测负责，结果仅供医生参考。</w:t>
      </w:r>
    </w:p>
    <w:p w14:paraId="1D4F2BCA">
      <w:pPr>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br w:type="page"/>
      </w:r>
    </w:p>
    <w:p w14:paraId="66FAC8DA">
      <w:pPr>
        <w:bidi w:val="0"/>
        <w:rPr>
          <w:rFonts w:hint="default"/>
          <w:sz w:val="24"/>
          <w:szCs w:val="24"/>
          <w:lang w:val="en-US" w:eastAsia="zh-CN"/>
        </w:rPr>
      </w:pP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val="en-US" w:eastAsia="zh-CN"/>
        </w:rPr>
      </w:pPr>
      <w:bookmarkStart w:id="25" w:name="_Toc17894"/>
      <w:bookmarkStart w:id="26" w:name="_Toc17945"/>
      <w:bookmarkStart w:id="27" w:name="_Toc9435"/>
      <w:r>
        <w:rPr>
          <w:rFonts w:hint="eastAsia"/>
          <w:color w:val="auto"/>
          <w:lang w:val="en-US" w:eastAsia="zh-CN"/>
        </w:rPr>
        <w:t>辅助诊断提示</w:t>
      </w:r>
      <w:bookmarkEnd w:id="25"/>
      <w:bookmarkEnd w:id="26"/>
      <w:bookmarkEnd w:id="2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A9D18E"/>
            <w:vAlign w:val="center"/>
          </w:tcPr>
          <w:p w14:paraId="28527B6A">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rPr>
              <w:t>检测结果</w:t>
            </w:r>
          </w:p>
        </w:tc>
        <w:tc>
          <w:tcPr>
            <w:tcW w:w="1300" w:type="dxa"/>
            <w:tcBorders>
              <w:top w:val="nil"/>
              <w:left w:val="single" w:color="FFFFFF" w:sz="18" w:space="0"/>
              <w:bottom w:val="nil"/>
              <w:right w:val="single" w:color="FFFFFF" w:sz="18" w:space="0"/>
            </w:tcBorders>
            <w:shd w:val="clear" w:color="auto" w:fill="A9D18E"/>
            <w:vAlign w:val="center"/>
          </w:tcPr>
          <w:p w14:paraId="0E8670F7">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融合reads数</w:t>
            </w:r>
          </w:p>
        </w:tc>
        <w:tc>
          <w:tcPr>
            <w:tcW w:w="2469" w:type="dxa"/>
            <w:tcBorders>
              <w:top w:val="nil"/>
              <w:left w:val="single" w:color="FFFFFF" w:sz="18" w:space="0"/>
              <w:bottom w:val="nil"/>
              <w:right w:val="single" w:color="FFFFFF" w:sz="18" w:space="0"/>
            </w:tcBorders>
            <w:shd w:val="clear" w:color="auto" w:fill="A9D18E"/>
            <w:vAlign w:val="center"/>
          </w:tcPr>
          <w:p w14:paraId="0CC205A0">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基因变异相关亚型</w:t>
            </w:r>
          </w:p>
        </w:tc>
        <w:tc>
          <w:tcPr>
            <w:tcW w:w="1823" w:type="dxa"/>
            <w:tcBorders>
              <w:top w:val="nil"/>
              <w:left w:val="single" w:color="FFFFFF" w:sz="18" w:space="0"/>
              <w:bottom w:val="nil"/>
              <w:right w:val="nil"/>
            </w:tcBorders>
            <w:shd w:val="clear" w:color="auto" w:fill="A9D18E"/>
            <w:vAlign w:val="center"/>
          </w:tcPr>
          <w:p w14:paraId="05F15E58">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Hans"/>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A9D18E"/>
            <w:vAlign w:val="center"/>
          </w:tcPr>
          <w:p w14:paraId="6BD0D628">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rPr>
              <w:t>检测结果</w:t>
            </w:r>
          </w:p>
        </w:tc>
        <w:tc>
          <w:tcPr>
            <w:tcW w:w="1428" w:type="dxa"/>
            <w:tcBorders>
              <w:top w:val="nil"/>
              <w:left w:val="single" w:color="FFFFFF" w:sz="18" w:space="0"/>
              <w:bottom w:val="nil"/>
              <w:right w:val="single" w:color="FFFFFF" w:sz="18" w:space="0"/>
            </w:tcBorders>
            <w:shd w:val="clear" w:color="auto" w:fill="A9D18E"/>
            <w:vAlign w:val="center"/>
          </w:tcPr>
          <w:p w14:paraId="1C692793">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融合reads数</w:t>
            </w:r>
          </w:p>
        </w:tc>
        <w:tc>
          <w:tcPr>
            <w:tcW w:w="2469" w:type="dxa"/>
            <w:tcBorders>
              <w:top w:val="nil"/>
              <w:left w:val="single" w:color="FFFFFF" w:sz="18" w:space="0"/>
              <w:bottom w:val="nil"/>
              <w:right w:val="single" w:color="FFFFFF" w:sz="18" w:space="0"/>
            </w:tcBorders>
            <w:shd w:val="clear" w:color="auto" w:fill="A9D18E"/>
            <w:vAlign w:val="center"/>
          </w:tcPr>
          <w:p w14:paraId="2692A966">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基因变异相关亚型</w:t>
            </w:r>
          </w:p>
        </w:tc>
        <w:tc>
          <w:tcPr>
            <w:tcW w:w="1825" w:type="dxa"/>
            <w:tcBorders>
              <w:top w:val="nil"/>
              <w:left w:val="single" w:color="FFFFFF" w:sz="18" w:space="0"/>
              <w:bottom w:val="nil"/>
              <w:right w:val="nil"/>
            </w:tcBorders>
            <w:shd w:val="clear" w:color="auto" w:fill="A9D18E"/>
            <w:vAlign w:val="center"/>
          </w:tcPr>
          <w:p w14:paraId="10BC93ED">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Hans"/>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1B7BA898">
      <w:pPr>
        <w:numPr>
          <w:ilvl w:val="0"/>
          <w:numId w:val="9"/>
        </w:numPr>
        <w:rPr>
          <w:rFonts w:hint="eastAsia"/>
          <w:color w:val="auto"/>
          <w:lang w:val="en-US" w:eastAsia="zh-CN"/>
        </w:rPr>
      </w:pPr>
      <w:r>
        <w:rPr>
          <w:rFonts w:ascii="Times New Roman" w:hAnsi="Times New Roman" w:eastAsia="微软雅黑" w:cs="Times New Roman"/>
          <w:sz w:val="18"/>
          <w:szCs w:val="18"/>
          <w:lang w:eastAsia="zh-CN"/>
        </w:rPr>
        <w:t>本报告仅对本次标本检测负责，结果仅供医生参考。</w:t>
      </w:r>
    </w:p>
    <w:p w14:paraId="7C7E662C">
      <w:pPr>
        <w:rPr>
          <w:rFonts w:hint="eastAsia"/>
          <w:color w:val="auto"/>
          <w:lang w:val="en-US" w:eastAsia="zh-CN"/>
        </w:rPr>
      </w:pPr>
      <w:r>
        <w:rPr>
          <w:rFonts w:hint="eastAsia"/>
          <w:color w:val="auto"/>
          <w:lang w:val="en-US" w:eastAsia="zh-CN"/>
        </w:rPr>
        <w:br w:type="page"/>
      </w:r>
    </w:p>
    <w:p w14:paraId="4947612E">
      <w:pPr>
        <w:bidi w:val="0"/>
        <w:outlineLvl w:val="9"/>
        <w:rPr>
          <w:rFonts w:hint="default"/>
          <w:color w:val="auto"/>
          <w:lang w:val="en-US" w:eastAsia="zh-CN"/>
        </w:rPr>
      </w:pPr>
      <w:r>
        <w:rPr>
          <w:rFonts w:hint="default" w:ascii="Times New Roman" w:hAnsi="Times New Roman" w:cs="Times New Roman"/>
          <w:sz w:val="24"/>
          <w:szCs w:val="24"/>
          <w:lang w:val="en-US" w:eastAsia="zh-CN"/>
        </w:rPr>
        <w:t>{% endif %}</w:t>
      </w:r>
    </w:p>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default"/>
          <w:color w:val="auto"/>
          <w:lang w:val="en-US" w:eastAsia="zh-CN"/>
        </w:rPr>
      </w:pPr>
      <w:bookmarkStart w:id="28" w:name="_Toc10436"/>
      <w:r>
        <w:rPr>
          <w:rFonts w:hint="eastAsia"/>
          <w:color w:val="auto"/>
          <w:lang w:val="en-US" w:eastAsia="zh-CN"/>
        </w:rPr>
        <w:t>靶向药物用药提示</w:t>
      </w:r>
      <w:bookmarkEnd w:id="28"/>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4"/>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4"/>
        <w:gridCol w:w="1113"/>
        <w:gridCol w:w="1580"/>
        <w:gridCol w:w="996"/>
        <w:gridCol w:w="1112"/>
        <w:gridCol w:w="2326"/>
        <w:gridCol w:w="2338"/>
      </w:tblGrid>
      <w:tr w14:paraId="0221D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A9D18E"/>
            <w:vAlign w:val="center"/>
          </w:tcPr>
          <w:p w14:paraId="65E2A729">
            <w:pPr>
              <w:pStyle w:val="23"/>
              <w:jc w:val="center"/>
              <w:rPr>
                <w:rFonts w:ascii="Times New Roman" w:hAnsi="Times New Roman" w:eastAsia="微软雅黑" w:cs="Times New Roman"/>
                <w:b/>
                <w:color w:val="auto"/>
                <w:sz w:val="21"/>
                <w:szCs w:val="21"/>
                <w:lang w:eastAsia="zh-CN"/>
              </w:rPr>
            </w:pPr>
            <w:r>
              <w:rPr>
                <w:rFonts w:hint="eastAsia" w:ascii="Times New Roman" w:hAnsi="Times New Roman" w:eastAsia="微软雅黑" w:cs="Times New Roman"/>
                <w:b/>
                <w:color w:val="auto"/>
                <w:sz w:val="21"/>
                <w:szCs w:val="21"/>
                <w:lang w:eastAsia="zh-CN"/>
              </w:rPr>
              <w:t>变异分类</w:t>
            </w:r>
          </w:p>
        </w:tc>
        <w:tc>
          <w:tcPr>
            <w:tcW w:w="535" w:type="pct"/>
            <w:tcBorders>
              <w:top w:val="nil"/>
              <w:left w:val="single" w:color="FFFFFF" w:sz="18" w:space="0"/>
              <w:bottom w:val="nil"/>
              <w:right w:val="single" w:color="FFFFFF" w:sz="18" w:space="0"/>
            </w:tcBorders>
            <w:shd w:val="clear" w:color="auto" w:fill="A9D18E"/>
            <w:vAlign w:val="center"/>
          </w:tcPr>
          <w:p w14:paraId="68513473">
            <w:pPr>
              <w:pStyle w:val="23"/>
              <w:jc w:val="center"/>
              <w:rPr>
                <w:rFonts w:ascii="Times New Roman" w:hAnsi="Times New Roman" w:eastAsia="微软雅黑" w:cs="Times New Roman"/>
                <w:b/>
                <w:color w:val="auto"/>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auto"/>
                <w:sz w:val="21"/>
                <w:szCs w:val="21"/>
              </w:rPr>
              <w:t>基因</w:t>
            </w:r>
          </w:p>
        </w:tc>
        <w:tc>
          <w:tcPr>
            <w:tcW w:w="759" w:type="pct"/>
            <w:tcBorders>
              <w:top w:val="nil"/>
              <w:left w:val="single" w:color="FFFFFF" w:sz="18" w:space="0"/>
              <w:bottom w:val="nil"/>
              <w:right w:val="single" w:color="FFFFFF" w:sz="18" w:space="0"/>
            </w:tcBorders>
            <w:shd w:val="clear" w:color="auto" w:fill="A9D18E"/>
            <w:vAlign w:val="center"/>
          </w:tcPr>
          <w:p w14:paraId="1BA7F368">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rPr>
              <w:t>检测结果</w:t>
            </w:r>
          </w:p>
        </w:tc>
        <w:tc>
          <w:tcPr>
            <w:tcW w:w="478" w:type="pct"/>
            <w:tcBorders>
              <w:top w:val="nil"/>
              <w:left w:val="single" w:color="FFFFFF" w:sz="18" w:space="0"/>
              <w:bottom w:val="nil"/>
              <w:right w:val="single" w:color="FFFFFF" w:sz="18" w:space="0"/>
            </w:tcBorders>
            <w:shd w:val="clear" w:color="auto" w:fill="A9D18E"/>
            <w:vAlign w:val="center"/>
          </w:tcPr>
          <w:p w14:paraId="0BB5F912">
            <w:pPr>
              <w:pStyle w:val="23"/>
              <w:jc w:val="center"/>
              <w:rPr>
                <w:rFonts w:ascii="Times New Roman" w:hAnsi="Times New Roman" w:eastAsia="微软雅黑" w:cs="Times New Roman"/>
                <w:b/>
                <w:color w:val="auto"/>
                <w:sz w:val="21"/>
                <w:szCs w:val="21"/>
                <w:lang w:eastAsia="zh-CN"/>
              </w:rPr>
            </w:pPr>
            <w:r>
              <w:rPr>
                <w:rFonts w:hint="eastAsia" w:ascii="Times New Roman" w:hAnsi="Times New Roman" w:eastAsia="微软雅黑" w:cs="Times New Roman"/>
                <w:b/>
                <w:color w:val="auto"/>
                <w:sz w:val="21"/>
                <w:szCs w:val="21"/>
                <w:lang w:eastAsia="zh-CN"/>
              </w:rPr>
              <w:t>突变类型</w:t>
            </w:r>
          </w:p>
        </w:tc>
        <w:tc>
          <w:tcPr>
            <w:tcW w:w="534" w:type="pct"/>
            <w:tcBorders>
              <w:top w:val="nil"/>
              <w:left w:val="single" w:color="FFFFFF" w:sz="18" w:space="0"/>
              <w:bottom w:val="nil"/>
              <w:right w:val="single" w:color="FFFFFF" w:sz="18" w:space="0"/>
            </w:tcBorders>
            <w:shd w:val="clear" w:color="auto" w:fill="A9D18E"/>
            <w:vAlign w:val="center"/>
          </w:tcPr>
          <w:p w14:paraId="3A4B94CE">
            <w:pPr>
              <w:pStyle w:val="23"/>
              <w:jc w:val="center"/>
              <w:rPr>
                <w:rFonts w:ascii="Times New Roman" w:hAnsi="Times New Roman" w:eastAsia="微软雅黑" w:cs="Times New Roman"/>
                <w:b/>
                <w:color w:val="auto"/>
                <w:sz w:val="21"/>
                <w:szCs w:val="21"/>
                <w:lang w:eastAsia="zh-CN"/>
              </w:rPr>
            </w:pPr>
            <w:r>
              <w:rPr>
                <w:rFonts w:hint="eastAsia" w:ascii="Times New Roman" w:hAnsi="Times New Roman" w:eastAsia="微软雅黑" w:cs="Times New Roman"/>
                <w:b/>
                <w:color w:val="auto"/>
                <w:sz w:val="21"/>
                <w:szCs w:val="21"/>
                <w:lang w:eastAsia="zh-CN"/>
              </w:rPr>
              <w:t>reads数</w:t>
            </w:r>
          </w:p>
        </w:tc>
        <w:tc>
          <w:tcPr>
            <w:tcW w:w="1118" w:type="pct"/>
            <w:tcBorders>
              <w:top w:val="nil"/>
              <w:left w:val="single" w:color="FFFFFF" w:sz="18" w:space="0"/>
              <w:bottom w:val="nil"/>
              <w:right w:val="single" w:color="FFFFFF" w:sz="18" w:space="0"/>
            </w:tcBorders>
            <w:shd w:val="clear" w:color="auto" w:fill="A9D18E"/>
            <w:vAlign w:val="center"/>
          </w:tcPr>
          <w:p w14:paraId="0A3A0514">
            <w:pPr>
              <w:pStyle w:val="23"/>
              <w:jc w:val="center"/>
              <w:rPr>
                <w:rFonts w:ascii="Times New Roman" w:hAnsi="Times New Roman" w:eastAsia="微软雅黑" w:cs="Times New Roman"/>
                <w:b/>
                <w:color w:val="auto"/>
                <w:sz w:val="21"/>
                <w:szCs w:val="21"/>
                <w:lang w:eastAsia="zh-CN"/>
              </w:rPr>
            </w:pPr>
            <w:r>
              <w:rPr>
                <w:rFonts w:ascii="Times New Roman" w:hAnsi="Times New Roman" w:eastAsia="微软雅黑" w:cs="Times New Roman"/>
                <w:b/>
                <w:color w:val="auto"/>
                <w:sz w:val="21"/>
                <w:szCs w:val="21"/>
                <w:lang w:eastAsia="zh-CN"/>
              </w:rPr>
              <w:t>可能获益药物</w:t>
            </w:r>
          </w:p>
        </w:tc>
        <w:tc>
          <w:tcPr>
            <w:tcW w:w="1124" w:type="pct"/>
            <w:tcBorders>
              <w:top w:val="nil"/>
              <w:left w:val="single" w:color="FFFFFF" w:sz="18" w:space="0"/>
              <w:bottom w:val="nil"/>
              <w:right w:val="nil"/>
            </w:tcBorders>
            <w:shd w:val="clear" w:color="auto" w:fill="A9D18E"/>
            <w:vAlign w:val="center"/>
          </w:tcPr>
          <w:p w14:paraId="5ECD60A0">
            <w:pPr>
              <w:pStyle w:val="23"/>
              <w:jc w:val="center"/>
              <w:rPr>
                <w:rFonts w:ascii="Times New Roman" w:hAnsi="Times New Roman" w:eastAsia="微软雅黑" w:cs="Times New Roman"/>
                <w:b/>
                <w:color w:val="auto"/>
                <w:sz w:val="21"/>
                <w:szCs w:val="21"/>
              </w:rPr>
            </w:pPr>
            <w:r>
              <w:rPr>
                <w:rFonts w:ascii="Times New Roman" w:hAnsi="Times New Roman" w:eastAsia="微软雅黑" w:cs="Times New Roman"/>
                <w:b/>
                <w:color w:val="auto"/>
                <w:sz w:val="21"/>
                <w:szCs w:val="21"/>
                <w:lang w:eastAsia="zh-CN"/>
              </w:rPr>
              <w:t>可能耐药药物</w:t>
            </w:r>
          </w:p>
        </w:tc>
      </w:tr>
      <w:tr w14:paraId="6480A5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312D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EDEB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FCCC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4F8A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7E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A02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087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585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B51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8EF2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4D7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977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F0BA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555A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44D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E20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0FB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7F1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A81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9E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E7F2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9DE4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5C0D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5EA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F9C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EE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D87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332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302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1EC8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95523E">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583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1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E4F8F7">
            <w:pPr>
              <w:spacing w:before="1" w:line="249" w:lineRule="auto"/>
              <w:ind w:left="262" w:leftChars="0" w:right="131"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{%tr for tip in complexDrugTipLineStr %}</w:t>
            </w:r>
          </w:p>
        </w:tc>
      </w:tr>
      <w:tr w14:paraId="638543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C03CE4D">
            <w:pPr>
              <w:ind w:left="162" w:leftChars="0" w:right="163" w:rightChars="0"/>
              <w:jc w:val="center"/>
              <w:rPr>
                <w:rFonts w:hint="eastAsia" w:ascii="Times New Roman" w:hAnsi="Times New Roman" w:eastAsia="微软雅黑" w:cs="Times New Roman"/>
                <w:b/>
                <w:sz w:val="21"/>
                <w:szCs w:val="21"/>
                <w:lang w:val="en-US" w:eastAsia="zh-CN" w:bidi="ar-SA"/>
              </w:rPr>
            </w:pPr>
            <w:r>
              <w:rPr>
                <w:rFonts w:hint="eastAsia" w:ascii="Times New Roman" w:hAnsi="Times New Roman" w:eastAsia="微软雅黑" w:cs="Times New Roman"/>
                <w:b/>
                <w:sz w:val="21"/>
                <w:szCs w:val="21"/>
                <w:lang w:eastAsia="zh-CN"/>
              </w:rPr>
              <w:t>{{ tip.variationClass }}</w:t>
            </w:r>
          </w:p>
        </w:tc>
        <w:tc>
          <w:tcPr>
            <w:tcW w:w="1113"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A15AAE">
            <w:pPr>
              <w:ind w:left="162" w:leftChars="0" w:right="163" w:rightChars="0"/>
              <w:jc w:val="center"/>
              <w:rPr>
                <w:rFonts w:hint="eastAsia"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80"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7E8CA">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0F9779">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367DF8">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E50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171F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2A5F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145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1B19E7">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E8A3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BC7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25A1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1BDC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CE6F7E">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51BF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9D3F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6DB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EFAE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1CAF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6A0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2C5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657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C23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1A7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2408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4B8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A7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2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62D8D978">
      <w:pPr>
        <w:pStyle w:val="8"/>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lang w:eastAsia="zh-CN"/>
        </w:rPr>
        <w:t>多靶点循证检测结果中的符号意义：“+”表示“并且”，“/”表示“或者”，“!”表示“不满足”。{% endif %}</w:t>
      </w:r>
    </w:p>
    <w:p w14:paraId="231135BD">
      <w:pPr>
        <w:numPr>
          <w:ilvl w:val="255"/>
          <w:numId w:val="0"/>
        </w:numPr>
        <w:jc w:val="left"/>
        <w:outlineLvl w:val="9"/>
        <w:rPr>
          <w:rFonts w:hint="default" w:asciiTheme="majorAscii" w:hAnsiTheme="majorAscii"/>
          <w:b/>
          <w:bCs/>
          <w:color w:val="auto"/>
          <w:sz w:val="44"/>
          <w:szCs w:val="44"/>
        </w:rPr>
      </w:pPr>
      <w:r>
        <w:rPr>
          <w:rFonts w:hint="eastAsia" w:ascii="Times New Roman" w:hAnsi="Times New Roman" w:eastAsia="微软雅黑" w:cs="Times New Roman"/>
          <w:color w:val="auto"/>
          <w:sz w:val="24"/>
          <w:szCs w:val="24"/>
          <w:lang w:eastAsia="zh-CN"/>
        </w:rPr>
        <w:t>{%if BodyDrugDrugDetectionStr or unknownVarAnalysisStr %}</w:t>
      </w:r>
    </w:p>
    <w:p w14:paraId="144C484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D374C">
      <w:pPr>
        <w:pStyle w:val="2"/>
        <w:numPr>
          <w:ilvl w:val="255"/>
          <w:numId w:val="0"/>
        </w:numPr>
        <w:jc w:val="left"/>
        <w:rPr>
          <w:b/>
          <w:bCs/>
          <w:color w:val="000000" w:themeColor="text1"/>
          <w:sz w:val="44"/>
          <w:szCs w:val="44"/>
          <w14:textFill>
            <w14:solidFill>
              <w14:schemeClr w14:val="tx1"/>
            </w14:solidFill>
          </w14:textFill>
        </w:rPr>
      </w:pPr>
      <w:bookmarkStart w:id="29" w:name="_Toc23251"/>
      <w:bookmarkStart w:id="30" w:name="_Toc6061"/>
      <w:bookmarkStart w:id="31" w:name="_Toc30517"/>
      <w:bookmarkStart w:id="32" w:name="_Toc180"/>
      <w:r>
        <w:rPr>
          <w:rFonts w:hint="default" w:asciiTheme="majorAscii" w:hAnsiTheme="majorAscii"/>
          <w:b/>
          <w:bCs/>
          <w:color w:val="000000" w:themeColor="text1"/>
          <w:sz w:val="44"/>
          <w:szCs w:val="44"/>
          <w14:textFill>
            <w14:solidFill>
              <w14:schemeClr w14:val="tx1"/>
            </w14:solidFill>
          </w14:textFill>
        </w:rPr>
        <w:t>基因检测结果解析</w:t>
      </w:r>
      <w:bookmarkEnd w:id="29"/>
      <w:bookmarkEnd w:id="30"/>
      <w:bookmarkEnd w:id="31"/>
      <w:bookmarkEnd w:id="32"/>
    </w:p>
    <w:bookmarkEnd w:id="11"/>
    <w:bookmarkEnd w:id="18"/>
    <w:bookmarkEnd w:id="19"/>
    <w:p w14:paraId="52971EAE">
      <w:pPr>
        <w:pStyle w:val="3"/>
        <w:numPr>
          <w:ilvl w:val="255"/>
          <w:numId w:val="0"/>
        </w:numPr>
        <w:jc w:val="left"/>
        <w:rPr>
          <w:rFonts w:hint="eastAsia" w:ascii="Times New Roman" w:hAnsi="Times New Roman"/>
          <w:color w:val="auto"/>
          <w:sz w:val="30"/>
          <w:lang w:val="en-US" w:eastAsia="zh-CN"/>
        </w:rPr>
      </w:pPr>
      <w:bookmarkStart w:id="33" w:name="_Toc24548"/>
      <w:bookmarkStart w:id="34" w:name="_Toc4979"/>
      <w:bookmarkStart w:id="35" w:name="_Toc11896_WPSOffice_Level1"/>
      <w:bookmarkStart w:id="36" w:name="_Toc1779"/>
      <w:bookmarkStart w:id="37" w:name="_Toc28810_WPSOffice_Level1"/>
      <w:bookmarkStart w:id="38" w:name="_Toc27173"/>
      <w:bookmarkStart w:id="39" w:name="_Toc11193_WPSOffice_Level1"/>
      <w:bookmarkStart w:id="40" w:name="_Toc1986"/>
      <w:bookmarkStart w:id="41" w:name="_Toc11812"/>
      <w:bookmarkStart w:id="42" w:name="_Toc20303"/>
      <w:r>
        <w:rPr>
          <w:rFonts w:hint="eastAsia" w:ascii="Times New Roman" w:hAnsi="Times New Roman"/>
          <w:color w:val="auto"/>
          <w:sz w:val="30"/>
          <w:lang w:val="en-US" w:eastAsia="zh-CN"/>
        </w:rPr>
        <w:t>变异位点结果解析</w:t>
      </w:r>
      <w:bookmarkEnd w:id="33"/>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A9D18E"/>
            <w:vAlign w:val="center"/>
          </w:tcPr>
          <w:p w14:paraId="4FB22D13">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A9D18E"/>
            <w:vAlign w:val="center"/>
          </w:tcPr>
          <w:p w14:paraId="520D7A43">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34CB5E23">
            <w:pPr>
              <w:spacing w:before="1" w:line="250" w:lineRule="auto"/>
              <w:jc w:val="center"/>
              <w:rPr>
                <w:rFonts w:hint="default" w:ascii="Times New Roman" w:hAnsi="Times New Roman" w:eastAsia="微软雅黑" w:cs="Times New Roman"/>
                <w:color w:val="auto"/>
                <w:sz w:val="18"/>
                <w:szCs w:val="18"/>
                <w:lang w:eastAsia="zh-CN"/>
              </w:rPr>
            </w:pPr>
            <w:r>
              <w:rPr>
                <w:rFonts w:hint="default" w:ascii="Times New Roman" w:hAnsi="Times New Roman" w:eastAsia="微软雅黑" w:cs="Times New Roman"/>
                <w:b/>
                <w:color w:val="auto"/>
                <w:sz w:val="18"/>
                <w:szCs w:val="18"/>
                <w:lang w:eastAsia="zh-CN"/>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B71ED1B">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758E2A8F">
            <w:pPr>
              <w:spacing w:before="1" w:line="250" w:lineRule="auto"/>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9F5D303">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2262F77">
            <w:pPr>
              <w:spacing w:before="1" w:line="250" w:lineRule="auto"/>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5A7389BD">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C9D2AED">
            <w:pPr>
              <w:spacing w:before="1" w:line="250" w:lineRule="auto"/>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C020DCE">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17CEADED">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D1BB54F">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11AC9A63">
            <w:pPr>
              <w:keepNext/>
              <w:spacing w:before="26"/>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7CD03E4">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21EC64E1">
            <w:pPr>
              <w:keepNext/>
              <w:spacing w:before="26"/>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234EEBA4">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CA63A02">
            <w:pPr>
              <w:keepNext/>
              <w:spacing w:before="26"/>
              <w:jc w:val="center"/>
              <w:rPr>
                <w:rFonts w:hint="default" w:ascii="Times New Roman" w:hAnsi="Times New Roman" w:eastAsia="微软雅黑" w:cs="Times New Roman"/>
                <w:b/>
                <w:color w:val="auto"/>
                <w:sz w:val="18"/>
                <w:szCs w:val="18"/>
                <w:lang w:eastAsia="zh-CN"/>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872AA95">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A9D18E"/>
            <w:vAlign w:val="center"/>
          </w:tcPr>
          <w:p w14:paraId="6173460D">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9D18E"/>
            <w:vAlign w:val="center"/>
          </w:tcPr>
          <w:p w14:paraId="161AF6BC">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631C29EE">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相关疾病</w:t>
            </w:r>
          </w:p>
        </w:tc>
        <w:tc>
          <w:tcPr>
            <w:tcW w:w="1232" w:type="dxa"/>
            <w:tcBorders>
              <w:top w:val="nil"/>
              <w:left w:val="single" w:color="FFFFFF" w:sz="18" w:space="0"/>
              <w:bottom w:val="nil"/>
              <w:right w:val="single" w:color="FFFFFF" w:sz="18" w:space="0"/>
            </w:tcBorders>
            <w:shd w:val="clear" w:color="auto" w:fill="A9D18E"/>
            <w:vAlign w:val="center"/>
          </w:tcPr>
          <w:p w14:paraId="2C02AB79">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证据等级</w:t>
            </w:r>
          </w:p>
        </w:tc>
        <w:tc>
          <w:tcPr>
            <w:tcW w:w="5695" w:type="dxa"/>
            <w:tcBorders>
              <w:top w:val="nil"/>
              <w:left w:val="single" w:color="FFFFFF" w:sz="18" w:space="0"/>
              <w:bottom w:val="nil"/>
              <w:right w:val="nil"/>
            </w:tcBorders>
            <w:shd w:val="clear" w:color="auto" w:fill="A9D18E"/>
            <w:vAlign w:val="center"/>
          </w:tcPr>
          <w:p w14:paraId="7B2A575E">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9D18E"/>
            <w:vAlign w:val="center"/>
          </w:tcPr>
          <w:p w14:paraId="4DF6BF0E">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7E4DC4AC">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相关疾病</w:t>
            </w:r>
          </w:p>
        </w:tc>
        <w:tc>
          <w:tcPr>
            <w:tcW w:w="1261" w:type="dxa"/>
            <w:tcBorders>
              <w:top w:val="nil"/>
              <w:left w:val="single" w:color="FFFFFF" w:sz="18" w:space="0"/>
              <w:bottom w:val="nil"/>
              <w:right w:val="single" w:color="FFFFFF" w:sz="18" w:space="0"/>
            </w:tcBorders>
            <w:shd w:val="clear" w:color="auto" w:fill="A9D18E"/>
            <w:vAlign w:val="center"/>
          </w:tcPr>
          <w:p w14:paraId="225E7538">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证据等级</w:t>
            </w:r>
          </w:p>
        </w:tc>
        <w:tc>
          <w:tcPr>
            <w:tcW w:w="5666" w:type="dxa"/>
            <w:tcBorders>
              <w:top w:val="nil"/>
              <w:left w:val="single" w:color="FFFFFF" w:sz="18" w:space="0"/>
              <w:bottom w:val="nil"/>
              <w:right w:val="nil"/>
            </w:tcBorders>
            <w:shd w:val="clear" w:color="auto" w:fill="A9D18E"/>
            <w:vAlign w:val="center"/>
          </w:tcPr>
          <w:p w14:paraId="6E060AA3">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9D18E"/>
            <w:vAlign w:val="center"/>
          </w:tcPr>
          <w:p w14:paraId="2E8EACEF">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ID</w:t>
            </w:r>
          </w:p>
        </w:tc>
        <w:tc>
          <w:tcPr>
            <w:tcW w:w="3884" w:type="dxa"/>
            <w:tcBorders>
              <w:top w:val="nil"/>
              <w:left w:val="single" w:color="FFFFFF" w:sz="18" w:space="0"/>
              <w:bottom w:val="nil"/>
              <w:right w:val="single" w:color="FFFFFF" w:sz="18" w:space="0"/>
            </w:tcBorders>
            <w:shd w:val="clear" w:color="auto" w:fill="A9D18E"/>
            <w:vAlign w:val="center"/>
          </w:tcPr>
          <w:p w14:paraId="5FF6E791">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A9D18E"/>
            <w:vAlign w:val="center"/>
          </w:tcPr>
          <w:p w14:paraId="0D5E9E60">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肿瘤类型</w:t>
            </w:r>
          </w:p>
        </w:tc>
        <w:tc>
          <w:tcPr>
            <w:tcW w:w="1035" w:type="dxa"/>
            <w:tcBorders>
              <w:top w:val="nil"/>
              <w:left w:val="single" w:color="FFFFFF" w:sz="18" w:space="0"/>
              <w:bottom w:val="nil"/>
              <w:right w:val="single" w:color="FFFFFF" w:sz="18" w:space="0"/>
            </w:tcBorders>
            <w:shd w:val="clear" w:color="auto" w:fill="A9D18E"/>
            <w:vAlign w:val="center"/>
          </w:tcPr>
          <w:p w14:paraId="051F5A26">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阶段</w:t>
            </w:r>
          </w:p>
        </w:tc>
        <w:tc>
          <w:tcPr>
            <w:tcW w:w="1204" w:type="dxa"/>
            <w:tcBorders>
              <w:top w:val="nil"/>
              <w:left w:val="single" w:color="FFFFFF" w:sz="18" w:space="0"/>
              <w:bottom w:val="nil"/>
              <w:right w:val="single" w:color="FFFFFF" w:sz="18" w:space="0"/>
            </w:tcBorders>
            <w:shd w:val="clear" w:color="auto" w:fill="A9D18E"/>
            <w:vAlign w:val="center"/>
          </w:tcPr>
          <w:p w14:paraId="73DFB841">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w:t>
            </w:r>
          </w:p>
        </w:tc>
        <w:tc>
          <w:tcPr>
            <w:tcW w:w="856" w:type="dxa"/>
            <w:tcBorders>
              <w:top w:val="nil"/>
              <w:left w:val="single" w:color="FFFFFF" w:sz="18" w:space="0"/>
              <w:bottom w:val="nil"/>
              <w:right w:val="nil"/>
            </w:tcBorders>
            <w:shd w:val="clear" w:color="auto" w:fill="A9D18E"/>
            <w:vAlign w:val="center"/>
          </w:tcPr>
          <w:p w14:paraId="16C3F551">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9D18E"/>
            <w:vAlign w:val="center"/>
          </w:tcPr>
          <w:p w14:paraId="0E76002D">
            <w:pPr>
              <w:keepNext/>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9D18E"/>
            <w:vAlign w:val="center"/>
          </w:tcPr>
          <w:p w14:paraId="601152FC">
            <w:pPr>
              <w:keepNext/>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9D18E"/>
            <w:vAlign w:val="center"/>
          </w:tcPr>
          <w:p w14:paraId="0490BBD0">
            <w:pPr>
              <w:keepNext/>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AFE452A">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5E85C40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88" w:name="_GoBack"/>
      <w:bookmarkEnd w:id="88"/>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5ABD8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A9D18E"/>
            <w:vAlign w:val="center"/>
          </w:tcPr>
          <w:p w14:paraId="2773A653">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361D0180">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9FAD8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A9D18E"/>
            <w:vAlign w:val="center"/>
          </w:tcPr>
          <w:p w14:paraId="2FE943BE">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5E22BCB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76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2FF8D03A">
            <w:pPr>
              <w:spacing w:before="1" w:line="250" w:lineRule="auto"/>
              <w:jc w:val="center"/>
              <w:rPr>
                <w:rFonts w:hint="default" w:ascii="Times New Roman" w:hAnsi="Times New Roman" w:eastAsia="微软雅黑" w:cs="Times New Roman"/>
                <w:color w:val="auto"/>
                <w:sz w:val="18"/>
                <w:szCs w:val="18"/>
                <w:lang w:eastAsia="zh-CN"/>
              </w:rPr>
            </w:pPr>
            <w:r>
              <w:rPr>
                <w:rFonts w:hint="default" w:ascii="Times New Roman" w:hAnsi="Times New Roman" w:eastAsia="微软雅黑" w:cs="Times New Roman"/>
                <w:b/>
                <w:color w:val="auto"/>
                <w:sz w:val="18"/>
                <w:szCs w:val="18"/>
                <w:lang w:eastAsia="zh-CN"/>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C65BC85">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A级</w:t>
            </w:r>
          </w:p>
        </w:tc>
        <w:tc>
          <w:tcPr>
            <w:tcW w:w="8408" w:type="dxa"/>
            <w:tcBorders>
              <w:top w:val="single" w:color="A4A4A4" w:sz="4" w:space="0"/>
              <w:left w:val="nil"/>
              <w:bottom w:val="single" w:color="A4A4A4" w:sz="4" w:space="0"/>
              <w:right w:val="nil"/>
            </w:tcBorders>
            <w:shd w:val="clear" w:color="auto" w:fill="auto"/>
            <w:vAlign w:val="center"/>
          </w:tcPr>
          <w:p w14:paraId="2209F27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4C13A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1D49B894">
            <w:pPr>
              <w:spacing w:before="1" w:line="250" w:lineRule="auto"/>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7177150C">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B级</w:t>
            </w:r>
          </w:p>
        </w:tc>
        <w:tc>
          <w:tcPr>
            <w:tcW w:w="8408" w:type="dxa"/>
            <w:tcBorders>
              <w:top w:val="single" w:color="A4A4A4" w:sz="4" w:space="0"/>
              <w:left w:val="nil"/>
              <w:bottom w:val="single" w:color="A4A4A4" w:sz="4" w:space="0"/>
              <w:right w:val="nil"/>
            </w:tcBorders>
            <w:shd w:val="clear" w:color="auto" w:fill="auto"/>
            <w:vAlign w:val="center"/>
          </w:tcPr>
          <w:p w14:paraId="751BBD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068A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7E741ABA">
            <w:pPr>
              <w:spacing w:before="1" w:line="250" w:lineRule="auto"/>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9B04AB6">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C级</w:t>
            </w:r>
          </w:p>
        </w:tc>
        <w:tc>
          <w:tcPr>
            <w:tcW w:w="8408" w:type="dxa"/>
            <w:tcBorders>
              <w:top w:val="single" w:color="A4A4A4" w:sz="4" w:space="0"/>
              <w:left w:val="nil"/>
              <w:bottom w:val="single" w:color="A4A4A4" w:sz="4" w:space="0"/>
              <w:right w:val="nil"/>
            </w:tcBorders>
            <w:shd w:val="clear" w:color="auto" w:fill="auto"/>
            <w:vAlign w:val="center"/>
          </w:tcPr>
          <w:p w14:paraId="3CF2BBF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2E314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3609DFF5">
            <w:pPr>
              <w:spacing w:before="1" w:line="250" w:lineRule="auto"/>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37CACA8B">
            <w:pPr>
              <w:spacing w:before="1" w:line="250" w:lineRule="auto"/>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D级</w:t>
            </w:r>
          </w:p>
        </w:tc>
        <w:tc>
          <w:tcPr>
            <w:tcW w:w="8408" w:type="dxa"/>
            <w:tcBorders>
              <w:top w:val="single" w:color="A4A4A4" w:sz="4" w:space="0"/>
              <w:left w:val="nil"/>
              <w:bottom w:val="single" w:color="A4A4A4" w:sz="4" w:space="0"/>
              <w:right w:val="nil"/>
            </w:tcBorders>
            <w:shd w:val="clear" w:color="auto" w:fill="auto"/>
            <w:vAlign w:val="center"/>
          </w:tcPr>
          <w:p w14:paraId="398075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1439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6B70C236">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F745C29">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A级</w:t>
            </w:r>
          </w:p>
        </w:tc>
        <w:tc>
          <w:tcPr>
            <w:tcW w:w="8408" w:type="dxa"/>
            <w:tcBorders>
              <w:top w:val="single" w:color="A4A4A4" w:sz="4" w:space="0"/>
              <w:left w:val="nil"/>
              <w:bottom w:val="single" w:color="A4A4A4" w:sz="4" w:space="0"/>
              <w:right w:val="nil"/>
            </w:tcBorders>
            <w:shd w:val="clear" w:color="auto" w:fill="auto"/>
            <w:vAlign w:val="center"/>
          </w:tcPr>
          <w:p w14:paraId="71E1820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28F0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7462C81D">
            <w:pPr>
              <w:keepNext/>
              <w:spacing w:before="26"/>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3BDFA0B">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B级</w:t>
            </w:r>
          </w:p>
        </w:tc>
        <w:tc>
          <w:tcPr>
            <w:tcW w:w="8408" w:type="dxa"/>
            <w:tcBorders>
              <w:top w:val="single" w:color="A4A4A4" w:sz="4" w:space="0"/>
              <w:left w:val="nil"/>
              <w:bottom w:val="single" w:color="A4A4A4" w:sz="4" w:space="0"/>
              <w:right w:val="nil"/>
            </w:tcBorders>
            <w:shd w:val="clear" w:color="auto" w:fill="auto"/>
            <w:vAlign w:val="center"/>
          </w:tcPr>
          <w:p w14:paraId="417CE8B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D888D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ADBB9D2">
            <w:pPr>
              <w:keepNext/>
              <w:spacing w:before="26"/>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2D0086AA">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C级</w:t>
            </w:r>
          </w:p>
        </w:tc>
        <w:tc>
          <w:tcPr>
            <w:tcW w:w="8408" w:type="dxa"/>
            <w:tcBorders>
              <w:top w:val="single" w:color="A4A4A4" w:sz="4" w:space="0"/>
              <w:left w:val="nil"/>
              <w:bottom w:val="single" w:color="A4A4A4" w:sz="4" w:space="0"/>
              <w:right w:val="nil"/>
            </w:tcBorders>
            <w:shd w:val="clear" w:color="auto" w:fill="auto"/>
            <w:vAlign w:val="center"/>
          </w:tcPr>
          <w:p w14:paraId="498174B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28C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4964D088">
            <w:pPr>
              <w:keepNext/>
              <w:spacing w:before="26"/>
              <w:jc w:val="center"/>
              <w:rPr>
                <w:rFonts w:hint="default" w:ascii="Times New Roman" w:hAnsi="Times New Roman" w:eastAsia="微软雅黑" w:cs="Times New Roman"/>
                <w:b/>
                <w:color w:val="auto"/>
                <w:sz w:val="18"/>
                <w:szCs w:val="18"/>
                <w:lang w:eastAsia="zh-CN"/>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1308C31D">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D级</w:t>
            </w:r>
          </w:p>
        </w:tc>
        <w:tc>
          <w:tcPr>
            <w:tcW w:w="8408" w:type="dxa"/>
            <w:tcBorders>
              <w:top w:val="single" w:color="A4A4A4" w:sz="4" w:space="0"/>
              <w:left w:val="nil"/>
              <w:bottom w:val="single" w:color="A4A4A4" w:sz="4" w:space="0"/>
              <w:right w:val="nil"/>
            </w:tcBorders>
            <w:shd w:val="clear" w:color="auto" w:fill="auto"/>
            <w:vAlign w:val="center"/>
          </w:tcPr>
          <w:p w14:paraId="0DF2DA21">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EC4C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A9D18E"/>
            <w:vAlign w:val="center"/>
          </w:tcPr>
          <w:p w14:paraId="0538952C">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773D71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F87F75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D994DC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DF8D3E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5725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9D18E"/>
            <w:vAlign w:val="center"/>
          </w:tcPr>
          <w:p w14:paraId="52EEA3BB">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67AB3135">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相关疾病</w:t>
            </w:r>
          </w:p>
        </w:tc>
        <w:tc>
          <w:tcPr>
            <w:tcW w:w="1232" w:type="dxa"/>
            <w:tcBorders>
              <w:top w:val="nil"/>
              <w:left w:val="single" w:color="FFFFFF" w:sz="18" w:space="0"/>
              <w:bottom w:val="nil"/>
              <w:right w:val="single" w:color="FFFFFF" w:sz="18" w:space="0"/>
            </w:tcBorders>
            <w:shd w:val="clear" w:color="auto" w:fill="A9D18E"/>
            <w:vAlign w:val="center"/>
          </w:tcPr>
          <w:p w14:paraId="23CA6035">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证据等级</w:t>
            </w:r>
          </w:p>
        </w:tc>
        <w:tc>
          <w:tcPr>
            <w:tcW w:w="5695" w:type="dxa"/>
            <w:tcBorders>
              <w:top w:val="nil"/>
              <w:left w:val="single" w:color="FFFFFF" w:sz="18" w:space="0"/>
              <w:bottom w:val="nil"/>
              <w:right w:val="nil"/>
            </w:tcBorders>
            <w:shd w:val="clear" w:color="auto" w:fill="A9D18E"/>
            <w:vAlign w:val="center"/>
          </w:tcPr>
          <w:p w14:paraId="25B0D640">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循证医学信息</w:t>
            </w:r>
          </w:p>
        </w:tc>
      </w:tr>
      <w:tr w14:paraId="70564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CA7DF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467A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6B9EE2">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333CA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9ECB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F631D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E963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4A4B6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D2ED9B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55FD9C7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713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9D18E"/>
            <w:vAlign w:val="center"/>
          </w:tcPr>
          <w:p w14:paraId="6C77E719">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4603AD39">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相关疾病</w:t>
            </w:r>
          </w:p>
        </w:tc>
        <w:tc>
          <w:tcPr>
            <w:tcW w:w="1261" w:type="dxa"/>
            <w:tcBorders>
              <w:top w:val="nil"/>
              <w:left w:val="single" w:color="FFFFFF" w:sz="18" w:space="0"/>
              <w:bottom w:val="nil"/>
              <w:right w:val="single" w:color="FFFFFF" w:sz="18" w:space="0"/>
            </w:tcBorders>
            <w:shd w:val="clear" w:color="auto" w:fill="A9D18E"/>
            <w:vAlign w:val="center"/>
          </w:tcPr>
          <w:p w14:paraId="281768DC">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证据等级</w:t>
            </w:r>
          </w:p>
        </w:tc>
        <w:tc>
          <w:tcPr>
            <w:tcW w:w="5666" w:type="dxa"/>
            <w:tcBorders>
              <w:top w:val="nil"/>
              <w:left w:val="single" w:color="FFFFFF" w:sz="18" w:space="0"/>
              <w:bottom w:val="nil"/>
              <w:right w:val="nil"/>
            </w:tcBorders>
            <w:shd w:val="clear" w:color="auto" w:fill="A9D18E"/>
            <w:vAlign w:val="center"/>
          </w:tcPr>
          <w:p w14:paraId="0467A71D">
            <w:pPr>
              <w:keepNext/>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循证医学信息</w:t>
            </w:r>
          </w:p>
        </w:tc>
      </w:tr>
      <w:tr w14:paraId="44E9B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E171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D1C3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CC0F3C">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3EF6B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AF8BB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E7B4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F01B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B140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65BC780">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FB4B64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86A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9D18E"/>
            <w:vAlign w:val="center"/>
          </w:tcPr>
          <w:p w14:paraId="7B80458F">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ID</w:t>
            </w:r>
          </w:p>
        </w:tc>
        <w:tc>
          <w:tcPr>
            <w:tcW w:w="3884" w:type="dxa"/>
            <w:tcBorders>
              <w:top w:val="nil"/>
              <w:left w:val="single" w:color="FFFFFF" w:sz="18" w:space="0"/>
              <w:bottom w:val="nil"/>
              <w:right w:val="single" w:color="FFFFFF" w:sz="18" w:space="0"/>
            </w:tcBorders>
            <w:shd w:val="clear" w:color="auto" w:fill="A9D18E"/>
            <w:vAlign w:val="center"/>
          </w:tcPr>
          <w:p w14:paraId="14ECB986">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A9D18E"/>
            <w:vAlign w:val="center"/>
          </w:tcPr>
          <w:p w14:paraId="4FB4250E">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肿瘤类型</w:t>
            </w:r>
          </w:p>
        </w:tc>
        <w:tc>
          <w:tcPr>
            <w:tcW w:w="1035" w:type="dxa"/>
            <w:tcBorders>
              <w:top w:val="nil"/>
              <w:left w:val="single" w:color="FFFFFF" w:sz="18" w:space="0"/>
              <w:bottom w:val="nil"/>
              <w:right w:val="single" w:color="FFFFFF" w:sz="18" w:space="0"/>
            </w:tcBorders>
            <w:shd w:val="clear" w:color="auto" w:fill="A9D18E"/>
            <w:vAlign w:val="center"/>
          </w:tcPr>
          <w:p w14:paraId="4F6D337B">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阶段</w:t>
            </w:r>
          </w:p>
        </w:tc>
        <w:tc>
          <w:tcPr>
            <w:tcW w:w="1204" w:type="dxa"/>
            <w:tcBorders>
              <w:top w:val="nil"/>
              <w:left w:val="single" w:color="FFFFFF" w:sz="18" w:space="0"/>
              <w:bottom w:val="nil"/>
              <w:right w:val="single" w:color="FFFFFF" w:sz="18" w:space="0"/>
            </w:tcBorders>
            <w:shd w:val="clear" w:color="auto" w:fill="A9D18E"/>
            <w:vAlign w:val="center"/>
          </w:tcPr>
          <w:p w14:paraId="749EBFBF">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药物</w:t>
            </w:r>
          </w:p>
        </w:tc>
        <w:tc>
          <w:tcPr>
            <w:tcW w:w="856" w:type="dxa"/>
            <w:tcBorders>
              <w:top w:val="nil"/>
              <w:left w:val="single" w:color="FFFFFF" w:sz="18" w:space="0"/>
              <w:bottom w:val="nil"/>
              <w:right w:val="nil"/>
            </w:tcBorders>
            <w:shd w:val="clear" w:color="auto" w:fill="A9D18E"/>
            <w:vAlign w:val="center"/>
          </w:tcPr>
          <w:p w14:paraId="04B43201">
            <w:pPr>
              <w:keepNext/>
              <w:spacing w:before="26"/>
              <w:jc w:val="center"/>
              <w:rPr>
                <w:rFonts w:hint="default" w:ascii="Times New Roman" w:hAnsi="Times New Roman" w:eastAsia="微软雅黑" w:cs="Times New Roman"/>
                <w:b/>
                <w:color w:val="auto"/>
                <w:sz w:val="18"/>
                <w:szCs w:val="18"/>
                <w:lang w:eastAsia="zh-CN"/>
              </w:rPr>
            </w:pPr>
            <w:r>
              <w:rPr>
                <w:rFonts w:hint="default" w:ascii="Times New Roman" w:hAnsi="Times New Roman" w:eastAsia="微软雅黑" w:cs="Times New Roman"/>
                <w:b/>
                <w:color w:val="auto"/>
                <w:sz w:val="18"/>
                <w:szCs w:val="18"/>
                <w:lang w:eastAsia="zh-CN"/>
              </w:rPr>
              <w:t>地点</w:t>
            </w:r>
          </w:p>
        </w:tc>
      </w:tr>
      <w:tr w14:paraId="104E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2252F9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25A5E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F4B4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5D1E24">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DDCA7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90D67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D120F5">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761EE9ED">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4D09E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86BB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75066C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9BA8AA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0A127B0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5C1A8CD9">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5408"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8" name="直接连接符 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5408;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HtjKUf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4395DB7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634359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br w:type="page"/>
      </w:r>
    </w:p>
    <w:p w14:paraId="244A068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else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3" w:name="_Toc31581"/>
      <w:r>
        <w:rPr>
          <w:rFonts w:hint="eastAsia" w:cs="Times New Roman"/>
          <w:b/>
          <w:color w:val="000000" w:themeColor="text1"/>
          <w:sz w:val="44"/>
          <w:szCs w:val="44"/>
          <w:lang w:val="en-US" w:eastAsia="zh-CN"/>
          <w14:textFill>
            <w14:solidFill>
              <w14:schemeClr w14:val="tx1"/>
            </w14:solidFill>
          </w14:textFill>
        </w:rPr>
        <w:t>附录</w:t>
      </w:r>
      <w:bookmarkEnd w:id="43"/>
    </w:p>
    <w:p w14:paraId="05BD6C93">
      <w:pPr>
        <w:bidi w:val="0"/>
        <w:rPr>
          <w:sz w:val="28"/>
          <w:szCs w:val="28"/>
        </w:rPr>
      </w:pPr>
      <w:bookmarkStart w:id="44" w:name="_Toc23373"/>
      <w:bookmarkStart w:id="45" w:name="_Toc11406"/>
      <w:bookmarkStart w:id="46" w:name="_Toc1475"/>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056BD978">
      <w:pPr>
        <w:pStyle w:val="3"/>
        <w:numPr>
          <w:ilvl w:val="255"/>
          <w:numId w:val="0"/>
        </w:numPr>
        <w:jc w:val="left"/>
        <w:rPr>
          <w:rFonts w:ascii="Times New Roman" w:hAnsi="Times New Roman" w:eastAsia="微软雅黑" w:cs="Times New Roman"/>
          <w:color w:val="000000"/>
          <w:sz w:val="21"/>
          <w:szCs w:val="21"/>
          <w:lang w:eastAsia="zh-Hans" w:bidi="ar"/>
        </w:rPr>
      </w:pPr>
      <w:bookmarkStart w:id="47" w:name="_Toc29633"/>
      <w:bookmarkStart w:id="48" w:name="_Toc20772"/>
      <w:r>
        <w:rPr>
          <w:rFonts w:hint="eastAsia"/>
          <w:color w:val="auto"/>
          <w:sz w:val="30"/>
          <w:lang w:val="en-US" w:eastAsia="zh-CN"/>
        </w:rPr>
        <w:t>常见胶质瘤分型相关基因变异</w:t>
      </w:r>
      <w:bookmarkEnd w:id="44"/>
      <w:bookmarkEnd w:id="47"/>
      <w:bookmarkEnd w:id="48"/>
    </w:p>
    <w:tbl>
      <w:tblPr>
        <w:tblStyle w:val="17"/>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47"/>
        <w:gridCol w:w="767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A9D18E"/>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color w:val="auto"/>
                <w:lang w:val="en-US" w:eastAsia="zh-CN" w:bidi="ar"/>
              </w:rPr>
              <w:t>CNS分子标记物</w:t>
            </w:r>
          </w:p>
        </w:tc>
        <w:tc>
          <w:tcPr>
            <w:tcW w:w="3681" w:type="pct"/>
            <w:tcBorders>
              <w:top w:val="nil"/>
              <w:left w:val="single" w:color="FFFFFF" w:sz="12" w:space="0"/>
              <w:bottom w:val="nil"/>
              <w:right w:val="nil"/>
            </w:tcBorders>
            <w:shd w:val="clear" w:color="auto" w:fill="A9D18E"/>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auto"/>
                <w:sz w:val="21"/>
                <w:szCs w:val="21"/>
                <w:u w:val="none"/>
              </w:rPr>
            </w:pPr>
            <w:r>
              <w:rPr>
                <w:rStyle w:val="55"/>
                <w:rFonts w:hint="eastAsia" w:ascii="微软雅黑" w:hAnsi="微软雅黑" w:eastAsia="微软雅黑" w:cs="微软雅黑"/>
                <w:color w:val="auto"/>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49" w:name="_Toc29846"/>
      <w:bookmarkStart w:id="50" w:name="_Toc13365"/>
      <w:r>
        <w:rPr>
          <w:rFonts w:hint="eastAsia"/>
          <w:color w:val="auto"/>
          <w:sz w:val="30"/>
          <w:lang w:val="en-US" w:eastAsia="zh-CN"/>
        </w:rPr>
        <w:t>中线癌相关分子标记物检测意义</w:t>
      </w:r>
      <w:bookmarkEnd w:id="49"/>
      <w:bookmarkEnd w:id="5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51" w:name="_Toc5318"/>
      <w:bookmarkStart w:id="52" w:name="_Toc20262"/>
      <w:r>
        <w:rPr>
          <w:rFonts w:hint="eastAsia"/>
          <w:color w:val="auto"/>
          <w:sz w:val="30"/>
          <w:lang w:val="en-US" w:eastAsia="zh-CN"/>
        </w:rPr>
        <w:t>分子定义的肾细胞癌的形态学和分子特征</w:t>
      </w:r>
      <w:bookmarkEnd w:id="51"/>
      <w:bookmarkEnd w:id="52"/>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7"/>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A9D18E"/>
            <w:noWrap/>
            <w:vAlign w:val="center"/>
          </w:tcPr>
          <w:p w14:paraId="7F444358">
            <w:pPr>
              <w:keepNext w:val="0"/>
              <w:keepLines w:val="0"/>
              <w:widowControl/>
              <w:suppressLineNumbers w:val="0"/>
              <w:jc w:val="center"/>
              <w:textAlignment w:val="center"/>
              <w:rPr>
                <w:rFonts w:ascii="Times New Roman" w:hAnsi="Times New Roman" w:cs="Times New Roman"/>
                <w:b/>
                <w:bCs/>
                <w:i/>
                <w:iCs/>
                <w:color w:val="auto"/>
                <w:sz w:val="18"/>
                <w:szCs w:val="18"/>
                <w:lang w:eastAsia="zh-CN" w:bidi="ar"/>
              </w:rPr>
            </w:pPr>
            <w:r>
              <w:rPr>
                <w:rFonts w:hint="default" w:ascii="Arial" w:hAnsi="Arial" w:eastAsia="宋体" w:cs="Arial"/>
                <w:b/>
                <w:bCs/>
                <w:i w:val="0"/>
                <w:iCs w:val="0"/>
                <w:color w:val="auto"/>
                <w:kern w:val="0"/>
                <w:sz w:val="20"/>
                <w:szCs w:val="20"/>
                <w:u w:val="none"/>
                <w:lang w:val="en-US" w:eastAsia="zh-CN" w:bidi="ar"/>
              </w:rPr>
              <w:t>分类</w:t>
            </w:r>
          </w:p>
        </w:tc>
        <w:tc>
          <w:tcPr>
            <w:tcW w:w="2750" w:type="dxa"/>
            <w:tcBorders>
              <w:top w:val="nil"/>
              <w:left w:val="single" w:color="FFFFFF" w:themeColor="background1" w:sz="12" w:space="0"/>
              <w:right w:val="single" w:color="FFFFFF" w:themeColor="background1" w:sz="12" w:space="0"/>
            </w:tcBorders>
            <w:shd w:val="clear" w:color="auto" w:fill="A9D18E"/>
            <w:noWrap/>
            <w:vAlign w:val="center"/>
          </w:tcPr>
          <w:p w14:paraId="40123C35">
            <w:pPr>
              <w:keepNext w:val="0"/>
              <w:keepLines w:val="0"/>
              <w:widowControl/>
              <w:suppressLineNumbers w:val="0"/>
              <w:jc w:val="center"/>
              <w:textAlignment w:val="center"/>
              <w:rPr>
                <w:rFonts w:ascii="Times New Roman" w:hAnsi="Times New Roman" w:cs="Times New Roman"/>
                <w:b/>
                <w:bCs/>
                <w:i/>
                <w:iCs/>
                <w:color w:val="auto"/>
                <w:sz w:val="18"/>
                <w:szCs w:val="18"/>
                <w:lang w:eastAsia="zh-CN" w:bidi="ar"/>
              </w:rPr>
            </w:pPr>
            <w:r>
              <w:rPr>
                <w:rFonts w:hint="default" w:ascii="Arial" w:hAnsi="Arial" w:eastAsia="宋体" w:cs="Arial"/>
                <w:b/>
                <w:bCs/>
                <w:i w:val="0"/>
                <w:iCs w:val="0"/>
                <w:color w:val="auto"/>
                <w:kern w:val="0"/>
                <w:sz w:val="20"/>
                <w:szCs w:val="20"/>
                <w:u w:val="none"/>
                <w:lang w:val="en-US" w:eastAsia="zh-CN" w:bidi="ar"/>
              </w:rPr>
              <w:t>形态学特征</w:t>
            </w:r>
          </w:p>
        </w:tc>
        <w:tc>
          <w:tcPr>
            <w:tcW w:w="2510" w:type="dxa"/>
            <w:tcBorders>
              <w:top w:val="nil"/>
              <w:left w:val="single" w:color="FFFFFF" w:themeColor="background1" w:sz="12" w:space="0"/>
              <w:right w:val="single" w:color="FFFFFF" w:themeColor="background1" w:sz="12" w:space="0"/>
            </w:tcBorders>
            <w:shd w:val="clear" w:color="auto" w:fill="A9D18E"/>
            <w:noWrap/>
            <w:vAlign w:val="center"/>
          </w:tcPr>
          <w:p w14:paraId="0DF8AC84">
            <w:pPr>
              <w:keepNext w:val="0"/>
              <w:keepLines w:val="0"/>
              <w:widowControl/>
              <w:suppressLineNumbers w:val="0"/>
              <w:jc w:val="center"/>
              <w:textAlignment w:val="center"/>
              <w:rPr>
                <w:rFonts w:ascii="Times New Roman" w:hAnsi="Times New Roman" w:cs="Times New Roman"/>
                <w:b/>
                <w:bCs/>
                <w:i/>
                <w:iCs/>
                <w:color w:val="auto"/>
                <w:sz w:val="18"/>
                <w:szCs w:val="18"/>
                <w:lang w:eastAsia="zh-CN" w:bidi="ar"/>
              </w:rPr>
            </w:pPr>
            <w:r>
              <w:rPr>
                <w:rFonts w:hint="default" w:ascii="Arial" w:hAnsi="Arial" w:eastAsia="宋体" w:cs="Arial"/>
                <w:b/>
                <w:bCs/>
                <w:i w:val="0"/>
                <w:iCs w:val="0"/>
                <w:color w:val="auto"/>
                <w:kern w:val="0"/>
                <w:sz w:val="20"/>
                <w:szCs w:val="20"/>
                <w:u w:val="none"/>
                <w:lang w:val="en-US" w:eastAsia="zh-CN" w:bidi="ar"/>
              </w:rPr>
              <w:t>分子特征</w:t>
            </w:r>
          </w:p>
        </w:tc>
        <w:tc>
          <w:tcPr>
            <w:tcW w:w="2953" w:type="dxa"/>
            <w:tcBorders>
              <w:top w:val="nil"/>
              <w:left w:val="single" w:color="FFFFFF" w:themeColor="background1" w:sz="12" w:space="0"/>
            </w:tcBorders>
            <w:shd w:val="clear" w:color="auto" w:fill="A9D18E"/>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auto"/>
                <w:kern w:val="0"/>
                <w:sz w:val="20"/>
                <w:szCs w:val="20"/>
                <w:u w:val="none"/>
                <w:lang w:val="en-US" w:eastAsia="zh-CN" w:bidi="ar"/>
              </w:rPr>
            </w:pPr>
            <w:r>
              <w:rPr>
                <w:rFonts w:hint="eastAsia" w:ascii="Arial" w:hAnsi="Arial" w:cs="Arial"/>
                <w:b/>
                <w:bCs/>
                <w:i w:val="0"/>
                <w:iCs w:val="0"/>
                <w:color w:val="auto"/>
                <w:kern w:val="0"/>
                <w:sz w:val="20"/>
                <w:szCs w:val="20"/>
                <w:u w:val="none"/>
                <w:lang w:val="en-US" w:eastAsia="zh-CN" w:bidi="ar"/>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cs="Times New Roman"/>
          <w:b/>
          <w:bCs/>
          <w:sz w:val="21"/>
          <w:szCs w:val="21"/>
          <w:lang w:val="en-US" w:eastAsia="zh-CN"/>
        </w:rPr>
      </w:pPr>
      <w:r>
        <w:rPr>
          <w:rFonts w:hint="eastAsia" w:ascii="Times New Roman" w:hAnsi="Times New Roman" w:cs="Times New Roman"/>
          <w:b/>
          <w:bCs/>
          <w:sz w:val="21"/>
          <w:szCs w:val="21"/>
          <w:lang w:val="en-US" w:eastAsia="zh-CN"/>
        </w:rPr>
        <w:t>{% endif %}{% if disease.Sarcoma %}</w:t>
      </w:r>
    </w:p>
    <w:p w14:paraId="372EB40E">
      <w:pPr>
        <w:pStyle w:val="3"/>
        <w:numPr>
          <w:ilvl w:val="255"/>
          <w:numId w:val="0"/>
        </w:numPr>
        <w:jc w:val="left"/>
        <w:rPr>
          <w:color w:val="auto"/>
          <w:sz w:val="30"/>
        </w:rPr>
      </w:pPr>
      <w:bookmarkStart w:id="53" w:name="_Toc27163"/>
      <w:r>
        <w:rPr>
          <w:rFonts w:hint="eastAsia"/>
          <w:color w:val="auto"/>
          <w:sz w:val="30"/>
        </w:rPr>
        <w:t>常见肉瘤分型相关基因变异</w:t>
      </w:r>
      <w:bookmarkEnd w:id="53"/>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7"/>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A9D18E"/>
            <w:vAlign w:val="center"/>
          </w:tcPr>
          <w:p w14:paraId="1C6C0B72">
            <w:pPr>
              <w:widowControl/>
              <w:jc w:val="center"/>
              <w:textAlignment w:val="bottom"/>
              <w:rPr>
                <w:rFonts w:ascii="Times New Roman" w:hAnsi="Times New Roman" w:eastAsia="微软雅黑" w:cs="Times New Roman"/>
                <w:b/>
                <w:color w:val="auto"/>
                <w:sz w:val="21"/>
                <w:szCs w:val="21"/>
                <w:lang w:eastAsia="zh-CN" w:bidi="ar"/>
              </w:rPr>
            </w:pPr>
            <w:r>
              <w:rPr>
                <w:rFonts w:ascii="Times New Roman" w:hAnsi="Times New Roman" w:eastAsia="微软雅黑" w:cs="Times New Roman"/>
                <w:b/>
                <w:color w:val="auto"/>
                <w:sz w:val="21"/>
                <w:szCs w:val="21"/>
                <w:lang w:eastAsia="zh-CN" w:bidi="ar"/>
              </w:rPr>
              <w:t>肉瘤亚型</w:t>
            </w:r>
          </w:p>
        </w:tc>
        <w:tc>
          <w:tcPr>
            <w:tcW w:w="4888" w:type="dxa"/>
            <w:tcBorders>
              <w:top w:val="nil"/>
              <w:left w:val="single" w:color="FFFFFF" w:sz="18" w:space="0"/>
              <w:bottom w:val="nil"/>
            </w:tcBorders>
            <w:shd w:val="clear" w:color="auto" w:fill="A9D18E"/>
            <w:vAlign w:val="center"/>
          </w:tcPr>
          <w:p w14:paraId="7610F298">
            <w:pPr>
              <w:widowControl/>
              <w:jc w:val="center"/>
              <w:textAlignment w:val="bottom"/>
              <w:rPr>
                <w:rFonts w:ascii="Times New Roman" w:hAnsi="Times New Roman" w:eastAsia="微软雅黑" w:cs="Times New Roman"/>
                <w:b/>
                <w:color w:val="auto"/>
                <w:sz w:val="21"/>
                <w:szCs w:val="21"/>
                <w:lang w:eastAsia="zh-CN" w:bidi="ar"/>
              </w:rPr>
            </w:pPr>
            <w:r>
              <w:rPr>
                <w:rFonts w:ascii="Times New Roman" w:hAnsi="Times New Roman" w:eastAsia="微软雅黑" w:cs="Times New Roman"/>
                <w:b/>
                <w:color w:val="auto"/>
                <w:sz w:val="21"/>
                <w:szCs w:val="21"/>
                <w:lang w:eastAsia="zh-CN" w:bidi="ar"/>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bottom w:val="single" w:color="A6A6A6" w:sz="4" w:space="0"/>
              <w:right w:val="single" w:color="A6A6A6" w:sz="4" w:space="0"/>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left w:val="single" w:color="A6A6A6" w:sz="4" w:space="0"/>
              <w:bottom w:val="single" w:color="A6A6A6" w:sz="4" w:space="0"/>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op w:val="single" w:color="A6A6A6" w:sz="4" w:space="0"/>
              <w:left w:val="single" w:color="A6A6A6" w:sz="4" w:space="0"/>
              <w:bottom w:val="single" w:color="A6A6A6" w:sz="4" w:space="0"/>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op w:val="single" w:color="A6A6A6" w:sz="4" w:space="0"/>
              <w:left w:val="single" w:color="A6A6A6" w:sz="4" w:space="0"/>
              <w:bottom w:val="single" w:color="A6A6A6" w:sz="4" w:space="0"/>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op w:val="single" w:color="A6A6A6" w:sz="4" w:space="0"/>
              <w:left w:val="single" w:color="A6A6A6" w:sz="4" w:space="0"/>
              <w:bottom w:val="single" w:color="A6A6A6" w:sz="4" w:space="0"/>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op w:val="single" w:color="A6A6A6" w:sz="4" w:space="0"/>
              <w:left w:val="single" w:color="A6A6A6" w:sz="4" w:space="0"/>
              <w:bottom w:val="single" w:color="A6A6A6" w:sz="4" w:space="0"/>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op w:val="single" w:color="A6A6A6" w:sz="4" w:space="0"/>
              <w:left w:val="single" w:color="A6A6A6" w:sz="4" w:space="0"/>
              <w:bottom w:val="single" w:color="A6A6A6" w:sz="4" w:space="0"/>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op w:val="single" w:color="A6A6A6" w:sz="4" w:space="0"/>
              <w:left w:val="single" w:color="A6A6A6" w:sz="4" w:space="0"/>
              <w:bottom w:val="single" w:color="A6A6A6" w:sz="4" w:space="0"/>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op w:val="single" w:color="A6A6A6" w:sz="4" w:space="0"/>
              <w:left w:val="single" w:color="A6A6A6" w:sz="4" w:space="0"/>
              <w:bottom w:val="single" w:color="A6A6A6" w:sz="4" w:space="0"/>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op w:val="single" w:color="A6A6A6" w:sz="4" w:space="0"/>
              <w:left w:val="single" w:color="A6A6A6" w:sz="4" w:space="0"/>
              <w:bottom w:val="single" w:color="A6A6A6" w:sz="4" w:space="0"/>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op w:val="single" w:color="A6A6A6" w:sz="4" w:space="0"/>
              <w:left w:val="single" w:color="A6A6A6" w:sz="4" w:space="0"/>
              <w:bottom w:val="single" w:color="A6A6A6" w:sz="4" w:space="0"/>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7"/>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A9D18E"/>
            <w:vAlign w:val="center"/>
          </w:tcPr>
          <w:p w14:paraId="62C12211">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930" w:type="dxa"/>
            <w:tcBorders>
              <w:top w:val="nil"/>
              <w:left w:val="single" w:color="FFFFFF" w:sz="18" w:space="0"/>
              <w:bottom w:val="nil"/>
            </w:tcBorders>
            <w:shd w:val="clear" w:color="auto" w:fill="A9D18E"/>
            <w:vAlign w:val="center"/>
          </w:tcPr>
          <w:p w14:paraId="4731CC0D">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bottom w:val="single" w:color="A6A6A6" w:sz="4" w:space="0"/>
              <w:right w:val="single" w:color="A6A6A6" w:sz="4" w:space="0"/>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left w:val="single" w:color="A6A6A6" w:sz="4" w:space="0"/>
              <w:bottom w:val="single" w:color="A6A6A6" w:sz="4" w:space="0"/>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op w:val="single" w:color="A6A6A6" w:sz="4" w:space="0"/>
              <w:left w:val="single" w:color="A6A6A6" w:sz="4" w:space="0"/>
              <w:bottom w:val="single" w:color="A6A6A6" w:sz="4" w:space="0"/>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op w:val="single" w:color="A6A6A6" w:sz="4" w:space="0"/>
              <w:left w:val="single" w:color="A6A6A6" w:sz="4" w:space="0"/>
              <w:bottom w:val="single" w:color="A6A6A6" w:sz="4" w:space="0"/>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op w:val="single" w:color="A6A6A6" w:sz="4" w:space="0"/>
              <w:left w:val="single" w:color="A6A6A6" w:sz="4" w:space="0"/>
              <w:bottom w:val="single" w:color="A6A6A6" w:sz="4" w:space="0"/>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op w:val="single" w:color="A6A6A6" w:sz="4" w:space="0"/>
              <w:left w:val="single" w:color="A6A6A6" w:sz="4" w:space="0"/>
              <w:bottom w:val="single" w:color="A6A6A6" w:sz="4" w:space="0"/>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op w:val="single" w:color="A6A6A6" w:sz="4" w:space="0"/>
              <w:left w:val="single" w:color="A6A6A6" w:sz="4" w:space="0"/>
              <w:bottom w:val="single" w:color="A6A6A6" w:sz="4" w:space="0"/>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op w:val="single" w:color="A6A6A6" w:sz="4" w:space="0"/>
              <w:left w:val="single" w:color="A6A6A6" w:sz="4" w:space="0"/>
              <w:bottom w:val="single" w:color="A6A6A6" w:sz="4" w:space="0"/>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op w:val="single" w:color="A6A6A6" w:sz="4" w:space="0"/>
              <w:left w:val="single" w:color="A6A6A6" w:sz="4" w:space="0"/>
              <w:bottom w:val="single" w:color="A6A6A6" w:sz="4" w:space="0"/>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op w:val="single" w:color="A6A6A6" w:sz="4" w:space="0"/>
              <w:left w:val="single" w:color="A6A6A6" w:sz="4" w:space="0"/>
              <w:bottom w:val="single" w:color="A6A6A6" w:sz="4" w:space="0"/>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op w:val="single" w:color="A6A6A6" w:sz="4" w:space="0"/>
              <w:left w:val="single" w:color="A6A6A6" w:sz="4" w:space="0"/>
              <w:bottom w:val="single" w:color="A6A6A6" w:sz="4" w:space="0"/>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op w:val="single" w:color="A6A6A6" w:sz="4" w:space="0"/>
              <w:left w:val="single" w:color="A6A6A6" w:sz="4" w:space="0"/>
              <w:bottom w:val="single" w:color="A6A6A6" w:sz="4" w:space="0"/>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op w:val="single" w:color="A6A6A6" w:sz="4" w:space="0"/>
              <w:left w:val="single" w:color="A6A6A6" w:sz="4" w:space="0"/>
              <w:bottom w:val="single" w:color="A6A6A6" w:sz="4" w:space="0"/>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op w:val="single" w:color="A6A6A6" w:sz="4" w:space="0"/>
              <w:left w:val="single" w:color="A6A6A6" w:sz="4" w:space="0"/>
              <w:bottom w:val="single" w:color="A6A6A6" w:sz="4" w:space="0"/>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op w:val="single" w:color="A6A6A6" w:sz="4" w:space="0"/>
              <w:left w:val="single" w:color="A6A6A6" w:sz="4" w:space="0"/>
              <w:bottom w:val="single" w:color="A6A6A6" w:sz="4" w:space="0"/>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op w:val="single" w:color="A6A6A6" w:sz="4" w:space="0"/>
              <w:left w:val="single" w:color="A6A6A6" w:sz="4" w:space="0"/>
              <w:bottom w:val="single" w:color="A6A6A6" w:sz="4" w:space="0"/>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op w:val="single" w:color="A6A6A6" w:sz="4" w:space="0"/>
              <w:left w:val="single" w:color="A6A6A6" w:sz="4" w:space="0"/>
              <w:bottom w:val="single" w:color="A6A6A6" w:sz="4" w:space="0"/>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op w:val="single" w:color="A6A6A6" w:sz="4" w:space="0"/>
              <w:left w:val="single" w:color="A6A6A6" w:sz="4" w:space="0"/>
              <w:bottom w:val="single" w:color="A6A6A6" w:sz="4" w:space="0"/>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op w:val="single" w:color="A6A6A6" w:sz="4" w:space="0"/>
              <w:left w:val="single" w:color="A6A6A6" w:sz="4" w:space="0"/>
              <w:bottom w:val="single" w:color="A6A6A6" w:sz="4" w:space="0"/>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op w:val="single" w:color="A6A6A6" w:sz="4" w:space="0"/>
              <w:left w:val="single" w:color="A6A6A6" w:sz="4" w:space="0"/>
              <w:bottom w:val="single" w:color="A6A6A6" w:sz="4" w:space="0"/>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op w:val="single" w:color="A6A6A6" w:sz="4" w:space="0"/>
              <w:left w:val="single" w:color="A6A6A6" w:sz="4" w:space="0"/>
              <w:bottom w:val="single" w:color="A6A6A6" w:sz="4" w:space="0"/>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op w:val="single" w:color="A6A6A6" w:sz="4" w:space="0"/>
              <w:left w:val="single" w:color="A6A6A6" w:sz="4" w:space="0"/>
              <w:bottom w:val="single" w:color="A6A6A6" w:sz="4" w:space="0"/>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op w:val="single" w:color="A6A6A6" w:sz="4" w:space="0"/>
              <w:left w:val="single" w:color="A6A6A6" w:sz="4" w:space="0"/>
              <w:bottom w:val="single" w:color="A6A6A6" w:sz="4" w:space="0"/>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op w:val="single" w:color="A6A6A6" w:sz="4" w:space="0"/>
              <w:left w:val="single" w:color="A6A6A6" w:sz="4" w:space="0"/>
              <w:bottom w:val="single" w:color="A6A6A6" w:sz="4" w:space="0"/>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op w:val="single" w:color="A6A6A6" w:sz="4" w:space="0"/>
              <w:left w:val="single" w:color="A6A6A6" w:sz="4" w:space="0"/>
              <w:bottom w:val="single" w:color="A6A6A6" w:sz="4" w:space="0"/>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op w:val="single" w:color="A6A6A6" w:sz="4" w:space="0"/>
              <w:left w:val="single" w:color="A6A6A6" w:sz="4" w:space="0"/>
              <w:bottom w:val="single" w:color="A6A6A6" w:sz="4" w:space="0"/>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op w:val="single" w:color="A6A6A6" w:sz="4" w:space="0"/>
              <w:left w:val="single" w:color="A6A6A6" w:sz="4" w:space="0"/>
              <w:bottom w:val="single" w:color="A6A6A6" w:sz="4" w:space="0"/>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op w:val="single" w:color="A6A6A6" w:sz="4" w:space="0"/>
              <w:left w:val="single" w:color="A6A6A6" w:sz="4" w:space="0"/>
              <w:bottom w:val="single" w:color="A6A6A6" w:sz="4" w:space="0"/>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op w:val="single" w:color="A6A6A6" w:sz="4" w:space="0"/>
              <w:left w:val="single" w:color="A6A6A6" w:sz="4" w:space="0"/>
              <w:bottom w:val="single" w:color="A6A6A6" w:sz="4" w:space="0"/>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op w:val="single" w:color="A6A6A6" w:sz="4" w:space="0"/>
              <w:left w:val="single" w:color="A6A6A6" w:sz="4" w:space="0"/>
              <w:bottom w:val="single" w:color="A6A6A6" w:sz="4" w:space="0"/>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7"/>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A9D18E"/>
            <w:vAlign w:val="center"/>
          </w:tcPr>
          <w:p w14:paraId="36094A0E">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878" w:type="dxa"/>
            <w:tcBorders>
              <w:top w:val="nil"/>
              <w:left w:val="single" w:color="FFFFFF" w:sz="18" w:space="0"/>
              <w:bottom w:val="nil"/>
            </w:tcBorders>
            <w:shd w:val="clear" w:color="auto" w:fill="A9D18E"/>
            <w:vAlign w:val="center"/>
          </w:tcPr>
          <w:p w14:paraId="4B504A0F">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bottom w:val="single" w:color="A6A6A6" w:sz="4" w:space="0"/>
              <w:right w:val="single" w:color="A6A6A6" w:sz="4" w:space="0"/>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left w:val="single" w:color="A6A6A6" w:sz="4" w:space="0"/>
              <w:bottom w:val="single" w:color="A6A6A6" w:sz="4" w:space="0"/>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op w:val="single" w:color="A6A6A6" w:sz="4" w:space="0"/>
              <w:left w:val="single" w:color="A6A6A6" w:sz="4" w:space="0"/>
              <w:bottom w:val="single" w:color="A6A6A6" w:sz="4" w:space="0"/>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op w:val="single" w:color="A6A6A6" w:sz="4" w:space="0"/>
              <w:left w:val="single" w:color="A6A6A6" w:sz="4" w:space="0"/>
              <w:bottom w:val="single" w:color="A6A6A6" w:sz="4" w:space="0"/>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op w:val="single" w:color="A6A6A6" w:sz="4" w:space="0"/>
              <w:left w:val="single" w:color="A6A6A6" w:sz="4" w:space="0"/>
              <w:bottom w:val="single" w:color="A6A6A6" w:sz="4" w:space="0"/>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op w:val="single" w:color="A6A6A6" w:sz="4" w:space="0"/>
              <w:left w:val="single" w:color="A6A6A6" w:sz="4" w:space="0"/>
              <w:bottom w:val="single" w:color="A6A6A6" w:sz="4" w:space="0"/>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op w:val="single" w:color="A6A6A6" w:sz="4" w:space="0"/>
              <w:left w:val="single" w:color="A6A6A6" w:sz="4" w:space="0"/>
              <w:bottom w:val="single" w:color="A6A6A6" w:sz="4" w:space="0"/>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op w:val="single" w:color="A6A6A6" w:sz="4" w:space="0"/>
              <w:left w:val="single" w:color="A6A6A6" w:sz="4" w:space="0"/>
              <w:bottom w:val="single" w:color="A6A6A6" w:sz="4" w:space="0"/>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op w:val="single" w:color="A6A6A6" w:sz="4" w:space="0"/>
              <w:left w:val="single" w:color="A6A6A6" w:sz="4" w:space="0"/>
              <w:bottom w:val="single" w:color="A6A6A6" w:sz="4" w:space="0"/>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op w:val="single" w:color="A6A6A6" w:sz="4" w:space="0"/>
              <w:left w:val="single" w:color="A6A6A6" w:sz="4" w:space="0"/>
              <w:bottom w:val="single" w:color="A6A6A6" w:sz="4" w:space="0"/>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op w:val="single" w:color="A6A6A6" w:sz="4" w:space="0"/>
              <w:left w:val="single" w:color="A6A6A6" w:sz="4" w:space="0"/>
              <w:bottom w:val="single" w:color="A6A6A6" w:sz="4" w:space="0"/>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op w:val="single" w:color="A6A6A6" w:sz="4" w:space="0"/>
              <w:left w:val="single" w:color="A6A6A6" w:sz="4" w:space="0"/>
              <w:bottom w:val="single" w:color="A6A6A6" w:sz="4" w:space="0"/>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op w:val="single" w:color="A6A6A6" w:sz="4" w:space="0"/>
              <w:left w:val="single" w:color="A6A6A6" w:sz="4" w:space="0"/>
              <w:bottom w:val="single" w:color="A6A6A6" w:sz="4" w:space="0"/>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op w:val="single" w:color="A6A6A6" w:sz="4" w:space="0"/>
              <w:left w:val="single" w:color="A6A6A6" w:sz="4" w:space="0"/>
              <w:bottom w:val="single" w:color="A6A6A6" w:sz="4" w:space="0"/>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op w:val="single" w:color="A6A6A6" w:sz="4" w:space="0"/>
              <w:left w:val="single" w:color="A6A6A6" w:sz="4" w:space="0"/>
              <w:bottom w:val="single" w:color="A6A6A6" w:sz="4" w:space="0"/>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op w:val="single" w:color="A6A6A6" w:sz="4" w:space="0"/>
              <w:left w:val="single" w:color="A6A6A6" w:sz="4" w:space="0"/>
              <w:bottom w:val="single" w:color="A6A6A6" w:sz="4" w:space="0"/>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op w:val="single" w:color="A6A6A6" w:sz="4" w:space="0"/>
              <w:left w:val="single" w:color="A6A6A6" w:sz="4" w:space="0"/>
              <w:bottom w:val="single" w:color="A6A6A6" w:sz="4" w:space="0"/>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op w:val="single" w:color="A6A6A6" w:sz="4" w:space="0"/>
              <w:left w:val="single" w:color="A6A6A6" w:sz="4" w:space="0"/>
              <w:bottom w:val="single" w:color="A6A6A6" w:sz="4" w:space="0"/>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op w:val="single" w:color="A6A6A6" w:sz="4" w:space="0"/>
              <w:left w:val="single" w:color="A6A6A6" w:sz="4" w:space="0"/>
              <w:bottom w:val="single" w:color="A6A6A6" w:sz="4" w:space="0"/>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op w:val="single" w:color="A6A6A6" w:sz="4" w:space="0"/>
              <w:left w:val="single" w:color="A6A6A6" w:sz="4" w:space="0"/>
              <w:bottom w:val="single" w:color="A6A6A6" w:sz="4" w:space="0"/>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op w:val="single" w:color="A6A6A6" w:sz="4" w:space="0"/>
              <w:left w:val="single" w:color="A6A6A6" w:sz="4" w:space="0"/>
              <w:bottom w:val="single" w:color="A6A6A6" w:sz="4" w:space="0"/>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op w:val="single" w:color="A6A6A6" w:sz="4" w:space="0"/>
              <w:left w:val="single" w:color="A6A6A6" w:sz="4" w:space="0"/>
              <w:bottom w:val="single" w:color="A6A6A6" w:sz="4" w:space="0"/>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op w:val="single" w:color="A6A6A6" w:sz="4" w:space="0"/>
              <w:left w:val="single" w:color="A6A6A6" w:sz="4" w:space="0"/>
              <w:bottom w:val="single" w:color="A6A6A6" w:sz="4" w:space="0"/>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op w:val="single" w:color="A6A6A6" w:sz="4" w:space="0"/>
              <w:left w:val="single" w:color="A6A6A6" w:sz="4" w:space="0"/>
              <w:bottom w:val="single" w:color="A6A6A6" w:sz="4" w:space="0"/>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op w:val="single" w:color="A6A6A6" w:sz="4" w:space="0"/>
              <w:left w:val="single" w:color="A6A6A6" w:sz="4" w:space="0"/>
              <w:bottom w:val="single" w:color="A6A6A6" w:sz="4" w:space="0"/>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op w:val="single" w:color="A6A6A6" w:sz="4" w:space="0"/>
              <w:left w:val="single" w:color="A6A6A6" w:sz="4" w:space="0"/>
              <w:bottom w:val="single" w:color="A6A6A6" w:sz="4" w:space="0"/>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7"/>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A9D18E"/>
            <w:vAlign w:val="center"/>
          </w:tcPr>
          <w:p w14:paraId="33E42E1A">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894" w:type="dxa"/>
            <w:tcBorders>
              <w:top w:val="nil"/>
              <w:left w:val="single" w:color="FFFFFF" w:sz="18" w:space="0"/>
              <w:bottom w:val="nil"/>
            </w:tcBorders>
            <w:shd w:val="clear" w:color="auto" w:fill="A9D18E"/>
            <w:vAlign w:val="center"/>
          </w:tcPr>
          <w:p w14:paraId="5C64BE59">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bottom w:val="single" w:color="A6A6A6" w:sz="4" w:space="0"/>
              <w:right w:val="single" w:color="A6A6A6" w:sz="4" w:space="0"/>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left w:val="single" w:color="A6A6A6" w:sz="4" w:space="0"/>
              <w:bottom w:val="single" w:color="A6A6A6" w:sz="4" w:space="0"/>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op w:val="single" w:color="A6A6A6" w:sz="4" w:space="0"/>
              <w:left w:val="single" w:color="A6A6A6" w:sz="4" w:space="0"/>
              <w:bottom w:val="single" w:color="A6A6A6" w:sz="4" w:space="0"/>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op w:val="single" w:color="A6A6A6" w:sz="4" w:space="0"/>
              <w:left w:val="single" w:color="A6A6A6" w:sz="4" w:space="0"/>
              <w:bottom w:val="single" w:color="A6A6A6" w:sz="4" w:space="0"/>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op w:val="single" w:color="A6A6A6" w:sz="4" w:space="0"/>
              <w:left w:val="single" w:color="A6A6A6" w:sz="4" w:space="0"/>
              <w:bottom w:val="single" w:color="A6A6A6" w:sz="4" w:space="0"/>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op w:val="single" w:color="A6A6A6" w:sz="4" w:space="0"/>
              <w:left w:val="single" w:color="A6A6A6" w:sz="4" w:space="0"/>
              <w:bottom w:val="single" w:color="A6A6A6" w:sz="4" w:space="0"/>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op w:val="single" w:color="A6A6A6" w:sz="4" w:space="0"/>
              <w:left w:val="single" w:color="A6A6A6" w:sz="4" w:space="0"/>
              <w:bottom w:val="single" w:color="A6A6A6" w:sz="4" w:space="0"/>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op w:val="single" w:color="A6A6A6" w:sz="4" w:space="0"/>
              <w:left w:val="single" w:color="A6A6A6" w:sz="4" w:space="0"/>
              <w:bottom w:val="single" w:color="A6A6A6" w:sz="4" w:space="0"/>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op w:val="single" w:color="A6A6A6" w:sz="4" w:space="0"/>
              <w:left w:val="single" w:color="A6A6A6" w:sz="4" w:space="0"/>
              <w:bottom w:val="single" w:color="A6A6A6" w:sz="4" w:space="0"/>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op w:val="single" w:color="A6A6A6" w:sz="4" w:space="0"/>
              <w:left w:val="single" w:color="A6A6A6" w:sz="4" w:space="0"/>
              <w:bottom w:val="single" w:color="A6A6A6" w:sz="4" w:space="0"/>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op w:val="single" w:color="A6A6A6" w:sz="4" w:space="0"/>
              <w:left w:val="single" w:color="A6A6A6" w:sz="4" w:space="0"/>
              <w:bottom w:val="single" w:color="A6A6A6" w:sz="4" w:space="0"/>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op w:val="single" w:color="A6A6A6" w:sz="4" w:space="0"/>
              <w:left w:val="single" w:color="A6A6A6" w:sz="4" w:space="0"/>
              <w:bottom w:val="single" w:color="A6A6A6" w:sz="4" w:space="0"/>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op w:val="single" w:color="A6A6A6" w:sz="4" w:space="0"/>
              <w:left w:val="single" w:color="A6A6A6" w:sz="4" w:space="0"/>
              <w:bottom w:val="single" w:color="A6A6A6" w:sz="4" w:space="0"/>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op w:val="single" w:color="A6A6A6" w:sz="4" w:space="0"/>
              <w:left w:val="single" w:color="A6A6A6" w:sz="4" w:space="0"/>
              <w:bottom w:val="single" w:color="A6A6A6" w:sz="4" w:space="0"/>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op w:val="single" w:color="A6A6A6" w:sz="4" w:space="0"/>
              <w:left w:val="single" w:color="A6A6A6" w:sz="4" w:space="0"/>
              <w:bottom w:val="single" w:color="A6A6A6" w:sz="4" w:space="0"/>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op w:val="single" w:color="A6A6A6" w:sz="4" w:space="0"/>
              <w:left w:val="single" w:color="A6A6A6" w:sz="4" w:space="0"/>
              <w:bottom w:val="single" w:color="A6A6A6" w:sz="4" w:space="0"/>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op w:val="single" w:color="A6A6A6" w:sz="4" w:space="0"/>
              <w:left w:val="single" w:color="A6A6A6" w:sz="4" w:space="0"/>
              <w:bottom w:val="single" w:color="A6A6A6" w:sz="4" w:space="0"/>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op w:val="single" w:color="A6A6A6" w:sz="4" w:space="0"/>
              <w:left w:val="single" w:color="A6A6A6" w:sz="4" w:space="0"/>
              <w:bottom w:val="single" w:color="A6A6A6" w:sz="4" w:space="0"/>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op w:val="single" w:color="A6A6A6" w:sz="4" w:space="0"/>
              <w:left w:val="single" w:color="A6A6A6" w:sz="4" w:space="0"/>
              <w:bottom w:val="single" w:color="A6A6A6" w:sz="4" w:space="0"/>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bookmarkEnd w:id="12"/>
    <w:bookmarkEnd w:id="34"/>
    <w:bookmarkEnd w:id="35"/>
    <w:bookmarkEnd w:id="36"/>
    <w:bookmarkEnd w:id="37"/>
    <w:bookmarkEnd w:id="38"/>
    <w:bookmarkEnd w:id="39"/>
    <w:bookmarkEnd w:id="40"/>
    <w:bookmarkEnd w:id="41"/>
    <w:bookmarkEnd w:id="42"/>
    <w:bookmarkEnd w:id="45"/>
    <w:bookmarkEnd w:id="46"/>
    <w:p w14:paraId="67D475CD">
      <w:pPr>
        <w:rPr>
          <w:rFonts w:hint="eastAsia"/>
          <w:color w:val="auto"/>
          <w:lang w:eastAsia="zh-CN"/>
        </w:rPr>
      </w:pPr>
      <w:bookmarkStart w:id="54" w:name="_Toc7549"/>
      <w:bookmarkStart w:id="55" w:name="_Toc6864"/>
      <w:bookmarkStart w:id="56" w:name="_Toc23238"/>
      <w:bookmarkStart w:id="57" w:name="_Toc22484_WPSOffice_Level1"/>
      <w:bookmarkStart w:id="58" w:name="_Toc28537"/>
      <w:bookmarkStart w:id="59" w:name="_Toc16368_WPSOffice_Level1"/>
      <w:bookmarkStart w:id="60" w:name="_Toc28910_WPSOffice_Level1"/>
      <w:bookmarkStart w:id="61" w:name="_Toc29730"/>
      <w:bookmarkStart w:id="62" w:name="_Toc19099"/>
      <w:bookmarkStart w:id="63" w:name="_Toc8182"/>
      <w:bookmarkStart w:id="64" w:name="_Toc5898"/>
      <w:r>
        <w:rPr>
          <w:rFonts w:hint="default" w:ascii="Times New Roman" w:hAnsi="Times New Roman" w:cs="Times New Roman"/>
          <w:sz w:val="21"/>
          <w:szCs w:val="21"/>
          <w:lang w:val="en-US" w:eastAsia="zh-CN"/>
        </w:rPr>
        <w:t>{% endif %}</w:t>
      </w:r>
    </w:p>
    <w:p w14:paraId="644E0C1D">
      <w:pPr>
        <w:pStyle w:val="3"/>
        <w:numPr>
          <w:ilvl w:val="255"/>
          <w:numId w:val="0"/>
        </w:numPr>
        <w:jc w:val="left"/>
        <w:rPr>
          <w:color w:val="auto"/>
          <w:lang w:eastAsia="zh-CN"/>
        </w:rPr>
      </w:pPr>
      <w:bookmarkStart w:id="65" w:name="_Toc11937"/>
      <w:r>
        <w:rPr>
          <w:rFonts w:hint="eastAsia"/>
          <w:color w:val="auto"/>
          <w:lang w:eastAsia="zh-CN"/>
        </w:rPr>
        <w:t>检测基因列表</w:t>
      </w:r>
      <w:bookmarkEnd w:id="54"/>
      <w:bookmarkEnd w:id="55"/>
      <w:bookmarkEnd w:id="56"/>
      <w:bookmarkEnd w:id="57"/>
      <w:bookmarkEnd w:id="58"/>
      <w:bookmarkEnd w:id="59"/>
      <w:bookmarkEnd w:id="60"/>
      <w:bookmarkEnd w:id="61"/>
      <w:bookmarkEnd w:id="62"/>
      <w:bookmarkEnd w:id="63"/>
      <w:bookmarkEnd w:id="64"/>
      <w:bookmarkStart w:id="66" w:name="_Toc26985_WPSOffice_Level1"/>
      <w:bookmarkStart w:id="67" w:name="_Toc28454_WPSOffice_Level1"/>
      <w:bookmarkStart w:id="68" w:name="_Toc20170_WPSOffice_Level1"/>
      <w:r>
        <w:rPr>
          <w:rFonts w:hint="eastAsia"/>
          <w:color w:val="auto"/>
          <w:lang w:eastAsia="zh-CN"/>
        </w:rPr>
        <w:t>（</w:t>
      </w:r>
      <w:r>
        <w:rPr>
          <w:rFonts w:hint="eastAsia"/>
          <w:color w:val="auto"/>
          <w:lang w:val="en-US" w:eastAsia="zh-CN"/>
        </w:rPr>
        <w:t>1166个基因</w:t>
      </w:r>
      <w:r>
        <w:rPr>
          <w:rFonts w:hint="eastAsia"/>
          <w:color w:val="auto"/>
          <w:lang w:eastAsia="zh-CN"/>
        </w:rPr>
        <w:t>）</w:t>
      </w:r>
      <w:bookmarkEnd w:id="65"/>
    </w:p>
    <w:tbl>
      <w:tblPr>
        <w:tblStyle w:val="17"/>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6A6A6" w:sz="4" w:space="0"/>
              <w:bottom w:val="single" w:color="A6A6A6" w:sz="4" w:space="0"/>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6A6A6" w:sz="4" w:space="0"/>
              <w:bottom w:val="single" w:color="A6A6A6" w:sz="4" w:space="0"/>
              <w:right w:val="single" w:color="A6A6A6" w:sz="4" w:space="0"/>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6A6A6" w:sz="4" w:space="0"/>
              <w:left w:val="single" w:color="A6A6A6" w:sz="4" w:space="0"/>
              <w:bottom w:val="single" w:color="A6A6A6" w:sz="4" w:space="0"/>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6A6A6" w:sz="4" w:space="0"/>
              <w:bottom w:val="single" w:color="A6A6A6" w:sz="4" w:space="0"/>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B152D37">
      <w:pPr>
        <w:rPr>
          <w:lang w:eastAsia="zh-CN"/>
        </w:rPr>
      </w:pPr>
    </w:p>
    <w:p w14:paraId="0CDAF13F">
      <w:pPr>
        <w:rPr>
          <w:lang w:eastAsia="zh-CN"/>
        </w:rPr>
      </w:pPr>
      <w:r>
        <w:rPr>
          <w:lang w:eastAsia="zh-CN"/>
        </w:rPr>
        <w:br w:type="page"/>
      </w:r>
    </w:p>
    <w:bookmarkEnd w:id="66"/>
    <w:bookmarkEnd w:id="67"/>
    <w:bookmarkEnd w:id="68"/>
    <w:p w14:paraId="4665A8E5">
      <w:pPr>
        <w:pStyle w:val="3"/>
        <w:numPr>
          <w:ilvl w:val="255"/>
          <w:numId w:val="0"/>
        </w:numPr>
        <w:jc w:val="left"/>
        <w:rPr>
          <w:color w:val="auto"/>
          <w:lang w:eastAsia="zh-CN"/>
        </w:rPr>
      </w:pPr>
      <w:bookmarkStart w:id="69" w:name="_Toc8432"/>
      <w:bookmarkStart w:id="70" w:name="_Toc5924"/>
      <w:bookmarkStart w:id="71" w:name="_Toc3409"/>
      <w:bookmarkStart w:id="72" w:name="_Toc15114"/>
      <w:bookmarkStart w:id="73" w:name="_Toc8911"/>
      <w:bookmarkStart w:id="74" w:name="_Toc27034"/>
      <w:bookmarkStart w:id="75" w:name="_Toc107825570"/>
      <w:bookmarkStart w:id="76" w:name="_Toc15630"/>
      <w:bookmarkStart w:id="77" w:name="_Toc11901"/>
      <w:bookmarkStart w:id="78" w:name="_Toc27809"/>
      <w:bookmarkStart w:id="79" w:name="_Toc4503"/>
      <w:bookmarkStart w:id="80" w:name="_Toc13275"/>
      <w:bookmarkStart w:id="81" w:name="_Toc17792_WPSOffice_Level2"/>
      <w:bookmarkStart w:id="82" w:name="_Toc22623"/>
      <w:bookmarkStart w:id="83" w:name="_Toc19584_WPSOffice_Level1"/>
      <w:bookmarkStart w:id="84" w:name="_Toc22162_WPSOffice_Level1"/>
      <w:bookmarkStart w:id="85" w:name="_Toc14611_WPSOffice_Level1"/>
      <w:r>
        <w:rPr>
          <w:rFonts w:hint="eastAsia"/>
          <w:color w:val="auto"/>
          <w:lang w:eastAsia="zh-CN"/>
        </w:rPr>
        <w:t>检测方法与局限性</w:t>
      </w:r>
      <w:bookmarkEnd w:id="69"/>
      <w:bookmarkEnd w:id="70"/>
      <w:bookmarkEnd w:id="71"/>
      <w:bookmarkEnd w:id="72"/>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73"/>
    <w:bookmarkEnd w:id="74"/>
    <w:bookmarkEnd w:id="75"/>
    <w:p w14:paraId="18EBA587">
      <w:pPr>
        <w:pStyle w:val="3"/>
        <w:numPr>
          <w:ilvl w:val="255"/>
          <w:numId w:val="0"/>
        </w:numPr>
        <w:jc w:val="left"/>
        <w:rPr>
          <w:color w:val="auto"/>
          <w:lang w:eastAsia="zh-CN"/>
        </w:rPr>
      </w:pPr>
      <w:bookmarkStart w:id="86" w:name="_Toc8716"/>
      <w:bookmarkStart w:id="87" w:name="_Toc8204"/>
      <w:r>
        <w:rPr>
          <w:rFonts w:hint="eastAsia"/>
          <w:color w:val="auto"/>
          <w:lang w:eastAsia="zh-CN"/>
        </w:rPr>
        <w:t>参考文献</w:t>
      </w:r>
      <w:bookmarkEnd w:id="76"/>
      <w:bookmarkEnd w:id="77"/>
      <w:bookmarkEnd w:id="78"/>
      <w:bookmarkEnd w:id="79"/>
      <w:bookmarkEnd w:id="86"/>
      <w:bookmarkEnd w:id="87"/>
    </w:p>
    <w:bookmarkEnd w:id="80"/>
    <w:bookmarkEnd w:id="81"/>
    <w:bookmarkEnd w:id="82"/>
    <w:bookmarkEnd w:id="83"/>
    <w:bookmarkEnd w:id="84"/>
    <w:bookmarkEnd w:id="85"/>
    <w:p w14:paraId="71818969">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if 3620 in diseaseIdList %}NCCN临床实践指南：中枢神经系统肿瘤（2025）</w:t>
      </w:r>
    </w:p>
    <w:p w14:paraId="6A0286FB">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2022年版《脑胶质瘤中国肿瘤整合诊治指南》</w:t>
      </w:r>
    </w:p>
    <w:p w14:paraId="036F2948">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The 2021 WHO Classification of Tumors of the Central Nervous System: a summary Neuro-Oncology 23(8), 1231–1251, 2021 | doi:10.1093/neuonc/noab106</w:t>
      </w:r>
    </w:p>
    <w:p w14:paraId="1104AB6B">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Comprehensive Genomic Profiling of 282 Pediatric Low and High Grade Gliomas Reveals Genomic Drivers,Tumor Mutational Burden, and Hypermutation Signatures. PMID:28912153</w:t>
      </w:r>
    </w:p>
    <w:p w14:paraId="471C06F0">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ChapmanPB,HauschildA,RobertCetal.ImprovedsurvivalwithvemurafenibinmelanomaWithBRAFV600Emutation[J]. New England Journal of Medicine, 2011,364(26):2507-2516.</w:t>
      </w:r>
    </w:p>
    <w:p w14:paraId="1B3814E6">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High-gradeglioma：ESMO Clinical Practice Guidelines fordiagnosis, treatment and follow-up.AnnalsofOncology00:1-9,2014.</w:t>
      </w:r>
    </w:p>
    <w:p w14:paraId="2A03CC45">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KillelaPJ,YanH,BignerDD,etal.Mutations in IDH1, IDH2, and in the TERT promoter define clinically distinct subgroups of adult malignant gliomas.Oncotarget2014;5(6):1515-1525.</w:t>
      </w:r>
    </w:p>
    <w:p w14:paraId="2A58751A">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LukeJJ,HodiFS. Ipilimumab, vemurafenib, dabrafenib, and trametinib: synergistic competitors in the clinical management of BRAF Mutant malignant melanoma[J]. Theoncologist,2013,18(6):717-725.</w:t>
      </w:r>
    </w:p>
    <w:p w14:paraId="7525FBCA">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DubbinkHJ,AtmodimedjoPN,VanMR,etal.Diagnostic Detection of Allelic Losses and Imbalances by Next-Generation Sequencing: 1P/19Q Co-deletion Analysis of Gliomas. [J]. JournalofMolecularDiagnostics,2016,18(5):775-786</w:t>
      </w:r>
    </w:p>
    <w:p w14:paraId="62B9C9B9">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elif 60463 in diseaseIdList %}KEES U R，MULCAHY M T，WILLOUGHBY M L. Intrathoracic carcinoma in an 11⁃year⁃old girl showing a translocation t（15；19）［J］.Am J Pediatr Hematol Oncol，1991，13(4)：459⁃464.</w:t>
      </w:r>
    </w:p>
    <w:p w14:paraId="740D7543">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CHAU N G，MA C，DANGA K，et al.An Anatomical Site and Genetic⁃Based Prognostic Model for Patients With Nuclear Protein in Testis（NUT）Midline Carcinoma：Analysis of 124 Patients［J］.JNCI Cancer Spectr，2020，4（2）：pkz94.</w:t>
      </w:r>
    </w:p>
    <w:p w14:paraId="21605A91">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CHARLAB R，RACZ R.The expanding universe of NUTM1 fusions in pediatric cancer［J］.Clin Transl Sci，2023，16（8）：1331⁃1339.</w:t>
      </w:r>
    </w:p>
    <w:p w14:paraId="527548D5">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COSTA B A，MARAVEYAS A，WILKOFF M H，et al.Primary Pulmonary NUT Carcinoma：Case Illustration and Updated Review of Literature［J］.Clin Lung Cancer，2022，23(4)：e296⁃e300.</w:t>
      </w:r>
    </w:p>
    <w:p w14:paraId="113125E0">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VIRARKAR M，MALLERY M，SALEH M，et al.Clinical，Radiographic，Pathologic Characterization and Survival Outcomes of Nuclear Protein of the Testis Carcinoma［J］.J Comput Assist Tomogr，2021，45(3):431⁃441.</w:t>
      </w:r>
    </w:p>
    <w:p w14:paraId="1278CD4B">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中线（NUT）癌诊断与治疗专家共识（2023版）</w:t>
      </w:r>
    </w:p>
    <w:p w14:paraId="6DAC37FC">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elif 263 in diseaseIdList %}WHO Classification of Tumours Editorial Board. WHO classifica-tion of tumours. Urinary and male genital tumours [ M]. 5th ed,Lyon:IARC Press,2022 :72 -84.</w:t>
      </w:r>
    </w:p>
    <w:p w14:paraId="78E6AA8D">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Pei J, Cooper H, Flieder D B,et al. NEAT1-TFE3 and KAT6A.TFE3 renal cell carcinomas, new members of MiT family transloca-tion renal cell carcinoma[J]. Mod Pathol, 2019,32(5):710-716.</w:t>
      </w:r>
    </w:p>
    <w:p w14:paraId="6C06C741">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Wang X T, Xia Q Y, Ye S B, et al. RNA sequencing of Xpl1translocation-associated cancers reveals novel gene fusions and dis-tinctive clinicopathologic correlations[ 」]. Mod Pathol, 2018 ,31(9):1346 -1360.</w:t>
      </w:r>
    </w:p>
    <w:p w14:paraId="60D36025">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Wang XM,Shao L,Xiao H,et al. Lessons from 801 clinicalTFE3/TFEB FISH assays performed on renal cell carcinoma suspi-cious forMiTF family aberrations[」]. Am J Clin Pathol, 2023 ,160(6):549 -554.</w:t>
      </w:r>
    </w:p>
    <w:p w14:paraId="65BC02EC">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Xia QY, Wang XT, Fang R, et al. Clinicopathologic and molee-ular analysis of the TFEB fusion variant reveals new members ofTFEB translocation renal cell carcinomas ( RCCs): expanding thegenomic spectrum[」]. Am JSurg Pathol,2020,44(4):477 -489</w:t>
      </w:r>
    </w:p>
    <w:p w14:paraId="44863270">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elif 1115 in diseaseIdList %}Riggi N, Cironi L, Provero P, et al. Development of Ewing's sarcoma from primary bone marrow-derived mesenchymal progenitor cells. Cancer Res. 2005;65(24):11459-11468.[PMID:16357154]</w:t>
      </w:r>
    </w:p>
    <w:p w14:paraId="40DF12DD">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Jeon IS, Davis JN, Braun BS, et al. A variant Ewing's sarcoma translocation (7;22) fuses the EWS gene to the ETS gene ETV1. Oncogene. 1995;10(6):1229-1234.[PMID:7700648]</w:t>
      </w:r>
    </w:p>
    <w:p w14:paraId="7F2D81CD">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Riggi N, Knoechel B, Gillespie SM, et al. EWS-FLI1 utilizes divergent chromatin remodeling mechanisms to directly activate or repress enhancer elements in Ewing sarcoma. Cancer Cell. 2014;26(5):668-681.[PMID:25453903]</w:t>
      </w:r>
    </w:p>
    <w:p w14:paraId="4B8C4C17">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Soft tissue and bone tumours / edited by WHO Classification of Tumours Editorial Board.（2020）.</w:t>
      </w:r>
    </w:p>
    <w:p w14:paraId="05D5C486">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NCCN Guidelines 2025 Soft Tissue Sarcoma.</w:t>
      </w:r>
    </w:p>
    <w:p w14:paraId="201F1F53">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中国临床肿瘤学会（CSCO）软组织肉瘤诊疗指南2022.</w:t>
      </w:r>
    </w:p>
    <w:p w14:paraId="55B5144F">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《骨与软组织肿瘤二代测序中国专家共识（2021 年版）》,中国抗癌协会肉瘤专业委员会.中国肿瘤临床2021年第48卷第20期.</w:t>
      </w:r>
    </w:p>
    <w:p w14:paraId="39594EF4">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 else %}Shaw AT, Bauer TM, de Marinis F, et al. First-line lorlatinib or crizotinib in advanced ALK-positive lung cancer. N Engl J Med. 2020;383(21):2018-2029. </w:t>
      </w:r>
    </w:p>
    <w:p w14:paraId="7012AAC1">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w:t>
      </w:r>
    </w:p>
    <w:p w14:paraId="0A1874CE">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Li W, Guo L, Liu Y, Dong L, et al. Potential Unreliability of Uncommon ALK, ROS1, and RET Genomic Breakpoints in Predicting the Efficacy of Targeted Therapy in NSCLC. J Thorac Oncol. 2021 Mar;16(3):404-418. doi: 10.1016/j.jtho.2020.10.156. Epub 2020 Nov 26. </w:t>
      </w:r>
    </w:p>
    <w:p w14:paraId="03450DB9">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Li W, Liu Y, Li W, et al. Intergenic Breakpoints Identified by DNA Sequencing Confound Targetable Kinase Fusion Detection in NSCLC. J Thorac Oncol. 2020 Jul;15(7):1223-1231. doi: 10.1016/j.jtho.2020.02.023. Epub 2020 Mar 7.</w:t>
      </w:r>
    </w:p>
    <w:p w14:paraId="72392990">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Majewski IJ, Mittempergher L, Davidson NM, et al. Identification of recurrent FGFR3 fusion genes in lung cancer through kinome-centred RNA sequencing. J Pathol. 2013 Jul;230(3):270-6. doi: 10.1002/path.4209. PMID: 23661334.</w:t>
      </w:r>
    </w:p>
    <w:p w14:paraId="0E198FE6">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《中国实体瘤 NTRK 融合基因临床治疗专家共识》2022.9.</w:t>
      </w:r>
    </w:p>
    <w:p w14:paraId="28B7211B">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中国临床肿瘤学会（CSCO）软组织肉瘤诊疗指南2022. </w:t>
      </w:r>
    </w:p>
    <w:p w14:paraId="1438807A">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《骨与软组织肿瘤二代测序中国专家共识（2021 年版）》{% endif %}</w:t>
      </w:r>
    </w:p>
    <w:p w14:paraId="736EC4B7">
      <w:pPr>
        <w:widowControl/>
        <w:adjustRightInd w:val="0"/>
        <w:snapToGrid w:val="0"/>
        <w:spacing w:after="156" w:afterLines="50"/>
        <w:jc w:val="both"/>
        <w:rPr>
          <w:rFonts w:ascii="Times New Roman" w:hAnsi="Times New Roman" w:eastAsia="等线"/>
        </w:rPr>
      </w:pP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4">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0">
    <w:nsid w:val="4727A939"/>
    <w:multiLevelType w:val="singleLevel"/>
    <w:tmpl w:val="4727A939"/>
    <w:lvl w:ilvl="0" w:tentative="0">
      <w:start w:val="1"/>
      <w:numFmt w:val="decimal"/>
      <w:lvlText w:val="%1."/>
      <w:lvlJc w:val="left"/>
      <w:pPr>
        <w:tabs>
          <w:tab w:val="left" w:pos="312"/>
        </w:tabs>
      </w:p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5"/>
  </w:num>
  <w:num w:numId="5">
    <w:abstractNumId w:val="7"/>
  </w:num>
  <w:num w:numId="6">
    <w:abstractNumId w:val="3"/>
  </w:num>
  <w:num w:numId="7">
    <w:abstractNumId w:val="9"/>
  </w:num>
  <w:num w:numId="8">
    <w:abstractNumId w:val="4"/>
  </w:num>
  <w:num w:numId="9">
    <w:abstractNumId w:val="1"/>
  </w:num>
  <w:num w:numId="10">
    <w:abstractNumId w:val="8"/>
  </w:num>
  <w:num w:numId="11">
    <w:abstractNumId w:val="0"/>
  </w:num>
  <w:num w:numId="12">
    <w:abstractNumId w:val="10"/>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AF766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CA5CC8"/>
    <w:rsid w:val="01F64392"/>
    <w:rsid w:val="022D1058"/>
    <w:rsid w:val="0281009B"/>
    <w:rsid w:val="028A4B59"/>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815BFE"/>
    <w:rsid w:val="05887898"/>
    <w:rsid w:val="05984D87"/>
    <w:rsid w:val="05D63B33"/>
    <w:rsid w:val="05DD3D0D"/>
    <w:rsid w:val="05EF2F96"/>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D83256"/>
    <w:rsid w:val="09F0614D"/>
    <w:rsid w:val="0A043ABA"/>
    <w:rsid w:val="0A4D05F1"/>
    <w:rsid w:val="0A4F2135"/>
    <w:rsid w:val="0A757891"/>
    <w:rsid w:val="0AA417AC"/>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CD74927"/>
    <w:rsid w:val="0D0522AA"/>
    <w:rsid w:val="0D055CE8"/>
    <w:rsid w:val="0D183D8B"/>
    <w:rsid w:val="0D821B4C"/>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12367F"/>
    <w:rsid w:val="12372F05"/>
    <w:rsid w:val="124B4C03"/>
    <w:rsid w:val="126971EB"/>
    <w:rsid w:val="126C3817"/>
    <w:rsid w:val="12850E64"/>
    <w:rsid w:val="12963DA1"/>
    <w:rsid w:val="12976F2B"/>
    <w:rsid w:val="12F372F0"/>
    <w:rsid w:val="132612E4"/>
    <w:rsid w:val="13897526"/>
    <w:rsid w:val="13916AC0"/>
    <w:rsid w:val="13AB527B"/>
    <w:rsid w:val="13BA2629"/>
    <w:rsid w:val="143F22B3"/>
    <w:rsid w:val="147F528E"/>
    <w:rsid w:val="14872247"/>
    <w:rsid w:val="148972D9"/>
    <w:rsid w:val="149B7751"/>
    <w:rsid w:val="14B076BA"/>
    <w:rsid w:val="14B34D21"/>
    <w:rsid w:val="14B36254"/>
    <w:rsid w:val="14C82A00"/>
    <w:rsid w:val="14E343DA"/>
    <w:rsid w:val="14E50274"/>
    <w:rsid w:val="150E31A1"/>
    <w:rsid w:val="151179F4"/>
    <w:rsid w:val="1515616B"/>
    <w:rsid w:val="15196B67"/>
    <w:rsid w:val="1524470F"/>
    <w:rsid w:val="152E3223"/>
    <w:rsid w:val="153F7D0D"/>
    <w:rsid w:val="15617795"/>
    <w:rsid w:val="159D0F7C"/>
    <w:rsid w:val="15CA1F15"/>
    <w:rsid w:val="15D73C77"/>
    <w:rsid w:val="164C0282"/>
    <w:rsid w:val="165063E4"/>
    <w:rsid w:val="167138E8"/>
    <w:rsid w:val="169C4F0C"/>
    <w:rsid w:val="16A13F91"/>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3F455D"/>
    <w:rsid w:val="19437087"/>
    <w:rsid w:val="199369D8"/>
    <w:rsid w:val="199B3480"/>
    <w:rsid w:val="19CB4FEC"/>
    <w:rsid w:val="19E51499"/>
    <w:rsid w:val="1A0652E5"/>
    <w:rsid w:val="1A7E3DDA"/>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A12FF"/>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134B3E"/>
    <w:rsid w:val="215359E5"/>
    <w:rsid w:val="21641D42"/>
    <w:rsid w:val="216A3F09"/>
    <w:rsid w:val="216F18A9"/>
    <w:rsid w:val="219A0DBB"/>
    <w:rsid w:val="21C14675"/>
    <w:rsid w:val="21D55A39"/>
    <w:rsid w:val="21DF6433"/>
    <w:rsid w:val="21FA368D"/>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6D638F"/>
    <w:rsid w:val="27870460"/>
    <w:rsid w:val="27946F03"/>
    <w:rsid w:val="27F72D7E"/>
    <w:rsid w:val="280744D8"/>
    <w:rsid w:val="284E28FF"/>
    <w:rsid w:val="28B74238"/>
    <w:rsid w:val="28B83CA7"/>
    <w:rsid w:val="28E502F9"/>
    <w:rsid w:val="28E9374F"/>
    <w:rsid w:val="29363F06"/>
    <w:rsid w:val="29657F00"/>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173A2E"/>
    <w:rsid w:val="2F28730D"/>
    <w:rsid w:val="2F3A096F"/>
    <w:rsid w:val="2F6046E7"/>
    <w:rsid w:val="2F75C179"/>
    <w:rsid w:val="2F803098"/>
    <w:rsid w:val="2F8D7DD7"/>
    <w:rsid w:val="2FA65D29"/>
    <w:rsid w:val="2FAC5A0D"/>
    <w:rsid w:val="2FED2BB4"/>
    <w:rsid w:val="2FF43D8C"/>
    <w:rsid w:val="2FFE984E"/>
    <w:rsid w:val="30104E20"/>
    <w:rsid w:val="304862D7"/>
    <w:rsid w:val="304E3815"/>
    <w:rsid w:val="306A6644"/>
    <w:rsid w:val="309F019C"/>
    <w:rsid w:val="30C51137"/>
    <w:rsid w:val="30D01CFA"/>
    <w:rsid w:val="30D94F87"/>
    <w:rsid w:val="30DA24F1"/>
    <w:rsid w:val="310959FE"/>
    <w:rsid w:val="3109732A"/>
    <w:rsid w:val="31362FA8"/>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CE17DB"/>
    <w:rsid w:val="36DA10D1"/>
    <w:rsid w:val="371E73E3"/>
    <w:rsid w:val="37243BD7"/>
    <w:rsid w:val="375C659B"/>
    <w:rsid w:val="376B45FB"/>
    <w:rsid w:val="376D57DD"/>
    <w:rsid w:val="379320DC"/>
    <w:rsid w:val="37E81DE8"/>
    <w:rsid w:val="37F204E2"/>
    <w:rsid w:val="38275D59"/>
    <w:rsid w:val="38326A43"/>
    <w:rsid w:val="3848012E"/>
    <w:rsid w:val="38892BF8"/>
    <w:rsid w:val="389471E3"/>
    <w:rsid w:val="38984F4D"/>
    <w:rsid w:val="38BE5424"/>
    <w:rsid w:val="38F86950"/>
    <w:rsid w:val="39525C52"/>
    <w:rsid w:val="3956425B"/>
    <w:rsid w:val="39A25744"/>
    <w:rsid w:val="39A27F1F"/>
    <w:rsid w:val="39A46823"/>
    <w:rsid w:val="39A64D30"/>
    <w:rsid w:val="39B051C8"/>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CBB45AF"/>
    <w:rsid w:val="3D1C54C3"/>
    <w:rsid w:val="3D46185D"/>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DF2363"/>
    <w:rsid w:val="3FF2193A"/>
    <w:rsid w:val="40342F71"/>
    <w:rsid w:val="404F2B17"/>
    <w:rsid w:val="405979F4"/>
    <w:rsid w:val="40895D14"/>
    <w:rsid w:val="40AE34F0"/>
    <w:rsid w:val="40BA2B58"/>
    <w:rsid w:val="40F7016A"/>
    <w:rsid w:val="41662C2D"/>
    <w:rsid w:val="41941571"/>
    <w:rsid w:val="41C73588"/>
    <w:rsid w:val="41DE4F09"/>
    <w:rsid w:val="41EC43CC"/>
    <w:rsid w:val="41FF695D"/>
    <w:rsid w:val="42642ED6"/>
    <w:rsid w:val="42967F6B"/>
    <w:rsid w:val="42D665BD"/>
    <w:rsid w:val="43184C21"/>
    <w:rsid w:val="431B75AC"/>
    <w:rsid w:val="432467BF"/>
    <w:rsid w:val="4327476D"/>
    <w:rsid w:val="4363766A"/>
    <w:rsid w:val="43821027"/>
    <w:rsid w:val="438F1360"/>
    <w:rsid w:val="43AA2C88"/>
    <w:rsid w:val="43B3197C"/>
    <w:rsid w:val="43C168D9"/>
    <w:rsid w:val="44101FFB"/>
    <w:rsid w:val="44114AB5"/>
    <w:rsid w:val="44636E08"/>
    <w:rsid w:val="447268EA"/>
    <w:rsid w:val="44AC0A6D"/>
    <w:rsid w:val="44B5521D"/>
    <w:rsid w:val="44D42C8A"/>
    <w:rsid w:val="44DC02F0"/>
    <w:rsid w:val="44E67E08"/>
    <w:rsid w:val="452112A4"/>
    <w:rsid w:val="454A2BAB"/>
    <w:rsid w:val="459308E1"/>
    <w:rsid w:val="45A93012"/>
    <w:rsid w:val="45D4644E"/>
    <w:rsid w:val="45F54197"/>
    <w:rsid w:val="46015244"/>
    <w:rsid w:val="46146ADE"/>
    <w:rsid w:val="4642004E"/>
    <w:rsid w:val="464A3A20"/>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080B7C"/>
    <w:rsid w:val="491414FC"/>
    <w:rsid w:val="491B0BF5"/>
    <w:rsid w:val="492018AE"/>
    <w:rsid w:val="494527BF"/>
    <w:rsid w:val="496F6F12"/>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A24D84"/>
    <w:rsid w:val="4BC14EAA"/>
    <w:rsid w:val="4C050246"/>
    <w:rsid w:val="4C0F23A4"/>
    <w:rsid w:val="4C120763"/>
    <w:rsid w:val="4C194E4E"/>
    <w:rsid w:val="4C43011D"/>
    <w:rsid w:val="4C6263AC"/>
    <w:rsid w:val="4CC874A2"/>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9B480F"/>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144C0"/>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5D60C3"/>
    <w:rsid w:val="588A7858"/>
    <w:rsid w:val="588E3A11"/>
    <w:rsid w:val="58941028"/>
    <w:rsid w:val="58A43CF2"/>
    <w:rsid w:val="58A44110"/>
    <w:rsid w:val="58DE21CC"/>
    <w:rsid w:val="5927169E"/>
    <w:rsid w:val="594902D2"/>
    <w:rsid w:val="595042AA"/>
    <w:rsid w:val="59531B7C"/>
    <w:rsid w:val="595B4DC9"/>
    <w:rsid w:val="5973475B"/>
    <w:rsid w:val="59C97EB4"/>
    <w:rsid w:val="59F065AD"/>
    <w:rsid w:val="5A344B23"/>
    <w:rsid w:val="5A57353A"/>
    <w:rsid w:val="5AB801DA"/>
    <w:rsid w:val="5AEF28FC"/>
    <w:rsid w:val="5B093AF8"/>
    <w:rsid w:val="5B2616E5"/>
    <w:rsid w:val="5B313FD1"/>
    <w:rsid w:val="5B3A4C3E"/>
    <w:rsid w:val="5B3F2EF0"/>
    <w:rsid w:val="5B884B96"/>
    <w:rsid w:val="5BBB0F00"/>
    <w:rsid w:val="5BC17430"/>
    <w:rsid w:val="5BC31A98"/>
    <w:rsid w:val="5BF93517"/>
    <w:rsid w:val="5C325366"/>
    <w:rsid w:val="5C441A74"/>
    <w:rsid w:val="5CE95E81"/>
    <w:rsid w:val="5CEB3254"/>
    <w:rsid w:val="5D03572C"/>
    <w:rsid w:val="5D090FC9"/>
    <w:rsid w:val="5D0F6A83"/>
    <w:rsid w:val="5D480F4A"/>
    <w:rsid w:val="5D505AC6"/>
    <w:rsid w:val="5D7217AC"/>
    <w:rsid w:val="5D8F6D1E"/>
    <w:rsid w:val="5E0B348D"/>
    <w:rsid w:val="5ED47E8C"/>
    <w:rsid w:val="5F112BE1"/>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414D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5A5B16"/>
    <w:rsid w:val="67630CEF"/>
    <w:rsid w:val="67643342"/>
    <w:rsid w:val="67695FBB"/>
    <w:rsid w:val="67744584"/>
    <w:rsid w:val="67745B77"/>
    <w:rsid w:val="67D77C44"/>
    <w:rsid w:val="67E81E4D"/>
    <w:rsid w:val="680D3662"/>
    <w:rsid w:val="68120C78"/>
    <w:rsid w:val="68352BB8"/>
    <w:rsid w:val="684A71CE"/>
    <w:rsid w:val="684F28B3"/>
    <w:rsid w:val="685748DD"/>
    <w:rsid w:val="68645048"/>
    <w:rsid w:val="68816D21"/>
    <w:rsid w:val="6882763F"/>
    <w:rsid w:val="6884648C"/>
    <w:rsid w:val="689871CF"/>
    <w:rsid w:val="68A857F0"/>
    <w:rsid w:val="690459DC"/>
    <w:rsid w:val="690B7AFD"/>
    <w:rsid w:val="695140AB"/>
    <w:rsid w:val="69543567"/>
    <w:rsid w:val="69B036CF"/>
    <w:rsid w:val="69BE7BAE"/>
    <w:rsid w:val="69C2047C"/>
    <w:rsid w:val="69C37C4F"/>
    <w:rsid w:val="69E51A3E"/>
    <w:rsid w:val="6A180980"/>
    <w:rsid w:val="6A225E74"/>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54F26"/>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24129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251D33"/>
    <w:rsid w:val="743439CA"/>
    <w:rsid w:val="74687938"/>
    <w:rsid w:val="748F3308"/>
    <w:rsid w:val="74BC7F66"/>
    <w:rsid w:val="74C27582"/>
    <w:rsid w:val="74DD127A"/>
    <w:rsid w:val="74DD501D"/>
    <w:rsid w:val="75162ACF"/>
    <w:rsid w:val="753979C7"/>
    <w:rsid w:val="753DCFAD"/>
    <w:rsid w:val="754B1A74"/>
    <w:rsid w:val="75686B98"/>
    <w:rsid w:val="75AE7B06"/>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CF37D2"/>
    <w:rsid w:val="77D16924"/>
    <w:rsid w:val="782C2784"/>
    <w:rsid w:val="78326601"/>
    <w:rsid w:val="78430D47"/>
    <w:rsid w:val="78B46FED"/>
    <w:rsid w:val="78BD7805"/>
    <w:rsid w:val="78D17591"/>
    <w:rsid w:val="7902496B"/>
    <w:rsid w:val="79276A37"/>
    <w:rsid w:val="79722641"/>
    <w:rsid w:val="797F7147"/>
    <w:rsid w:val="79855DB0"/>
    <w:rsid w:val="79BE2A91"/>
    <w:rsid w:val="79D03DC8"/>
    <w:rsid w:val="79DFF2E8"/>
    <w:rsid w:val="79E7F505"/>
    <w:rsid w:val="79F3E4E0"/>
    <w:rsid w:val="79FE23AA"/>
    <w:rsid w:val="7A2114BD"/>
    <w:rsid w:val="7A3C3932"/>
    <w:rsid w:val="7A98062F"/>
    <w:rsid w:val="7A992CC0"/>
    <w:rsid w:val="7AAE2C70"/>
    <w:rsid w:val="7ABE58A9"/>
    <w:rsid w:val="7ABF07F0"/>
    <w:rsid w:val="7ADF4092"/>
    <w:rsid w:val="7AFA6CE8"/>
    <w:rsid w:val="7B3A50B0"/>
    <w:rsid w:val="7B3F4201"/>
    <w:rsid w:val="7B7A2758"/>
    <w:rsid w:val="7B8B2C1D"/>
    <w:rsid w:val="7BAB6887"/>
    <w:rsid w:val="7BCA3B47"/>
    <w:rsid w:val="7BD020E4"/>
    <w:rsid w:val="7BFF63DE"/>
    <w:rsid w:val="7BFFF645"/>
    <w:rsid w:val="7C01614C"/>
    <w:rsid w:val="7C046E24"/>
    <w:rsid w:val="7C3403C9"/>
    <w:rsid w:val="7C43369E"/>
    <w:rsid w:val="7C6A1EB0"/>
    <w:rsid w:val="7CD67231"/>
    <w:rsid w:val="7CD808E6"/>
    <w:rsid w:val="7CE64909"/>
    <w:rsid w:val="7CFF3521"/>
    <w:rsid w:val="7D2FBDBB"/>
    <w:rsid w:val="7D33E684"/>
    <w:rsid w:val="7D4E0C16"/>
    <w:rsid w:val="7D793C28"/>
    <w:rsid w:val="7D8A0E59"/>
    <w:rsid w:val="7D8C0F6F"/>
    <w:rsid w:val="7DB80D12"/>
    <w:rsid w:val="7DD24429"/>
    <w:rsid w:val="7DD60F10"/>
    <w:rsid w:val="7DFCB02C"/>
    <w:rsid w:val="7E096CA7"/>
    <w:rsid w:val="7E283F85"/>
    <w:rsid w:val="7E320950"/>
    <w:rsid w:val="7E6009A4"/>
    <w:rsid w:val="7E926EA7"/>
    <w:rsid w:val="7EC806A9"/>
    <w:rsid w:val="7EE7345A"/>
    <w:rsid w:val="7EF557D1"/>
    <w:rsid w:val="7EFFFD1B"/>
    <w:rsid w:val="7F6A5445"/>
    <w:rsid w:val="7F6F18ED"/>
    <w:rsid w:val="7F704289"/>
    <w:rsid w:val="7F945FBF"/>
    <w:rsid w:val="7F9F0756"/>
    <w:rsid w:val="7FAC31CA"/>
    <w:rsid w:val="7FB4040F"/>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 w:type="character" w:customStyle="1" w:styleId="55">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3094</Words>
  <Characters>6629</Characters>
  <Lines>345</Lines>
  <Paragraphs>97</Paragraphs>
  <TotalTime>0</TotalTime>
  <ScaleCrop>false</ScaleCrop>
  <LinksUpToDate>false</LinksUpToDate>
  <CharactersWithSpaces>7203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yolo</cp:lastModifiedBy>
  <dcterms:modified xsi:type="dcterms:W3CDTF">2025-12-09T08:38:46Z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