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658E2C">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189AF8DF">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1"/>
          <w:rFonts w:hint="eastAsia" w:ascii="Times New Roman" w:hAnsi="Times New Roman" w:eastAsia="微软雅黑" w:cs="Times New Roman"/>
          <w:b/>
          <w:bCs/>
          <w:color w:val="0083C3"/>
          <w:sz w:val="28"/>
          <w:szCs w:val="28"/>
          <w:u w:val="none"/>
          <w:lang w:val="en-US" w:eastAsia="zh-CN"/>
        </w:rPr>
        <w:t>报告概览</w:t>
      </w:r>
    </w:p>
    <w:p w14:paraId="64BFE1B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TOC \o "1-2" \h \u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_Toc26902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样本信息</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_Toc26902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620B5B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_Toc15099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检测项目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_Toc15099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4C2C1E4">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_Toc25515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检测结果小结</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_Toc25515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B4D600F">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_Toc22387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_Toc22387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410A7FC">
      <w:pPr>
        <w:rPr>
          <w:rStyle w:val="21"/>
          <w:rFonts w:hint="eastAsia" w:ascii="Times New Roman" w:hAnsi="Times New Roman" w:eastAsia="微软雅黑" w:cs="Times New Roman"/>
          <w:b w:val="0"/>
          <w:sz w:val="24"/>
          <w:szCs w:val="21"/>
          <w:lang w:val="en-US" w:eastAsia="zh-CN" w:bidi="ar-SA"/>
        </w:rPr>
      </w:pPr>
    </w:p>
    <w:p w14:paraId="046AC927">
      <w:pPr>
        <w:pStyle w:val="13"/>
        <w:tabs>
          <w:tab w:val="right" w:leader="dot" w:pos="9861"/>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检测结果及用药提示</w:t>
      </w:r>
    </w:p>
    <w:p w14:paraId="2A27EE2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_Toc6083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脑胶质瘤相关分子标记物检测结果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_Toc6083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E65BD7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_Toc5193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体细胞变异分级提示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_Toc5193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32A74D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_Toc29961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_Toc29961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5B7EA8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_Toc25532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本癌种FDA/NMPA获批的其他可选靶向药物</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_Toc25532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4DA15359">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_Toc26874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免疫药物用药提示</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_Toc26874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{%if PDInfo != undefined %}</w:t>
      </w:r>
    </w:p>
    <w:p w14:paraId="40863911">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_Toc6318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PD-L1检测结果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_Toc6318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17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667D417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_Toc28920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同源重组修复（HRR）基因检测结果</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_Toc28920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CD779C0">
      <w:pPr>
        <w:rPr>
          <w:rStyle w:val="21"/>
          <w:rFonts w:hint="eastAsia" w:ascii="Times New Roman" w:hAnsi="Times New Roman" w:eastAsia="微软雅黑" w:cs="Times New Roman"/>
          <w:b w:val="0"/>
          <w:sz w:val="24"/>
          <w:szCs w:val="21"/>
          <w:lang w:val="en-US" w:eastAsia="zh-CN" w:bidi="ar-SA"/>
        </w:rPr>
      </w:pPr>
    </w:p>
    <w:p w14:paraId="1473636B">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1A7740E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_Toc213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体细胞变异结果解析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_Toc213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%}{%if geneticCancerRiskInfo %}</w:t>
      </w:r>
    </w:p>
    <w:p w14:paraId="6CB8FE85">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_Toc23101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胚系变异结果解析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_Toc23101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27</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t>{% endif %}</w:t>
      </w:r>
    </w:p>
    <w:p w14:paraId="4FFB91BC">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_Toc31098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免疫检测结果解析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_Toc31098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29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510F1EA0">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_Toc1561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化疗药物检测解析</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_Toc1561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36</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DF7F71E">
      <w:pPr>
        <w:rPr>
          <w:rStyle w:val="21"/>
          <w:rFonts w:hint="eastAsia" w:ascii="Times New Roman" w:hAnsi="Times New Roman" w:eastAsia="微软雅黑" w:cs="Times New Roman"/>
          <w:b w:val="0"/>
          <w:sz w:val="24"/>
          <w:szCs w:val="21"/>
          <w:lang w:val="en-US" w:eastAsia="zh-CN" w:bidi="ar-SA"/>
        </w:rPr>
      </w:pPr>
    </w:p>
    <w:p w14:paraId="622991BC">
      <w:pPr>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bCs/>
          <w:color w:val="0083C3"/>
          <w:sz w:val="28"/>
          <w:szCs w:val="28"/>
          <w:u w:val="none"/>
          <w:lang w:val="en-US" w:eastAsia="zh-CN"/>
        </w:rPr>
        <w:t>附录</w:t>
      </w:r>
    </w:p>
    <w:p w14:paraId="45C0CE3D">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_Toc6954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样本质控情况</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_Toc6954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39</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647C749B">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_Toc32092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脑胶质瘤</w:t>
      </w:r>
      <w:r>
        <w:rPr>
          <w:rStyle w:val="21"/>
          <w:rFonts w:hint="eastAsia" w:ascii="Times New Roman" w:hAnsi="Times New Roman" w:eastAsia="微软雅黑" w:cs="Times New Roman"/>
          <w:b w:val="0"/>
          <w:sz w:val="24"/>
          <w:szCs w:val="21"/>
          <w:lang w:val="en-US" w:eastAsia="zh-CN" w:bidi="ar-SA"/>
        </w:rPr>
        <w:t>相关</w:t>
      </w:r>
      <w:r>
        <w:rPr>
          <w:rStyle w:val="21"/>
          <w:rFonts w:hint="default" w:ascii="Times New Roman" w:hAnsi="Times New Roman" w:eastAsia="微软雅黑" w:cs="Times New Roman"/>
          <w:b w:val="0"/>
          <w:sz w:val="24"/>
          <w:szCs w:val="21"/>
          <w:lang w:val="en-US" w:eastAsia="zh-CN" w:bidi="ar-SA"/>
        </w:rPr>
        <w:t>分子标记物检测意义</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_Toc32092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40</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0DA8FA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_Toc15370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default" w:ascii="Times New Roman" w:hAnsi="Times New Roman" w:eastAsia="微软雅黑" w:cs="Times New Roman"/>
          <w:b w:val="0"/>
          <w:sz w:val="24"/>
          <w:szCs w:val="21"/>
          <w:lang w:val="en-US" w:eastAsia="zh-CN" w:bidi="ar-SA"/>
        </w:rPr>
        <w:t>胶质瘤遗传风险相关基因</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_Toc15370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41</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7592F3E2">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_Toc13280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常见靶向药物相关基因检测列表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_Toc13280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42</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05CFADE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_Toc17837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检测基因列表</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_Toc17837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43</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2EEF6B43">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_Toc9612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检测方法与局限性</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_Toc9612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44</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1FF4297A">
      <w:pPr>
        <w:pStyle w:val="13"/>
        <w:tabs>
          <w:tab w:val="right" w:leader="dot" w:pos="9870"/>
        </w:tabs>
        <w:rPr>
          <w:rStyle w:val="21"/>
          <w:rFonts w:hint="eastAsia" w:ascii="Times New Roman" w:hAnsi="Times New Roman" w:eastAsia="微软雅黑" w:cs="Times New Roman"/>
          <w:b w:val="0"/>
          <w:sz w:val="24"/>
          <w:szCs w:val="21"/>
          <w:lang w:val="en-US" w:eastAsia="zh-CN" w:bidi="ar-SA"/>
        </w:rPr>
      </w:pP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HYPERLINK \l _Toc657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参考文献</w:t>
      </w:r>
      <w:r>
        <w:rPr>
          <w:rStyle w:val="21"/>
          <w:rFonts w:hint="eastAsia" w:ascii="Times New Roman" w:hAnsi="Times New Roman" w:eastAsia="微软雅黑" w:cs="Times New Roman"/>
          <w:b w:val="0"/>
          <w:sz w:val="24"/>
          <w:szCs w:val="21"/>
          <w:lang w:val="en-US" w:eastAsia="zh-CN" w:bidi="ar-SA"/>
        </w:rPr>
        <w:tab/>
      </w:r>
      <w:r>
        <w:rPr>
          <w:rStyle w:val="21"/>
          <w:rFonts w:hint="eastAsia" w:ascii="Times New Roman" w:hAnsi="Times New Roman" w:eastAsia="微软雅黑" w:cs="Times New Roman"/>
          <w:b w:val="0"/>
          <w:sz w:val="24"/>
          <w:szCs w:val="21"/>
          <w:lang w:val="en-US" w:eastAsia="zh-CN" w:bidi="ar-SA"/>
        </w:rPr>
        <w:fldChar w:fldCharType="begin"/>
      </w:r>
      <w:r>
        <w:rPr>
          <w:rStyle w:val="21"/>
          <w:rFonts w:hint="eastAsia" w:ascii="Times New Roman" w:hAnsi="Times New Roman" w:eastAsia="微软雅黑" w:cs="Times New Roman"/>
          <w:b w:val="0"/>
          <w:sz w:val="24"/>
          <w:szCs w:val="21"/>
          <w:lang w:val="en-US" w:eastAsia="zh-CN" w:bidi="ar-SA"/>
        </w:rPr>
        <w:instrText xml:space="preserve"> PAGEREF _Toc657 \h </w:instrText>
      </w:r>
      <w:r>
        <w:rPr>
          <w:rStyle w:val="21"/>
          <w:rFonts w:hint="eastAsia" w:ascii="Times New Roman" w:hAnsi="Times New Roman" w:eastAsia="微软雅黑" w:cs="Times New Roman"/>
          <w:b w:val="0"/>
          <w:sz w:val="24"/>
          <w:szCs w:val="21"/>
          <w:lang w:val="en-US" w:eastAsia="zh-CN" w:bidi="ar-SA"/>
        </w:rPr>
        <w:fldChar w:fldCharType="separate"/>
      </w:r>
      <w:r>
        <w:rPr>
          <w:rStyle w:val="21"/>
          <w:rFonts w:hint="eastAsia" w:ascii="Times New Roman" w:hAnsi="Times New Roman" w:eastAsia="微软雅黑" w:cs="Times New Roman"/>
          <w:b w:val="0"/>
          <w:sz w:val="24"/>
          <w:szCs w:val="21"/>
          <w:lang w:val="en-US" w:eastAsia="zh-CN" w:bidi="ar-SA"/>
        </w:rPr>
        <w:t>45</w:t>
      </w:r>
      <w:r>
        <w:rPr>
          <w:rStyle w:val="21"/>
          <w:rFonts w:hint="eastAsia" w:ascii="Times New Roman" w:hAnsi="Times New Roman" w:eastAsia="微软雅黑" w:cs="Times New Roman"/>
          <w:b w:val="0"/>
          <w:sz w:val="24"/>
          <w:szCs w:val="21"/>
          <w:lang w:val="en-US" w:eastAsia="zh-CN" w:bidi="ar-SA"/>
        </w:rPr>
        <w:fldChar w:fldCharType="end"/>
      </w:r>
      <w:r>
        <w:rPr>
          <w:rStyle w:val="21"/>
          <w:rFonts w:hint="eastAsia" w:ascii="Times New Roman" w:hAnsi="Times New Roman" w:eastAsia="微软雅黑" w:cs="Times New Roman"/>
          <w:b w:val="0"/>
          <w:sz w:val="24"/>
          <w:szCs w:val="21"/>
          <w:lang w:val="en-US" w:eastAsia="zh-CN" w:bidi="ar-SA"/>
        </w:rPr>
        <w:fldChar w:fldCharType="end"/>
      </w:r>
    </w:p>
    <w:p w14:paraId="33724983">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1"/>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13806"/>
      <w:bookmarkStart w:id="2" w:name="_Toc32054"/>
      <w:bookmarkStart w:id="3" w:name="_Toc21669"/>
      <w:bookmarkStart w:id="4" w:name="_Toc27500"/>
      <w:bookmarkStart w:id="5" w:name="_Toc21009_WPSOffice_Level1"/>
      <w:bookmarkStart w:id="6" w:name="_Toc30143_WPSOffice_Level1"/>
      <w:bookmarkStart w:id="7" w:name="_Toc10446"/>
      <w:bookmarkStart w:id="8" w:name="_Toc24178_WPSOffice_Level1"/>
      <w:bookmarkStart w:id="9" w:name="_Toc24397"/>
      <w:bookmarkStart w:id="10" w:name="_Toc26902"/>
      <w:bookmarkStart w:id="11" w:name="_Toc4230"/>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7"/>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ED12FB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EE185D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hint="default"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val="en-US" w:eastAsia="zh-CN"/>
              </w:rPr>
              <w:t>{{sample.collect_date}}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19594"/>
      <w:bookmarkStart w:id="13" w:name="_Toc17451"/>
      <w:bookmarkStart w:id="14" w:name="_Toc11015_WPSOffice_Level1"/>
      <w:bookmarkStart w:id="15" w:name="_Toc15099"/>
      <w:bookmarkStart w:id="16" w:name="_Toc13931"/>
      <w:bookmarkStart w:id="17" w:name="_Toc10518"/>
      <w:bookmarkStart w:id="18" w:name="_Toc18062_WPSOffice_Level1"/>
      <w:bookmarkStart w:id="19" w:name="_Toc23503"/>
      <w:bookmarkStart w:id="20" w:name="_Toc7021_WPSOffice_Level1"/>
      <w:bookmarkStart w:id="21" w:name="_Toc11465"/>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1238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靶向药物、免疫药物、化疗药物和遗传风险的相关性，给出靶向药物（FDA/NMPA批准药物、临床试验药物等）的用药提示信息，从而为临床制定治疗方案提供参考信息。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49837254"/>
      <w:bookmarkStart w:id="25" w:name="_Toc11436"/>
      <w:bookmarkStart w:id="26" w:name="_Toc25515"/>
      <w:r>
        <w:rPr>
          <w:rFonts w:hint="eastAsia"/>
          <w:color w:val="0083C3"/>
          <w:lang w:eastAsia="zh-CN"/>
        </w:rPr>
        <w:t>检测结果小结</w:t>
      </w:r>
      <w:bookmarkEnd w:id="24"/>
      <w:bookmarkEnd w:id="25"/>
      <w:bookmarkEnd w:id="26"/>
    </w:p>
    <w:tbl>
      <w:tblPr>
        <w:tblStyle w:val="17"/>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39"/>
        <w:gridCol w:w="3002"/>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3"/>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3"/>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3"/>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8FF5820">
            <w:pPr>
              <w:keepNext w:val="0"/>
              <w:keepLines w:val="0"/>
              <w:pageBreakBefore w:val="0"/>
              <w:widowControl w:val="0"/>
              <w:kinsoku/>
              <w:wordWrap/>
              <w:overflowPunct/>
              <w:topLinePunct w:val="0"/>
              <w:autoSpaceDE/>
              <w:autoSpaceDN/>
              <w:bidi w:val="0"/>
              <w:adjustRightInd/>
              <w:snapToGrid/>
              <w:spacing w:line="240" w:lineRule="auto"/>
              <w:ind w:left="113" w:leftChars="0" w:right="119"/>
              <w:jc w:val="both"/>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3"/>
              <w:keepNext w:val="0"/>
              <w:keepLines w:val="0"/>
              <w:pageBreakBefore w:val="0"/>
              <w:widowControl w:val="0"/>
              <w:kinsoku/>
              <w:wordWrap/>
              <w:overflowPunct/>
              <w:topLinePunct w:val="0"/>
              <w:autoSpaceDE/>
              <w:autoSpaceDN/>
              <w:bidi w:val="0"/>
              <w:adjustRightInd/>
              <w:snapToGrid/>
              <w:spacing w:line="240" w:lineRule="auto"/>
              <w:ind w:left="113"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4CCB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restart"/>
            <w:tcBorders>
              <w:tl2br w:val="nil"/>
              <w:tr2bl w:val="nil"/>
            </w:tcBorders>
            <w:shd w:val="clear" w:color="auto" w:fill="auto"/>
            <w:vAlign w:val="center"/>
          </w:tcPr>
          <w:p w14:paraId="21D99E4B">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3002" w:type="dxa"/>
            <w:tcBorders>
              <w:tl2br w:val="nil"/>
              <w:tr2bl w:val="nil"/>
            </w:tcBorders>
            <w:shd w:val="clear" w:color="auto" w:fill="auto"/>
            <w:vAlign w:val="center"/>
          </w:tcPr>
          <w:p w14:paraId="500351CF">
            <w:pPr>
              <w:spacing w:before="77"/>
              <w:ind w:left="119"/>
              <w:rPr>
                <w:rFonts w:ascii="Times New Roman" w:hAnsi="Times New Roman" w:eastAsia="微软雅黑" w:cs="黑体"/>
                <w:b/>
                <w:bCs/>
                <w:sz w:val="21"/>
                <w:lang w:eastAsia="zh-CN"/>
              </w:rPr>
            </w:pPr>
            <w:r>
              <w:rPr>
                <w:rFonts w:hint="default" w:ascii="Times New Roman" w:hAnsi="Times New Roman" w:eastAsia="微软雅黑" w:cs="Times New Roman"/>
                <w:b/>
                <w:bCs/>
                <w:kern w:val="0"/>
                <w:sz w:val="21"/>
                <w:szCs w:val="21"/>
                <w:lang w:eastAsia="zh-CN"/>
              </w:rPr>
              <w:t>肿瘤突变负荷（TMB）</w:t>
            </w:r>
          </w:p>
        </w:tc>
        <w:tc>
          <w:tcPr>
            <w:tcW w:w="5311" w:type="dxa"/>
            <w:tcBorders>
              <w:tl2br w:val="nil"/>
              <w:tr2bl w:val="nil"/>
            </w:tcBorders>
            <w:shd w:val="clear" w:color="auto" w:fill="auto"/>
            <w:vAlign w:val="center"/>
          </w:tcPr>
          <w:p w14:paraId="2618113D">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5579C6EE">
            <w:pPr>
              <w:pStyle w:val="23"/>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55F9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1E0155D4">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4E083596">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免疫正相关基因</w:t>
            </w:r>
          </w:p>
        </w:tc>
        <w:tc>
          <w:tcPr>
            <w:tcW w:w="5311" w:type="dxa"/>
            <w:tcBorders>
              <w:tl2br w:val="nil"/>
              <w:tr2bl w:val="nil"/>
            </w:tcBorders>
            <w:shd w:val="clear" w:color="auto" w:fill="auto"/>
            <w:vAlign w:val="center"/>
          </w:tcPr>
          <w:p w14:paraId="213DEC77">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715469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7DF31CCA">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181E427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val="en-US" w:eastAsia="zh-CN"/>
              </w:rPr>
              <w:t>免疫负相关基因</w:t>
            </w:r>
          </w:p>
        </w:tc>
        <w:tc>
          <w:tcPr>
            <w:tcW w:w="5311" w:type="dxa"/>
            <w:tcBorders>
              <w:tl2br w:val="nil"/>
              <w:tr2bl w:val="nil"/>
            </w:tcBorders>
            <w:shd w:val="clear" w:color="auto" w:fill="auto"/>
            <w:vAlign w:val="center"/>
          </w:tcPr>
          <w:p w14:paraId="601925C0">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03B75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65E48A78">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05178A69">
            <w:pPr>
              <w:spacing w:before="77"/>
              <w:ind w:left="119"/>
              <w:rPr>
                <w:rFonts w:hint="eastAsia" w:ascii="Times New Roman" w:hAnsi="Times New Roman" w:eastAsia="微软雅黑" w:cs="Times New Roman"/>
                <w:b/>
                <w:bCs/>
                <w:kern w:val="0"/>
                <w:sz w:val="21"/>
                <w:szCs w:val="21"/>
                <w:lang w:eastAsia="zh-CN"/>
              </w:rPr>
            </w:pPr>
            <w:r>
              <w:rPr>
                <w:rFonts w:hint="default" w:ascii="Times New Roman" w:hAnsi="Times New Roman" w:eastAsia="微软雅黑" w:cs="Times New Roman"/>
                <w:b/>
                <w:bCs/>
                <w:kern w:val="0"/>
                <w:sz w:val="21"/>
                <w:szCs w:val="21"/>
                <w:lang w:eastAsia="zh-CN"/>
              </w:rPr>
              <w:t>免疫超进展（HPD）相关基因</w:t>
            </w:r>
          </w:p>
        </w:tc>
        <w:tc>
          <w:tcPr>
            <w:tcW w:w="5311" w:type="dxa"/>
            <w:tcBorders>
              <w:tl2br w:val="nil"/>
              <w:tr2bl w:val="nil"/>
            </w:tcBorders>
            <w:shd w:val="clear" w:color="auto" w:fill="auto"/>
            <w:vAlign w:val="center"/>
          </w:tcPr>
          <w:p w14:paraId="3EF4DD9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76A3B3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E3FBD81">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5E5CC063">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if PDInfo != undefined %}</w:t>
            </w:r>
          </w:p>
        </w:tc>
      </w:tr>
      <w:tr w14:paraId="09B11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A2DC483">
            <w:pPr>
              <w:ind w:left="119"/>
              <w:rPr>
                <w:rFonts w:ascii="Times New Roman" w:hAnsi="Times New Roman" w:eastAsia="微软雅黑" w:cs="Times New Roman"/>
                <w:b/>
                <w:bCs/>
                <w:sz w:val="21"/>
                <w:szCs w:val="21"/>
                <w:lang w:eastAsia="zh-CN"/>
              </w:rPr>
            </w:pPr>
          </w:p>
        </w:tc>
        <w:tc>
          <w:tcPr>
            <w:tcW w:w="3002" w:type="dxa"/>
            <w:tcBorders>
              <w:tl2br w:val="nil"/>
              <w:tr2bl w:val="nil"/>
            </w:tcBorders>
            <w:shd w:val="clear" w:color="auto" w:fill="auto"/>
            <w:vAlign w:val="center"/>
          </w:tcPr>
          <w:p w14:paraId="307F11CB">
            <w:pPr>
              <w:ind w:left="119" w:leftChars="0"/>
              <w:rPr>
                <w:rFonts w:hint="default" w:ascii="Times New Roman" w:hAnsi="Times New Roman" w:eastAsia="微软雅黑" w:cs="Times New Roman"/>
                <w:b/>
                <w:bCs/>
                <w:sz w:val="21"/>
                <w:szCs w:val="21"/>
                <w:highlight w:val="yellow"/>
                <w:lang w:val="en-US" w:eastAsia="zh-CN" w:bidi="ar-SA"/>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8A59C6F">
            <w:pPr>
              <w:pStyle w:val="23"/>
              <w:keepNext w:val="0"/>
              <w:keepLines w:val="0"/>
              <w:pageBreakBefore w:val="0"/>
              <w:widowControl w:val="0"/>
              <w:kinsoku/>
              <w:wordWrap/>
              <w:overflowPunct/>
              <w:topLinePunct w:val="0"/>
              <w:autoSpaceDE/>
              <w:autoSpaceDN/>
              <w:bidi w:val="0"/>
              <w:adjustRightInd/>
              <w:snapToGrid/>
              <w:spacing w:line="240" w:lineRule="auto"/>
              <w:ind w:left="118" w:lef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803B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539" w:type="dxa"/>
            <w:vMerge w:val="continue"/>
            <w:tcBorders>
              <w:tl2br w:val="nil"/>
              <w:tr2bl w:val="nil"/>
            </w:tcBorders>
            <w:shd w:val="clear" w:color="auto" w:fill="auto"/>
            <w:vAlign w:val="center"/>
          </w:tcPr>
          <w:p w14:paraId="3DBE4DFE">
            <w:pPr>
              <w:ind w:left="119"/>
              <w:rPr>
                <w:rFonts w:ascii="Times New Roman" w:hAnsi="Times New Roman" w:eastAsia="微软雅黑" w:cs="Times New Roman"/>
                <w:b/>
                <w:bCs/>
                <w:sz w:val="21"/>
                <w:szCs w:val="21"/>
                <w:lang w:eastAsia="zh-CN"/>
              </w:rPr>
            </w:pPr>
          </w:p>
        </w:tc>
        <w:tc>
          <w:tcPr>
            <w:tcW w:w="8313" w:type="dxa"/>
            <w:gridSpan w:val="2"/>
            <w:tcBorders>
              <w:tl2br w:val="nil"/>
              <w:tr2bl w:val="nil"/>
            </w:tcBorders>
            <w:shd w:val="clear" w:color="auto" w:fill="auto"/>
            <w:vAlign w:val="center"/>
          </w:tcPr>
          <w:p w14:paraId="1B50F9E5">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eastAsia="zh-CN"/>
              </w:rPr>
              <w:t>{%tr endif %}</w:t>
            </w:r>
          </w:p>
        </w:tc>
      </w:tr>
      <w:tr w14:paraId="4B12C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87AC22">
            <w:pPr>
              <w:pStyle w:val="23"/>
              <w:ind w:left="119"/>
              <w:rPr>
                <w:rFonts w:ascii="Times New Roman" w:hAnsi="Times New Roman" w:eastAsia="微软雅黑" w:cs="Times New Roman"/>
                <w:sz w:val="21"/>
                <w:szCs w:val="21"/>
                <w:lang w:eastAsia="zh-CN"/>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11" w:type="dxa"/>
            <w:tcBorders>
              <w:tl2br w:val="nil"/>
              <w:tr2bl w:val="nil"/>
            </w:tcBorders>
            <w:shd w:val="clear" w:color="auto" w:fill="auto"/>
            <w:vAlign w:val="center"/>
          </w:tcPr>
          <w:p w14:paraId="738508EB">
            <w:pPr>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3"/>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3"/>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3"/>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ByeQAAZHJzL21lZGlhL2ltYWdlMS5wbmdQSwECFAAUAAAACACH&#10;TuJAmShvoCAzAAAbMwAAFAAAAAAAAAABACAAAACV0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3"/>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2387"/>
      <w:bookmarkStart w:id="28" w:name="_Toc22132"/>
      <w:bookmarkStart w:id="29" w:name="_Toc19898_WPSOffice_Level1"/>
      <w:bookmarkStart w:id="30" w:name="_Toc20608"/>
      <w:bookmarkStart w:id="31" w:name="_Toc14062"/>
      <w:bookmarkStart w:id="32" w:name="_Toc12381"/>
      <w:bookmarkStart w:id="33" w:name="_Toc20136_WPSOffice_Level1"/>
      <w:bookmarkStart w:id="34" w:name="_Toc19184"/>
      <w:bookmarkStart w:id="35" w:name="_Toc284"/>
      <w:bookmarkStart w:id="36" w:name="_Toc278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7"/>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06294397"/>
      <w:bookmarkStart w:id="38" w:name="_Toc2962"/>
      <w:bookmarkStart w:id="39" w:name="_Toc20571"/>
      <w:bookmarkStart w:id="40" w:name="_Toc19636"/>
      <w:bookmarkStart w:id="41" w:name="_Toc19159"/>
      <w:bookmarkStart w:id="42" w:name="_Toc6083"/>
      <w:bookmarkStart w:id="43" w:name="_Toc15063"/>
      <w:bookmarkStart w:id="44" w:name="_Toc20643"/>
      <w:bookmarkStart w:id="45" w:name="_Toc30265"/>
      <w:bookmarkStart w:id="46" w:name="_Toc23375"/>
      <w:bookmarkStart w:id="47" w:name="_Toc11015_WPSOffice_Level2"/>
      <w:bookmarkStart w:id="48" w:name="_Toc18062_WPSOffice_Level2"/>
      <w:bookmarkStart w:id="49" w:name="_Toc24979"/>
      <w:bookmarkStart w:id="50" w:name="_Toc9088"/>
      <w:bookmarkStart w:id="51" w:name="_Toc22976"/>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7"/>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分子标记物</w:t>
            </w:r>
          </w:p>
        </w:tc>
        <w:tc>
          <w:tcPr>
            <w:tcW w:w="1713"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检测结果</w:t>
            </w:r>
          </w:p>
        </w:tc>
        <w:tc>
          <w:tcPr>
            <w:tcW w:w="6101"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1"/>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AE65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5E983CF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7AFA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49136FA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7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NF2 突变</w:t>
            </w:r>
          </w:p>
        </w:tc>
        <w:tc>
          <w:tcPr>
            <w:tcW w:w="171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w:t>
            </w:r>
            <w:r>
              <w:rPr>
                <w:rFonts w:hint="eastAsia" w:ascii="Times New Roman" w:hAnsi="Times New Roman" w:eastAsia="微软雅黑" w:cs="Times New Roman"/>
                <w:b w:val="0"/>
                <w:bCs w:val="0"/>
                <w:i w:val="0"/>
                <w:iCs w:val="0"/>
                <w:color w:val="000000"/>
                <w:kern w:val="0"/>
                <w:sz w:val="21"/>
                <w:szCs w:val="21"/>
                <w:u w:val="none"/>
                <w:lang w:val="en-US" w:eastAsia="zh-CN" w:bidi="ar"/>
              </w:rPr>
              <w:t>2</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01"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626"/>
      <w:bookmarkStart w:id="55" w:name="_Toc25737"/>
      <w:bookmarkStart w:id="56" w:name="_Toc1549"/>
      <w:bookmarkStart w:id="57" w:name="_Toc4339"/>
      <w:bookmarkStart w:id="58" w:name="_Toc25675"/>
      <w:bookmarkStart w:id="59" w:name="_Toc7551_WPSOffice_Level2"/>
      <w:bookmarkStart w:id="60" w:name="_Toc6221_WPSOffice_Level2"/>
      <w:bookmarkStart w:id="61" w:name="_Toc17410"/>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44284FCC">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5193"/>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3"/>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E23766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758698C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641E8A">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DEA936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401F50">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442F49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5307"/>
      <w:bookmarkStart w:id="64" w:name="_Toc29961"/>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3"/>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3"/>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3"/>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3"/>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3"/>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4"/>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3"/>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3"/>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88819BE">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2253" w:type="dxa"/>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321499E1">
            <w:pPr>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5"/>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p>
    <w:p w14:paraId="146A48FA">
      <w:pPr>
        <w:pStyle w:val="2"/>
        <w:numPr>
          <w:ilvl w:val="255"/>
          <w:numId w:val="0"/>
        </w:numPr>
        <w:jc w:val="left"/>
        <w:rPr>
          <w:rFonts w:hint="eastAsia"/>
          <w:color w:val="0083C3"/>
          <w:lang w:val="en-US" w:eastAsia="zh-CN"/>
        </w:rPr>
      </w:pPr>
      <w:bookmarkStart w:id="68" w:name="_Toc25532"/>
      <w:r>
        <w:rPr>
          <w:rFonts w:hint="eastAsia"/>
          <w:color w:val="0083C3"/>
          <w:lang w:val="en-US" w:eastAsia="zh-CN"/>
        </w:rPr>
        <w:t>本癌种FDA/NMPA获批的其他可选靶向药物</w:t>
      </w:r>
      <w:bookmarkEnd w:id="66"/>
      <w:bookmarkEnd w:id="67"/>
      <w:bookmarkEnd w:id="68"/>
    </w:p>
    <w:tbl>
      <w:tblPr>
        <w:tblStyle w:val="1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p>
    <w:p w14:paraId="2B0BF229">
      <w:pPr>
        <w:pStyle w:val="2"/>
        <w:numPr>
          <w:ilvl w:val="255"/>
          <w:numId w:val="0"/>
        </w:numPr>
        <w:jc w:val="left"/>
        <w:rPr>
          <w:rFonts w:hint="eastAsia"/>
          <w:color w:val="0083C3"/>
          <w:lang w:val="en-US" w:eastAsia="zh-CN"/>
        </w:rPr>
      </w:pPr>
      <w:bookmarkStart w:id="70" w:name="_Toc26874"/>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8"/>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6"/>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0CCDE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71E1DD47">
            <w:pPr>
              <w:snapToGrid w:val="0"/>
              <w:jc w:val="center"/>
              <w:rPr>
                <w:rFonts w:hint="default" w:ascii="Times New Roman" w:hAnsi="Times New Roman" w:eastAsia="微软雅黑" w:cs="Times New Roman"/>
                <w:color w:val="auto"/>
                <w:sz w:val="21"/>
                <w:szCs w:val="21"/>
                <w:lang w:val="en-US" w:eastAsia="zh-CN"/>
              </w:rPr>
            </w:pPr>
            <w:r>
              <w:rPr>
                <w:rStyle w:val="47"/>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36B74CF3">
            <w:pPr>
              <w:widowControl/>
              <w:snapToGrid w:val="0"/>
              <w:jc w:val="center"/>
              <w:textAlignment w:val="center"/>
              <w:rPr>
                <w:rStyle w:val="48"/>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2CCAEFC5">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8"/>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1EA4760C">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8"/>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8"/>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9"/>
                <w:rFonts w:hint="default" w:ascii="Times New Roman" w:hAnsi="Times New Roman" w:eastAsia="微软雅黑" w:cs="Times New Roman"/>
                <w:lang w:eastAsia="zh-CN" w:bidi="ar"/>
              </w:rPr>
              <w:t>微卫星不稳定（</w:t>
            </w:r>
            <w:r>
              <w:rPr>
                <w:rStyle w:val="47"/>
                <w:rFonts w:hint="default" w:ascii="Times New Roman" w:hAnsi="Times New Roman" w:eastAsia="微软雅黑" w:cs="Times New Roman"/>
                <w:lang w:eastAsia="zh-CN" w:bidi="ar"/>
              </w:rPr>
              <w:t>MSI</w:t>
            </w:r>
            <w:r>
              <w:rPr>
                <w:rStyle w:val="49"/>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8"/>
                <w:rFonts w:hint="default" w:ascii="Times New Roman" w:hAnsi="Times New Roman" w:eastAsia="微软雅黑" w:cs="Times New Roman"/>
                <w:lang w:eastAsia="zh-CN" w:bidi="ar"/>
              </w:rPr>
              <w:t>微卫星不稳定型（</w:t>
            </w:r>
            <w:r>
              <w:rPr>
                <w:rStyle w:val="50"/>
                <w:rFonts w:hint="default" w:ascii="Times New Roman" w:hAnsi="Times New Roman" w:eastAsia="微软雅黑" w:cs="Times New Roman"/>
                <w:lang w:eastAsia="zh-CN" w:bidi="ar"/>
              </w:rPr>
              <w:t>MSI-H</w:t>
            </w:r>
            <w:r>
              <w:rPr>
                <w:rStyle w:val="48"/>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9"/>
                <w:rFonts w:hint="default" w:ascii="Times New Roman" w:hAnsi="Times New Roman" w:eastAsia="微软雅黑" w:cs="Times New Roman"/>
                <w:lang w:eastAsia="zh-CN" w:bidi="ar"/>
              </w:rPr>
              <w:t>错配修复（</w:t>
            </w:r>
            <w:r>
              <w:rPr>
                <w:rStyle w:val="47"/>
                <w:rFonts w:hint="default" w:ascii="Times New Roman" w:hAnsi="Times New Roman" w:eastAsia="微软雅黑" w:cs="Times New Roman"/>
                <w:lang w:eastAsia="zh-CN" w:bidi="ar"/>
              </w:rPr>
              <w:t>MMR</w:t>
            </w:r>
            <w:r>
              <w:rPr>
                <w:rStyle w:val="49"/>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50"/>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50"/>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50"/>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50"/>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68E5CE41">
      <w:pPr>
        <w:spacing w:before="120" w:beforeLines="50"/>
        <w:rPr>
          <w:rFonts w:ascii="Times New Roman" w:hAnsi="Times New Roman" w:eastAsia="微软雅黑" w:cs="Times New Roman"/>
          <w:b/>
          <w:sz w:val="18"/>
          <w:highlight w:val="none"/>
          <w:shd w:val="clear" w:color="auto" w:fill="FFFFFF"/>
          <w:lang w:eastAsia="zh-CN"/>
        </w:rPr>
      </w:pPr>
      <w:r>
        <w:rPr>
          <w:rFonts w:hint="eastAsia" w:ascii="Times New Roman" w:hAnsi="Times New Roman" w:eastAsia="微软雅黑" w:cs="Times New Roman"/>
          <w:b/>
          <w:sz w:val="18"/>
          <w:highlight w:val="none"/>
          <w:shd w:val="clear" w:color="auto" w:fill="FFFFFF"/>
          <w:lang w:eastAsia="zh-CN"/>
        </w:rPr>
        <w:t>注：</w:t>
      </w:r>
    </w:p>
    <w:p w14:paraId="164E610C">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BD96784">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4F2E4EA">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2E6BF4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C364F2E">
      <w:pPr>
        <w:pStyle w:val="8"/>
        <w:numPr>
          <w:ilvl w:val="0"/>
          <w:numId w:val="13"/>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highlight w:val="none"/>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6719764"/>
      <w:bookmarkStart w:id="72" w:name="_Toc15329"/>
      <w:bookmarkStart w:id="73" w:name="_Toc10223"/>
      <w:bookmarkStart w:id="74" w:name="_Toc20034"/>
      <w:bookmarkStart w:id="75" w:name="_Toc149837262"/>
      <w:bookmarkStart w:id="76" w:name="_Toc6318"/>
      <w:bookmarkStart w:id="77" w:name="_Toc19559"/>
      <w:bookmarkStart w:id="78" w:name="_Toc23903"/>
      <w:bookmarkStart w:id="79" w:name="_Toc5598"/>
      <w:bookmarkStart w:id="80" w:name="_Toc32661"/>
      <w:bookmarkStart w:id="81" w:name="_Toc23846_WPSOffice_Level1"/>
      <w:bookmarkStart w:id="82" w:name="_Toc28194"/>
      <w:bookmarkStart w:id="83" w:name="_Toc25727"/>
      <w:bookmarkStart w:id="84" w:name="_Toc4331_WPSOffice_Level1"/>
      <w:bookmarkStart w:id="85" w:name="_Toc32443_WPSOffice_Level1"/>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8"/>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3"/>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7"/>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8"/>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7"/>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7"/>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7CE15DD7">
      <w:pPr>
        <w:pStyle w:val="2"/>
        <w:numPr>
          <w:ilvl w:val="255"/>
          <w:numId w:val="0"/>
        </w:numPr>
        <w:jc w:val="left"/>
        <w:outlineLvl w:val="0"/>
        <w:rPr>
          <w:rFonts w:hint="eastAsia" w:ascii="Times New Roman" w:hAnsi="Times New Roman" w:eastAsia="微软雅黑" w:cs="Times New Roman"/>
          <w:sz w:val="24"/>
          <w:szCs w:val="24"/>
          <w:lang w:eastAsia="zh-CN"/>
        </w:rPr>
      </w:pPr>
      <w:bookmarkStart w:id="86" w:name="_Toc28920"/>
      <w:bookmarkStart w:id="87"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86"/>
      <w:bookmarkEnd w:id="87"/>
    </w:p>
    <w:tbl>
      <w:tblPr>
        <w:tblStyle w:val="17"/>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6"/>
                <w:rFonts w:hint="eastAsia" w:ascii="Times New Roman" w:hAnsi="Times New Roman" w:cs="Times New Roman"/>
                <w:lang w:val="en-US" w:eastAsia="zh-CN" w:bidi="ar"/>
              </w:rPr>
              <w:t>临床</w:t>
            </w:r>
            <w:r>
              <w:rPr>
                <w:rStyle w:val="46"/>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5"/>
              <w:keepNext w:val="0"/>
              <w:keepLines w:val="0"/>
              <w:widowControl/>
              <w:suppressLineNumbers w:val="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5"/>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8"/>
                <w:rFonts w:hint="default" w:ascii="Times New Roman" w:hAnsi="Times New Roman" w:cs="Times New Roman"/>
                <w:lang w:val="en-US" w:eastAsia="zh-CN" w:bidi="ar"/>
              </w:rPr>
            </w:pPr>
            <w:r>
              <w:rPr>
                <w:rStyle w:val="48"/>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8"/>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5"/>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0D325AD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8C81A68">
      <w:pPr>
        <w:rPr>
          <w:rFonts w:ascii="Times New Roman" w:hAnsi="Times New Roman" w:eastAsia="微软雅黑" w:cs="Times New Roman"/>
          <w:sz w:val="18"/>
          <w:szCs w:val="18"/>
          <w:lang w:eastAsia="zh-CN"/>
        </w:rPr>
      </w:pP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8" w:name="_Toc180"/>
      <w:bookmarkStart w:id="89" w:name="_Toc6784"/>
      <w:bookmarkStart w:id="90" w:name="_Toc32468"/>
      <w:bookmarkStart w:id="91" w:name="_Toc29383"/>
      <w:bookmarkStart w:id="92" w:name="_Toc20694"/>
      <w:bookmarkStart w:id="93"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8"/>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4" w:name="_Toc32443_WPSOffice_Level2"/>
      <w:bookmarkStart w:id="95" w:name="_Toc32302"/>
      <w:bookmarkStart w:id="96" w:name="_Toc11024"/>
      <w:bookmarkStart w:id="97" w:name="_Toc23606"/>
      <w:bookmarkStart w:id="98" w:name="_Toc213"/>
      <w:bookmarkStart w:id="99" w:name="_Toc4331_WPSOffice_Level2"/>
      <w:bookmarkStart w:id="100" w:name="_Toc149837264"/>
      <w:r>
        <w:rPr>
          <w:rFonts w:hint="eastAsia"/>
          <w:color w:val="0083C3"/>
          <w:lang w:val="en-US" w:eastAsia="zh-CN"/>
        </w:rPr>
        <w:t>体细胞变异结果解析</w:t>
      </w:r>
      <w:bookmarkEnd w:id="94"/>
      <w:bookmarkEnd w:id="95"/>
      <w:bookmarkEnd w:id="96"/>
      <w:bookmarkEnd w:id="97"/>
      <w:bookmarkEnd w:id="98"/>
      <w:bookmarkEnd w:id="99"/>
    </w:p>
    <w:bookmarkEnd w:id="100"/>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83" w:name="_GoBack"/>
            <w:bookmarkEnd w:id="183"/>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8"/>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7"/>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101" w:name="_Toc23101"/>
      <w:bookmarkStart w:id="102" w:name="_Toc1455"/>
      <w:bookmarkStart w:id="103" w:name="_Toc149837265"/>
      <w:r>
        <w:rPr>
          <w:rFonts w:hint="eastAsia"/>
          <w:color w:val="0083C3"/>
          <w:lang w:val="en-US" w:eastAsia="zh-CN"/>
        </w:rPr>
        <w:t>胚系变异结果解析</w:t>
      </w:r>
      <w:bookmarkEnd w:id="101"/>
      <w:bookmarkEnd w:id="102"/>
    </w:p>
    <w:bookmarkEnd w:id="103"/>
    <w:p w14:paraId="5470ECC7">
      <w:pPr>
        <w:rPr>
          <w:rFonts w:hint="default" w:ascii="Times New Roman" w:hAnsi="Times New Roman" w:eastAsia="微软雅黑" w:cs="Times New Roman"/>
          <w:b/>
          <w:sz w:val="24"/>
          <w:szCs w:val="24"/>
          <w:lang w:eastAsia="zh-CN"/>
        </w:rPr>
      </w:pPr>
      <w:bookmarkStart w:id="104"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5"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5"/>
    </w:p>
    <w:p w14:paraId="1533C0CD">
      <w:pPr>
        <w:pStyle w:val="2"/>
        <w:numPr>
          <w:ilvl w:val="255"/>
          <w:numId w:val="0"/>
        </w:numPr>
        <w:jc w:val="left"/>
        <w:rPr>
          <w:rFonts w:hint="eastAsia"/>
          <w:color w:val="0083C3"/>
          <w:lang w:val="en-US" w:eastAsia="zh-CN"/>
        </w:rPr>
      </w:pPr>
      <w:bookmarkStart w:id="106" w:name="_Toc31098"/>
      <w:r>
        <w:rPr>
          <w:rFonts w:hint="eastAsia"/>
          <w:color w:val="0083C3"/>
          <w:lang w:val="en-US" w:eastAsia="zh-CN"/>
        </w:rPr>
        <w:t>免疫检测结果解析</w:t>
      </w:r>
      <w:bookmarkEnd w:id="89"/>
      <w:bookmarkEnd w:id="90"/>
      <w:bookmarkEnd w:id="91"/>
      <w:bookmarkEnd w:id="92"/>
      <w:bookmarkEnd w:id="104"/>
      <w:bookmarkEnd w:id="106"/>
    </w:p>
    <w:bookmarkEnd w:id="93"/>
    <w:p w14:paraId="0FD2C4C3">
      <w:pPr>
        <w:spacing w:before="29"/>
        <w:rPr>
          <w:rFonts w:hint="default" w:ascii="Times New Roman" w:hAnsi="Times New Roman" w:eastAsia="微软雅黑" w:cs="Times New Roman"/>
          <w:b/>
          <w:sz w:val="24"/>
          <w:szCs w:val="24"/>
          <w:lang w:eastAsia="zh-CN"/>
        </w:rPr>
      </w:pPr>
      <w:bookmarkStart w:id="107" w:name="_Toc11562_WPSOffice_Level3"/>
      <w:r>
        <w:rPr>
          <w:rFonts w:hint="default" w:ascii="Times New Roman" w:hAnsi="Times New Roman" w:eastAsia="微软雅黑" w:cs="Times New Roman"/>
          <w:b/>
          <w:sz w:val="24"/>
          <w:szCs w:val="24"/>
          <w:lang w:eastAsia="zh-CN"/>
        </w:rPr>
        <w:t>肿瘤突变负荷（TMB）检测结果解析</w:t>
      </w:r>
    </w:p>
    <w:tbl>
      <w:tblPr>
        <w:tblStyle w:val="17"/>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61" w:hRule="atLeast"/>
          <w:jc w:val="center"/>
        </w:trPr>
        <w:tc>
          <w:tcPr>
            <w:tcW w:w="9777" w:type="dxa"/>
            <w:gridSpan w:val="2"/>
            <w:tcBorders>
              <w:top w:val="nil"/>
              <w:bottom w:val="nil"/>
            </w:tcBorders>
            <w:shd w:val="clear" w:color="auto" w:fill="auto"/>
            <w:vAlign w:val="top"/>
          </w:tcPr>
          <w:p w14:paraId="34DDDDC7">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CDF5D9C">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095A1">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A22A45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2020年6月，FDA批准帕博利珠单抗用于治疗组织肿瘤突变负荷高(TMB-H，&gt;10 mut/Mb)、既往治疗后病情进展且无满意替代治疗方案的不可切除或转移性成年和小儿实体瘤患者。这标志着TMB成为继MSI/dMMR后第二个泛实体瘤免疫治疗伴随诊断生物标志物。该适应症的获批是依据KEYNOTE-158临床试验结果：在790例可评估的患者中，102例（13％）是tTMB-H（TMB≥10个突变/Mb）的患者。这些tTMB-H患者的ORR为29％，完全缓解率（CR）为4％，部分缓解率（PR）为25％。未达到中位DOR，反应持续时间≥12个月的患者占57％，反应持续时间≥24个月的患者占50％。KEYNOTE-119 III期临床试验探索了在经治的转移性三阴性乳腺癌（TNBC）患者（N=622）中，接受帕博利珠单抗单药治疗对比化疗（卡培他滨，艾日布林，吉西他滨或长春瑞滨）的疗效差异，回顾性分析结果显示，在253（42.1%）例TMB数据可获取的患者中，TMB≥10mut/Mb的患者免疫治疗对比化疗可显著延长OS，而在TMB&lt;10mut/Mb的患者中OS则无显著差异，提示TMB≥10mut/Mb在经治的转移性TNBC患者帕博利珠单抗单药治疗中的独立预测价值[2020 ASCO Abstract 1013]。多项研究显示TMB-H的肿瘤（包括尿路上皮癌、胃癌、皮肤血管肉瘤、胰腺癌、膀胱癌、结直肠癌、黑色素瘤和子宫内膜癌）对帕博利珠单抗/纳武利尤单抗/纳武利尤单抗联合伊匹木单抗/Sasanlima/Avelumab/替雷利珠单抗/Dostarlimab治疗敏感，具有更好的获益[PMID: 25765070; PMID: 27671167; PMID: 27009843; PMID: 37385154; PMID: 36753836; PMID: 36993810; PMID: 36730313; PMID: 37295818; PMID: 36937383; PMID: 37553133; PMID: 37129893]。研究表明，在复发难治型儿童胶质母细胞瘤患者中，对有双等位基因错配修复缺陷（bMMRD）且TMB-H的患儿，尝试采用纳武利尤单抗治疗，治疗后有明显缓解[PMID:27001570]。此外，有研究表明TMB可以作为抗PD-1/PD-L1抗体治疗的潜在预后指标[JClinOncol34,2016（suppl;abstr9017）]。目前已上市的免疫抑制剂相关的药物包括anti-CTLA4，anti-PD-1，anti-PD-L1和anti-LAG-3四大类药物，其中抗PD-1/PD-L1类药物已经有11个药物获得美国食品药品监督管理局（FDA）批准上市，20个药物获得国家药品监督管理局（NMPA）批准上市。</w:t>
            </w:r>
          </w:p>
          <w:p w14:paraId="39A109DB">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p>
          <w:p w14:paraId="03D5B8D4">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不同的检测技术和测序区域，其对应的TMB阈值标准不完全相同，本次检测结果参考本机构长期积累的中国人群TMB数据库，采用四分位法划定的不同癌种的TMB阈值。</w:t>
            </w:r>
          </w:p>
          <w:p w14:paraId="37817A7F">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本检测仅限于基因水平的突变检测，未进行PD-L1表达量检测。</w:t>
            </w:r>
          </w:p>
          <w:p w14:paraId="1BAB39A9">
            <w:pPr>
              <w:keepNext w:val="0"/>
              <w:keepLines w:val="0"/>
              <w:pageBreakBefore w:val="0"/>
              <w:widowControl w:val="0"/>
              <w:numPr>
                <w:ilvl w:val="0"/>
                <w:numId w:val="14"/>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Times New Roman" w:hAnsi="Times New Roman" w:eastAsia="微软雅黑" w:cs="Times New Roman"/>
                <w:sz w:val="18"/>
                <w:shd w:val="clear" w:color="auto" w:fill="FFFFFF"/>
                <w:lang w:val="en-US" w:eastAsia="zh-CN"/>
              </w:rPr>
              <w:t>。</w:t>
            </w:r>
            <w:r>
              <w:rPr>
                <w:rFonts w:hint="default" w:ascii="Times New Roman" w:hAnsi="Times New Roman" w:eastAsia="微软雅黑" w:cs="Times New Roman"/>
                <w:b/>
                <w:bCs/>
                <w:color w:val="0070C0"/>
                <w:sz w:val="28"/>
                <w:szCs w:val="28"/>
                <w:lang w:eastAsia="zh-CN"/>
              </w:rPr>
              <w:br w:type="page"/>
            </w:r>
          </w:p>
        </w:tc>
      </w:tr>
    </w:tbl>
    <w:p w14:paraId="4D6A88AD">
      <w:pPr>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br w:type="page"/>
      </w:r>
    </w:p>
    <w:p w14:paraId="2365EC16">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7"/>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6"/>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8" w:name="_Toc7307_WPSOffice_Level3"/>
      <w:r>
        <w:rPr>
          <w:rFonts w:hint="eastAsia" w:ascii="Times New Roman" w:hAnsi="Times New Roman" w:eastAsia="微软雅黑" w:cs="Times New Roman"/>
          <w:b/>
          <w:sz w:val="24"/>
          <w:szCs w:val="24"/>
          <w:lang w:eastAsia="zh-CN"/>
        </w:rPr>
        <w:t>错配修复（MMR）相关基因检测结果</w:t>
      </w:r>
    </w:p>
    <w:bookmarkEnd w:id="108"/>
    <w:tbl>
      <w:tblPr>
        <w:tblStyle w:val="17"/>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FD98E5">
      <w:pPr>
        <w:rPr>
          <w:rFonts w:hint="default" w:ascii="Times New Roman" w:hAnsi="Times New Roman" w:eastAsia="微软雅黑" w:cs="Times New Roman"/>
          <w:b/>
          <w:sz w:val="20"/>
          <w:szCs w:val="20"/>
          <w:lang w:eastAsia="zh-CN"/>
        </w:rPr>
      </w:pPr>
      <w:r>
        <w:rPr>
          <w:rFonts w:ascii="微软雅黑" w:hAnsi="微软雅黑" w:eastAsia="微软雅黑" w:cs="微软雅黑"/>
          <w:sz w:val="18"/>
          <w:szCs w:val="18"/>
          <w:shd w:val="clear" w:color="auto" w:fill="FFFFFF"/>
          <w:lang w:eastAsia="zh-CN" w:bidi="ar"/>
        </w:rPr>
        <w:br w:type="page"/>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7"/>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36581EE">
      <w:pPr>
        <w:rPr>
          <w:rFonts w:ascii="微软雅黑" w:hAnsi="微软雅黑" w:eastAsia="微软雅黑" w:cs="微软雅黑"/>
          <w:sz w:val="18"/>
          <w:szCs w:val="18"/>
          <w:shd w:val="clear" w:color="auto" w:fill="FFFFFF"/>
          <w:lang w:eastAsia="zh-CN" w:bidi="ar"/>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p>
    <w:p w14:paraId="7EE70586">
      <w:pPr>
        <w:pStyle w:val="2"/>
        <w:numPr>
          <w:ilvl w:val="255"/>
          <w:numId w:val="0"/>
        </w:numPr>
        <w:jc w:val="left"/>
        <w:rPr>
          <w:rFonts w:hint="eastAsia"/>
          <w:color w:val="0083C3"/>
          <w:lang w:val="en-US" w:eastAsia="zh-CN"/>
        </w:rPr>
      </w:pPr>
      <w:bookmarkStart w:id="109" w:name="_Toc14132"/>
      <w:bookmarkStart w:id="110" w:name="_Toc1561"/>
      <w:bookmarkStart w:id="111" w:name="_Toc107825560"/>
      <w:bookmarkStart w:id="112" w:name="_Toc17558"/>
      <w:bookmarkStart w:id="113" w:name="_Toc12977"/>
      <w:r>
        <w:rPr>
          <w:rFonts w:hint="eastAsia"/>
          <w:color w:val="0083C3"/>
          <w:lang w:val="en-US" w:eastAsia="zh-CN"/>
        </w:rPr>
        <w:t>化疗药物检测解析</w:t>
      </w:r>
      <w:bookmarkEnd w:id="109"/>
      <w:bookmarkEnd w:id="110"/>
      <w:bookmarkEnd w:id="111"/>
      <w:bookmarkEnd w:id="112"/>
      <w:bookmarkEnd w:id="113"/>
    </w:p>
    <w:p w14:paraId="732C0586">
      <w:pPr>
        <w:spacing w:before="26" w:after="120" w:afterLines="50"/>
        <w:rPr>
          <w:lang w:eastAsia="zh-CN"/>
        </w:rPr>
      </w:pPr>
      <w:bookmarkStart w:id="114" w:name="_Toc2409"/>
      <w:bookmarkStart w:id="115" w:name="_Toc27302"/>
      <w:bookmarkStart w:id="116" w:name="_Toc18680"/>
      <w:bookmarkStart w:id="117" w:name="_Toc12505"/>
      <w:bookmarkStart w:id="118" w:name="_Toc16594"/>
      <w:bookmarkStart w:id="119" w:name="_Toc28240"/>
      <w:bookmarkStart w:id="120" w:name="_Toc1707_WPSOffice_Level1"/>
      <w:bookmarkStart w:id="121" w:name="_Toc21764_WPSOffice_Level1"/>
      <w:bookmarkStart w:id="122" w:name="_Toc13196_WPSOffice_Level1"/>
      <w:r>
        <w:rPr>
          <w:rFonts w:ascii="Times New Roman" w:hAnsi="Times New Roman" w:eastAsia="微软雅黑" w:cs="Times New Roman"/>
          <w:b/>
          <w:sz w:val="24"/>
          <w:lang w:eastAsia="zh-CN"/>
        </w:rPr>
        <w:t>化疗药物用药提示</w:t>
      </w:r>
    </w:p>
    <w:tbl>
      <w:tblPr>
        <w:tblStyle w:val="18"/>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7"/>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p>
    <w:bookmarkEnd w:id="114"/>
    <w:bookmarkEnd w:id="115"/>
    <w:bookmarkEnd w:id="116"/>
    <w:bookmarkEnd w:id="117"/>
    <w:bookmarkEnd w:id="118"/>
    <w:bookmarkEnd w:id="119"/>
    <w:bookmarkEnd w:id="120"/>
    <w:bookmarkEnd w:id="121"/>
    <w:bookmarkEnd w:id="122"/>
    <w:p w14:paraId="1C0A083D">
      <w:pPr>
        <w:pStyle w:val="2"/>
        <w:numPr>
          <w:ilvl w:val="255"/>
          <w:numId w:val="0"/>
        </w:numPr>
        <w:jc w:val="left"/>
        <w:rPr>
          <w:rFonts w:hint="eastAsia"/>
          <w:color w:val="0083C3"/>
          <w:lang w:val="en-US" w:eastAsia="zh-CN"/>
        </w:rPr>
      </w:pPr>
      <w:bookmarkStart w:id="123" w:name="_Toc3674"/>
      <w:bookmarkStart w:id="124" w:name="_Toc15840_WPSOffice_Level1"/>
      <w:bookmarkStart w:id="125" w:name="_Toc24085_WPSOffice_Level1"/>
      <w:bookmarkStart w:id="126" w:name="_Toc9914"/>
      <w:bookmarkStart w:id="127" w:name="_Toc14255_WPSOffice_Level1"/>
      <w:bookmarkStart w:id="128" w:name="_Toc6954"/>
      <w:bookmarkStart w:id="129" w:name="_Toc12193"/>
      <w:bookmarkStart w:id="130" w:name="_Toc9066"/>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3"/>
      <w:bookmarkEnd w:id="124"/>
      <w:bookmarkEnd w:id="125"/>
      <w:bookmarkEnd w:id="126"/>
      <w:bookmarkEnd w:id="127"/>
      <w:bookmarkEnd w:id="128"/>
      <w:bookmarkEnd w:id="129"/>
      <w:bookmarkEnd w:id="130"/>
    </w:p>
    <w:p w14:paraId="3C5B70A4">
      <w:pPr>
        <w:rPr>
          <w:lang w:eastAsia="zh-CN"/>
        </w:rPr>
      </w:pPr>
    </w:p>
    <w:tbl>
      <w:tblPr>
        <w:tblStyle w:val="17"/>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bookmarkStart w:id="131" w:name="_Toc11812"/>
      <w:bookmarkStart w:id="132" w:name="_Toc4979"/>
      <w:bookmarkStart w:id="133" w:name="_Toc11193_WPSOffice_Level1"/>
      <w:bookmarkStart w:id="134" w:name="_Toc1779"/>
      <w:bookmarkStart w:id="135" w:name="_Toc20303"/>
      <w:bookmarkStart w:id="136" w:name="_Toc28810_WPSOffice_Level1"/>
      <w:bookmarkStart w:id="137" w:name="_Toc11896_WPSOffice_Level1"/>
      <w:r>
        <w:rPr>
          <w:rFonts w:hint="default" w:ascii="Times New Roman" w:hAnsi="Times New Roman" w:eastAsia="微软雅黑" w:cs="Times New Roman"/>
          <w:sz w:val="18"/>
          <w:lang w:val="en-US" w:eastAsia="zh-CN"/>
        </w:rPr>
        <w:t>1.  肿瘤细胞含量：送检样本经HE染色评估的肿瘤细胞含量。如送检样本不满足病理评估所需条件，则不进行此项评估。</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2.  DNA总量：送检样本的DNA提取总量。</w:t>
      </w:r>
    </w:p>
    <w:p w14:paraId="088CCFB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3.  DNA降解程度：</w:t>
      </w:r>
    </w:p>
    <w:p w14:paraId="12A054A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A级：有主带，或降解均匀且降解区域主要集中在5000bp以上；</w:t>
      </w:r>
    </w:p>
    <w:p w14:paraId="774F26A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B级：无主带，降解均匀且降解区域主要集中在1500-5000bp之间；</w:t>
      </w:r>
    </w:p>
    <w:p w14:paraId="4FF366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C级：无主带，降解均匀且降解区域主要集中在500-1500bp之间；</w:t>
      </w:r>
    </w:p>
    <w:p w14:paraId="2CD344BC">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ab/>
      </w:r>
      <w:r>
        <w:rPr>
          <w:rFonts w:hint="default" w:ascii="Times New Roman" w:hAnsi="Times New Roman" w:eastAsia="微软雅黑" w:cs="Times New Roman"/>
          <w:sz w:val="18"/>
          <w:szCs w:val="18"/>
          <w:lang w:val="en-US" w:eastAsia="zh-CN"/>
        </w:rPr>
        <w:t>● D级（不合格）：无主带，降解均匀且降解区域主要集中在500-1500bp之间，但总量介于100ng到300ng之间；或降解区域弥散在150-1000bp，或集中在500bp以下。</w:t>
      </w:r>
    </w:p>
    <w:p w14:paraId="6058DF6A">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4.  预文库总量：核酸片段经过接头连接和扩增纯化后中间产物的总量。</w:t>
      </w:r>
    </w:p>
    <w:p w14:paraId="3F67556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5.  平均测序深度：目标区域每个碱基被测到的平均次数。</w:t>
      </w:r>
    </w:p>
    <w:p w14:paraId="702C59D5">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6.  覆盖均一性：测序深度达到平均测序深度20%的碱基占比。</w:t>
      </w:r>
    </w:p>
    <w:p w14:paraId="64F9B58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7.  基因组比对率：比对到参考基因组上的reads数目占比。</w:t>
      </w:r>
    </w:p>
    <w:p w14:paraId="1D96163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8.  碱基质量Q30占比：测序数据中碱基质量在Q30以上（即碱基识别错误率在千分之一以下）的占比。</w:t>
      </w:r>
    </w:p>
    <w:p w14:paraId="500A68D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9.  总体质量评估：根据 DNA 平均测序深度进行评估，分为“合格”、“警戒”、“不合格”三个等级。总体质量评估为“警戒”或者“不合格”时，均会影响检测的准确性和敏感性。</w:t>
      </w:r>
    </w:p>
    <w:p w14:paraId="39E9A5B5">
      <w:r>
        <w:br w:type="page"/>
      </w:r>
    </w:p>
    <w:p w14:paraId="3177611A">
      <w:pPr>
        <w:pStyle w:val="2"/>
        <w:numPr>
          <w:ilvl w:val="255"/>
          <w:numId w:val="0"/>
        </w:numPr>
        <w:jc w:val="left"/>
        <w:rPr>
          <w:rFonts w:hint="eastAsia"/>
          <w:color w:val="0083C3"/>
          <w:lang w:val="en-US" w:eastAsia="zh-CN"/>
        </w:rPr>
      </w:pPr>
      <w:bookmarkStart w:id="138" w:name="_Toc32092"/>
      <w:bookmarkStart w:id="139"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8"/>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40" w:name="_Toc15370"/>
      <w:r>
        <w:rPr>
          <w:rFonts w:hint="default"/>
          <w:color w:val="0083C3"/>
          <w:lang w:val="en-US" w:eastAsia="zh-CN"/>
        </w:rPr>
        <w:t>胶质瘤遗传风险相关基因</w:t>
      </w:r>
      <w:bookmarkEnd w:id="140"/>
    </w:p>
    <w:tbl>
      <w:tblPr>
        <w:tblStyle w:val="17"/>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41" w:name="_Toc13280"/>
      <w:r>
        <w:rPr>
          <w:rFonts w:hint="eastAsia"/>
          <w:color w:val="0083C3"/>
          <w:lang w:val="en-US" w:eastAsia="zh-CN"/>
        </w:rPr>
        <w:t>常见靶向药物相关基因检测列表</w:t>
      </w:r>
      <w:bookmarkEnd w:id="131"/>
      <w:bookmarkEnd w:id="132"/>
      <w:bookmarkEnd w:id="133"/>
      <w:bookmarkEnd w:id="134"/>
      <w:bookmarkEnd w:id="135"/>
      <w:bookmarkEnd w:id="136"/>
      <w:bookmarkEnd w:id="137"/>
      <w:bookmarkEnd w:id="139"/>
      <w:bookmarkEnd w:id="141"/>
    </w:p>
    <w:tbl>
      <w:tblPr>
        <w:tblStyle w:val="18"/>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2" w:name="_Toc28537"/>
      <w:bookmarkStart w:id="143" w:name="_Toc5898"/>
      <w:bookmarkStart w:id="144" w:name="_Toc19099"/>
      <w:bookmarkStart w:id="145" w:name="_Toc8182"/>
      <w:bookmarkStart w:id="146" w:name="_Toc29730"/>
      <w:bookmarkStart w:id="147" w:name="_Toc6864"/>
      <w:bookmarkStart w:id="148" w:name="_Toc28910_WPSOffice_Level1"/>
      <w:bookmarkStart w:id="149" w:name="_Toc16368_WPSOffice_Level1"/>
      <w:bookmarkStart w:id="150" w:name="_Toc22484_WPSOffice_Level1"/>
      <w:bookmarkStart w:id="151" w:name="_Toc7549"/>
      <w:bookmarkStart w:id="152" w:name="_Toc17837"/>
      <w:r>
        <w:rPr>
          <w:rFonts w:hint="eastAsia"/>
          <w:color w:val="0083C3"/>
          <w:lang w:val="en-US" w:eastAsia="zh-CN"/>
        </w:rPr>
        <w:t>检测基因列表</w:t>
      </w:r>
      <w:bookmarkEnd w:id="142"/>
      <w:bookmarkEnd w:id="143"/>
      <w:bookmarkEnd w:id="144"/>
      <w:bookmarkEnd w:id="145"/>
      <w:bookmarkEnd w:id="146"/>
      <w:bookmarkEnd w:id="147"/>
      <w:bookmarkEnd w:id="148"/>
      <w:bookmarkEnd w:id="149"/>
      <w:bookmarkEnd w:id="150"/>
      <w:bookmarkEnd w:id="151"/>
      <w:bookmarkEnd w:id="15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53" w:name="_Toc19280_WPSOffice_Level2"/>
      <w:bookmarkStart w:id="154" w:name="_Toc3488_WPSOffice_Level2"/>
      <w:bookmarkStart w:id="155" w:name="_Toc11193_WPSOffice_Level2"/>
      <w:bookmarkStart w:id="156" w:name="_Toc17111_WPSOffice_Level2"/>
      <w:bookmarkStart w:id="157" w:name="_Toc31515_WPSOffice_Level2"/>
      <w:bookmarkStart w:id="158" w:name="_Toc6931_WPSOffice_Level2"/>
      <w:bookmarkStart w:id="159" w:name="_Toc6304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3"/>
      <w:bookmarkEnd w:id="154"/>
      <w:bookmarkEnd w:id="155"/>
      <w:bookmarkEnd w:id="156"/>
      <w:bookmarkEnd w:id="157"/>
      <w:bookmarkEnd w:id="158"/>
      <w:bookmarkEnd w:id="15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4"/>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962EF69">
      <w:pPr>
        <w:rPr>
          <w:lang w:eastAsia="zh-CN"/>
        </w:rPr>
      </w:pPr>
      <w:r>
        <w:rPr>
          <w:rFonts w:hint="eastAsia" w:ascii="Times New Roman" w:hAnsi="Times New Roman" w:eastAsia="微软雅黑" w:cs="Times New Roman"/>
          <w:b/>
          <w:bCs/>
          <w:sz w:val="18"/>
          <w:szCs w:val="18"/>
          <w:lang w:val="en-US" w:eastAsia="zh-CN"/>
        </w:rPr>
        <w:t>{% endfor %}</w:t>
      </w:r>
      <w:bookmarkStart w:id="160" w:name="_Toc26985_WPSOffice_Level1"/>
      <w:bookmarkStart w:id="161" w:name="_Toc20170_WPSOffice_Level1"/>
      <w:bookmarkStart w:id="162" w:name="_Toc28454_WPSOffice_Level1"/>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60"/>
    <w:bookmarkEnd w:id="161"/>
    <w:bookmarkEnd w:id="162"/>
    <w:p w14:paraId="787B1E93">
      <w:pPr>
        <w:pStyle w:val="2"/>
        <w:numPr>
          <w:ilvl w:val="255"/>
          <w:numId w:val="0"/>
        </w:numPr>
        <w:jc w:val="left"/>
        <w:rPr>
          <w:rFonts w:hint="eastAsia"/>
          <w:color w:val="0083C3"/>
          <w:lang w:val="en-US" w:eastAsia="zh-CN"/>
        </w:rPr>
      </w:pPr>
      <w:bookmarkStart w:id="163" w:name="_Toc5924"/>
      <w:bookmarkStart w:id="164" w:name="_Toc3409"/>
      <w:bookmarkStart w:id="165" w:name="_Toc15114"/>
      <w:bookmarkStart w:id="166" w:name="_Toc9612"/>
      <w:bookmarkStart w:id="167" w:name="_Toc8911"/>
      <w:bookmarkStart w:id="168" w:name="_Toc27034"/>
      <w:bookmarkStart w:id="169" w:name="_Toc107825570"/>
      <w:bookmarkStart w:id="170" w:name="_Toc4503"/>
      <w:bookmarkStart w:id="171" w:name="_Toc11901"/>
      <w:bookmarkStart w:id="172" w:name="_Toc15630"/>
      <w:bookmarkStart w:id="173" w:name="_Toc27809"/>
      <w:bookmarkStart w:id="174" w:name="_Toc22623"/>
      <w:bookmarkStart w:id="175" w:name="_Toc13275"/>
      <w:bookmarkStart w:id="176" w:name="_Toc14611_WPSOffice_Level1"/>
      <w:bookmarkStart w:id="177" w:name="_Toc22162_WPSOffice_Level1"/>
      <w:bookmarkStart w:id="178" w:name="_Toc19584_WPSOffice_Level1"/>
      <w:bookmarkStart w:id="179" w:name="_Toc17792_WPSOffice_Level2"/>
      <w:r>
        <w:rPr>
          <w:rFonts w:hint="eastAsia"/>
          <w:color w:val="0083C3"/>
          <w:lang w:val="en-US" w:eastAsia="zh-CN"/>
        </w:rPr>
        <w:t>检测方法与局限性</w:t>
      </w:r>
      <w:bookmarkEnd w:id="163"/>
      <w:bookmarkEnd w:id="164"/>
      <w:bookmarkEnd w:id="165"/>
      <w:bookmarkEnd w:id="166"/>
    </w:p>
    <w:p w14:paraId="64554AEB">
      <w:pPr>
        <w:rPr>
          <w:highlight w:val="yellow"/>
          <w:lang w:eastAsia="zh-CN"/>
        </w:rPr>
      </w:pPr>
    </w:p>
    <w:p w14:paraId="04BC9E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4C5C92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1905B7C0">
      <w:pPr>
        <w:rPr>
          <w:rFonts w:ascii="Times New Roman" w:hAnsi="Times New Roman" w:eastAsia="微软雅黑" w:cs="Times New Roman"/>
          <w:bCs/>
          <w:sz w:val="21"/>
          <w:szCs w:val="21"/>
          <w:lang w:eastAsia="zh-CN"/>
        </w:rPr>
      </w:pPr>
    </w:p>
    <w:p w14:paraId="373CD1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1D90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default" w:ascii="Times New Roman" w:hAnsi="Times New Roman" w:eastAsia="微软雅黑" w:cs="Times New Roman"/>
          <w:bCs/>
          <w:sz w:val="21"/>
          <w:szCs w:val="21"/>
          <w:lang w:eastAsia="zh-CN"/>
        </w:rPr>
        <w:t>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2C8B3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63D32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3.本检测适用于发现指定基因DNA水平的变异，不涉及RNA水平或蛋白质水平的检测。</w:t>
      </w:r>
    </w:p>
    <w:p w14:paraId="30A99B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87C168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BA30E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72D126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676C39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w:t>
      </w:r>
    </w:p>
    <w:p w14:paraId="1ED446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67"/>
    <w:bookmarkEnd w:id="168"/>
    <w:bookmarkEnd w:id="169"/>
    <w:p w14:paraId="6E37B193">
      <w:pPr>
        <w:pStyle w:val="2"/>
        <w:numPr>
          <w:ilvl w:val="255"/>
          <w:numId w:val="0"/>
        </w:numPr>
        <w:jc w:val="left"/>
        <w:rPr>
          <w:rFonts w:hint="eastAsia"/>
          <w:color w:val="0083C3"/>
          <w:lang w:val="en-US" w:eastAsia="zh-CN"/>
        </w:rPr>
      </w:pPr>
      <w:bookmarkStart w:id="180" w:name="_Toc657"/>
      <w:bookmarkStart w:id="181" w:name="_Toc8204"/>
      <w:r>
        <w:rPr>
          <w:rFonts w:hint="eastAsia"/>
          <w:color w:val="0083C3"/>
          <w:lang w:val="en-US" w:eastAsia="zh-CN"/>
        </w:rPr>
        <w:t>参考文献</w:t>
      </w:r>
      <w:bookmarkEnd w:id="170"/>
      <w:bookmarkEnd w:id="171"/>
      <w:bookmarkEnd w:id="172"/>
      <w:bookmarkEnd w:id="173"/>
      <w:bookmarkEnd w:id="180"/>
      <w:bookmarkEnd w:id="181"/>
    </w:p>
    <w:bookmarkEnd w:id="174"/>
    <w:bookmarkEnd w:id="175"/>
    <w:bookmarkEnd w:id="176"/>
    <w:bookmarkEnd w:id="177"/>
    <w:bookmarkEnd w:id="178"/>
    <w:bookmarkEnd w:id="179"/>
    <w:p w14:paraId="4F38E5D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2021年WHO中枢神经系统肿瘤分类（第五版）</w:t>
      </w:r>
    </w:p>
    <w:p w14:paraId="4EB3584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.V</w:t>
      </w:r>
      <w:r>
        <w:rPr>
          <w:rFonts w:hint="eastAsia" w:ascii="Times New Roman" w:hAnsi="Times New Roman" w:eastAsia="微软雅黑" w:cs="Times New Roman"/>
          <w:color w:val="auto"/>
          <w:sz w:val="15"/>
          <w:szCs w:val="15"/>
          <w:highlight w:val="none"/>
          <w:lang w:val="en-US" w:eastAsia="zh-CN"/>
        </w:rPr>
        <w:t>1</w:t>
      </w:r>
      <w:r>
        <w:rPr>
          <w:rFonts w:hint="eastAsia" w:ascii="Times New Roman" w:hAnsi="Times New Roman" w:eastAsia="微软雅黑" w:cs="Times New Roman"/>
          <w:color w:val="auto"/>
          <w:sz w:val="15"/>
          <w:szCs w:val="15"/>
          <w:highlight w:val="none"/>
          <w:lang w:eastAsia="zh-CN"/>
        </w:rPr>
        <w:t>）</w:t>
      </w:r>
    </w:p>
    <w:p w14:paraId="68B260F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5FB6BB4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6B32EA9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bookmarkStart w:id="182"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82"/>
    <w:p w14:paraId="4AE4AD0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53E0581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06C6CDB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18C7681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BD5726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18BD743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181C5DC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18218C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0A1944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Shaw AT, Bauer TM, de Marinis F, et al. First-line lorlatinib or crizotinib in advanced ALK-positive lung cancer. N Engl J Med. 2020;383(21):2018-2029. [PMID: 33207094]</w:t>
      </w:r>
    </w:p>
    <w:p w14:paraId="6FE76C0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Fangusaro J, Onar-Thomas A, Poussaint TY, et al. Selumetinib in paediatric patients with BRAFaberrant or neurofibromatosis type 1-associated recurrent, refractory, or progressive low-grade glioma: a multicentre, phase 2 trial. Lancet Oncol 2019;20:1011-1022. [PMID: 31151904]</w:t>
      </w:r>
    </w:p>
    <w:p w14:paraId="5E7945A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58BC33AE">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Van Cutsem E, Hujberts S, Grothey A, et al. Binimetinib, encorafenib, and cetuximab triplet therapy for patients with BRAF V600E-mutant metastatic colorectal cancer: Safety lead-in results from the phase III BEACON colorectal cancer study. J Clin Oncol. 2019;37(17):1460-1469. [PMID: 30892987]</w:t>
      </w:r>
    </w:p>
    <w:p w14:paraId="75ECD54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Yaeger R, et al. Encorafenib, binimetinib, and cetuximab in BRAF V600E-mutated colorectal cancer. N Engl J Med. 2019;381(17):1632-1643. [PMID: 31566309]</w:t>
      </w:r>
    </w:p>
    <w:p w14:paraId="263656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1F0014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Nakagawa K, Garon EB, Seto T, et al. Ramucirumab plus erlotinib in patients with untreated, EGFR-mutated, advanced non-small-cell lung cancer (RELAY): a randomised, double-blind, placebo-controlled, phase 3 trial. Lancet Oncol. 2019;20(12):1655-1669. [PMID: 31591063]</w:t>
      </w:r>
    </w:p>
    <w:p w14:paraId="56AA985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Yang JCH, Camidge DR, Yang CT, et al. Safety, efficacy, and pharmacokinetics of almonertinib (HS-10296) in pretreated patients with EGFR-mutated advanced NSCLC: A multicenter, open-label, phase 1 trial. J Thorac Oncol. 2020;15(12):1907-1918. [PMID: 32916310]</w:t>
      </w:r>
    </w:p>
    <w:p w14:paraId="7672B59A">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Shi Y, Hu X, Zhang S, et al. Efficacy and safety of alflutinib (AST2818) in patients with T790M mutation-positive NSCLC: A phase IIb multicenter single-arm study. J Clin Oncol. 2020;38(suppl 15): abstr 9602.</w:t>
      </w:r>
    </w:p>
    <w:p w14:paraId="182076E6">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Yun J, Lee SH, Kim SY, et al. Antitumor Activity of Amivantamab (JNJ-61186372), an EGFR-MET Bispecific Antibody, in Diverse Models of EGFR Exon 20 Insertion-Driven NSCLC[J]. Cancer Discov. 2020, 10(8):1194-1209. [PMID: 32414908]</w:t>
      </w:r>
    </w:p>
    <w:p w14:paraId="11F6D5D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Abou-Alfa GK, Sahai V, Hollebecque A, et al. Pemigatinib for previously treated, locally advanced or metastatic cholangiocarcinoma: a multicentre, open-label, phase 2 study. Lancet Oncol. 2020;21(5):671-684. [PMID: 32203698]</w:t>
      </w:r>
    </w:p>
    <w:p w14:paraId="300F865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Loriot Y, Necchi A, Park SH, et al. Erdafitinib in locally advanced or metastatic urothelial carcinoma. N Engl J Med. 2019;381(4):338-348. [PMID: 31340094]</w:t>
      </w:r>
    </w:p>
    <w:p w14:paraId="543A7B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Smit EF, Nakagawa K, Nagasaka M, et al. Trastuzumab deruxtecan (T-DXd; DS-8201) in patients with HER2-mutated metastatic non-small cell lung cancer (NSCLC): Interim results of DESTINY-Lung01. J Clin Oncol. 2020;38(suppl 15): abstr 9504.</w:t>
      </w:r>
    </w:p>
    <w:p w14:paraId="1B29B907">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Chung HC, et al. First-line pembrolizumab/placebo plus trastuzumab and chemotherapy in HER2-positive advanced gastric cancer: KEYNOTE-811. Future Oncol 2021 Feb;17(5):491-501. [PMID: 33167735]</w:t>
      </w:r>
    </w:p>
    <w:p w14:paraId="228373EB">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Lee HW, Sa JK, Gualberto A, et al. A phase II trial of tipifarnib for patients with previously treated, metastatic urothelial carcinoma harboring HRAS mutations. Clin Cancer Res. 2020; 26(19): 5113-5119. [PMID: 32636318]</w:t>
      </w:r>
    </w:p>
    <w:p w14:paraId="5D6541F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Fakih MG, Strickler JH, et al. KRAS G12C Inhibition with Sotorasib in Advanced Solid Tumors[J]. N Engl J Med. 2020, 24;383(13):1207-1217. [PMID: 32955176]</w:t>
      </w:r>
    </w:p>
    <w:p w14:paraId="63759052">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Wolf J, Seto T, Han JY, Reguart N, et al. Capmatinib in MET exon 14-mutated or MET-amplified non-small-cell lung cancer. N Engl J Med. 2020;383(10):944-957. [PMID: 32877583]</w:t>
      </w:r>
    </w:p>
    <w:p w14:paraId="785878FC">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xml:space="preserve">Lu S et al., Phase II study of savolitinib in patients with pulmonary sarcomatoid carcinoma and other types of non-small cell lung cancer harboring MET exon 14 skipping mutations. J Clin Oncol. 2020;38(suppl 15): abstr 9519. </w:t>
      </w:r>
    </w:p>
    <w:p w14:paraId="3BD75F40">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Clark JW, Weiss J, Ou SI, et al. Antitumor activity of crizotinib in lung cancers harboring a MET exon 14 alteration. Nat Med. 2020;26(1):47-51. [PMID: 31932802]</w:t>
      </w:r>
    </w:p>
    <w:p w14:paraId="6C4D2B89">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Paik PK, Felip E, Veillon R, et al. Tepotinib in non-small-cell lung cancer with MET exon 14 skipping mutations. N Engl J Med. 2020;383(10):931-943. [PMID: 32469185]</w:t>
      </w:r>
    </w:p>
    <w:p w14:paraId="714C6F2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Doebele RC, Drilon A, Paz-Ares L, et al. Entrectinib in patients with advanced or metastatic NTRK fusion-positive solid tumours: integrated analysis of three phase 1-2 trials. Lancet Oncol. 2020;21(2):271-282. [PMID: 31838007]</w:t>
      </w:r>
    </w:p>
    <w:p w14:paraId="45905CDF">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Hong DS, DuBois SG, Kummar S, et al. Larotrectinib in patients with TRK fusion-positive solid tumours: a pooled analysis of three phase 1/2 clinical trials. Lancet Oncol. 2020;21(4):531-540. [PMID: 32105622]</w:t>
      </w:r>
    </w:p>
    <w:p w14:paraId="6B60403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Jones RL, Serrano C, von Mehren M, et al. Avapritinib in unresectable or metastatic PDGFRA D842V-mutant gastrointestinal stromal tumours: Long-term efficacy and safety data from the NAVIGATOR phase I trial. Eur J Cancer. 2021;145:132-142. [PMID: 33465704]</w:t>
      </w:r>
    </w:p>
    <w:p w14:paraId="314E56B3">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Bradford D, Larkins E, Mushti SL, et al. FDA approval summary: Selpercatinib for the treatment of lung and thyroid cancers with RET gene mutations or fusions. Clin Cancer Res. 2021;27(8):2130-2135. [PMID: 33239432]</w:t>
      </w:r>
    </w:p>
    <w:p w14:paraId="15053098">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Drusbosky LM, Rodriguez E, Dawar R, et al. Therapeutic strategies in RET gene rearranged non-small cell lung cancer. J Hematol Oncol. 2021;14(1):50. [PMID: 33771190]</w:t>
      </w:r>
    </w:p>
    <w:p w14:paraId="077CFE7D">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Drilon A, Siena S, Dziadziuszko R, et al. Entrectinib in ROS1 fusion-positive non-small-cell lung cancer: integrated analysis of three phase 1-2 trials. Lancet Oncol. 2020;21(2):261-270. [PMID: 31838015]</w:t>
      </w:r>
    </w:p>
    <w:p w14:paraId="4E908C31">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75B7CA4">
      <w:pPr>
        <w:keepNext w:val="0"/>
        <w:keepLines w:val="0"/>
        <w:pageBreakBefore w:val="0"/>
        <w:widowControl/>
        <w:kinsoku/>
        <w:wordWrap/>
        <w:overflowPunct/>
        <w:topLinePunct w:val="0"/>
        <w:autoSpaceDE/>
        <w:autoSpaceDN/>
        <w:bidi w:val="0"/>
        <w:adjustRightInd w:val="0"/>
        <w:snapToGrid w:val="0"/>
        <w:spacing w:line="16" w:lineRule="atLeas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Zhao H, Yao W, Min X, et al. Apatinib Plus Gefitinib as First-Line Treatment in Advanced EGFR-Mutant NSCLC: The Phase III ACTIVE Study (CTONG1706). J Thorac Oncol. 2021;16(9):1533-1546. [PMID: 34033974]</w:t>
      </w:r>
    </w:p>
    <w:p w14:paraId="74390FFF">
      <w:pPr>
        <w:keepNext w:val="0"/>
        <w:keepLines w:val="0"/>
        <w:pageBreakBefore w:val="0"/>
        <w:kinsoku/>
        <w:wordWrap/>
        <w:overflowPunct/>
        <w:topLinePunct w:val="0"/>
        <w:autoSpaceDE/>
        <w:autoSpaceDN/>
        <w:bidi w:val="0"/>
        <w:spacing w:line="16" w:lineRule="atLeast"/>
        <w:textAlignment w:val="auto"/>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6"/>
        <w:widowControl/>
        <w:rPr>
          <w:rFonts w:ascii="Times New Roman" w:hAnsi="Times New Roman" w:eastAsia="微软雅黑" w:cs="Times New Roman"/>
          <w:b/>
          <w:bCs/>
          <w:lang w:eastAsia="zh-CN"/>
        </w:rPr>
      </w:pPr>
    </w:p>
    <w:p w14:paraId="30391E2C">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6"/>
        <w:widowControl/>
        <w:rPr>
          <w:rFonts w:ascii="Times New Roman" w:hAnsi="Times New Roman" w:eastAsia="微软雅黑" w:cs="Times New Roman"/>
          <w:b/>
          <w:bCs/>
          <w:lang w:eastAsia="zh-CN"/>
        </w:rPr>
      </w:pPr>
    </w:p>
    <w:p w14:paraId="3C9628FD">
      <w:pPr>
        <w:pStyle w:val="16"/>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6"/>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6"/>
        <w:widowControl/>
        <w:rPr>
          <w:rFonts w:ascii="Times New Roman" w:hAnsi="Times New Roman" w:eastAsia="微软雅黑" w:cs="Times New Roman"/>
          <w:b/>
          <w:bCs/>
          <w:lang w:eastAsia="zh-CN"/>
        </w:rPr>
      </w:pPr>
    </w:p>
    <w:p w14:paraId="37686774">
      <w:pPr>
        <w:pStyle w:val="16"/>
        <w:widowControl/>
        <w:rPr>
          <w:rFonts w:ascii="Times New Roman" w:hAnsi="Times New Roman" w:eastAsia="等线"/>
        </w:rPr>
      </w:pPr>
    </w:p>
    <w:p w14:paraId="41095656">
      <w:pPr>
        <w:pStyle w:val="16"/>
        <w:widowControl/>
        <w:rPr>
          <w:rFonts w:ascii="Times New Roman" w:hAnsi="Times New Roman" w:eastAsia="等线"/>
        </w:rPr>
      </w:pPr>
    </w:p>
    <w:p w14:paraId="1E733170">
      <w:pPr>
        <w:pStyle w:val="16"/>
        <w:widowControl/>
        <w:rPr>
          <w:rFonts w:ascii="Times New Roman" w:hAnsi="Times New Roman" w:eastAsia="等线"/>
          <w:b/>
          <w:bCs/>
          <w:color w:val="61964C"/>
          <w:sz w:val="28"/>
          <w:szCs w:val="28"/>
        </w:rPr>
      </w:pPr>
    </w:p>
    <w:p w14:paraId="3DDBDD6C">
      <w:pPr>
        <w:pStyle w:val="16"/>
        <w:widowControl/>
        <w:rPr>
          <w:rFonts w:ascii="Times New Roman" w:hAnsi="Times New Roman" w:eastAsia="等线"/>
        </w:rPr>
      </w:pPr>
    </w:p>
    <w:p w14:paraId="6CE3BA3E">
      <w:pPr>
        <w:pStyle w:val="16"/>
        <w:widowControl/>
        <w:rPr>
          <w:rFonts w:ascii="Times New Roman" w:hAnsi="Times New Roman" w:eastAsia="等线"/>
        </w:rPr>
      </w:pPr>
    </w:p>
    <w:p w14:paraId="1C01AD5D">
      <w:pPr>
        <w:pStyle w:val="16"/>
        <w:widowControl/>
        <w:rPr>
          <w:rFonts w:ascii="Times New Roman" w:hAnsi="Times New Roman" w:eastAsia="等线"/>
        </w:rPr>
      </w:pPr>
    </w:p>
    <w:p w14:paraId="7FBFB40A">
      <w:pPr>
        <w:pStyle w:val="16"/>
        <w:widowControl/>
        <w:rPr>
          <w:rFonts w:ascii="Times New Roman" w:hAnsi="Times New Roman" w:eastAsia="等线"/>
        </w:rPr>
      </w:pPr>
    </w:p>
    <w:p w14:paraId="50871484">
      <w:pPr>
        <w:pStyle w:val="16"/>
        <w:widowControl/>
        <w:rPr>
          <w:rFonts w:ascii="Times New Roman" w:hAnsi="Times New Roman" w:eastAsia="等线"/>
        </w:rPr>
      </w:pPr>
    </w:p>
    <w:p w14:paraId="3CCC4758">
      <w:pPr>
        <w:pStyle w:val="16"/>
        <w:widowControl/>
        <w:rPr>
          <w:rFonts w:ascii="Times New Roman" w:hAnsi="Times New Roman" w:eastAsia="等线"/>
        </w:rPr>
      </w:pPr>
    </w:p>
    <w:p w14:paraId="30B2A652">
      <w:pPr>
        <w:pStyle w:val="16"/>
        <w:widowControl/>
        <w:rPr>
          <w:rFonts w:ascii="Times New Roman" w:hAnsi="Times New Roman" w:eastAsia="等线"/>
        </w:rPr>
      </w:pPr>
    </w:p>
    <w:p w14:paraId="74A4CCD5">
      <w:pPr>
        <w:pStyle w:val="16"/>
        <w:widowControl/>
        <w:rPr>
          <w:rFonts w:ascii="Times New Roman" w:hAnsi="Times New Roman" w:eastAsia="等线"/>
        </w:rPr>
      </w:pPr>
    </w:p>
    <w:p w14:paraId="69BC3E3D">
      <w:pPr>
        <w:pStyle w:val="16"/>
        <w:widowControl/>
        <w:rPr>
          <w:rFonts w:ascii="Times New Roman" w:hAnsi="Times New Roman" w:eastAsia="等线"/>
        </w:rPr>
      </w:pPr>
    </w:p>
    <w:p w14:paraId="1551905C">
      <w:pPr>
        <w:pStyle w:val="16"/>
        <w:widowControl/>
        <w:rPr>
          <w:rFonts w:ascii="Times New Roman" w:hAnsi="Times New Roman" w:eastAsia="等线"/>
        </w:rPr>
      </w:pPr>
    </w:p>
    <w:p w14:paraId="1AD94E3D">
      <w:pPr>
        <w:pStyle w:val="16"/>
        <w:widowControl/>
        <w:rPr>
          <w:rFonts w:ascii="Times New Roman" w:hAnsi="Times New Roman" w:eastAsia="等线"/>
        </w:rPr>
      </w:pPr>
    </w:p>
    <w:p w14:paraId="2B020554">
      <w:pPr>
        <w:pStyle w:val="16"/>
        <w:widowControl/>
        <w:rPr>
          <w:rFonts w:ascii="Times New Roman" w:hAnsi="Times New Roman" w:eastAsia="等线"/>
        </w:rPr>
      </w:pPr>
    </w:p>
    <w:p w14:paraId="7BD59A75">
      <w:pPr>
        <w:pStyle w:val="16"/>
        <w:widowControl/>
        <w:rPr>
          <w:rFonts w:ascii="Times New Roman" w:hAnsi="Times New Roman" w:eastAsia="等线"/>
        </w:rPr>
      </w:pPr>
    </w:p>
    <w:p w14:paraId="6BF2F73F">
      <w:pPr>
        <w:pStyle w:val="16"/>
        <w:widowControl/>
        <w:rPr>
          <w:rFonts w:ascii="Times New Roman" w:hAnsi="Times New Roman" w:eastAsia="等线"/>
        </w:rPr>
      </w:pPr>
    </w:p>
    <w:p w14:paraId="05E476FD">
      <w:pPr>
        <w:pStyle w:val="16"/>
        <w:widowControl/>
        <w:rPr>
          <w:rFonts w:ascii="Times New Roman" w:hAnsi="Times New Roman" w:eastAsia="等线"/>
        </w:rPr>
      </w:pPr>
    </w:p>
    <w:p w14:paraId="1D1D9065">
      <w:pPr>
        <w:pStyle w:val="16"/>
        <w:widowControl/>
        <w:rPr>
          <w:rFonts w:ascii="Times New Roman" w:hAnsi="Times New Roman" w:eastAsia="等线"/>
        </w:rPr>
      </w:pPr>
    </w:p>
    <w:p w14:paraId="4B5177DB">
      <w:pPr>
        <w:pStyle w:val="16"/>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6"/>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6"/>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6"/>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6"/>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70528;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4624;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8"/>
  </w:num>
  <w:num w:numId="3">
    <w:abstractNumId w:val="17"/>
  </w:num>
  <w:num w:numId="4">
    <w:abstractNumId w:val="10"/>
  </w:num>
  <w:num w:numId="5">
    <w:abstractNumId w:val="11"/>
  </w:num>
  <w:num w:numId="6">
    <w:abstractNumId w:val="14"/>
  </w:num>
  <w:num w:numId="7">
    <w:abstractNumId w:val="4"/>
  </w:num>
  <w:num w:numId="8">
    <w:abstractNumId w:val="2"/>
  </w:num>
  <w:num w:numId="9">
    <w:abstractNumId w:val="12"/>
  </w:num>
  <w:num w:numId="10">
    <w:abstractNumId w:val="9"/>
  </w:num>
  <w:num w:numId="11">
    <w:abstractNumId w:val="13"/>
  </w:num>
  <w:num w:numId="12">
    <w:abstractNumId w:val="5"/>
  </w:num>
  <w:num w:numId="13">
    <w:abstractNumId w:val="15"/>
  </w:num>
  <w:num w:numId="14">
    <w:abstractNumId w:val="1"/>
  </w:num>
  <w:num w:numId="15">
    <w:abstractNumId w:val="7"/>
  </w:num>
  <w:num w:numId="16">
    <w:abstractNumId w:val="0"/>
  </w:num>
  <w:num w:numId="17">
    <w:abstractNumId w:val="8"/>
  </w:num>
  <w:num w:numId="18">
    <w:abstractNumId w:val="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B7C0B"/>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277401"/>
    <w:rsid w:val="04791D69"/>
    <w:rsid w:val="04871837"/>
    <w:rsid w:val="049A3342"/>
    <w:rsid w:val="04A167FA"/>
    <w:rsid w:val="04C17114"/>
    <w:rsid w:val="0500466C"/>
    <w:rsid w:val="050F035E"/>
    <w:rsid w:val="05815BFE"/>
    <w:rsid w:val="05887898"/>
    <w:rsid w:val="05D63B33"/>
    <w:rsid w:val="05DD3D0D"/>
    <w:rsid w:val="062157D4"/>
    <w:rsid w:val="06A61E8D"/>
    <w:rsid w:val="06D201D2"/>
    <w:rsid w:val="06E36A2C"/>
    <w:rsid w:val="06EB7F4D"/>
    <w:rsid w:val="0702754C"/>
    <w:rsid w:val="074043CC"/>
    <w:rsid w:val="07AB34E7"/>
    <w:rsid w:val="07CC37A4"/>
    <w:rsid w:val="07D36A00"/>
    <w:rsid w:val="07DB59EB"/>
    <w:rsid w:val="08295DB4"/>
    <w:rsid w:val="083F50A2"/>
    <w:rsid w:val="084E1932"/>
    <w:rsid w:val="088D7FF0"/>
    <w:rsid w:val="08DC5A49"/>
    <w:rsid w:val="090834C0"/>
    <w:rsid w:val="0923394D"/>
    <w:rsid w:val="09705B33"/>
    <w:rsid w:val="098C72A9"/>
    <w:rsid w:val="09B80A9C"/>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93835"/>
    <w:rsid w:val="0CBE7A38"/>
    <w:rsid w:val="0CC26BD0"/>
    <w:rsid w:val="0D055CE8"/>
    <w:rsid w:val="0D272220"/>
    <w:rsid w:val="0D9819F1"/>
    <w:rsid w:val="0E11445D"/>
    <w:rsid w:val="0E372F34"/>
    <w:rsid w:val="0E3966AF"/>
    <w:rsid w:val="0E542351"/>
    <w:rsid w:val="0E580236"/>
    <w:rsid w:val="0E632099"/>
    <w:rsid w:val="0EBF2A43"/>
    <w:rsid w:val="0EC91129"/>
    <w:rsid w:val="0ED843CC"/>
    <w:rsid w:val="0EF32D57"/>
    <w:rsid w:val="0EFC3D5A"/>
    <w:rsid w:val="0F144A26"/>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2E75F5"/>
    <w:rsid w:val="19437087"/>
    <w:rsid w:val="19566367"/>
    <w:rsid w:val="199369D8"/>
    <w:rsid w:val="199B3480"/>
    <w:rsid w:val="19AA3B33"/>
    <w:rsid w:val="19CB4FEC"/>
    <w:rsid w:val="1A0652E5"/>
    <w:rsid w:val="1A6B414E"/>
    <w:rsid w:val="1ABF3777"/>
    <w:rsid w:val="1AD119B6"/>
    <w:rsid w:val="1B1D66B9"/>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2B42"/>
    <w:rsid w:val="1E00340E"/>
    <w:rsid w:val="1E4A0C65"/>
    <w:rsid w:val="1E5160B8"/>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80203"/>
    <w:rsid w:val="224D7A95"/>
    <w:rsid w:val="22AA7C62"/>
    <w:rsid w:val="22DD5BDB"/>
    <w:rsid w:val="2322058C"/>
    <w:rsid w:val="235C2C2A"/>
    <w:rsid w:val="23865D6B"/>
    <w:rsid w:val="23DC4798"/>
    <w:rsid w:val="23FF1819"/>
    <w:rsid w:val="242F51F8"/>
    <w:rsid w:val="24443260"/>
    <w:rsid w:val="245E0E58"/>
    <w:rsid w:val="247003E4"/>
    <w:rsid w:val="24D97E4C"/>
    <w:rsid w:val="24F86B97"/>
    <w:rsid w:val="252872B6"/>
    <w:rsid w:val="253036C5"/>
    <w:rsid w:val="256C4478"/>
    <w:rsid w:val="259579AF"/>
    <w:rsid w:val="25F63B64"/>
    <w:rsid w:val="25FE0597"/>
    <w:rsid w:val="26084E8D"/>
    <w:rsid w:val="262A4A65"/>
    <w:rsid w:val="264E443C"/>
    <w:rsid w:val="268C673B"/>
    <w:rsid w:val="26976104"/>
    <w:rsid w:val="26F40BFF"/>
    <w:rsid w:val="271A3FF4"/>
    <w:rsid w:val="271C165B"/>
    <w:rsid w:val="2753038A"/>
    <w:rsid w:val="275D2FB6"/>
    <w:rsid w:val="276D638F"/>
    <w:rsid w:val="27870460"/>
    <w:rsid w:val="27F72D7E"/>
    <w:rsid w:val="282615FA"/>
    <w:rsid w:val="28641733"/>
    <w:rsid w:val="28B74238"/>
    <w:rsid w:val="28B83CA7"/>
    <w:rsid w:val="28E502F9"/>
    <w:rsid w:val="28E9374F"/>
    <w:rsid w:val="292F3B58"/>
    <w:rsid w:val="29363F06"/>
    <w:rsid w:val="296F5B95"/>
    <w:rsid w:val="29A9038D"/>
    <w:rsid w:val="29AC777C"/>
    <w:rsid w:val="29DE0525"/>
    <w:rsid w:val="29E13A1D"/>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CB119DD"/>
    <w:rsid w:val="2CEA1FEF"/>
    <w:rsid w:val="2D4D587B"/>
    <w:rsid w:val="2D54252D"/>
    <w:rsid w:val="2DAD2E9F"/>
    <w:rsid w:val="2DBD270D"/>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61901"/>
    <w:rsid w:val="376B45FB"/>
    <w:rsid w:val="376D57DD"/>
    <w:rsid w:val="37E81DE8"/>
    <w:rsid w:val="37F204E2"/>
    <w:rsid w:val="38040803"/>
    <w:rsid w:val="38275D59"/>
    <w:rsid w:val="3848012E"/>
    <w:rsid w:val="389205E6"/>
    <w:rsid w:val="389471E3"/>
    <w:rsid w:val="38F86950"/>
    <w:rsid w:val="391003F2"/>
    <w:rsid w:val="39525C52"/>
    <w:rsid w:val="3956425B"/>
    <w:rsid w:val="39A25744"/>
    <w:rsid w:val="39A27F1F"/>
    <w:rsid w:val="39A64D30"/>
    <w:rsid w:val="39B2192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73BE0"/>
    <w:rsid w:val="3E0063C6"/>
    <w:rsid w:val="3E120A87"/>
    <w:rsid w:val="3E2570E8"/>
    <w:rsid w:val="3E7F45FD"/>
    <w:rsid w:val="3EC949BD"/>
    <w:rsid w:val="3ED81754"/>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21A8C"/>
    <w:rsid w:val="41FF695D"/>
    <w:rsid w:val="42642ED6"/>
    <w:rsid w:val="42967F6B"/>
    <w:rsid w:val="42D665BD"/>
    <w:rsid w:val="43184C21"/>
    <w:rsid w:val="431B75AC"/>
    <w:rsid w:val="4327476D"/>
    <w:rsid w:val="4363766A"/>
    <w:rsid w:val="43821027"/>
    <w:rsid w:val="438F1360"/>
    <w:rsid w:val="44636E08"/>
    <w:rsid w:val="452112A4"/>
    <w:rsid w:val="454A2BAB"/>
    <w:rsid w:val="4573297C"/>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725806"/>
    <w:rsid w:val="499E4D5C"/>
    <w:rsid w:val="499E6F1D"/>
    <w:rsid w:val="499F4637"/>
    <w:rsid w:val="49C56F37"/>
    <w:rsid w:val="4A1A1AFC"/>
    <w:rsid w:val="4A1C7F69"/>
    <w:rsid w:val="4A381B50"/>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A674B6"/>
    <w:rsid w:val="4ED24E8A"/>
    <w:rsid w:val="4ED75229"/>
    <w:rsid w:val="4F2C4F1E"/>
    <w:rsid w:val="4F395698"/>
    <w:rsid w:val="4F5624CB"/>
    <w:rsid w:val="4FB467F9"/>
    <w:rsid w:val="4FCF187E"/>
    <w:rsid w:val="4FD02F65"/>
    <w:rsid w:val="4FFE2BC1"/>
    <w:rsid w:val="50425D9B"/>
    <w:rsid w:val="507773FC"/>
    <w:rsid w:val="50B56A86"/>
    <w:rsid w:val="50E97B0D"/>
    <w:rsid w:val="510D07DF"/>
    <w:rsid w:val="512D6C02"/>
    <w:rsid w:val="516B5167"/>
    <w:rsid w:val="5176762C"/>
    <w:rsid w:val="519B28E7"/>
    <w:rsid w:val="5250580E"/>
    <w:rsid w:val="52832C8D"/>
    <w:rsid w:val="52AC1B52"/>
    <w:rsid w:val="52DB3A4A"/>
    <w:rsid w:val="52E57CC3"/>
    <w:rsid w:val="52F56F7F"/>
    <w:rsid w:val="53061C45"/>
    <w:rsid w:val="5312550A"/>
    <w:rsid w:val="538B4DE8"/>
    <w:rsid w:val="53DE69BF"/>
    <w:rsid w:val="540D34EB"/>
    <w:rsid w:val="541E45C6"/>
    <w:rsid w:val="54C60350"/>
    <w:rsid w:val="54D723E8"/>
    <w:rsid w:val="54D731C2"/>
    <w:rsid w:val="54EB7031"/>
    <w:rsid w:val="550721D5"/>
    <w:rsid w:val="551D0BF2"/>
    <w:rsid w:val="55A47060"/>
    <w:rsid w:val="55AC636A"/>
    <w:rsid w:val="55BD4114"/>
    <w:rsid w:val="55C15CC7"/>
    <w:rsid w:val="55D553DE"/>
    <w:rsid w:val="55EB6C18"/>
    <w:rsid w:val="55F8221B"/>
    <w:rsid w:val="56075D18"/>
    <w:rsid w:val="563648E8"/>
    <w:rsid w:val="565740F2"/>
    <w:rsid w:val="56705FB3"/>
    <w:rsid w:val="568832FC"/>
    <w:rsid w:val="56A650A5"/>
    <w:rsid w:val="56B62362"/>
    <w:rsid w:val="56B967C0"/>
    <w:rsid w:val="56BE67A9"/>
    <w:rsid w:val="56EE7782"/>
    <w:rsid w:val="56FB5DFE"/>
    <w:rsid w:val="5701674D"/>
    <w:rsid w:val="57056663"/>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123C50"/>
    <w:rsid w:val="5A344B23"/>
    <w:rsid w:val="5B093AF8"/>
    <w:rsid w:val="5B2616E5"/>
    <w:rsid w:val="5B313FD1"/>
    <w:rsid w:val="5B3A4C3E"/>
    <w:rsid w:val="5B3F2EF0"/>
    <w:rsid w:val="5B884B96"/>
    <w:rsid w:val="5B917A39"/>
    <w:rsid w:val="5BC17430"/>
    <w:rsid w:val="5BE21270"/>
    <w:rsid w:val="5BF93517"/>
    <w:rsid w:val="5C7A36E7"/>
    <w:rsid w:val="5CC20BEA"/>
    <w:rsid w:val="5CE95E81"/>
    <w:rsid w:val="5CEB3254"/>
    <w:rsid w:val="5D090FC9"/>
    <w:rsid w:val="5D0F6A83"/>
    <w:rsid w:val="5D1245D8"/>
    <w:rsid w:val="5D1347D3"/>
    <w:rsid w:val="5D480F4A"/>
    <w:rsid w:val="5D505AC6"/>
    <w:rsid w:val="5D7217AC"/>
    <w:rsid w:val="5DFD3825"/>
    <w:rsid w:val="5E346DD4"/>
    <w:rsid w:val="5E677C9B"/>
    <w:rsid w:val="5ED47E8C"/>
    <w:rsid w:val="5F164E84"/>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3E4CE0"/>
    <w:rsid w:val="63532130"/>
    <w:rsid w:val="635D042F"/>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1138C9"/>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5E479E"/>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1B76EE"/>
    <w:rsid w:val="6C203A9A"/>
    <w:rsid w:val="6C385BB0"/>
    <w:rsid w:val="6CA6506C"/>
    <w:rsid w:val="6CA77F53"/>
    <w:rsid w:val="6CB75CCD"/>
    <w:rsid w:val="6D2D26D4"/>
    <w:rsid w:val="6D3769F7"/>
    <w:rsid w:val="6D3E606B"/>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4A7FBA"/>
    <w:rsid w:val="786B7E4C"/>
    <w:rsid w:val="78BD7805"/>
    <w:rsid w:val="78D1688D"/>
    <w:rsid w:val="79276A37"/>
    <w:rsid w:val="797F7147"/>
    <w:rsid w:val="79BE2A91"/>
    <w:rsid w:val="79D03DC8"/>
    <w:rsid w:val="79E02301"/>
    <w:rsid w:val="79FE23AA"/>
    <w:rsid w:val="7A2114BD"/>
    <w:rsid w:val="7A98062F"/>
    <w:rsid w:val="7A992CC0"/>
    <w:rsid w:val="7B3A50B0"/>
    <w:rsid w:val="7B7A2758"/>
    <w:rsid w:val="7B8B2C1D"/>
    <w:rsid w:val="7BCA3B47"/>
    <w:rsid w:val="7BD020E4"/>
    <w:rsid w:val="7BF77601"/>
    <w:rsid w:val="7BFF63DE"/>
    <w:rsid w:val="7C000DFC"/>
    <w:rsid w:val="7C01614C"/>
    <w:rsid w:val="7C046E24"/>
    <w:rsid w:val="7C3403C9"/>
    <w:rsid w:val="7C5C3E92"/>
    <w:rsid w:val="7C6A1EB0"/>
    <w:rsid w:val="7CE64909"/>
    <w:rsid w:val="7D104E4C"/>
    <w:rsid w:val="7D4E0C16"/>
    <w:rsid w:val="7D793C28"/>
    <w:rsid w:val="7D8C0F6F"/>
    <w:rsid w:val="7DD60F10"/>
    <w:rsid w:val="7DEE10E0"/>
    <w:rsid w:val="7E096CA7"/>
    <w:rsid w:val="7E283F85"/>
    <w:rsid w:val="7E320950"/>
    <w:rsid w:val="7E6009A4"/>
    <w:rsid w:val="7F6A5445"/>
    <w:rsid w:val="7F704289"/>
    <w:rsid w:val="7F782B70"/>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8"/>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9"/>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9">
    <w:name w:val="Default Paragraph Font"/>
    <w:autoRedefine/>
    <w:semiHidden/>
    <w:unhideWhenUsed/>
    <w:qFormat/>
    <w:uiPriority w:val="1"/>
  </w:style>
  <w:style w:type="table" w:default="1" w:styleId="17">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6"/>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6">
    <w:name w:val="Normal (Web)"/>
    <w:basedOn w:val="1"/>
    <w:autoRedefine/>
    <w:qFormat/>
    <w:uiPriority w:val="0"/>
    <w:rPr>
      <w:sz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autoRedefine/>
    <w:qFormat/>
    <w:uiPriority w:val="0"/>
    <w:rPr>
      <w:b/>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basedOn w:val="19"/>
    <w:autoRedefine/>
    <w:qFormat/>
    <w:uiPriority w:val="0"/>
    <w:rPr>
      <w:sz w:val="21"/>
      <w:szCs w:val="21"/>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9"/>
    <w:link w:val="10"/>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8">
    <w:name w:val="标题 2 字符"/>
    <w:link w:val="3"/>
    <w:autoRedefine/>
    <w:qFormat/>
    <w:uiPriority w:val="1"/>
    <w:rPr>
      <w:rFonts w:ascii="Times New Roman" w:hAnsi="Times New Roman" w:eastAsia="微软雅黑" w:cs="黑体"/>
      <w:b/>
      <w:bCs/>
      <w:color w:val="62B541"/>
      <w:sz w:val="30"/>
      <w:szCs w:val="30"/>
    </w:rPr>
  </w:style>
  <w:style w:type="character" w:customStyle="1" w:styleId="39">
    <w:name w:val="标题 3 字符"/>
    <w:link w:val="4"/>
    <w:autoRedefine/>
    <w:qFormat/>
    <w:uiPriority w:val="1"/>
    <w:rPr>
      <w:rFonts w:ascii="宋体" w:hAnsi="宋体" w:eastAsia="微软雅黑"/>
      <w:b/>
      <w:sz w:val="28"/>
      <w:szCs w:val="30"/>
    </w:rPr>
  </w:style>
  <w:style w:type="table" w:customStyle="1" w:styleId="40">
    <w:name w:val="ffzstable0"/>
    <w:basedOn w:val="18"/>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1">
    <w:name w:val="ffzstable1"/>
    <w:basedOn w:val="18"/>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2">
    <w:name w:val="List Paragraph"/>
    <w:basedOn w:val="1"/>
    <w:autoRedefine/>
    <w:qFormat/>
    <w:uiPriority w:val="99"/>
    <w:pPr>
      <w:ind w:firstLine="420" w:firstLineChars="200"/>
    </w:p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9"/>
    <w:autoRedefine/>
    <w:qFormat/>
    <w:uiPriority w:val="0"/>
    <w:rPr>
      <w:rFonts w:hint="default" w:ascii="Times New Roman" w:hAnsi="Times New Roman" w:cs="Times New Roman"/>
      <w:color w:val="000000"/>
      <w:sz w:val="21"/>
      <w:szCs w:val="21"/>
      <w:u w:val="non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1601</Words>
  <Characters>3622</Characters>
  <Lines>520</Lines>
  <Paragraphs>146</Paragraphs>
  <TotalTime>0</TotalTime>
  <ScaleCrop>false</ScaleCrop>
  <LinksUpToDate>false</LinksUpToDate>
  <CharactersWithSpaces>3886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2025-12-15T06:35:25Z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