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017B88F9">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if summaryOfRresults.type == “tissue” %}组织</w:t>
            </w:r>
            <w:r>
              <w:rPr>
                <w:rFonts w:hint="default" w:ascii="Times New Roman" w:hAnsi="Times New Roman" w:eastAsia="宋体" w:cs="Times New Roman"/>
                <w:color w:val="000000"/>
                <w:sz w:val="21"/>
                <w:szCs w:val="21"/>
                <w:lang w:val="en-US" w:eastAsia="zh-CN"/>
              </w:rPr>
              <w:t>+全血</w:t>
            </w:r>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ascii="宋体" w:hAnsi="宋体" w:eastAsia="宋体" w:cs="宋体"/>
                <w:sz w:val="24"/>
                <w:szCs w:val="24"/>
              </w:rPr>
              <w:t>肿瘤定制化检测基础套餐</w:t>
            </w:r>
            <w:r>
              <w:rPr>
                <w:rFonts w:hint="eastAsia" w:ascii="宋体" w:hAnsi="宋体" w:eastAsia="宋体" w:cs="宋体"/>
                <w:sz w:val="24"/>
                <w:szCs w:val="24"/>
                <w:lang w:eastAsia="zh-CN"/>
              </w:rPr>
              <w:t>（</w:t>
            </w:r>
            <w:r>
              <w:rPr>
                <w:rFonts w:ascii="宋体" w:hAnsi="宋体" w:eastAsia="宋体" w:cs="宋体"/>
                <w:sz w:val="24"/>
                <w:szCs w:val="24"/>
              </w:rPr>
              <w:t>HRD</w:t>
            </w:r>
            <w:r>
              <w:rPr>
                <w:rFonts w:hint="eastAsia" w:ascii="宋体" w:hAnsi="宋体" w:eastAsia="宋体" w:cs="宋体"/>
                <w:sz w:val="24"/>
                <w:szCs w:val="24"/>
                <w:lang w:eastAsia="zh-CN"/>
              </w:rPr>
              <w:t>）</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w:t>
            </w:r>
            <w:r>
              <w:rPr>
                <w:rFonts w:hint="default" w:ascii="宋体" w:hAnsi="宋体" w:eastAsia="宋体" w:cs="宋体"/>
                <w:kern w:val="0"/>
                <w:sz w:val="24"/>
                <w:szCs w:val="24"/>
                <w:lang w:val="en-US" w:eastAsia="zh-CN"/>
              </w:rPr>
              <w:t>BRCA1/2基因全外显子±20 bp内含子区域</w:t>
            </w:r>
            <w:r>
              <w:rPr>
                <w:rFonts w:hint="eastAsia" w:ascii="宋体" w:hAnsi="宋体" w:eastAsia="宋体" w:cs="宋体"/>
                <w:kern w:val="0"/>
                <w:sz w:val="24"/>
                <w:szCs w:val="24"/>
                <w:lang w:eastAsia="zh-CN"/>
              </w:rPr>
              <w:t>，同时检测基因组不稳定状态，综合评估同源重组缺陷状态。检测突变形式为点突变（SNV）、小片段插入缺失（INDEL）。</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0E50A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33F6EC7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14CCF506">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sz w:val="21"/>
                <w:szCs w:val="21"/>
                <w:lang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B5E76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同源重组缺陷状态</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宋体" w:hAnsi="宋体" w:eastAsia="宋体" w:cs="宋体"/>
                <w:sz w:val="21"/>
                <w:szCs w:val="21"/>
                <w:highlight w:val="none"/>
                <w:lang w:val="en-US" w:eastAsia="zh-CN"/>
              </w:rPr>
              <w:t>{{ summaryOfRresults.hrdState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sequencing_depth | oqa(500,400)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5CE620F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4964A0A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00964E0A">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19"/>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eastAsia" w:ascii="宋体" w:hAnsi="宋体" w:eastAsia="宋体" w:cs="宋体"/>
          <w:b/>
          <w:color w:val="18CF96"/>
          <w:sz w:val="28"/>
          <w:szCs w:val="24"/>
          <w:u w:color="006CB6"/>
          <w:lang w:val="zh-Hans"/>
        </w:rPr>
      </w:pPr>
      <w:r>
        <w:rPr>
          <w:rFonts w:hint="eastAsia" w:ascii="宋体" w:hAnsi="宋体" w:eastAsia="宋体" w:cs="宋体"/>
          <w:b/>
          <w:color w:val="18CF96"/>
          <w:sz w:val="28"/>
          <w:szCs w:val="24"/>
          <w:u w:color="006CB6"/>
          <w:lang w:val="zh-Hans"/>
        </w:rPr>
        <w:t>检测结果及详细解析</w:t>
      </w:r>
    </w:p>
    <w:p w14:paraId="634C9724">
      <w:pPr>
        <w:rPr>
          <w:rFonts w:hint="eastAsia" w:ascii="宋体" w:hAnsi="宋体" w:eastAsia="宋体" w:cs="宋体"/>
          <w:b/>
          <w:color w:val="18CF96"/>
          <w:sz w:val="28"/>
          <w:szCs w:val="24"/>
          <w:u w:color="006CB6"/>
          <w:lang w:val="zh-Hans"/>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 name="同侧圆角矩形 2"/>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7D128EE">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同源重组缺陷状态提示</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CP&#10;6v03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7D128EE">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同源重组缺陷状态提示</w:t>
                      </w:r>
                    </w:p>
                  </w:txbxContent>
                </v:textbox>
                <w10:wrap type="none"/>
                <w10:anchorlock/>
              </v:shape>
            </w:pict>
          </mc:Fallback>
        </mc:AlternateContent>
      </w:r>
    </w:p>
    <w:p w14:paraId="747CDD33">
      <w:pPr>
        <w:rPr>
          <w:rFonts w:hint="eastAsia" w:ascii="宋体" w:hAnsi="宋体" w:eastAsia="宋体" w:cs="宋体"/>
          <w:b/>
          <w:color w:val="18CF96"/>
          <w:sz w:val="28"/>
          <w:szCs w:val="24"/>
          <w:u w:color="006CB6"/>
          <w:lang w:val="zh-Hans"/>
        </w:rPr>
      </w:pPr>
    </w:p>
    <w:tbl>
      <w:tblPr>
        <w:tblStyle w:val="12"/>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3042"/>
        <w:gridCol w:w="6828"/>
      </w:tblGrid>
      <w:tr w14:paraId="0E15985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90" w:hRule="atLeast"/>
          <w:jc w:val="center"/>
        </w:trPr>
        <w:tc>
          <w:tcPr>
            <w:tcW w:w="3014" w:type="dxa"/>
            <w:tcBorders>
              <w:top w:val="nil"/>
            </w:tcBorders>
            <w:shd w:val="clear" w:color="auto" w:fill="18CF96"/>
            <w:vAlign w:val="center"/>
          </w:tcPr>
          <w:p w14:paraId="44762548">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br w:type="page"/>
            </w:r>
            <w:r>
              <w:rPr>
                <w:rFonts w:hint="eastAsia" w:ascii="宋体" w:hAnsi="宋体" w:eastAsia="宋体" w:cs="宋体"/>
                <w:b/>
                <w:color w:val="FFFFFF" w:themeColor="background1"/>
                <w:sz w:val="18"/>
                <w:szCs w:val="18"/>
                <w14:textFill>
                  <w14:solidFill>
                    <w14:schemeClr w14:val="bg1"/>
                  </w14:solidFill>
                </w14:textFill>
              </w:rPr>
              <w:t>检测</w:t>
            </w:r>
            <w:r>
              <w:rPr>
                <w:rFonts w:hint="eastAsia" w:ascii="宋体" w:hAnsi="宋体" w:eastAsia="宋体" w:cs="宋体"/>
                <w:b/>
                <w:color w:val="FFFFFF" w:themeColor="background1"/>
                <w:sz w:val="18"/>
                <w:szCs w:val="18"/>
                <w:lang w:eastAsia="zh-CN"/>
                <w14:textFill>
                  <w14:solidFill>
                    <w14:schemeClr w14:val="bg1"/>
                  </w14:solidFill>
                </w14:textFill>
              </w:rPr>
              <w:t>标志物</w:t>
            </w:r>
          </w:p>
        </w:tc>
        <w:tc>
          <w:tcPr>
            <w:tcW w:w="6765" w:type="dxa"/>
            <w:tcBorders>
              <w:top w:val="nil"/>
            </w:tcBorders>
            <w:shd w:val="clear" w:color="auto" w:fill="18CF96"/>
            <w:vAlign w:val="center"/>
          </w:tcPr>
          <w:p w14:paraId="1B321A12">
            <w:pPr>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r>
      <w:tr w14:paraId="25E32D3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88" w:hRule="atLeast"/>
          <w:jc w:val="center"/>
        </w:trPr>
        <w:tc>
          <w:tcPr>
            <w:tcW w:w="3014" w:type="dxa"/>
            <w:shd w:val="clear" w:color="auto" w:fill="auto"/>
            <w:tcMar>
              <w:top w:w="0" w:type="dxa"/>
              <w:left w:w="113" w:type="dxa"/>
              <w:bottom w:w="0" w:type="dxa"/>
              <w:right w:w="0" w:type="dxa"/>
            </w:tcMar>
            <w:vAlign w:val="center"/>
          </w:tcPr>
          <w:p w14:paraId="5415CEED">
            <w:pPr>
              <w:widowControl/>
              <w:jc w:val="center"/>
              <w:rPr>
                <w:rFonts w:hint="eastAsia" w:ascii="宋体" w:hAnsi="宋体" w:eastAsia="宋体" w:cs="宋体"/>
                <w:sz w:val="18"/>
                <w:szCs w:val="18"/>
              </w:rPr>
            </w:pPr>
            <w:r>
              <w:rPr>
                <w:rFonts w:hint="eastAsia" w:ascii="宋体" w:hAnsi="宋体" w:eastAsia="宋体" w:cs="宋体"/>
                <w:sz w:val="18"/>
                <w:szCs w:val="18"/>
                <w:lang w:eastAsia="zh-CN"/>
              </w:rPr>
              <w:t>BRCA1/2基因状态</w:t>
            </w:r>
          </w:p>
        </w:tc>
        <w:tc>
          <w:tcPr>
            <w:tcW w:w="6765" w:type="dxa"/>
            <w:shd w:val="clear" w:color="auto" w:fill="auto"/>
            <w:vAlign w:val="center"/>
          </w:tcPr>
          <w:p w14:paraId="156F7009">
            <w:pPr>
              <w:pStyle w:val="27"/>
              <w:spacing w:before="100" w:line="187" w:lineRule="auto"/>
              <w:ind w:left="118" w:right="178"/>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summaryOfRresults.hrdBRCAState }}</w:t>
            </w:r>
          </w:p>
        </w:tc>
      </w:tr>
      <w:tr w14:paraId="4FFC12E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89" w:hRule="atLeast"/>
          <w:jc w:val="center"/>
        </w:trPr>
        <w:tc>
          <w:tcPr>
            <w:tcW w:w="3014" w:type="dxa"/>
            <w:shd w:val="clear" w:color="auto" w:fill="auto"/>
            <w:vAlign w:val="center"/>
          </w:tcPr>
          <w:p w14:paraId="7455E9CC">
            <w:pPr>
              <w:pStyle w:val="27"/>
              <w:spacing w:before="77"/>
              <w:ind w:left="119"/>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基因组不稳定性评分</w:t>
            </w:r>
          </w:p>
        </w:tc>
        <w:tc>
          <w:tcPr>
            <w:tcW w:w="6765" w:type="dxa"/>
            <w:shd w:val="clear" w:color="auto" w:fill="auto"/>
            <w:vAlign w:val="center"/>
          </w:tcPr>
          <w:p w14:paraId="00B9613D">
            <w:pPr>
              <w:pStyle w:val="27"/>
              <w:spacing w:before="77"/>
              <w:ind w:left="118"/>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summaryOfRresults.hrdScore }}</w:t>
            </w:r>
          </w:p>
        </w:tc>
      </w:tr>
      <w:tr w14:paraId="0ADC944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90" w:hRule="atLeast"/>
          <w:jc w:val="center"/>
        </w:trPr>
        <w:tc>
          <w:tcPr>
            <w:tcW w:w="3014" w:type="dxa"/>
            <w:shd w:val="clear" w:color="auto" w:fill="auto"/>
            <w:vAlign w:val="center"/>
          </w:tcPr>
          <w:p w14:paraId="4052C696">
            <w:pPr>
              <w:pStyle w:val="27"/>
              <w:spacing w:before="77"/>
              <w:ind w:left="119"/>
              <w:jc w:val="center"/>
              <w:rPr>
                <w:rFonts w:hint="eastAsia" w:ascii="宋体" w:hAnsi="宋体" w:eastAsia="宋体" w:cs="宋体"/>
                <w:b/>
                <w:bCs/>
                <w:sz w:val="18"/>
                <w:szCs w:val="18"/>
              </w:rPr>
            </w:pPr>
            <w:r>
              <w:rPr>
                <w:rFonts w:hint="eastAsia" w:ascii="宋体" w:hAnsi="宋体" w:eastAsia="宋体" w:cs="宋体"/>
                <w:b/>
                <w:bCs/>
                <w:sz w:val="18"/>
                <w:szCs w:val="18"/>
                <w:lang w:eastAsia="zh-CN"/>
              </w:rPr>
              <w:t>同源重组缺陷状态</w:t>
            </w:r>
          </w:p>
        </w:tc>
        <w:tc>
          <w:tcPr>
            <w:tcW w:w="6765" w:type="dxa"/>
            <w:shd w:val="clear" w:color="auto" w:fill="auto"/>
            <w:vAlign w:val="center"/>
          </w:tcPr>
          <w:p w14:paraId="34CC62C3">
            <w:pPr>
              <w:pStyle w:val="27"/>
              <w:spacing w:before="77"/>
              <w:ind w:left="118"/>
              <w:jc w:val="center"/>
              <w:rPr>
                <w:rFonts w:hint="eastAsia" w:ascii="宋体" w:hAnsi="宋体" w:eastAsia="宋体" w:cs="宋体"/>
                <w:b/>
                <w:bCs/>
                <w:sz w:val="18"/>
                <w:szCs w:val="18"/>
                <w:lang w:eastAsia="zh-CN"/>
              </w:rPr>
            </w:pPr>
            <w:r>
              <w:rPr>
                <w:rFonts w:hint="eastAsia" w:ascii="宋体" w:hAnsi="宋体" w:eastAsia="宋体" w:cs="宋体"/>
                <w:sz w:val="18"/>
                <w:szCs w:val="18"/>
                <w:lang w:eastAsia="zh-CN"/>
              </w:rPr>
              <w:t>{{ summaryOfRresults.hrdState }}</w:t>
            </w:r>
          </w:p>
        </w:tc>
      </w:tr>
    </w:tbl>
    <w:p w14:paraId="45D69E9A">
      <w:pPr>
        <w:rPr>
          <w:rFonts w:hint="eastAsia" w:ascii="宋体" w:hAnsi="宋体" w:eastAsia="宋体" w:cs="宋体"/>
          <w:b/>
          <w:sz w:val="13"/>
          <w:szCs w:val="13"/>
          <w:lang w:eastAsia="zh-CN"/>
        </w:rPr>
      </w:pPr>
      <w:r>
        <w:rPr>
          <w:rFonts w:hint="eastAsia" w:ascii="宋体" w:hAnsi="宋体" w:eastAsia="宋体" w:cs="宋体"/>
          <w:b/>
          <w:sz w:val="13"/>
          <w:szCs w:val="13"/>
          <w:lang w:eastAsia="zh-CN"/>
        </w:rPr>
        <w:t>注：</w:t>
      </w:r>
    </w:p>
    <w:p w14:paraId="47BB4CA6">
      <w:pPr>
        <w:numPr>
          <w:ilvl w:val="0"/>
          <w:numId w:val="2"/>
        </w:numPr>
        <w:rPr>
          <w:rFonts w:hint="eastAsia" w:ascii="宋体" w:hAnsi="宋体" w:eastAsia="宋体" w:cs="宋体"/>
          <w:sz w:val="13"/>
          <w:szCs w:val="13"/>
          <w:lang w:eastAsia="zh-CN"/>
        </w:rPr>
      </w:pPr>
      <w:r>
        <w:rPr>
          <w:rFonts w:hint="eastAsia" w:ascii="宋体" w:hAnsi="宋体" w:eastAsia="宋体" w:cs="宋体"/>
          <w:sz w:val="13"/>
          <w:szCs w:val="13"/>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38DD80E">
      <w:pPr>
        <w:numPr>
          <w:ilvl w:val="0"/>
          <w:numId w:val="2"/>
        </w:numPr>
        <w:rPr>
          <w:rFonts w:hint="eastAsia" w:ascii="宋体" w:hAnsi="宋体" w:eastAsia="宋体" w:cs="宋体"/>
          <w:sz w:val="13"/>
          <w:szCs w:val="13"/>
          <w:lang w:eastAsia="zh-CN"/>
        </w:rPr>
      </w:pPr>
      <w:r>
        <w:rPr>
          <w:rFonts w:hint="eastAsia" w:ascii="宋体" w:hAnsi="宋体" w:eastAsia="宋体" w:cs="宋体"/>
          <w:sz w:val="13"/>
          <w:szCs w:val="13"/>
          <w:lang w:eastAsia="zh-CN"/>
        </w:rPr>
        <w:t>本报告中变异的解读基于当前对BRCA1/2变异的认识，随着数据库尤其是中国人群数据的完善及文献等资料的更新，对变异的解读有可能发生变更。</w:t>
      </w:r>
    </w:p>
    <w:p w14:paraId="6F8D353F">
      <w:pPr>
        <w:rPr>
          <w:rFonts w:hint="eastAsia" w:ascii="宋体" w:hAnsi="宋体" w:eastAsia="宋体" w:cs="宋体"/>
          <w:b/>
          <w:color w:val="18CF96"/>
          <w:sz w:val="28"/>
          <w:szCs w:val="24"/>
          <w:u w:color="006CB6"/>
          <w:lang w:val="zh-Hans"/>
        </w:rPr>
      </w:pPr>
      <w:r>
        <w:rPr>
          <w:rFonts w:hint="eastAsia" w:ascii="宋体" w:hAnsi="宋体" w:eastAsia="宋体" w:cs="宋体"/>
          <w:b/>
          <w:color w:val="18CF96"/>
          <w:sz w:val="28"/>
          <w:szCs w:val="24"/>
          <w:u w:color="006CB6"/>
          <w:lang w:val="zh-Hans"/>
        </w:rPr>
        <w:br w:type="page"/>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bookmarkStart w:id="0" w:name="_Toc149837259"/>
      <w:bookmarkStart w:id="1" w:name="_Toc30305"/>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8"/>
        <w:tblW w:w="4990"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00D392"/>
            <w:vAlign w:val="center"/>
          </w:tcPr>
          <w:p w14:paraId="15607CC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l2br w:val="nil"/>
              <w:tr2bl w:val="nil"/>
            </w:tcBorders>
            <w:shd w:val="clear" w:color="auto" w:fill="00D392"/>
            <w:vAlign w:val="center"/>
          </w:tcPr>
          <w:p w14:paraId="68AAE5F8">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eastAsia" w:ascii="Times New Roman" w:hAnsi="Times New Roman" w:eastAsia="宋体" w:cs="Times New Roman"/>
                <w:b/>
                <w:color w:val="FFFFFF" w:themeColor="background1"/>
                <w:sz w:val="18"/>
                <w:szCs w:val="18"/>
                <w:lang w:val="en-US" w:eastAsia="zh-CN"/>
                <w14:textFill>
                  <w14:solidFill>
                    <w14:schemeClr w14:val="bg1"/>
                  </w14:solidFill>
                </w14:textFill>
              </w:rPr>
              <w:t>检测</w:t>
            </w:r>
            <w:r>
              <w:rPr>
                <w:rFonts w:hint="default" w:ascii="Times New Roman" w:hAnsi="Times New Roman" w:eastAsia="宋体" w:cs="Times New Roman"/>
                <w:b/>
                <w:color w:val="FFFFFF" w:themeColor="background1"/>
                <w:sz w:val="18"/>
                <w:szCs w:val="18"/>
                <w14:textFill>
                  <w14:solidFill>
                    <w14:schemeClr w14:val="bg1"/>
                  </w14:solidFill>
                </w14:textFill>
              </w:rPr>
              <w:t>基因</w:t>
            </w:r>
          </w:p>
        </w:tc>
        <w:tc>
          <w:tcPr>
            <w:tcW w:w="815" w:type="pct"/>
            <w:tcBorders>
              <w:tl2br w:val="nil"/>
              <w:tr2bl w:val="nil"/>
            </w:tcBorders>
            <w:shd w:val="clear" w:color="auto" w:fill="00D392"/>
            <w:vAlign w:val="center"/>
          </w:tcPr>
          <w:p w14:paraId="288938A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l2br w:val="nil"/>
              <w:tr2bl w:val="nil"/>
            </w:tcBorders>
            <w:shd w:val="clear" w:color="auto" w:fill="00D392"/>
            <w:vAlign w:val="center"/>
          </w:tcPr>
          <w:p w14:paraId="42142CB6">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eastAsia="zh-CN" w:bidi="ar"/>
              </w:rPr>
              <w:t>变异丰度</w:t>
            </w:r>
          </w:p>
        </w:tc>
        <w:tc>
          <w:tcPr>
            <w:tcW w:w="1270" w:type="pct"/>
            <w:tcBorders>
              <w:tl2br w:val="nil"/>
              <w:tr2bl w:val="nil"/>
            </w:tcBorders>
            <w:shd w:val="clear" w:color="auto" w:fill="00D392"/>
            <w:vAlign w:val="center"/>
          </w:tcPr>
          <w:p w14:paraId="0A99E90E">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l2br w:val="nil"/>
              <w:tr2bl w:val="nil"/>
            </w:tcBorders>
            <w:shd w:val="clear" w:color="auto" w:fill="00D392"/>
            <w:vAlign w:val="center"/>
          </w:tcPr>
          <w:p w14:paraId="58D5CAD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6"/>
            <w:tcBorders>
              <w:tl2br w:val="nil"/>
              <w:tr2bl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906" w:type="dxa"/>
            <w:tcBorders>
              <w:tl2br w:val="nil"/>
              <w:tr2bl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tl2br w:val="nil"/>
              <w:tr2bl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tip.comutation1 }}</w:t>
            </w:r>
          </w:p>
        </w:tc>
        <w:tc>
          <w:tcPr>
            <w:tcW w:w="1608" w:type="dxa"/>
            <w:tcBorders>
              <w:tl2br w:val="nil"/>
              <w:tr2bl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tip.comutation }}</w:t>
            </w:r>
          </w:p>
        </w:tc>
        <w:tc>
          <w:tcPr>
            <w:tcW w:w="937" w:type="dxa"/>
            <w:tcBorders>
              <w:tl2br w:val="nil"/>
              <w:tr2bl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tl2br w:val="nil"/>
              <w:tr2bl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tl2br w:val="nil"/>
              <w:tr2bl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02" w:hRule="atLeast"/>
          <w:jc w:val="center"/>
        </w:trPr>
        <w:tc>
          <w:tcPr>
            <w:tcW w:w="5000" w:type="pct"/>
            <w:gridSpan w:val="6"/>
            <w:tcBorders>
              <w:tl2br w:val="nil"/>
              <w:tr2bl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459" w:type="pct"/>
            <w:tcBorders>
              <w:tl2br w:val="nil"/>
              <w:tr2bl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tl2br w:val="nil"/>
              <w:tr2bl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tl2br w:val="nil"/>
              <w:tr2bl w:val="nil"/>
            </w:tcBorders>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tl2br w:val="nil"/>
              <w:tr2bl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tl2br w:val="nil"/>
              <w:tr2bl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tl2br w:val="nil"/>
              <w:tr2bl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6"/>
            <w:tcBorders>
              <w:tl2br w:val="nil"/>
              <w:tr2bl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28" w:hRule="atLeast"/>
          <w:jc w:val="center"/>
        </w:trPr>
        <w:tc>
          <w:tcPr>
            <w:tcW w:w="5000" w:type="pct"/>
            <w:gridSpan w:val="6"/>
            <w:tcBorders>
              <w:tl2br w:val="nil"/>
              <w:tr2bl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6"/>
            <w:tcBorders>
              <w:tl2br w:val="nil"/>
              <w:tr2bl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8"/>
        <w:tblW w:w="986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498" w:type="pct"/>
            <w:tcBorders>
              <w:tl2br w:val="nil"/>
              <w:tr2bl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l2br w:val="nil"/>
              <w:tr2bl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l2br w:val="nil"/>
              <w:tr2bl w:val="nil"/>
            </w:tcBorders>
            <w:shd w:val="clear" w:color="auto" w:fill="00D392"/>
            <w:vAlign w:val="center"/>
          </w:tcPr>
          <w:p w14:paraId="387719B0">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l2br w:val="nil"/>
              <w:tr2bl w:val="nil"/>
            </w:tcBorders>
            <w:shd w:val="clear" w:color="auto" w:fill="00D392"/>
            <w:vAlign w:val="center"/>
          </w:tcPr>
          <w:p w14:paraId="3BB43E24">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l2br w:val="nil"/>
              <w:tr2bl w:val="nil"/>
            </w:tcBorders>
            <w:shd w:val="clear" w:color="auto" w:fill="00D392"/>
            <w:vAlign w:val="center"/>
          </w:tcPr>
          <w:p w14:paraId="73CCE6A3">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l2br w:val="nil"/>
              <w:tr2bl w:val="nil"/>
            </w:tcBorders>
            <w:shd w:val="clear" w:color="auto" w:fill="00D392"/>
            <w:vAlign w:val="center"/>
          </w:tcPr>
          <w:p w14:paraId="6485F1D1">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l2br w:val="nil"/>
              <w:tr2bl w:val="nil"/>
            </w:tcBorders>
            <w:shd w:val="clear" w:color="auto" w:fill="00D392"/>
            <w:vAlign w:val="center"/>
          </w:tcPr>
          <w:p w14:paraId="1B32D41F">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tc>
      </w:tr>
      <w:tr w14:paraId="5285BA3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39" w:hRule="atLeast"/>
          <w:jc w:val="center"/>
        </w:trPr>
        <w:tc>
          <w:tcPr>
            <w:tcW w:w="498" w:type="pct"/>
            <w:tcBorders>
              <w:tl2br w:val="nil"/>
              <w:tr2bl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tl2br w:val="nil"/>
              <w:tr2bl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tl2br w:val="nil"/>
              <w:tr2bl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tl2br w:val="nil"/>
              <w:tr2bl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tl2br w:val="nil"/>
              <w:tr2bl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tl2br w:val="nil"/>
              <w:tr2bl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tl2br w:val="nil"/>
              <w:tr2bl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66" w:hRule="atLeast"/>
          <w:jc w:val="center"/>
        </w:trPr>
        <w:tc>
          <w:tcPr>
            <w:tcW w:w="5000" w:type="pct"/>
            <w:gridSpan w:val="7"/>
            <w:tcBorders>
              <w:tl2br w:val="nil"/>
              <w:tr2bl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8"/>
        <w:tblW w:w="984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00D392"/>
            <w:vAlign w:val="center"/>
          </w:tcPr>
          <w:p w14:paraId="39713585">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检测基因</w:t>
            </w:r>
          </w:p>
        </w:tc>
        <w:tc>
          <w:tcPr>
            <w:tcW w:w="789" w:type="dxa"/>
            <w:tcBorders>
              <w:tl2br w:val="nil"/>
              <w:tr2bl w:val="nil"/>
            </w:tcBorders>
            <w:shd w:val="clear" w:color="auto" w:fill="00D392"/>
            <w:vAlign w:val="center"/>
          </w:tcPr>
          <w:p w14:paraId="256DDDEB">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l2br w:val="nil"/>
              <w:tr2bl w:val="nil"/>
            </w:tcBorders>
            <w:shd w:val="clear" w:color="auto" w:fill="00D392"/>
            <w:vAlign w:val="center"/>
          </w:tcPr>
          <w:p w14:paraId="7DFF37E5">
            <w:pPr>
              <w:pStyle w:val="27"/>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l2br w:val="nil"/>
              <w:tr2bl w:val="nil"/>
            </w:tcBorders>
            <w:shd w:val="clear" w:color="auto" w:fill="00D392"/>
            <w:vAlign w:val="center"/>
          </w:tcPr>
          <w:p w14:paraId="7BDB64D6">
            <w:pPr>
              <w:pStyle w:val="27"/>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l2br w:val="nil"/>
              <w:tr2bl w:val="nil"/>
            </w:tcBorders>
            <w:shd w:val="clear" w:color="auto" w:fill="00D392"/>
            <w:vAlign w:val="center"/>
          </w:tcPr>
          <w:p w14:paraId="66B1A257">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l2br w:val="nil"/>
              <w:tr2bl w:val="nil"/>
            </w:tcBorders>
            <w:shd w:val="clear" w:color="auto" w:fill="00D392"/>
            <w:vAlign w:val="center"/>
          </w:tcPr>
          <w:p w14:paraId="7632D6CE">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l2br w:val="nil"/>
              <w:tr2bl w:val="nil"/>
            </w:tcBorders>
            <w:shd w:val="clear" w:color="auto" w:fill="00D392"/>
            <w:vAlign w:val="center"/>
          </w:tcPr>
          <w:p w14:paraId="30DF5A02">
            <w:pPr>
              <w:pStyle w:val="27"/>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3" w:type="dxa"/>
            <w:tcBorders>
              <w:tl2br w:val="nil"/>
              <w:tr2bl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tl2br w:val="nil"/>
              <w:tr2bl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tl2br w:val="nil"/>
              <w:tr2bl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tl2br w:val="nil"/>
              <w:tr2bl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tl2br w:val="nil"/>
              <w:tr2bl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tl2br w:val="nil"/>
              <w:tr2bl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tl2br w:val="nil"/>
              <w:tr2bl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8"/>
        <w:tblW w:w="5035"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00D392"/>
            <w:vAlign w:val="center"/>
          </w:tcPr>
          <w:p w14:paraId="71C8F92D">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检测基因</w:t>
            </w:r>
          </w:p>
        </w:tc>
        <w:tc>
          <w:tcPr>
            <w:tcW w:w="895" w:type="pct"/>
            <w:tcBorders>
              <w:tl2br w:val="nil"/>
              <w:tr2bl w:val="nil"/>
            </w:tcBorders>
            <w:shd w:val="clear" w:color="auto" w:fill="00D392"/>
            <w:vAlign w:val="center"/>
          </w:tcPr>
          <w:p w14:paraId="3D47E0B2">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l2br w:val="nil"/>
              <w:tr2bl w:val="nil"/>
            </w:tcBorders>
            <w:shd w:val="clear" w:color="auto" w:fill="00D392"/>
            <w:vAlign w:val="center"/>
          </w:tcPr>
          <w:p w14:paraId="7B148605">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l2br w:val="nil"/>
              <w:tr2bl w:val="nil"/>
            </w:tcBorders>
            <w:shd w:val="clear" w:color="auto" w:fill="00D392"/>
            <w:vAlign w:val="center"/>
          </w:tcPr>
          <w:p w14:paraId="5E37BECE">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l2br w:val="nil"/>
              <w:tr2bl w:val="nil"/>
            </w:tcBorders>
            <w:shd w:val="clear" w:color="auto" w:fill="00D392"/>
            <w:vAlign w:val="center"/>
          </w:tcPr>
          <w:p w14:paraId="46E9E82B">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l2br w:val="nil"/>
              <w:tr2bl w:val="nil"/>
            </w:tcBorders>
            <w:shd w:val="clear" w:color="auto" w:fill="00D392"/>
            <w:vAlign w:val="center"/>
          </w:tcPr>
          <w:p w14:paraId="7CF212D7">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1286" w:type="dxa"/>
            <w:tcBorders>
              <w:tl2br w:val="nil"/>
              <w:tr2bl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tl2br w:val="nil"/>
              <w:tr2bl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tl2br w:val="nil"/>
              <w:tr2bl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tl2br w:val="nil"/>
              <w:tr2bl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tl2br w:val="nil"/>
              <w:tr2bl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tl2br w:val="nil"/>
              <w:tr2bl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7630BAA6">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84CAC83">
      <w:pPr>
        <w:rPr>
          <w:rFonts w:hint="eastAsia" w:ascii="Times New Roman" w:hAnsi="Times New Roman" w:eastAsia="微软雅黑" w:cs="Times New Roman"/>
          <w:sz w:val="24"/>
          <w:szCs w:val="24"/>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5" name="同侧圆角矩形 5"/>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4D2B9FE">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EvAGsbSAAAA&#10;BAEAAA8AAAAAAAAAAQAgAAAAIgAAAGRycy9kb3ducmV2LnhtbFBLAQIUABQAAAAIAIdO4kAff/ef&#10;lQIAABoFAAAOAAAAAAAAAAEAIAAAACEBAABkcnMvZTJvRG9jLnhtbFBLBQYAAAAABgAGAFkBAAAo&#10;BgAA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44D2B9FE">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同源重组缺陷状态解析</w:t>
                      </w:r>
                    </w:p>
                  </w:txbxContent>
                </v:textbox>
                <w10:wrap type="none"/>
                <w10:anchorlock/>
              </v:shape>
            </w:pict>
          </mc:Fallback>
        </mc:AlternateContent>
      </w:r>
    </w:p>
    <w:p w14:paraId="786505D5">
      <w:pPr>
        <w:ind w:firstLine="360" w:firstLineChars="200"/>
        <w:rPr>
          <w:rFonts w:hint="eastAsia" w:ascii="宋体" w:hAnsi="宋体" w:eastAsia="宋体" w:cs="宋体"/>
          <w:b/>
          <w:bCs/>
          <w:sz w:val="18"/>
          <w:szCs w:val="18"/>
          <w:lang w:eastAsia="zh-CN"/>
        </w:rPr>
      </w:pPr>
      <w:r>
        <w:rPr>
          <w:rFonts w:hint="eastAsia" w:ascii="宋体" w:hAnsi="宋体" w:eastAsia="宋体" w:cs="宋体"/>
          <w:sz w:val="18"/>
          <w:szCs w:val="18"/>
        </w:rPr>
        <w:t>{% if brcaCheckLineStr == [] and summaryOfRresults.hrdState == ‘阴性’ %}</w:t>
      </w:r>
      <w:r>
        <w:rPr>
          <w:rFonts w:hint="eastAsia" w:ascii="宋体" w:hAnsi="宋体" w:eastAsia="宋体" w:cs="宋体"/>
          <w:sz w:val="18"/>
          <w:szCs w:val="18"/>
          <w:lang w:eastAsia="zh-CN"/>
        </w:rPr>
        <w:t>同源重组缺陷状态为阴性：未检测到该肿瘤患者存在致病或可能致病变异的BRCA基因变异且基因组不稳定性（GIS）评分小于43分。{% else %}</w:t>
      </w:r>
    </w:p>
    <w:p w14:paraId="430597D0">
      <w:pPr>
        <w:keepNext/>
        <w:spacing w:before="120" w:beforeLines="50" w:after="120" w:afterLines="50"/>
        <w:rPr>
          <w:rFonts w:hint="eastAsia" w:ascii="宋体" w:hAnsi="宋体" w:eastAsia="宋体" w:cs="宋体"/>
          <w:b/>
          <w:sz w:val="18"/>
          <w:szCs w:val="18"/>
          <w:lang w:eastAsia="zh-CN"/>
        </w:rPr>
      </w:pPr>
      <w:bookmarkStart w:id="2" w:name="_Toc289"/>
      <w:bookmarkStart w:id="3" w:name="_Toc17537"/>
      <w:r>
        <w:rPr>
          <w:rFonts w:hint="eastAsia" w:ascii="宋体" w:hAnsi="宋体" w:eastAsia="宋体" w:cs="宋体"/>
          <w:b/>
          <w:sz w:val="18"/>
          <w:szCs w:val="18"/>
          <w:lang w:eastAsia="zh-CN"/>
        </w:rPr>
        <w:t>BRCA基因突变状态</w:t>
      </w:r>
      <w:bookmarkEnd w:id="2"/>
      <w:bookmarkEnd w:id="3"/>
    </w:p>
    <w:tbl>
      <w:tblPr>
        <w:tblStyle w:val="12"/>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974"/>
        <w:gridCol w:w="1974"/>
        <w:gridCol w:w="1974"/>
        <w:gridCol w:w="1974"/>
        <w:gridCol w:w="1974"/>
      </w:tblGrid>
      <w:tr w14:paraId="4938106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974" w:type="dxa"/>
            <w:tcBorders>
              <w:top w:val="nil"/>
            </w:tcBorders>
            <w:shd w:val="clear" w:color="auto" w:fill="00D392"/>
            <w:vAlign w:val="center"/>
          </w:tcPr>
          <w:p w14:paraId="64328E6D">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w:t>
            </w:r>
          </w:p>
        </w:tc>
        <w:tc>
          <w:tcPr>
            <w:tcW w:w="1974" w:type="dxa"/>
            <w:tcBorders>
              <w:top w:val="nil"/>
            </w:tcBorders>
            <w:shd w:val="clear" w:color="auto" w:fill="00D392"/>
            <w:vAlign w:val="center"/>
          </w:tcPr>
          <w:p w14:paraId="003C0E90">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核苷酸</w:t>
            </w:r>
          </w:p>
        </w:tc>
        <w:tc>
          <w:tcPr>
            <w:tcW w:w="1974" w:type="dxa"/>
            <w:tcBorders>
              <w:top w:val="nil"/>
            </w:tcBorders>
            <w:shd w:val="clear" w:color="auto" w:fill="00D392"/>
            <w:vAlign w:val="center"/>
          </w:tcPr>
          <w:p w14:paraId="5DAF5775">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氨基酸</w:t>
            </w:r>
          </w:p>
        </w:tc>
        <w:tc>
          <w:tcPr>
            <w:tcW w:w="1974" w:type="dxa"/>
            <w:tcBorders>
              <w:top w:val="nil"/>
            </w:tcBorders>
            <w:shd w:val="clear" w:color="auto" w:fill="00D392"/>
            <w:vAlign w:val="center"/>
          </w:tcPr>
          <w:p w14:paraId="05EC098E">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纯合/杂合/</w:t>
            </w:r>
            <w:r>
              <w:rPr>
                <w:rFonts w:hint="eastAsia" w:ascii="宋体" w:hAnsi="宋体" w:eastAsia="宋体" w:cs="宋体"/>
                <w:b/>
                <w:color w:val="FFFFFF" w:themeColor="background1"/>
                <w:sz w:val="18"/>
                <w:szCs w:val="18"/>
                <w:lang w:val="en-US" w:eastAsia="zh-CN"/>
                <w14:textFill>
                  <w14:solidFill>
                    <w14:schemeClr w14:val="bg1"/>
                  </w14:solidFill>
                </w14:textFill>
              </w:rPr>
              <w:t>变异丰度</w:t>
            </w:r>
          </w:p>
        </w:tc>
        <w:tc>
          <w:tcPr>
            <w:tcW w:w="1974" w:type="dxa"/>
            <w:tcBorders>
              <w:top w:val="nil"/>
            </w:tcBorders>
            <w:shd w:val="clear" w:color="auto" w:fill="00D392"/>
            <w:vAlign w:val="center"/>
          </w:tcPr>
          <w:p w14:paraId="483803AB">
            <w:pPr>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临床意义</w:t>
            </w:r>
          </w:p>
        </w:tc>
      </w:tr>
      <w:tr w14:paraId="1E22837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C58AD80">
            <w:pPr>
              <w:spacing w:before="20"/>
              <w:jc w:val="center"/>
              <w:rPr>
                <w:rFonts w:hint="eastAsia" w:ascii="宋体" w:hAnsi="宋体" w:eastAsia="宋体" w:cs="宋体"/>
                <w:sz w:val="18"/>
                <w:szCs w:val="18"/>
              </w:rPr>
            </w:pPr>
            <w:r>
              <w:rPr>
                <w:rFonts w:hint="eastAsia" w:ascii="宋体" w:hAnsi="宋体" w:eastAsia="宋体" w:cs="宋体"/>
                <w:sz w:val="18"/>
                <w:szCs w:val="18"/>
              </w:rPr>
              <w:t>{%tr if brcaCheckLineStr</w:t>
            </w:r>
            <w:r>
              <w:rPr>
                <w:rFonts w:hint="eastAsia" w:ascii="宋体" w:hAnsi="宋体" w:eastAsia="宋体" w:cs="宋体"/>
                <w:sz w:val="18"/>
                <w:szCs w:val="18"/>
                <w:lang w:eastAsia="zh-CN"/>
              </w:rPr>
              <w:t xml:space="preserve"> </w:t>
            </w:r>
            <w:r>
              <w:rPr>
                <w:rFonts w:hint="eastAsia" w:ascii="宋体" w:hAnsi="宋体" w:eastAsia="宋体" w:cs="宋体"/>
                <w:sz w:val="18"/>
                <w:szCs w:val="18"/>
              </w:rPr>
              <w:t>!= [] %}</w:t>
            </w:r>
          </w:p>
        </w:tc>
      </w:tr>
      <w:tr w14:paraId="1E51397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6FD8B4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rPr>
              <w:t>{%tr for brca in brcaCheckLineStr %}</w:t>
            </w:r>
          </w:p>
        </w:tc>
      </w:tr>
      <w:tr w14:paraId="4173EF4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974" w:type="dxa"/>
            <w:vAlign w:val="center"/>
          </w:tcPr>
          <w:p w14:paraId="66EBC223">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brca.Gene }}</w:t>
            </w:r>
          </w:p>
          <w:p w14:paraId="6C192C0B">
            <w:pPr>
              <w:spacing w:before="26"/>
              <w:jc w:val="center"/>
              <w:rPr>
                <w:rFonts w:hint="eastAsia" w:ascii="宋体" w:hAnsi="宋体" w:eastAsia="宋体" w:cs="宋体"/>
                <w:b/>
                <w:color w:val="45A3A7"/>
                <w:sz w:val="18"/>
                <w:szCs w:val="18"/>
                <w:lang w:eastAsia="zh-CN"/>
              </w:rPr>
            </w:pPr>
            <w:r>
              <w:rPr>
                <w:rFonts w:hint="eastAsia" w:ascii="宋体" w:hAnsi="宋体" w:eastAsia="宋体" w:cs="宋体"/>
                <w:sz w:val="18"/>
                <w:szCs w:val="18"/>
              </w:rPr>
              <w:t>{{ brca.Transcript}}</w:t>
            </w:r>
          </w:p>
        </w:tc>
        <w:tc>
          <w:tcPr>
            <w:tcW w:w="1974" w:type="dxa"/>
            <w:vAlign w:val="center"/>
          </w:tcPr>
          <w:p w14:paraId="30C80020">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brca.Exon }}</w:t>
            </w:r>
          </w:p>
          <w:p w14:paraId="15BE4ED2">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brca.cHGVS }}</w:t>
            </w:r>
          </w:p>
        </w:tc>
        <w:tc>
          <w:tcPr>
            <w:tcW w:w="1974" w:type="dxa"/>
            <w:vAlign w:val="center"/>
          </w:tcPr>
          <w:p w14:paraId="4FA20808">
            <w:pPr>
              <w:spacing w:before="20"/>
              <w:jc w:val="center"/>
              <w:rPr>
                <w:rFonts w:hint="eastAsia" w:ascii="宋体" w:hAnsi="宋体" w:eastAsia="宋体" w:cs="宋体"/>
                <w:sz w:val="18"/>
                <w:szCs w:val="18"/>
              </w:rPr>
            </w:pPr>
            <w:r>
              <w:rPr>
                <w:rFonts w:hint="eastAsia" w:ascii="宋体" w:hAnsi="宋体" w:eastAsia="宋体" w:cs="宋体"/>
                <w:sz w:val="18"/>
                <w:szCs w:val="18"/>
              </w:rPr>
              <w:t>{{ brca.pHGVS }}</w:t>
            </w:r>
          </w:p>
        </w:tc>
        <w:tc>
          <w:tcPr>
            <w:tcW w:w="1974" w:type="dxa"/>
            <w:vAlign w:val="center"/>
          </w:tcPr>
          <w:p w14:paraId="301C84EE">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brca.Zygosity }}</w:t>
            </w:r>
          </w:p>
        </w:tc>
        <w:tc>
          <w:tcPr>
            <w:tcW w:w="1974" w:type="dxa"/>
            <w:vAlign w:val="center"/>
          </w:tcPr>
          <w:p w14:paraId="206E601D">
            <w:pPr>
              <w:spacing w:before="26"/>
              <w:jc w:val="center"/>
              <w:rPr>
                <w:rFonts w:hint="eastAsia" w:ascii="宋体" w:hAnsi="宋体" w:eastAsia="宋体" w:cs="宋体"/>
                <w:bCs/>
                <w:sz w:val="18"/>
                <w:szCs w:val="18"/>
                <w:lang w:eastAsia="zh-CN"/>
              </w:rPr>
            </w:pPr>
            <w:r>
              <w:rPr>
                <w:rFonts w:hint="eastAsia" w:ascii="宋体" w:hAnsi="宋体" w:eastAsia="宋体" w:cs="宋体"/>
                <w:sz w:val="18"/>
                <w:szCs w:val="18"/>
              </w:rPr>
              <w:t>{{ brca.Clinical_significance }}</w:t>
            </w:r>
          </w:p>
        </w:tc>
      </w:tr>
      <w:tr w14:paraId="6AC2321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6983170">
            <w:pPr>
              <w:spacing w:before="26"/>
              <w:jc w:val="center"/>
              <w:rPr>
                <w:rFonts w:hint="eastAsia" w:ascii="宋体" w:hAnsi="宋体" w:eastAsia="宋体" w:cs="宋体"/>
                <w:sz w:val="18"/>
                <w:szCs w:val="18"/>
              </w:rPr>
            </w:pPr>
            <w:r>
              <w:rPr>
                <w:rFonts w:hint="eastAsia" w:ascii="宋体" w:hAnsi="宋体" w:eastAsia="宋体" w:cs="宋体"/>
                <w:sz w:val="18"/>
                <w:szCs w:val="18"/>
              </w:rPr>
              <w:t>{%tr endfor %}</w:t>
            </w:r>
          </w:p>
        </w:tc>
      </w:tr>
      <w:tr w14:paraId="527998A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AB42A48">
            <w:pPr>
              <w:spacing w:before="26"/>
              <w:jc w:val="center"/>
              <w:rPr>
                <w:rFonts w:hint="eastAsia" w:ascii="宋体" w:hAnsi="宋体" w:eastAsia="宋体" w:cs="宋体"/>
                <w:sz w:val="18"/>
                <w:szCs w:val="18"/>
              </w:rPr>
            </w:pPr>
            <w:r>
              <w:rPr>
                <w:rFonts w:hint="eastAsia" w:ascii="宋体" w:hAnsi="宋体" w:eastAsia="宋体" w:cs="宋体"/>
                <w:sz w:val="18"/>
                <w:szCs w:val="18"/>
              </w:rPr>
              <w:t>{%tr else %}</w:t>
            </w:r>
          </w:p>
        </w:tc>
      </w:tr>
      <w:tr w14:paraId="3778902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974" w:type="dxa"/>
            <w:vAlign w:val="center"/>
          </w:tcPr>
          <w:p w14:paraId="03F86B81">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74" w:type="dxa"/>
            <w:vAlign w:val="center"/>
          </w:tcPr>
          <w:p w14:paraId="7D8AC195">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74" w:type="dxa"/>
            <w:vAlign w:val="center"/>
          </w:tcPr>
          <w:p w14:paraId="199B2BE9">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74" w:type="dxa"/>
            <w:vAlign w:val="center"/>
          </w:tcPr>
          <w:p w14:paraId="7129EFF8">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c>
          <w:tcPr>
            <w:tcW w:w="1974" w:type="dxa"/>
            <w:vAlign w:val="center"/>
          </w:tcPr>
          <w:p w14:paraId="21A44BE2">
            <w:pPr>
              <w:spacing w:before="20"/>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w:t>
            </w:r>
          </w:p>
        </w:tc>
      </w:tr>
      <w:tr w14:paraId="0C16F02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77FCFF0">
            <w:pPr>
              <w:spacing w:before="26"/>
              <w:jc w:val="center"/>
              <w:rPr>
                <w:rFonts w:hint="eastAsia" w:ascii="宋体" w:hAnsi="宋体" w:eastAsia="宋体" w:cs="宋体"/>
                <w:sz w:val="18"/>
                <w:szCs w:val="18"/>
                <w:lang w:eastAsia="zh-CN"/>
              </w:rPr>
            </w:pPr>
            <w:r>
              <w:rPr>
                <w:rFonts w:hint="eastAsia" w:ascii="宋体" w:hAnsi="宋体" w:eastAsia="宋体" w:cs="宋体"/>
                <w:sz w:val="18"/>
                <w:szCs w:val="18"/>
              </w:rPr>
              <w:t>{%tr endif %}</w:t>
            </w:r>
          </w:p>
        </w:tc>
      </w:tr>
    </w:tbl>
    <w:p w14:paraId="1C56EA5B">
      <w:pPr>
        <w:widowControl/>
        <w:rPr>
          <w:rFonts w:hint="eastAsia" w:ascii="宋体" w:hAnsi="宋体" w:eastAsia="宋体" w:cs="宋体"/>
          <w:b/>
          <w:color w:val="45A3A7"/>
          <w:sz w:val="24"/>
          <w:szCs w:val="24"/>
          <w:lang w:eastAsia="zh-CN"/>
        </w:rPr>
      </w:pPr>
      <w:r>
        <w:rPr>
          <w:rFonts w:hint="eastAsia" w:ascii="宋体" w:hAnsi="宋体" w:eastAsia="宋体" w:cs="宋体"/>
          <w:sz w:val="24"/>
          <w:szCs w:val="24"/>
        </w:rPr>
        <w:t>{% endif %}{% if summaryOfRresults.hrdState == ‘阳性’ %}</w:t>
      </w:r>
    </w:p>
    <w:p w14:paraId="372B0B55">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同源重组缺陷状态</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50D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00D392"/>
            <w:vAlign w:val="center"/>
          </w:tcPr>
          <w:p w14:paraId="2577A0DE">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同源重组</w:t>
            </w:r>
          </w:p>
          <w:p w14:paraId="1B793E2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DA06797">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summaryOfRresults.hrdState }}</w:t>
            </w:r>
          </w:p>
        </w:tc>
      </w:tr>
      <w:tr w14:paraId="77C7AA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645FBABD">
            <w:pPr>
              <w:spacing w:before="1" w:line="250" w:lineRule="auto"/>
              <w:jc w:val="center"/>
              <w:rPr>
                <w:rFonts w:hint="eastAsia" w:ascii="宋体" w:hAnsi="宋体" w:eastAsia="宋体" w:cs="宋体"/>
                <w:sz w:val="18"/>
                <w:szCs w:val="18"/>
                <w:lang w:eastAsia="zh-CN"/>
              </w:rPr>
            </w:pPr>
            <w:r>
              <w:rPr>
                <w:rFonts w:hint="eastAsia" w:ascii="宋体" w:hAnsi="宋体" w:eastAsia="宋体" w:cs="宋体"/>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55E89AB3">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8735FD">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hrdanalysisOfImmuneTestResults.drugaStr == [] %}无{% else%}{% for d in hrdanalysisOfImmuneTestResults.drugaStr %}{%if loop.last%}{{ d.nameLevel }}{%else%}{{ d.nameLevel }}，{%endif%}{% endfor %}{% endif%}</w:t>
            </w:r>
          </w:p>
        </w:tc>
      </w:tr>
      <w:tr w14:paraId="4ED76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0A55CBD4">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42279363">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4CC6D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hrdanalysisOfImmuneTestResults.drugbStr == [] %}无{% else%}{% for d in hrdanalysisOfImmuneTestResults.drugbStr %}{%if loop.last%}{{ d.nameLevel }}{%else%}{{ d.nameLevel }}，{%endif%}{% endfor %}{% endif%}</w:t>
            </w:r>
          </w:p>
        </w:tc>
      </w:tr>
      <w:tr w14:paraId="54C028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2B480CAD">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AC18620">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3819D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hrdanalysisOfImmuneTestResults.drugcStr == [] %}无{% else%}{% for d in hrdanalysisOfImmuneTestResults.drugcStr %}{%if loop.last%}{{ d.nameLevel }}{%else%}{{ d.nameLevel }}，{%endif%}{% endfor %}{% endif%}</w:t>
            </w:r>
          </w:p>
        </w:tc>
      </w:tr>
      <w:tr w14:paraId="516A2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354F96C">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FA3CC5B">
            <w:pPr>
              <w:spacing w:before="1" w:line="250" w:lineRule="auto"/>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73672F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sz w:val="18"/>
                <w:szCs w:val="18"/>
                <w:lang w:eastAsia="zh-CN"/>
              </w:rPr>
              <w:t>{% if hrdanalysisOfImmuneTestResults.drugdStr == [] %}无{% else%}{% for d in hrdanalysisOfImmuneTestResults.drugdStr %}{%if loop.last%}{{ d.nameLevel }}{%else%}{{ d.nameLevel }}，{%endif%}{% endfor %}{% endif%}</w:t>
            </w:r>
          </w:p>
        </w:tc>
      </w:tr>
      <w:tr w14:paraId="5D79B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00D392"/>
            <w:vAlign w:val="center"/>
          </w:tcPr>
          <w:p w14:paraId="6C1F472E">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0461BD1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E421EA2">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hrdanalysisOfImmuneTestResults.resistantaStr == [] %}无{% else%}{% for d in hrdanalysisOfImmuneTestResults.resistantaStr %}{%if loop.last%}{{ d.nameLevel }}{%else%}{{ d.nameLevel }}，{%endif%}{% endfor %}{% endif%}</w:t>
            </w:r>
          </w:p>
        </w:tc>
      </w:tr>
      <w:tr w14:paraId="7DD097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00D392"/>
            <w:vAlign w:val="center"/>
          </w:tcPr>
          <w:p w14:paraId="2596092A">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20E9FD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AFD00C">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hrdanalysisOfImmuneTestResults.resistantbStr == [] %}无{% else%}{% for d in hrdanalysisOfImmuneTestResults.resistantbStr %}{%if loop.last%}{{ d.nameLevel }}{%else%}{{ d.nameLevel }}，{%endif%}{% endfor %}{% endif%}</w:t>
            </w:r>
          </w:p>
        </w:tc>
      </w:tr>
      <w:tr w14:paraId="313D2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00D392"/>
            <w:vAlign w:val="center"/>
          </w:tcPr>
          <w:p w14:paraId="4FAEA66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1DEF0D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73B46F">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hrdanalysisOfImmuneTestResults.resistantcStr == [] %}无{% else%}{% for d in hrdanalysisOfImmuneTestResults.resistantcStr %}{%if loop.last%}{{ d.nameLevel }}{%else%}{{ d.nameLevel }}，{%endif%}{% endfor %}{% endif%}</w:t>
            </w:r>
          </w:p>
        </w:tc>
      </w:tr>
      <w:tr w14:paraId="3F35D4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00D392"/>
            <w:vAlign w:val="center"/>
          </w:tcPr>
          <w:p w14:paraId="7D9A271E">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12F8DB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BC7C722">
            <w:pPr>
              <w:keepNext/>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hrdanalysisOfImmuneTestResults.resistantdStr == [] %}无{% else%}{% for d in hrdanalysisOfImmuneTestResults.resistantdStr %}{%if loop.last%}{{ d.nameLevel }}{%else%}{{ d.nameLevel }}，{%endif%}{% endfor %}{% endif%}</w:t>
            </w:r>
          </w:p>
        </w:tc>
      </w:tr>
      <w:tr w14:paraId="256BDD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00D392"/>
            <w:vAlign w:val="center"/>
          </w:tcPr>
          <w:p w14:paraId="112D82F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1F0E2E">
            <w:pPr>
              <w:keepNext/>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md in </w:t>
            </w:r>
            <w:r>
              <w:rPr>
                <w:rFonts w:hint="eastAsia" w:ascii="宋体" w:hAnsi="宋体" w:eastAsia="宋体" w:cs="宋体"/>
                <w:bCs/>
                <w:sz w:val="18"/>
                <w:szCs w:val="18"/>
                <w:lang w:eastAsia="zh-CN" w:bidi="ar"/>
              </w:rPr>
              <w:t>hrdanalysisOfImmuneTestResults.varDrugNote</w:t>
            </w:r>
            <w:r>
              <w:rPr>
                <w:rFonts w:hint="eastAsia" w:ascii="宋体" w:hAnsi="宋体" w:eastAsia="宋体" w:cs="宋体"/>
                <w:sz w:val="18"/>
                <w:szCs w:val="18"/>
                <w:lang w:eastAsia="zh-CN"/>
              </w:rPr>
              <w:t xml:space="preserve"> %}{% if md.key == '位点说明:' %}</w:t>
            </w:r>
            <w:r>
              <w:rPr>
                <w:rFonts w:hint="eastAsia" w:ascii="宋体" w:hAnsi="宋体" w:eastAsia="宋体" w:cs="宋体"/>
                <w:b/>
                <w:bCs/>
                <w:sz w:val="18"/>
                <w:szCs w:val="18"/>
                <w:lang w:eastAsia="zh-CN"/>
              </w:rPr>
              <w:t>{{md.key}}</w:t>
            </w:r>
            <w:r>
              <w:rPr>
                <w:rFonts w:hint="eastAsia" w:ascii="宋体" w:hAnsi="宋体" w:eastAsia="宋体" w:cs="宋体"/>
                <w:sz w:val="18"/>
                <w:szCs w:val="18"/>
                <w:lang w:eastAsia="zh-CN"/>
              </w:rPr>
              <w:t>{{md.value}}{% elif md.value == '' %}{% else%}{% if md.key==’基因说明:’ %}</w:t>
            </w:r>
            <w:r>
              <w:rPr>
                <w:rFonts w:hint="eastAsia" w:ascii="宋体" w:hAnsi="宋体" w:eastAsia="宋体" w:cs="宋体"/>
                <w:b/>
                <w:bCs/>
                <w:sz w:val="18"/>
                <w:szCs w:val="18"/>
                <w:lang w:eastAsia="zh-CN"/>
              </w:rPr>
              <w:t>HRD定义:</w:t>
            </w:r>
            <w:r>
              <w:rPr>
                <w:rFonts w:hint="eastAsia" w:ascii="宋体" w:hAnsi="宋体" w:eastAsia="宋体" w:cs="宋体"/>
                <w:sz w:val="18"/>
                <w:szCs w:val="18"/>
                <w:lang w:eastAsia="zh-CN"/>
              </w:rPr>
              <w:t>{% else%}</w:t>
            </w:r>
            <w:r>
              <w:rPr>
                <w:rFonts w:hint="eastAsia" w:ascii="宋体" w:hAnsi="宋体" w:eastAsia="宋体" w:cs="宋体"/>
                <w:b/>
                <w:bCs/>
                <w:sz w:val="18"/>
                <w:szCs w:val="18"/>
                <w:lang w:eastAsia="zh-CN"/>
              </w:rPr>
              <w:t>{{md.key}}</w:t>
            </w:r>
            <w:r>
              <w:rPr>
                <w:rFonts w:hint="eastAsia" w:ascii="宋体" w:hAnsi="宋体" w:eastAsia="宋体" w:cs="宋体"/>
                <w:sz w:val="18"/>
                <w:szCs w:val="18"/>
                <w:lang w:eastAsia="zh-CN"/>
              </w:rPr>
              <w:t>{% endif %}{{md.value}}</w:t>
            </w:r>
          </w:p>
          <w:p w14:paraId="6CCCDAF8">
            <w:pPr>
              <w:keepNext/>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 endif %}{% endfor %}</w:t>
            </w:r>
          </w:p>
        </w:tc>
      </w:tr>
    </w:tbl>
    <w:p w14:paraId="4E82AAF6">
      <w:pPr>
        <w:spacing w:before="26"/>
        <w:rPr>
          <w:rFonts w:hint="eastAsia" w:ascii="宋体" w:hAnsi="宋体" w:eastAsia="宋体" w:cs="宋体"/>
          <w:b/>
          <w:sz w:val="18"/>
          <w:szCs w:val="18"/>
          <w:lang w:eastAsia="zh-CN"/>
        </w:rPr>
      </w:pPr>
    </w:p>
    <w:p w14:paraId="335926C0">
      <w:pPr>
        <w:spacing w:before="26"/>
        <w:rPr>
          <w:rFonts w:hint="eastAsia" w:ascii="宋体" w:hAnsi="宋体" w:eastAsia="宋体" w:cs="宋体"/>
          <w:b/>
          <w:sz w:val="18"/>
          <w:szCs w:val="18"/>
        </w:rPr>
      </w:pPr>
      <w:r>
        <w:rPr>
          <w:rFonts w:hint="eastAsia" w:ascii="宋体" w:hAnsi="宋体" w:eastAsia="宋体" w:cs="宋体"/>
          <w:b/>
          <w:sz w:val="18"/>
          <w:szCs w:val="18"/>
          <w:lang w:eastAsia="zh-CN"/>
        </w:rPr>
        <w:t>{% if hrdanalysisOfImmuneTestResults.drugResearchList != [] %}</w:t>
      </w:r>
    </w:p>
    <w:p w14:paraId="4AB8A6D6">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134"/>
        <w:gridCol w:w="5793"/>
      </w:tblGrid>
      <w:tr w14:paraId="553602D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3631504">
            <w:pPr>
              <w:keepNext/>
              <w:spacing w:before="26"/>
              <w:ind w:firstLine="181" w:firstLineChars="100"/>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0500982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134" w:type="dxa"/>
            <w:tcBorders>
              <w:top w:val="nil"/>
            </w:tcBorders>
            <w:shd w:val="clear" w:color="auto" w:fill="00D392"/>
            <w:vAlign w:val="center"/>
          </w:tcPr>
          <w:p w14:paraId="3B5015A3">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793" w:type="dxa"/>
            <w:tcBorders>
              <w:top w:val="nil"/>
            </w:tcBorders>
            <w:shd w:val="clear" w:color="auto" w:fill="00D392"/>
            <w:vAlign w:val="center"/>
          </w:tcPr>
          <w:p w14:paraId="3D2A93DA">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88608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60BDAC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hrdcli in hrdanalysisOfImmuneTestResults.drugResearchList %}</w:t>
            </w:r>
          </w:p>
        </w:tc>
      </w:tr>
      <w:tr w14:paraId="6B6926E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590F0DF8">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hrdcli.drug_name_chinese3 </w:t>
            </w:r>
            <w:r>
              <w:rPr>
                <w:rFonts w:hint="eastAsia" w:ascii="宋体" w:hAnsi="宋体" w:eastAsia="宋体" w:cs="宋体"/>
                <w:sz w:val="18"/>
                <w:szCs w:val="18"/>
                <w:lang w:eastAsia="zh-CN"/>
              </w:rPr>
              <w:t>}}</w:t>
            </w:r>
          </w:p>
        </w:tc>
        <w:tc>
          <w:tcPr>
            <w:tcW w:w="1417" w:type="dxa"/>
            <w:vAlign w:val="center"/>
          </w:tcPr>
          <w:p w14:paraId="26E009D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w:t>
            </w: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134" w:type="dxa"/>
            <w:vAlign w:val="center"/>
          </w:tcPr>
          <w:p w14:paraId="09C57B0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hrdcli.evidence_phase_chinese</w:t>
            </w:r>
            <w:r>
              <w:rPr>
                <w:rFonts w:hint="eastAsia" w:ascii="宋体" w:hAnsi="宋体" w:eastAsia="宋体" w:cs="宋体"/>
                <w:sz w:val="18"/>
                <w:szCs w:val="18"/>
                <w:lang w:eastAsia="zh-CN"/>
              </w:rPr>
              <w:t>}}</w:t>
            </w:r>
          </w:p>
        </w:tc>
        <w:tc>
          <w:tcPr>
            <w:tcW w:w="5793" w:type="dxa"/>
            <w:vAlign w:val="center"/>
          </w:tcPr>
          <w:p w14:paraId="58D35B7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hrdcli.annotation_chinese</w:t>
            </w:r>
            <w:r>
              <w:rPr>
                <w:rFonts w:hint="eastAsia" w:ascii="宋体" w:hAnsi="宋体" w:eastAsia="宋体" w:cs="宋体"/>
                <w:sz w:val="18"/>
                <w:szCs w:val="18"/>
                <w:lang w:eastAsia="zh-CN"/>
              </w:rPr>
              <w:t>}}</w:t>
            </w:r>
          </w:p>
        </w:tc>
      </w:tr>
      <w:tr w14:paraId="11D3DC6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3075C3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75189EC">
      <w:pPr>
        <w:spacing w:before="26"/>
        <w:rPr>
          <w:rFonts w:hint="eastAsia" w:ascii="宋体" w:hAnsi="宋体" w:eastAsia="宋体" w:cs="宋体"/>
          <w:b/>
          <w:sz w:val="18"/>
          <w:szCs w:val="18"/>
          <w:lang w:eastAsia="zh-CN" w:bidi="ar"/>
        </w:rPr>
      </w:pPr>
      <w:r>
        <w:rPr>
          <w:rFonts w:hint="eastAsia" w:ascii="宋体" w:hAnsi="宋体" w:eastAsia="宋体" w:cs="宋体"/>
          <w:b/>
          <w:sz w:val="18"/>
          <w:szCs w:val="18"/>
          <w:lang w:eastAsia="zh-CN" w:bidi="ar"/>
        </w:rPr>
        <w:t>{% endif %}</w:t>
      </w:r>
      <w:r>
        <w:rPr>
          <w:rFonts w:hint="eastAsia" w:ascii="宋体" w:hAnsi="宋体" w:eastAsia="宋体" w:cs="宋体"/>
          <w:b/>
          <w:sz w:val="18"/>
          <w:szCs w:val="18"/>
          <w:lang w:eastAsia="zh-CN"/>
        </w:rPr>
        <w:t>{% if hrdanalysisOfImmuneTestResults.potentialDrugList != [] %}</w:t>
      </w:r>
    </w:p>
    <w:p w14:paraId="1C546BDC">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134"/>
        <w:gridCol w:w="5793"/>
      </w:tblGrid>
      <w:tr w14:paraId="2123F55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143F50E1">
            <w:pPr>
              <w:keepNext/>
              <w:spacing w:before="26"/>
              <w:ind w:firstLine="181" w:firstLineChars="100"/>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4793BB4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134" w:type="dxa"/>
            <w:tcBorders>
              <w:top w:val="nil"/>
            </w:tcBorders>
            <w:shd w:val="clear" w:color="auto" w:fill="00D392"/>
            <w:vAlign w:val="center"/>
          </w:tcPr>
          <w:p w14:paraId="2FDC92B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793" w:type="dxa"/>
            <w:tcBorders>
              <w:top w:val="nil"/>
            </w:tcBorders>
            <w:shd w:val="clear" w:color="auto" w:fill="00D392"/>
            <w:vAlign w:val="center"/>
          </w:tcPr>
          <w:p w14:paraId="19E8600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6486D98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1AD01E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hrdcli in hrdanalysisOfImmuneTestResults.potentialDrugList %}</w:t>
            </w:r>
          </w:p>
        </w:tc>
      </w:tr>
      <w:tr w14:paraId="50D13E5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2A58A6D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hrdcli.drug_name_chinese3 </w:t>
            </w:r>
            <w:r>
              <w:rPr>
                <w:rFonts w:hint="eastAsia" w:ascii="宋体" w:hAnsi="宋体" w:eastAsia="宋体" w:cs="宋体"/>
                <w:sz w:val="18"/>
                <w:szCs w:val="18"/>
                <w:lang w:eastAsia="zh-CN"/>
              </w:rPr>
              <w:t>}}</w:t>
            </w:r>
          </w:p>
        </w:tc>
        <w:tc>
          <w:tcPr>
            <w:tcW w:w="1417" w:type="dxa"/>
            <w:vAlign w:val="center"/>
          </w:tcPr>
          <w:p w14:paraId="4545A1B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w:t>
            </w: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134" w:type="dxa"/>
            <w:vAlign w:val="center"/>
          </w:tcPr>
          <w:p w14:paraId="1251FCA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hrdcli.evidence_phase_chinese</w:t>
            </w:r>
            <w:r>
              <w:rPr>
                <w:rFonts w:hint="eastAsia" w:ascii="宋体" w:hAnsi="宋体" w:eastAsia="宋体" w:cs="宋体"/>
                <w:sz w:val="18"/>
                <w:szCs w:val="18"/>
                <w:lang w:eastAsia="zh-CN"/>
              </w:rPr>
              <w:t>}}</w:t>
            </w:r>
          </w:p>
        </w:tc>
        <w:tc>
          <w:tcPr>
            <w:tcW w:w="5793" w:type="dxa"/>
            <w:vAlign w:val="center"/>
          </w:tcPr>
          <w:p w14:paraId="6821750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 xml:space="preserve"> hrdcli.annotation_chinese</w:t>
            </w:r>
            <w:r>
              <w:rPr>
                <w:rFonts w:hint="eastAsia" w:ascii="宋体" w:hAnsi="宋体" w:eastAsia="宋体" w:cs="宋体"/>
                <w:sz w:val="18"/>
                <w:szCs w:val="18"/>
                <w:lang w:eastAsia="zh-CN"/>
              </w:rPr>
              <w:t>}}</w:t>
            </w:r>
          </w:p>
        </w:tc>
      </w:tr>
      <w:tr w14:paraId="72C27A0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6C85608">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65B70C">
      <w:pPr>
        <w:spacing w:before="26"/>
        <w:rPr>
          <w:rFonts w:hint="eastAsia" w:ascii="宋体" w:hAnsi="宋体" w:eastAsia="宋体" w:cs="宋体"/>
          <w:b/>
          <w:sz w:val="18"/>
          <w:szCs w:val="18"/>
        </w:rPr>
      </w:pPr>
      <w:r>
        <w:rPr>
          <w:rFonts w:hint="eastAsia" w:ascii="宋体" w:hAnsi="宋体" w:eastAsia="宋体" w:cs="宋体"/>
          <w:b/>
          <w:sz w:val="18"/>
          <w:szCs w:val="18"/>
          <w:lang w:eastAsia="zh-CN" w:bidi="ar"/>
        </w:rPr>
        <w:t>{% endif %}</w:t>
      </w:r>
      <w:r>
        <w:rPr>
          <w:rFonts w:hint="eastAsia" w:ascii="宋体" w:hAnsi="宋体" w:eastAsia="宋体" w:cs="宋体"/>
          <w:b/>
          <w:sz w:val="18"/>
          <w:szCs w:val="18"/>
          <w:lang w:eastAsia="zh-CN"/>
        </w:rPr>
        <w:t>{% if hrdanalysisOfImmuneTestResults.clinicalTrialInformationStr != [] %}</w:t>
      </w:r>
    </w:p>
    <w:p w14:paraId="77B6381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E3540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6EDEAAE7">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ID</w:t>
            </w:r>
          </w:p>
        </w:tc>
        <w:tc>
          <w:tcPr>
            <w:tcW w:w="3884" w:type="dxa"/>
            <w:tcBorders>
              <w:top w:val="nil"/>
            </w:tcBorders>
            <w:shd w:val="clear" w:color="auto" w:fill="00D392"/>
            <w:vAlign w:val="center"/>
          </w:tcPr>
          <w:p w14:paraId="52E8EF2A">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临床试验名称</w:t>
            </w:r>
          </w:p>
        </w:tc>
        <w:tc>
          <w:tcPr>
            <w:tcW w:w="1246" w:type="dxa"/>
            <w:tcBorders>
              <w:top w:val="nil"/>
            </w:tcBorders>
            <w:shd w:val="clear" w:color="auto" w:fill="00D392"/>
            <w:vAlign w:val="center"/>
          </w:tcPr>
          <w:p w14:paraId="19854CC9">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肿瘤类型</w:t>
            </w:r>
          </w:p>
        </w:tc>
        <w:tc>
          <w:tcPr>
            <w:tcW w:w="1035" w:type="dxa"/>
            <w:tcBorders>
              <w:top w:val="nil"/>
            </w:tcBorders>
            <w:shd w:val="clear" w:color="auto" w:fill="00D392"/>
            <w:vAlign w:val="center"/>
          </w:tcPr>
          <w:p w14:paraId="64B35554">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阶段</w:t>
            </w:r>
          </w:p>
        </w:tc>
        <w:tc>
          <w:tcPr>
            <w:tcW w:w="1204" w:type="dxa"/>
            <w:tcBorders>
              <w:top w:val="nil"/>
            </w:tcBorders>
            <w:shd w:val="clear" w:color="auto" w:fill="00D392"/>
            <w:vAlign w:val="center"/>
          </w:tcPr>
          <w:p w14:paraId="4C80ABDB">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药物</w:t>
            </w:r>
          </w:p>
        </w:tc>
        <w:tc>
          <w:tcPr>
            <w:tcW w:w="856" w:type="dxa"/>
            <w:tcBorders>
              <w:top w:val="nil"/>
            </w:tcBorders>
            <w:shd w:val="clear" w:color="auto" w:fill="00D392"/>
            <w:vAlign w:val="center"/>
          </w:tcPr>
          <w:p w14:paraId="0DFDF402">
            <w:pPr>
              <w:spacing w:before="26"/>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地点</w:t>
            </w:r>
          </w:p>
        </w:tc>
      </w:tr>
      <w:tr w14:paraId="1CE190C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7D48253">
            <w:pPr>
              <w:spacing w:before="26"/>
              <w:jc w:val="center"/>
              <w:rPr>
                <w:rFonts w:hint="eastAsia" w:ascii="宋体" w:hAnsi="宋体" w:eastAsia="宋体" w:cs="宋体"/>
                <w:sz w:val="18"/>
                <w:szCs w:val="18"/>
                <w:lang w:eastAsia="zh-CN" w:bidi="ar"/>
              </w:rPr>
            </w:pPr>
            <w:r>
              <w:rPr>
                <w:rFonts w:hint="eastAsia" w:ascii="宋体" w:hAnsi="宋体" w:eastAsia="宋体" w:cs="宋体"/>
                <w:b/>
                <w:sz w:val="18"/>
                <w:szCs w:val="18"/>
                <w:lang w:eastAsia="zh-CN"/>
              </w:rPr>
              <w:t>{%tr for hrdcli in hrdanalysisOfImmuneTestResults.clinicalTrialInformationStr%}</w:t>
            </w:r>
          </w:p>
        </w:tc>
      </w:tr>
      <w:tr w14:paraId="708F6EC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shd w:val="clear" w:color="auto" w:fill="auto"/>
            <w:vAlign w:val="center"/>
          </w:tcPr>
          <w:p w14:paraId="4413DB75">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hrdcli.clinical_trial_id}}</w:t>
            </w:r>
          </w:p>
        </w:tc>
        <w:tc>
          <w:tcPr>
            <w:tcW w:w="3884" w:type="dxa"/>
            <w:shd w:val="clear" w:color="auto" w:fill="auto"/>
            <w:vAlign w:val="center"/>
          </w:tcPr>
          <w:p w14:paraId="47C701B4">
            <w:pPr>
              <w:jc w:val="center"/>
              <w:rPr>
                <w:rFonts w:hint="eastAsia" w:ascii="宋体" w:hAnsi="宋体" w:eastAsia="宋体" w:cs="宋体"/>
                <w:sz w:val="18"/>
                <w:szCs w:val="18"/>
              </w:rPr>
            </w:pPr>
            <w:r>
              <w:rPr>
                <w:rFonts w:hint="eastAsia" w:ascii="宋体" w:hAnsi="宋体" w:eastAsia="宋体" w:cs="宋体"/>
                <w:bCs/>
                <w:sz w:val="18"/>
                <w:szCs w:val="18"/>
                <w:lang w:eastAsia="zh-CN"/>
              </w:rPr>
              <w:t>{{ hrdcli.title_chinese}}</w:t>
            </w:r>
          </w:p>
        </w:tc>
        <w:tc>
          <w:tcPr>
            <w:tcW w:w="1246" w:type="dxa"/>
            <w:shd w:val="clear" w:color="auto" w:fill="auto"/>
            <w:vAlign w:val="center"/>
          </w:tcPr>
          <w:p w14:paraId="51D2E9A1">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hrdcli.condition_chinese}}</w:t>
            </w:r>
          </w:p>
        </w:tc>
        <w:tc>
          <w:tcPr>
            <w:tcW w:w="1035" w:type="dxa"/>
            <w:shd w:val="clear" w:color="auto" w:fill="auto"/>
            <w:vAlign w:val="center"/>
          </w:tcPr>
          <w:p w14:paraId="7B593854">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hrdcli.phase}}</w:t>
            </w:r>
          </w:p>
        </w:tc>
        <w:tc>
          <w:tcPr>
            <w:tcW w:w="1204" w:type="dxa"/>
            <w:shd w:val="clear" w:color="auto" w:fill="auto"/>
            <w:vAlign w:val="center"/>
          </w:tcPr>
          <w:p w14:paraId="1A946C49">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hrdcli.drug_name_chinese</w:t>
            </w:r>
            <w:r>
              <w:rPr>
                <w:rFonts w:hint="eastAsia" w:ascii="宋体" w:hAnsi="宋体" w:eastAsia="宋体" w:cs="宋体"/>
                <w:sz w:val="18"/>
                <w:szCs w:val="18"/>
                <w:lang w:eastAsia="zh-CN"/>
              </w:rPr>
              <w:t xml:space="preserve"> %}{%if loop.last%}{{ d.name }}{%else%}{{ d.name }}</w:t>
            </w:r>
          </w:p>
          <w:p w14:paraId="3231AC87">
            <w:pPr>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shd w:val="clear" w:color="auto" w:fill="auto"/>
            <w:vAlign w:val="center"/>
          </w:tcPr>
          <w:p w14:paraId="19F18D30">
            <w:pPr>
              <w:spacing w:before="26"/>
              <w:jc w:val="center"/>
              <w:rPr>
                <w:rFonts w:hint="eastAsia" w:ascii="宋体" w:hAnsi="宋体" w:eastAsia="宋体" w:cs="宋体"/>
                <w:sz w:val="18"/>
                <w:szCs w:val="18"/>
              </w:rPr>
            </w:pPr>
            <w:r>
              <w:rPr>
                <w:rFonts w:hint="eastAsia" w:ascii="宋体" w:hAnsi="宋体" w:eastAsia="宋体" w:cs="宋体"/>
                <w:bCs/>
                <w:sz w:val="18"/>
                <w:szCs w:val="18"/>
                <w:lang w:eastAsia="zh-CN"/>
              </w:rPr>
              <w:t>{{ hrdcli.location_chinese}}</w:t>
            </w:r>
          </w:p>
        </w:tc>
      </w:tr>
      <w:tr w14:paraId="0D037DA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70065729">
            <w:pPr>
              <w:spacing w:before="2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w:t>
            </w:r>
          </w:p>
        </w:tc>
      </w:tr>
    </w:tbl>
    <w:p w14:paraId="412A271B">
      <w:pPr>
        <w:spacing w:before="26"/>
        <w:rPr>
          <w:rFonts w:hint="eastAsia" w:ascii="宋体" w:hAnsi="宋体" w:eastAsia="宋体" w:cs="宋体"/>
          <w:b/>
          <w:sz w:val="18"/>
          <w:szCs w:val="18"/>
          <w:lang w:eastAsia="zh-CN" w:bidi="ar"/>
        </w:rPr>
      </w:pPr>
      <w:r>
        <w:rPr>
          <w:rFonts w:hint="eastAsia" w:ascii="宋体" w:hAnsi="宋体" w:eastAsia="宋体" w:cs="宋体"/>
          <w:b/>
          <w:sz w:val="18"/>
          <w:szCs w:val="18"/>
          <w:lang w:eastAsia="zh-CN" w:bidi="ar"/>
        </w:rPr>
        <w:t>{% endif %}{% endif %}</w:t>
      </w:r>
      <w:r>
        <w:rPr>
          <w:rFonts w:hint="eastAsia" w:ascii="宋体" w:hAnsi="宋体" w:eastAsia="宋体" w:cs="宋体"/>
          <w:b/>
          <w:sz w:val="18"/>
          <w:szCs w:val="18"/>
          <w:lang w:eastAsia="zh-CN" w:bidi="ar"/>
        </w:rPr>
        <w:br w:type="page"/>
      </w:r>
      <w:bookmarkStart w:id="4" w:name="_Toc31324"/>
      <w:bookmarkStart w:id="5" w:name="_Toc26395"/>
    </w:p>
    <w:bookmarkEnd w:id="4"/>
    <w:bookmarkEnd w:id="5"/>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476FCC2C">
      <w:pPr>
        <w:bidi w:val="0"/>
        <w:rPr>
          <w:rFonts w:hint="eastAsia" w:ascii="宋体" w:hAnsi="宋体" w:eastAsia="宋体" w:cs="宋体"/>
          <w:b/>
          <w:sz w:val="18"/>
          <w:szCs w:val="18"/>
          <w:lang w:eastAsia="zh-CN"/>
        </w:rPr>
      </w:pP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tdd.comutation1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{{tdd.comutation}}</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4"/>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p w14:paraId="72E386DA">
      <w:pPr>
        <w:rPr>
          <w:rFonts w:hint="eastAsia" w:ascii="宋体" w:hAnsi="宋体" w:eastAsia="宋体" w:cs="宋体"/>
          <w:b/>
          <w:sz w:val="18"/>
          <w:szCs w:val="18"/>
          <w:lang w:eastAsia="zh-CN"/>
        </w:rPr>
      </w:pP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306C8F6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6" w:name="_Toc149837268"/>
      <w:bookmarkStart w:id="7" w:name="_Toc19443"/>
      <w:bookmarkStart w:id="8" w:name="_Toc30346"/>
      <w:bookmarkStart w:id="9"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6"/>
      <w:bookmarkEnd w:id="7"/>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bookmarkEnd w:id="8"/>
    <w:bookmarkEnd w:id="9"/>
    <w:p w14:paraId="1DEABA1D">
      <w:pPr>
        <w:pStyle w:val="25"/>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p>
    <w:tbl>
      <w:tblPr>
        <w:tblStyle w:val="12"/>
        <w:tblW w:w="981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1984"/>
        <w:gridCol w:w="2825"/>
        <w:gridCol w:w="2270"/>
        <w:gridCol w:w="2712"/>
        <w:gridCol w:w="19"/>
      </w:tblGrid>
      <w:tr w14:paraId="11916A0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3" w:hRule="atLeast"/>
          <w:jc w:val="center"/>
        </w:trPr>
        <w:tc>
          <w:tcPr>
            <w:tcW w:w="1984" w:type="dxa"/>
            <w:shd w:val="clear" w:color="auto" w:fill="00D392"/>
            <w:vAlign w:val="center"/>
          </w:tcPr>
          <w:p w14:paraId="1AA0596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825" w:type="dxa"/>
            <w:shd w:val="clear" w:color="auto" w:fill="00D392"/>
            <w:vAlign w:val="center"/>
          </w:tcPr>
          <w:p w14:paraId="2341526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270" w:type="dxa"/>
            <w:shd w:val="clear" w:color="auto" w:fill="00D392"/>
            <w:vAlign w:val="center"/>
          </w:tcPr>
          <w:p w14:paraId="1A4EEDF6">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shd w:val="clear" w:color="auto" w:fill="00D392"/>
            <w:vAlign w:val="center"/>
          </w:tcPr>
          <w:p w14:paraId="6E688ABB">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27FB54C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5229B36B">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825" w:type="dxa"/>
            <w:shd w:val="clear" w:color="auto" w:fill="auto"/>
            <w:vAlign w:val="center"/>
          </w:tcPr>
          <w:p w14:paraId="0AB75E8F">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270" w:type="dxa"/>
            <w:shd w:val="clear" w:color="auto" w:fill="auto"/>
            <w:vAlign w:val="center"/>
          </w:tcPr>
          <w:p w14:paraId="5E92D4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shd w:val="clear" w:color="auto" w:fill="auto"/>
            <w:vAlign w:val="center"/>
          </w:tcPr>
          <w:p w14:paraId="170B947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79AF00A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2709D3FE">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825" w:type="dxa"/>
            <w:shd w:val="clear" w:color="auto" w:fill="auto"/>
            <w:vAlign w:val="center"/>
          </w:tcPr>
          <w:p w14:paraId="46D073E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270" w:type="dxa"/>
            <w:shd w:val="clear" w:color="auto" w:fill="auto"/>
            <w:vAlign w:val="center"/>
          </w:tcPr>
          <w:p w14:paraId="34C20B80">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shd w:val="clear" w:color="auto" w:fill="auto"/>
            <w:vAlign w:val="center"/>
          </w:tcPr>
          <w:p w14:paraId="3BB507E5">
            <w:pPr>
              <w:jc w:val="center"/>
              <w:rPr>
                <w:rFonts w:hint="eastAsia" w:ascii="宋体" w:hAnsi="宋体" w:eastAsia="宋体" w:cs="宋体"/>
                <w:sz w:val="18"/>
                <w:szCs w:val="18"/>
              </w:rPr>
            </w:pPr>
            <w:r>
              <w:rPr>
                <w:rFonts w:hint="eastAsia" w:ascii="宋体" w:hAnsi="宋体" w:eastAsia="宋体" w:cs="宋体"/>
                <w:bCs/>
                <w:sz w:val="18"/>
                <w:szCs w:val="18"/>
                <w:lang w:eastAsia="zh-CN"/>
              </w:rPr>
              <w:t>≥2</w:t>
            </w:r>
            <w:r>
              <w:rPr>
                <w:rFonts w:hint="eastAsia" w:ascii="宋体" w:hAnsi="宋体" w:eastAsia="宋体" w:cs="宋体"/>
                <w:bCs/>
                <w:sz w:val="18"/>
                <w:szCs w:val="18"/>
              </w:rPr>
              <w:t>00</w:t>
            </w:r>
          </w:p>
        </w:tc>
      </w:tr>
      <w:tr w14:paraId="4A6803F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363D5503">
            <w:pPr>
              <w:rPr>
                <w:rFonts w:hint="eastAsia" w:ascii="宋体" w:hAnsi="宋体" w:eastAsia="宋体" w:cs="宋体"/>
                <w:b/>
                <w:bCs/>
                <w:sz w:val="18"/>
                <w:szCs w:val="18"/>
              </w:rPr>
            </w:pPr>
          </w:p>
        </w:tc>
        <w:tc>
          <w:tcPr>
            <w:tcW w:w="2825" w:type="dxa"/>
            <w:shd w:val="clear" w:color="auto" w:fill="auto"/>
            <w:vAlign w:val="center"/>
          </w:tcPr>
          <w:p w14:paraId="0AEDF5E0">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270" w:type="dxa"/>
            <w:shd w:val="clear" w:color="auto" w:fill="auto"/>
            <w:vAlign w:val="center"/>
          </w:tcPr>
          <w:p w14:paraId="47B78AB6">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shd w:val="clear" w:color="auto" w:fill="auto"/>
            <w:vAlign w:val="center"/>
          </w:tcPr>
          <w:p w14:paraId="2FCC0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6232F4A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3128E2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HRD 评估区域测序质量评估</w:t>
            </w:r>
          </w:p>
        </w:tc>
        <w:tc>
          <w:tcPr>
            <w:tcW w:w="2825" w:type="dxa"/>
            <w:shd w:val="clear" w:color="auto" w:fill="auto"/>
            <w:vAlign w:val="center"/>
          </w:tcPr>
          <w:p w14:paraId="789F2F76">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HRD Score</w:t>
            </w:r>
            <w:r>
              <w:rPr>
                <w:rFonts w:hint="eastAsia" w:ascii="宋体" w:hAnsi="宋体" w:eastAsia="宋体" w:cs="宋体"/>
                <w:bCs/>
                <w:sz w:val="18"/>
                <w:szCs w:val="18"/>
              </w:rPr>
              <w:t>平均测序深度</w:t>
            </w:r>
          </w:p>
        </w:tc>
        <w:tc>
          <w:tcPr>
            <w:tcW w:w="2270" w:type="dxa"/>
            <w:shd w:val="clear" w:color="auto" w:fill="auto"/>
            <w:vAlign w:val="center"/>
          </w:tcPr>
          <w:p w14:paraId="70FA94BB">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sz w:val="18"/>
                <w:szCs w:val="18"/>
                <w:lang w:eastAsia="zh-CN"/>
              </w:rPr>
              <w:t>{%if hrd != undefined%}{{ hrd.sequencing_depth }}{%endif%}</w:t>
            </w:r>
          </w:p>
        </w:tc>
        <w:tc>
          <w:tcPr>
            <w:tcW w:w="2731" w:type="dxa"/>
            <w:gridSpan w:val="2"/>
            <w:shd w:val="clear" w:color="auto" w:fill="auto"/>
            <w:vAlign w:val="center"/>
          </w:tcPr>
          <w:p w14:paraId="167FFE15">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≥200</w:t>
            </w:r>
          </w:p>
        </w:tc>
      </w:tr>
      <w:tr w14:paraId="2C2769F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18A0D07">
            <w:pPr>
              <w:autoSpaceDE w:val="0"/>
              <w:ind w:left="105" w:leftChars="50"/>
              <w:jc w:val="center"/>
              <w:rPr>
                <w:rFonts w:hint="eastAsia" w:ascii="宋体" w:hAnsi="宋体" w:eastAsia="宋体" w:cs="宋体"/>
                <w:b/>
                <w:bCs/>
                <w:sz w:val="18"/>
                <w:szCs w:val="18"/>
                <w:lang w:eastAsia="zh-CN" w:bidi="ar"/>
              </w:rPr>
            </w:pPr>
          </w:p>
        </w:tc>
        <w:tc>
          <w:tcPr>
            <w:tcW w:w="2825" w:type="dxa"/>
            <w:shd w:val="clear" w:color="auto" w:fill="auto"/>
            <w:vAlign w:val="center"/>
          </w:tcPr>
          <w:p w14:paraId="64A0DB87">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HRD Score覆盖均一性</w:t>
            </w:r>
          </w:p>
        </w:tc>
        <w:tc>
          <w:tcPr>
            <w:tcW w:w="2270" w:type="dxa"/>
            <w:shd w:val="clear" w:color="auto" w:fill="auto"/>
            <w:vAlign w:val="center"/>
          </w:tcPr>
          <w:p w14:paraId="7050D411">
            <w:pPr>
              <w:ind w:left="119" w:leftChars="0"/>
              <w:jc w:val="center"/>
              <w:rPr>
                <w:rFonts w:hint="eastAsia" w:ascii="宋体" w:hAnsi="宋体" w:eastAsia="宋体" w:cs="宋体"/>
                <w:sz w:val="18"/>
                <w:szCs w:val="18"/>
                <w:lang w:val="en-US" w:eastAsia="zh-CN" w:bidi="ar-SA"/>
              </w:rPr>
            </w:pPr>
            <w:r>
              <w:rPr>
                <w:rFonts w:hint="eastAsia" w:ascii="宋体" w:hAnsi="宋体" w:eastAsia="宋体" w:cs="宋体"/>
                <w:sz w:val="18"/>
                <w:szCs w:val="18"/>
                <w:lang w:eastAsia="zh-CN"/>
              </w:rPr>
              <w:t>{%if hrd != undefined%}{{ hrd.coverage_uniformity }}{%endif%}</w:t>
            </w:r>
          </w:p>
        </w:tc>
        <w:tc>
          <w:tcPr>
            <w:tcW w:w="2731" w:type="dxa"/>
            <w:gridSpan w:val="2"/>
            <w:shd w:val="clear" w:color="auto" w:fill="auto"/>
            <w:vAlign w:val="center"/>
          </w:tcPr>
          <w:p w14:paraId="228434AF">
            <w:pPr>
              <w:ind w:left="119" w:leftChars="0"/>
              <w:jc w:val="center"/>
              <w:rPr>
                <w:rFonts w:hint="eastAsia" w:ascii="宋体" w:hAnsi="宋体" w:eastAsia="宋体" w:cs="宋体"/>
                <w:bCs/>
                <w:sz w:val="18"/>
                <w:szCs w:val="18"/>
                <w:lang w:val="en-US" w:eastAsia="zh-CN" w:bidi="ar-SA"/>
              </w:rPr>
            </w:pPr>
            <w:r>
              <w:rPr>
                <w:rFonts w:hint="eastAsia" w:ascii="宋体" w:hAnsi="宋体" w:eastAsia="宋体" w:cs="宋体"/>
                <w:bCs/>
                <w:sz w:val="18"/>
                <w:szCs w:val="18"/>
                <w:lang w:eastAsia="zh-CN"/>
              </w:rPr>
              <w:t>≥80%</w:t>
            </w:r>
          </w:p>
        </w:tc>
      </w:tr>
      <w:tr w14:paraId="06C1580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D4E1003">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BRCA1/2 基因测序质量评估</w:t>
            </w:r>
          </w:p>
        </w:tc>
        <w:tc>
          <w:tcPr>
            <w:tcW w:w="2825" w:type="dxa"/>
            <w:shd w:val="clear" w:color="auto" w:fill="auto"/>
            <w:vAlign w:val="center"/>
          </w:tcPr>
          <w:p w14:paraId="22A54F0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270" w:type="dxa"/>
            <w:shd w:val="clear" w:color="auto" w:fill="auto"/>
            <w:vAlign w:val="center"/>
          </w:tcPr>
          <w:p w14:paraId="673CD5E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shd w:val="clear" w:color="auto" w:fill="auto"/>
            <w:vAlign w:val="center"/>
          </w:tcPr>
          <w:p w14:paraId="4FE024F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1A2EFDB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29F98DF">
            <w:pPr>
              <w:rPr>
                <w:rFonts w:hint="eastAsia" w:ascii="宋体" w:hAnsi="宋体" w:eastAsia="宋体" w:cs="宋体"/>
                <w:b/>
                <w:bCs/>
                <w:sz w:val="18"/>
                <w:szCs w:val="18"/>
              </w:rPr>
            </w:pPr>
          </w:p>
        </w:tc>
        <w:tc>
          <w:tcPr>
            <w:tcW w:w="2825" w:type="dxa"/>
            <w:shd w:val="clear" w:color="auto" w:fill="auto"/>
            <w:vAlign w:val="center"/>
          </w:tcPr>
          <w:p w14:paraId="3EC52262">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270" w:type="dxa"/>
            <w:shd w:val="clear" w:color="auto" w:fill="auto"/>
            <w:vAlign w:val="center"/>
          </w:tcPr>
          <w:p w14:paraId="4B108A2F">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shd w:val="clear" w:color="auto" w:fill="auto"/>
            <w:vAlign w:val="center"/>
          </w:tcPr>
          <w:p w14:paraId="62F27A3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6714BDE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1CE1D814">
            <w:pPr>
              <w:rPr>
                <w:rFonts w:hint="eastAsia" w:ascii="宋体" w:hAnsi="宋体" w:eastAsia="宋体" w:cs="宋体"/>
                <w:b/>
                <w:bCs/>
                <w:sz w:val="18"/>
                <w:szCs w:val="18"/>
              </w:rPr>
            </w:pPr>
          </w:p>
        </w:tc>
        <w:tc>
          <w:tcPr>
            <w:tcW w:w="2825" w:type="dxa"/>
            <w:shd w:val="clear" w:color="auto" w:fill="auto"/>
            <w:vAlign w:val="center"/>
          </w:tcPr>
          <w:p w14:paraId="6457E432">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270" w:type="dxa"/>
            <w:shd w:val="clear" w:color="auto" w:fill="auto"/>
            <w:vAlign w:val="center"/>
          </w:tcPr>
          <w:p w14:paraId="2388FE1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shd w:val="clear" w:color="auto" w:fill="auto"/>
            <w:vAlign w:val="center"/>
          </w:tcPr>
          <w:p w14:paraId="7CD9D28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02CFEB1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684D9089">
            <w:pPr>
              <w:rPr>
                <w:rFonts w:hint="eastAsia" w:ascii="宋体" w:hAnsi="宋体" w:eastAsia="宋体" w:cs="宋体"/>
                <w:b/>
                <w:bCs/>
                <w:sz w:val="18"/>
                <w:szCs w:val="18"/>
              </w:rPr>
            </w:pPr>
          </w:p>
        </w:tc>
        <w:tc>
          <w:tcPr>
            <w:tcW w:w="2825" w:type="dxa"/>
            <w:shd w:val="clear" w:color="auto" w:fill="auto"/>
            <w:vAlign w:val="center"/>
          </w:tcPr>
          <w:p w14:paraId="2D8F83EE">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270" w:type="dxa"/>
            <w:shd w:val="clear" w:color="auto" w:fill="auto"/>
            <w:vAlign w:val="center"/>
          </w:tcPr>
          <w:p w14:paraId="75D01097">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shd w:val="clear" w:color="auto" w:fill="auto"/>
            <w:vAlign w:val="center"/>
          </w:tcPr>
          <w:p w14:paraId="17DB4D4F">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23DA393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44716B15">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shd w:val="clear" w:color="auto" w:fill="F1F1F1"/>
            <w:vAlign w:val="center"/>
          </w:tcPr>
          <w:p w14:paraId="2F91B903">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sequencing_depth | oqa(500,400) }}</w:t>
            </w:r>
          </w:p>
        </w:tc>
      </w:tr>
    </w:tbl>
    <w:p w14:paraId="5B2F596D">
      <w:pPr>
        <w:pStyle w:val="25"/>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AAD0F9A">
      <w:pPr>
        <w:rPr>
          <w:sz w:val="30"/>
          <w:lang w:eastAsia="zh-CN"/>
        </w:rPr>
      </w:pPr>
      <w:bookmarkStart w:id="10" w:name="_Toc3409"/>
      <w:bookmarkStart w:id="11" w:name="_Toc15114"/>
      <w:bookmarkStart w:id="12" w:name="_Toc31185"/>
      <w:bookmarkStart w:id="13" w:name="_Toc20170_WPSOffice_Level1"/>
      <w:bookmarkStart w:id="14" w:name="_Toc27693"/>
      <w:bookmarkStart w:id="15" w:name="_Toc26985_WPSOffice_Level1"/>
      <w:bookmarkStart w:id="16" w:name="_Toc28454_WPSOffice_Level1"/>
      <w:bookmarkStart w:id="17" w:name="_Toc20924"/>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6" name="同侧圆角矩形 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B2A796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BRCA1&amp;BRCA2基因背景介绍</w:t>
                            </w:r>
                          </w:p>
                          <w:p w14:paraId="1DAFB191">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i&#10;3aAm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B2A796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BRCA1&amp;BRCA2基因背景介绍</w:t>
                      </w:r>
                    </w:p>
                    <w:p w14:paraId="1DAFB191">
                      <w:pPr>
                        <w:rPr>
                          <w:rFonts w:hint="default"/>
                          <w:lang w:val="en-US" w:eastAsia="zh-CN"/>
                        </w:rPr>
                      </w:pPr>
                    </w:p>
                  </w:txbxContent>
                </v:textbox>
                <w10:wrap type="none"/>
                <w10:anchorlock/>
              </v:shape>
            </w:pict>
          </mc:Fallback>
        </mc:AlternateContent>
      </w:r>
    </w:p>
    <w:bookmarkEnd w:id="10"/>
    <w:bookmarkEnd w:id="11"/>
    <w:p w14:paraId="17415B2B">
      <w:pPr>
        <w:keepNext w:val="0"/>
        <w:keepLines w:val="0"/>
        <w:pageBreakBefore w:val="0"/>
        <w:widowControl w:val="0"/>
        <w:kinsoku/>
        <w:wordWrap/>
        <w:overflowPunct/>
        <w:topLinePunct w:val="0"/>
        <w:autoSpaceDE/>
        <w:autoSpaceDN/>
        <w:bidi w:val="0"/>
        <w:adjustRightInd/>
        <w:snapToGrid/>
        <w:spacing w:before="26" w:line="312" w:lineRule="auto"/>
        <w:ind w:firstLine="420" w:firstLineChars="200"/>
        <w:jc w:val="both"/>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hint="eastAsia" w:ascii="宋体" w:hAnsi="宋体" w:eastAsia="宋体" w:cs="宋体"/>
          <w:sz w:val="21"/>
          <w:szCs w:val="21"/>
          <w:vertAlign w:val="superscript"/>
          <w:lang w:eastAsia="zh-CN"/>
        </w:rPr>
        <w:t>a</w:t>
      </w:r>
      <w:r>
        <w:rPr>
          <w:rFonts w:hint="eastAsia" w:ascii="宋体" w:hAnsi="宋体" w:eastAsia="宋体" w:cs="宋体"/>
          <w:sz w:val="21"/>
          <w:szCs w:val="21"/>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1004F00">
      <w:pPr>
        <w:rPr>
          <w:rFonts w:hint="eastAsia" w:ascii="宋体" w:hAnsi="宋体" w:eastAsia="宋体" w:cs="宋体"/>
          <w:sz w:val="15"/>
          <w:szCs w:val="15"/>
          <w:lang w:eastAsia="zh-CN"/>
        </w:rPr>
      </w:pPr>
      <w:r>
        <w:rPr>
          <w:rFonts w:hint="eastAsia" w:ascii="宋体" w:hAnsi="宋体" w:eastAsia="宋体" w:cs="宋体"/>
          <w:sz w:val="15"/>
          <w:szCs w:val="15"/>
          <w:lang w:eastAsia="zh-CN"/>
        </w:rPr>
        <w:t>a数据出自世界范围内人群的调查，中国人群的BRCA有害突变携带者患病比例和其有一定的差异。</w:t>
      </w:r>
    </w:p>
    <w:p w14:paraId="7538345F">
      <w:pPr>
        <w:rPr>
          <w:rFonts w:hint="eastAsia" w:ascii="宋体" w:hAnsi="宋体" w:eastAsia="宋体" w:cs="宋体"/>
          <w:sz w:val="15"/>
          <w:szCs w:val="15"/>
          <w:lang w:eastAsia="zh-CN"/>
        </w:rPr>
      </w:pPr>
    </w:p>
    <w:p w14:paraId="1DED7E49">
      <w:pPr>
        <w:rPr>
          <w:rFonts w:hint="eastAsia" w:ascii="宋体" w:hAnsi="宋体" w:eastAsia="宋体" w:cs="宋体"/>
          <w:b/>
          <w:color w:val="000000" w:themeColor="text1"/>
          <w:sz w:val="24"/>
          <w:lang w:eastAsia="zh-CN"/>
          <w14:textFill>
            <w14:solidFill>
              <w14:schemeClr w14:val="tx1"/>
            </w14:solidFill>
          </w14:textFill>
        </w:rPr>
      </w:pPr>
      <w:r>
        <w:rPr>
          <w:rFonts w:hint="eastAsia" w:ascii="宋体" w:hAnsi="宋体" w:eastAsia="宋体" w:cs="宋体"/>
          <w:b/>
          <w:color w:val="000000" w:themeColor="text1"/>
          <w:sz w:val="24"/>
          <w:lang w:eastAsia="zh-CN"/>
          <w14:textFill>
            <w14:solidFill>
              <w14:schemeClr w14:val="tx1"/>
            </w14:solidFill>
          </w14:textFill>
        </w:rPr>
        <w:t>BRCA1&amp;BRCA2基因说明及用药提示</w:t>
      </w:r>
      <w:bookmarkStart w:id="18" w:name="_Hlk33179213"/>
    </w:p>
    <w:bookmarkEnd w:id="18"/>
    <w:tbl>
      <w:tblPr>
        <w:tblStyle w:val="12"/>
        <w:tblW w:w="10207" w:type="dxa"/>
        <w:tblInd w:w="-147"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413" w:hRule="atLeast"/>
        </w:trPr>
        <w:tc>
          <w:tcPr>
            <w:tcW w:w="709" w:type="dxa"/>
            <w:shd w:val="clear" w:color="auto" w:fill="00D392"/>
            <w:vAlign w:val="center"/>
          </w:tcPr>
          <w:p w14:paraId="774281FA">
            <w:pPr>
              <w:pStyle w:val="27"/>
              <w:spacing w:before="10"/>
              <w:jc w:val="center"/>
              <w:rPr>
                <w:rFonts w:hint="eastAsia" w:ascii="宋体" w:hAnsi="宋体" w:eastAsia="宋体" w:cs="宋体"/>
                <w:b/>
                <w:color w:val="FFFFFF"/>
                <w:sz w:val="18"/>
                <w:szCs w:val="18"/>
              </w:rPr>
            </w:pPr>
            <w:r>
              <w:rPr>
                <w:rFonts w:hint="eastAsia" w:ascii="宋体" w:hAnsi="宋体" w:eastAsia="宋体" w:cs="宋体"/>
                <w:b/>
                <w:color w:val="FFFFFF"/>
                <w:sz w:val="18"/>
                <w:szCs w:val="18"/>
              </w:rPr>
              <w:t>基因</w:t>
            </w:r>
          </w:p>
        </w:tc>
        <w:tc>
          <w:tcPr>
            <w:tcW w:w="4913" w:type="dxa"/>
            <w:shd w:val="clear" w:color="auto" w:fill="00D392"/>
            <w:vAlign w:val="center"/>
          </w:tcPr>
          <w:p w14:paraId="0BA5BDB6">
            <w:pPr>
              <w:pStyle w:val="27"/>
              <w:spacing w:before="10"/>
              <w:jc w:val="center"/>
              <w:rPr>
                <w:rFonts w:hint="eastAsia" w:ascii="宋体" w:hAnsi="宋体" w:eastAsia="宋体" w:cs="宋体"/>
                <w:b/>
                <w:color w:val="FFFFFF"/>
                <w:sz w:val="18"/>
                <w:szCs w:val="18"/>
              </w:rPr>
            </w:pPr>
            <w:r>
              <w:rPr>
                <w:rFonts w:hint="eastAsia" w:ascii="宋体" w:hAnsi="宋体" w:eastAsia="宋体" w:cs="宋体"/>
                <w:b/>
                <w:color w:val="FFFFFF"/>
                <w:sz w:val="18"/>
                <w:szCs w:val="18"/>
              </w:rPr>
              <w:t>基因说明</w:t>
            </w:r>
          </w:p>
        </w:tc>
        <w:tc>
          <w:tcPr>
            <w:tcW w:w="2036" w:type="dxa"/>
            <w:shd w:val="clear" w:color="auto" w:fill="00D392"/>
            <w:vAlign w:val="center"/>
          </w:tcPr>
          <w:p w14:paraId="7373E020">
            <w:pPr>
              <w:pStyle w:val="27"/>
              <w:jc w:val="center"/>
              <w:rPr>
                <w:rFonts w:hint="eastAsia" w:ascii="宋体" w:hAnsi="宋体" w:eastAsia="宋体" w:cs="宋体"/>
                <w:b/>
                <w:sz w:val="18"/>
                <w:szCs w:val="18"/>
              </w:rPr>
            </w:pPr>
            <w:r>
              <w:rPr>
                <w:rFonts w:hint="eastAsia" w:ascii="宋体" w:hAnsi="宋体" w:eastAsia="宋体" w:cs="宋体"/>
                <w:b/>
                <w:color w:val="FFFFFF"/>
                <w:sz w:val="18"/>
                <w:szCs w:val="18"/>
              </w:rPr>
              <w:t>靶向药物</w:t>
            </w:r>
          </w:p>
        </w:tc>
        <w:tc>
          <w:tcPr>
            <w:tcW w:w="2549" w:type="dxa"/>
            <w:shd w:val="clear" w:color="auto" w:fill="00D392"/>
            <w:vAlign w:val="center"/>
          </w:tcPr>
          <w:p w14:paraId="3B5EC0F7">
            <w:pPr>
              <w:pStyle w:val="27"/>
              <w:ind w:left="134"/>
              <w:jc w:val="center"/>
              <w:rPr>
                <w:rFonts w:hint="eastAsia" w:ascii="宋体" w:hAnsi="宋体" w:eastAsia="宋体" w:cs="宋体"/>
                <w:b/>
                <w:sz w:val="18"/>
                <w:szCs w:val="18"/>
                <w:lang w:eastAsia="zh-CN"/>
              </w:rPr>
            </w:pPr>
            <w:r>
              <w:rPr>
                <w:rFonts w:hint="eastAsia" w:ascii="宋体" w:hAnsi="宋体" w:eastAsia="宋体" w:cs="宋体"/>
                <w:b/>
                <w:color w:val="FFFFFF"/>
                <w:sz w:val="18"/>
                <w:szCs w:val="18"/>
                <w:lang w:eastAsia="zh-CN"/>
              </w:rPr>
              <w:t>用药提示（仅供参考）</w:t>
            </w:r>
          </w:p>
        </w:tc>
      </w:tr>
      <w:tr w14:paraId="3847E1E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340" w:hRule="atLeast"/>
        </w:trPr>
        <w:tc>
          <w:tcPr>
            <w:tcW w:w="709" w:type="dxa"/>
            <w:vAlign w:val="center"/>
          </w:tcPr>
          <w:p w14:paraId="26B36359">
            <w:pPr>
              <w:pStyle w:val="27"/>
              <w:adjustRightInd w:val="0"/>
              <w:spacing w:before="158"/>
              <w:jc w:val="both"/>
              <w:rPr>
                <w:rFonts w:hint="eastAsia" w:ascii="宋体" w:hAnsi="宋体" w:eastAsia="宋体" w:cs="宋体"/>
                <w:b/>
                <w:bCs/>
                <w:sz w:val="18"/>
                <w:szCs w:val="18"/>
                <w:lang w:eastAsia="zh-CN"/>
              </w:rPr>
            </w:pPr>
            <w:r>
              <w:rPr>
                <w:rFonts w:hint="eastAsia" w:ascii="宋体" w:hAnsi="宋体" w:eastAsia="宋体" w:cs="宋体"/>
                <w:b/>
                <w:bCs/>
                <w:sz w:val="18"/>
                <w:szCs w:val="18"/>
                <w:lang w:eastAsia="zh-CN"/>
              </w:rPr>
              <w:t>BRCA1</w:t>
            </w:r>
          </w:p>
        </w:tc>
        <w:tc>
          <w:tcPr>
            <w:tcW w:w="4913" w:type="dxa"/>
            <w:vAlign w:val="center"/>
          </w:tcPr>
          <w:p w14:paraId="424BAF84">
            <w:pPr>
              <w:pStyle w:val="27"/>
              <w:ind w:left="119" w:right="4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BRCA1定位于17号染色体长臂。该基因全长81kp，共有23个外显子，是肿瘤抑制基因。BRCA1非激活突变会导致Brca1蛋白肿瘤抑制功能的丧失，扰乱DNA修复过程造成DNA损伤的积累，并且细胞周期检查点功能的缺失，进而引起肿瘤发生。BRCA1缺陷会增加乳腺癌、卵巢癌风险[PMID: 27241103; PMID: 25025451; PMID: 23765559; PMID: 25238946]。BRCA1相关的疾病还包括子宫内膜癌、肠癌、胃癌等[PMID: 25849179; PMID: 20495085; PMID: 20034658; PMID: 20494261; PMID: 21324516]。BRCA1胚系突变，倾向发生于家族性乳腺癌、卵巢癌、胰腺癌、前列腺癌、葡萄膜恶性黑色素瘤及食管癌等[PMID: 23057551; PMID: 16835424; PMID: 23987739; PMID: 23459506; PMID: 25872896]。 </w:t>
            </w:r>
          </w:p>
        </w:tc>
        <w:tc>
          <w:tcPr>
            <w:tcW w:w="2036" w:type="dxa"/>
            <w:vAlign w:val="center"/>
          </w:tcPr>
          <w:p w14:paraId="4941EA5D">
            <w:pPr>
              <w:pStyle w:val="27"/>
              <w:adjustRightInd w:val="0"/>
              <w:spacing w:before="35"/>
              <w:ind w:left="105" w:leftChars="5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Olaparib（奥拉帕利）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5E37E783">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Rucaparib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7A45778A">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Niraparib（尼拉帕利）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13107EDE">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Fluzoparib（氟唑帕利）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374EC53E">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Pamiparib（帕米帕利）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41287B9C">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Talazoparib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45A6AF8A">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Iniparib</w:t>
            </w:r>
            <w:r>
              <w:rPr>
                <w:rFonts w:hint="eastAsia" w:ascii="宋体" w:hAnsi="宋体" w:eastAsia="宋体" w:cs="宋体"/>
                <w:sz w:val="18"/>
                <w:szCs w:val="18"/>
                <w:vertAlign w:val="superscript"/>
                <w:lang w:eastAsia="zh-CN"/>
              </w:rPr>
              <w:t>2</w:t>
            </w:r>
            <w:r>
              <w:rPr>
                <w:rFonts w:hint="eastAsia" w:ascii="宋体" w:hAnsi="宋体" w:eastAsia="宋体" w:cs="宋体"/>
                <w:sz w:val="18"/>
                <w:szCs w:val="18"/>
                <w:lang w:eastAsia="zh-CN"/>
              </w:rPr>
              <w:t>、</w:t>
            </w:r>
          </w:p>
          <w:p w14:paraId="48C1DA72">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Bevacizumab+Olaparib（贝伐珠单抗+奥拉帕利）</w:t>
            </w:r>
            <w:r>
              <w:rPr>
                <w:rFonts w:hint="eastAsia" w:ascii="宋体" w:hAnsi="宋体" w:eastAsia="宋体" w:cs="宋体"/>
                <w:sz w:val="18"/>
                <w:szCs w:val="18"/>
                <w:vertAlign w:val="superscript"/>
                <w:lang w:eastAsia="zh-CN"/>
              </w:rPr>
              <w:t>1*</w:t>
            </w:r>
          </w:p>
        </w:tc>
        <w:tc>
          <w:tcPr>
            <w:tcW w:w="2549" w:type="dxa"/>
            <w:vAlign w:val="center"/>
          </w:tcPr>
          <w:p w14:paraId="6CE92C6B">
            <w:pPr>
              <w:pStyle w:val="27"/>
              <w:ind w:left="119" w:right="181"/>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携带BRCA1胚系或体细胞失活性突变的肿瘤可能对PARP抑制剂敏感[PMID: 34293664; PMID: 34103386; PMID: 33740262; PMID: 34118019; PMID: 34287805]，例如奥拉帕利、Rucaparib、氟唑帕利等。如携带BRCA1致病性胚系突变，建议直系亲属进行遗传易感性基因筛查。</w:t>
            </w:r>
          </w:p>
        </w:tc>
      </w:tr>
      <w:tr w14:paraId="6DF87C9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340" w:hRule="atLeast"/>
        </w:trPr>
        <w:tc>
          <w:tcPr>
            <w:tcW w:w="709" w:type="dxa"/>
            <w:vAlign w:val="center"/>
          </w:tcPr>
          <w:p w14:paraId="67E1CA8C">
            <w:pPr>
              <w:pStyle w:val="27"/>
              <w:adjustRightInd w:val="0"/>
              <w:spacing w:before="158"/>
              <w:jc w:val="both"/>
              <w:rPr>
                <w:rFonts w:hint="eastAsia" w:ascii="宋体" w:hAnsi="宋体" w:eastAsia="宋体" w:cs="宋体"/>
                <w:b/>
                <w:bCs/>
                <w:sz w:val="18"/>
                <w:szCs w:val="18"/>
                <w:lang w:eastAsia="zh-CN"/>
              </w:rPr>
            </w:pPr>
            <w:r>
              <w:rPr>
                <w:rFonts w:hint="eastAsia" w:ascii="宋体" w:hAnsi="宋体" w:eastAsia="宋体" w:cs="宋体"/>
                <w:b/>
                <w:bCs/>
                <w:sz w:val="18"/>
                <w:szCs w:val="18"/>
                <w:lang w:eastAsia="zh-CN"/>
              </w:rPr>
              <w:t>BRCA2</w:t>
            </w:r>
          </w:p>
        </w:tc>
        <w:tc>
          <w:tcPr>
            <w:tcW w:w="4913" w:type="dxa"/>
            <w:vAlign w:val="center"/>
          </w:tcPr>
          <w:p w14:paraId="01F6EE8B">
            <w:pPr>
              <w:pStyle w:val="27"/>
              <w:ind w:left="119" w:right="4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BRCA2定位于13号染色体长臂12-13区。该基因全长约70kb，共有27个外显子，是肿瘤抑制基因，其mRNA长约10kb所编码的BRCA2蛋白含有3418个氨基酸。BRCA2非激活突变会导致Brca2蛋白肿瘤抑制功能的丧失，扰乱DNA修复过程造成DNA损伤的积累，并且细胞周期检查点功能的缺失，进而引起肿瘤发生。BRCA2缺陷会增加乳腺癌、卵巢癌风险[PMID: 27241103; PMID: 25025451; PMID: 23765559; PMID: 25238946]。BRCA2相关的疾病还包括子宫内膜癌、肠癌、胃癌等[PMID: 25849179; PMID: 20495085; PMID: 20034658; PMID: 20494261; PMID: 21324516]。BRCA2胚系突变，倾向发生于家族性乳腺癌、卵巢癌、胰腺癌、前列腺癌、葡萄膜恶性黑色素瘤及食管癌等[PMID: 23057551; PMID: 16835424; PMID: 23987739; PMID: 23459506; PMID: 25872896]。</w:t>
            </w:r>
          </w:p>
        </w:tc>
        <w:tc>
          <w:tcPr>
            <w:tcW w:w="2036" w:type="dxa"/>
            <w:vAlign w:val="center"/>
          </w:tcPr>
          <w:p w14:paraId="732C79C6">
            <w:pPr>
              <w:pStyle w:val="27"/>
              <w:adjustRightInd w:val="0"/>
              <w:spacing w:before="35"/>
              <w:ind w:left="105" w:leftChars="50"/>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Olaparib（奥拉帕利）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08972892">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Rucaparib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788152FE">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Niraparib（尼拉帕利）</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40220226">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Fluzoparib（氟唑帕利）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52071391">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Pamiparib（帕米帕利）</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w:t>
            </w:r>
          </w:p>
          <w:p w14:paraId="14E01B16">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Talazoparib</w:t>
            </w:r>
            <w:r>
              <w:rPr>
                <w:rFonts w:hint="eastAsia" w:ascii="宋体" w:hAnsi="宋体" w:eastAsia="宋体" w:cs="宋体"/>
                <w:sz w:val="18"/>
                <w:szCs w:val="18"/>
                <w:vertAlign w:val="superscript"/>
                <w:lang w:eastAsia="zh-CN"/>
              </w:rPr>
              <w:t>1</w:t>
            </w:r>
            <w:r>
              <w:rPr>
                <w:rFonts w:hint="eastAsia" w:ascii="宋体" w:hAnsi="宋体" w:eastAsia="宋体" w:cs="宋体"/>
                <w:sz w:val="18"/>
                <w:szCs w:val="18"/>
                <w:lang w:eastAsia="zh-CN"/>
              </w:rPr>
              <w:t>、</w:t>
            </w:r>
          </w:p>
          <w:p w14:paraId="4D708A2C">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Iniparib</w:t>
            </w:r>
            <w:r>
              <w:rPr>
                <w:rFonts w:hint="eastAsia" w:ascii="宋体" w:hAnsi="宋体" w:eastAsia="宋体" w:cs="宋体"/>
                <w:sz w:val="18"/>
                <w:szCs w:val="18"/>
                <w:vertAlign w:val="superscript"/>
                <w:lang w:eastAsia="zh-CN"/>
              </w:rPr>
              <w:t>2</w:t>
            </w:r>
            <w:r>
              <w:rPr>
                <w:rFonts w:hint="eastAsia" w:ascii="宋体" w:hAnsi="宋体" w:eastAsia="宋体" w:cs="宋体"/>
                <w:sz w:val="18"/>
                <w:szCs w:val="18"/>
                <w:lang w:eastAsia="zh-CN"/>
              </w:rPr>
              <w:t>、</w:t>
            </w:r>
          </w:p>
          <w:p w14:paraId="44237B64">
            <w:pPr>
              <w:adjustRightInd w:val="0"/>
              <w:ind w:left="105" w:leftChars="50"/>
              <w:jc w:val="both"/>
              <w:rPr>
                <w:rFonts w:hint="eastAsia" w:ascii="宋体" w:hAnsi="宋体" w:eastAsia="宋体" w:cs="宋体"/>
                <w:sz w:val="18"/>
                <w:szCs w:val="18"/>
              </w:rPr>
            </w:pPr>
            <w:r>
              <w:rPr>
                <w:rFonts w:hint="eastAsia" w:ascii="宋体" w:hAnsi="宋体" w:eastAsia="宋体" w:cs="宋体"/>
                <w:sz w:val="18"/>
                <w:szCs w:val="18"/>
                <w:lang w:eastAsia="zh-CN"/>
              </w:rPr>
              <w:t>Bevacizumab+Olaparib（贝伐珠单抗+奥拉帕利）</w:t>
            </w:r>
            <w:r>
              <w:rPr>
                <w:rFonts w:hint="eastAsia" w:ascii="宋体" w:hAnsi="宋体" w:eastAsia="宋体" w:cs="宋体"/>
                <w:sz w:val="18"/>
                <w:szCs w:val="18"/>
                <w:vertAlign w:val="superscript"/>
                <w:lang w:eastAsia="zh-CN"/>
              </w:rPr>
              <w:t>1*</w:t>
            </w:r>
          </w:p>
        </w:tc>
        <w:tc>
          <w:tcPr>
            <w:tcW w:w="2549" w:type="dxa"/>
            <w:vAlign w:val="center"/>
          </w:tcPr>
          <w:p w14:paraId="33DB6432">
            <w:pPr>
              <w:pStyle w:val="27"/>
              <w:ind w:left="119" w:right="181"/>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携带BRCA2胚系或体细胞失活性突变的肿瘤可能对PARP抑制剂敏感[PMID: 34293664; PMID: 34103386; PMID: 33740262; PMID: 34118019; PMID: 34287805]，例如奥拉帕利、Rucaparib、氟唑帕利等。如携带BRCA2致病性胚系突变，建议直系亲属进行遗传易感性基因筛查。</w:t>
            </w:r>
          </w:p>
        </w:tc>
      </w:tr>
    </w:tbl>
    <w:p w14:paraId="1E71E195">
      <w:pPr>
        <w:rPr>
          <w:rFonts w:hint="eastAsia" w:ascii="宋体" w:hAnsi="宋体" w:eastAsia="宋体" w:cs="宋体"/>
          <w:b/>
          <w:sz w:val="13"/>
          <w:szCs w:val="13"/>
        </w:rPr>
      </w:pPr>
      <w:r>
        <w:rPr>
          <w:rFonts w:hint="eastAsia" w:ascii="宋体" w:hAnsi="宋体" w:eastAsia="宋体" w:cs="宋体"/>
          <w:b/>
          <w:sz w:val="13"/>
          <w:szCs w:val="13"/>
        </w:rPr>
        <w:t>注：</w:t>
      </w:r>
    </w:p>
    <w:p w14:paraId="4E538424">
      <w:pPr>
        <w:pStyle w:val="38"/>
        <w:numPr>
          <w:ilvl w:val="0"/>
          <w:numId w:val="3"/>
        </w:numPr>
        <w:autoSpaceDE w:val="0"/>
        <w:autoSpaceDN w:val="0"/>
        <w:ind w:firstLineChars="0"/>
        <w:rPr>
          <w:rFonts w:hint="eastAsia" w:ascii="宋体" w:hAnsi="宋体" w:eastAsia="宋体" w:cs="宋体"/>
          <w:sz w:val="13"/>
          <w:szCs w:val="13"/>
          <w:lang w:eastAsia="zh-CN"/>
        </w:rPr>
      </w:pPr>
      <w:r>
        <w:rPr>
          <w:rFonts w:hint="eastAsia" w:ascii="宋体" w:hAnsi="宋体" w:eastAsia="宋体" w:cs="宋体"/>
          <w:sz w:val="13"/>
          <w:szCs w:val="13"/>
          <w:lang w:eastAsia="zh-CN"/>
        </w:rPr>
        <w:t>数字1表示FDA获批药物；</w:t>
      </w:r>
    </w:p>
    <w:p w14:paraId="52BC97C7">
      <w:pPr>
        <w:pStyle w:val="38"/>
        <w:numPr>
          <w:ilvl w:val="0"/>
          <w:numId w:val="3"/>
        </w:numPr>
        <w:autoSpaceDE w:val="0"/>
        <w:autoSpaceDN w:val="0"/>
        <w:ind w:firstLineChars="0"/>
        <w:rPr>
          <w:rFonts w:hint="eastAsia" w:ascii="宋体" w:hAnsi="宋体" w:eastAsia="宋体" w:cs="宋体"/>
          <w:sz w:val="13"/>
          <w:szCs w:val="13"/>
          <w:lang w:eastAsia="zh-CN"/>
        </w:rPr>
      </w:pPr>
      <w:r>
        <w:rPr>
          <w:rFonts w:hint="eastAsia" w:ascii="宋体" w:hAnsi="宋体" w:eastAsia="宋体" w:cs="宋体"/>
          <w:sz w:val="13"/>
          <w:szCs w:val="13"/>
          <w:lang w:eastAsia="zh-CN"/>
        </w:rPr>
        <w:t>数字2表示临床试验的药物；</w:t>
      </w:r>
    </w:p>
    <w:p w14:paraId="2779B22A">
      <w:pPr>
        <w:pStyle w:val="38"/>
        <w:numPr>
          <w:ilvl w:val="0"/>
          <w:numId w:val="3"/>
        </w:numPr>
        <w:autoSpaceDE w:val="0"/>
        <w:autoSpaceDN w:val="0"/>
        <w:ind w:firstLineChars="0"/>
        <w:rPr>
          <w:rFonts w:hint="eastAsia" w:ascii="宋体" w:hAnsi="宋体" w:eastAsia="宋体" w:cs="宋体"/>
          <w:color w:val="auto"/>
          <w:sz w:val="13"/>
          <w:szCs w:val="13"/>
          <w:lang w:val="en-US" w:eastAsia="zh-CN"/>
        </w:rPr>
      </w:pPr>
      <w:r>
        <w:rPr>
          <w:rFonts w:hint="eastAsia" w:ascii="宋体" w:hAnsi="宋体" w:eastAsia="宋体" w:cs="宋体"/>
          <w:sz w:val="13"/>
          <w:szCs w:val="13"/>
          <w:lang w:eastAsia="zh-CN"/>
        </w:rPr>
        <w:t>*表示NMPA获批药物。</w:t>
      </w:r>
    </w:p>
    <w:p w14:paraId="2A24C105">
      <w:pPr>
        <w:rPr>
          <w:rFonts w:hint="eastAsia" w:ascii="宋体" w:hAnsi="宋体" w:eastAsia="宋体" w:cs="宋体"/>
          <w:sz w:val="18"/>
          <w:szCs w:val="18"/>
          <w:highlight w:val="yellow"/>
          <w:lang w:eastAsia="zh-CN"/>
        </w:rPr>
      </w:pPr>
      <w:r>
        <w:rPr>
          <w:rFonts w:hint="eastAsia" w:ascii="Times New Roman" w:hAnsi="Times New Roman" w:eastAsia="微软雅黑"/>
          <w:sz w:val="18"/>
          <w:szCs w:val="18"/>
          <w:lang w:eastAsia="zh-CN"/>
        </w:rPr>
        <w:br w:type="page"/>
      </w:r>
    </w:p>
    <w:p w14:paraId="0FDE6951">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7" name="同侧圆角矩形 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429008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10137"/>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基因组不稳定性介绍</w:t>
                            </w:r>
                            <w:bookmarkEnd w:id="36"/>
                          </w:p>
                          <w:p w14:paraId="2A7AA825">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J&#10;0StU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429008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10137"/>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基因组不稳定性介绍</w:t>
                      </w:r>
                      <w:bookmarkEnd w:id="36"/>
                    </w:p>
                    <w:p w14:paraId="2A7AA825">
                      <w:pPr>
                        <w:rPr>
                          <w:rFonts w:hint="default"/>
                          <w:lang w:val="en-US" w:eastAsia="zh-CN"/>
                        </w:rPr>
                      </w:pPr>
                    </w:p>
                  </w:txbxContent>
                </v:textbox>
                <w10:wrap type="none"/>
                <w10:anchorlock/>
              </v:shape>
            </w:pict>
          </mc:Fallback>
        </mc:AlternateContent>
      </w:r>
    </w:p>
    <w:p w14:paraId="458F8923">
      <w:pPr>
        <w:spacing w:line="440" w:lineRule="exact"/>
        <w:ind w:firstLine="420" w:firstLineChars="200"/>
        <w:rPr>
          <w:rFonts w:hint="eastAsia" w:ascii="宋体" w:hAnsi="宋体" w:eastAsia="宋体" w:cs="宋体"/>
          <w:lang w:eastAsia="zh-CN"/>
        </w:rPr>
      </w:pPr>
      <w:r>
        <w:rPr>
          <w:rFonts w:hint="eastAsia" w:ascii="宋体" w:hAnsi="宋体" w:eastAsia="宋体" w:cs="宋体"/>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eastAsia" w:ascii="宋体" w:hAnsi="宋体" w:eastAsia="宋体" w:cs="宋体"/>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eastAsia" w:ascii="宋体" w:hAnsi="宋体" w:eastAsia="宋体" w:cs="宋体"/>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20" w:firstLineChars="200"/>
        <w:rPr>
          <w:rFonts w:hint="eastAsia" w:ascii="宋体" w:hAnsi="宋体" w:eastAsia="宋体" w:cs="宋体"/>
          <w:lang w:eastAsia="zh-CN"/>
        </w:rPr>
      </w:pPr>
      <w:r>
        <w:rPr>
          <w:rFonts w:hint="eastAsia" w:ascii="宋体" w:hAnsi="宋体" w:eastAsia="宋体" w:cs="宋体"/>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29935278">
      <w:pPr>
        <w:rPr>
          <w:highlight w:val="yellow"/>
          <w:lang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7" w:name="_Toc23686"/>
                            <w:bookmarkStart w:id="38" w:name="_Toc12485"/>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同源重组缺陷（HRD）与肿瘤的精准治疗</w:t>
                            </w:r>
                            <w:bookmarkEnd w:id="37"/>
                            <w:bookmarkEnd w:id="38"/>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7" w:name="_Toc23686"/>
                      <w:bookmarkStart w:id="38" w:name="_Toc12485"/>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同源重组缺陷（HRD）与肿瘤的精准治疗</w:t>
                      </w:r>
                      <w:bookmarkEnd w:id="37"/>
                      <w:bookmarkEnd w:id="38"/>
                    </w:p>
                    <w:p w14:paraId="326104F4">
                      <w:pPr>
                        <w:rPr>
                          <w:rFonts w:hint="default"/>
                          <w:lang w:val="en-US" w:eastAsia="zh-CN"/>
                        </w:rPr>
                      </w:pPr>
                    </w:p>
                  </w:txbxContent>
                </v:textbox>
                <w10:wrap type="none"/>
                <w10:anchorlock/>
              </v:shape>
            </w:pict>
          </mc:Fallback>
        </mc:AlternateContent>
      </w:r>
    </w:p>
    <w:p w14:paraId="36F37D0E">
      <w:pPr>
        <w:spacing w:line="440" w:lineRule="exact"/>
        <w:ind w:firstLine="420" w:firstLineChars="200"/>
        <w:rPr>
          <w:rFonts w:hint="eastAsia" w:ascii="宋体" w:hAnsi="宋体" w:eastAsia="宋体" w:cs="宋体"/>
          <w:lang w:eastAsia="zh-CN"/>
        </w:rPr>
      </w:pPr>
      <w:r>
        <w:rPr>
          <w:rFonts w:hint="eastAsia" w:ascii="宋体" w:hAnsi="宋体" w:eastAsia="宋体" w:cs="宋体"/>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20" w:firstLineChars="200"/>
        <w:rPr>
          <w:rFonts w:hint="eastAsia" w:ascii="宋体" w:hAnsi="宋体" w:eastAsia="宋体" w:cs="宋体"/>
          <w:color w:val="000000" w:themeColor="text1"/>
          <w:lang w:eastAsia="zh-CN"/>
          <w14:textFill>
            <w14:solidFill>
              <w14:schemeClr w14:val="tx1"/>
            </w14:solidFill>
          </w14:textFill>
        </w:rPr>
      </w:pPr>
      <w:r>
        <w:rPr>
          <w:rFonts w:hint="eastAsia" w:ascii="宋体" w:hAnsi="宋体" w:eastAsia="宋体" w:cs="宋体"/>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2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100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图片 3"/>
                    <pic:cNvPicPr>
                      <a:picLocks noChangeAspect="1"/>
                    </pic:cNvPicPr>
                  </pic:nvPicPr>
                  <pic:blipFill>
                    <a:blip r:embed="rId11"/>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3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p>
    <w:p w14:paraId="2BBCD524">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290310" cy="297180"/>
                <wp:effectExtent l="4445" t="4445" r="14605" b="18415"/>
                <wp:docPr id="10" name="同侧圆角矩形 10"/>
                <wp:cNvGraphicFramePr/>
                <a:graphic xmlns:a="http://schemas.openxmlformats.org/drawingml/2006/main">
                  <a:graphicData uri="http://schemas.microsoft.com/office/word/2010/wordprocessingShape">
                    <wps:wsp>
                      <wps:cNvSpPr/>
                      <wps:spPr>
                        <a:xfrm>
                          <a:off x="0" y="0"/>
                          <a:ext cx="629031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52FC90A">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易感人群特征</w:t>
                            </w:r>
                          </w:p>
                          <w:p w14:paraId="72CCF2B6">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5.3pt;v-text-anchor:middle;" fillcolor="#18CF96" filled="t" stroked="t" coordsize="6290310,297180" o:gfxdata="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MxVwftQAAAAE&#10;AQAADwAAAAAAAAABACAAAAAiAAAAZHJzL2Rvd25yZXYueG1sUEsBAhQAFAAAAAgAh07iQEFoYs+S&#10;AgAAHAUAAA4AAAAAAAAAAQAgAAAAIwEAAGRycy9lMm9Eb2MueG1sUEsFBgAAAAAGAAYAWQEAACcG&#10;AAAAAA==&#10;" path="m49530,0l6240779,0c6268134,0,6290309,22175,6290309,49530l6290310,297180,6290310,297180,0,297180,0,297180,0,49530c0,22175,22175,0,49530,0xe">
                <v:path textboxrect="0,0,6290310,297180" o:connectlocs="6290310,148590;3145155,297180;0,148590;3145155,0" o:connectangles="0,82,164,247"/>
                <v:fill on="t" focussize="0,0"/>
                <v:stroke weight="0.5pt" color="#18CF96 [3204]" miterlimit="8" joinstyle="miter"/>
                <v:imagedata o:title=""/>
                <o:lock v:ext="edit" aspectratio="f"/>
                <v:textbox inset="1mm,0mm,1mm,0mm">
                  <w:txbxContent>
                    <w:p w14:paraId="752FC90A">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易感人群特征</w:t>
                      </w:r>
                    </w:p>
                    <w:p w14:paraId="72CCF2B6">
                      <w:pPr>
                        <w:rPr>
                          <w:rFonts w:hint="default"/>
                          <w:lang w:val="en-US" w:eastAsia="zh-CN"/>
                        </w:rPr>
                      </w:pPr>
                    </w:p>
                  </w:txbxContent>
                </v:textbox>
                <w10:wrap type="none"/>
                <w10:anchorlock/>
              </v:shape>
            </w:pict>
          </mc:Fallback>
        </mc:AlternateContent>
      </w:r>
    </w:p>
    <w:p w14:paraId="09846666">
      <w:pPr>
        <w:spacing w:before="26"/>
        <w:rPr>
          <w:rFonts w:hint="eastAsia" w:ascii="宋体" w:hAnsi="宋体" w:eastAsia="宋体" w:cs="宋体"/>
          <w:b/>
          <w:sz w:val="6"/>
          <w:lang w:eastAsia="zh-CN"/>
        </w:rPr>
      </w:pPr>
      <w:r>
        <w:rPr>
          <w:rFonts w:hint="eastAsia" w:ascii="宋体" w:hAnsi="宋体" w:eastAsia="宋体" w:cs="宋体"/>
          <w:b/>
          <w:bCs/>
          <w:sz w:val="24"/>
          <w:szCs w:val="24"/>
          <w:lang w:eastAsia="zh-CN"/>
        </w:rPr>
        <w:t>乳腺癌、卵巢癌易感人群特征</w:t>
      </w:r>
    </w:p>
    <w:p w14:paraId="7DA7E478">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1 患者发病年龄≤45岁；</w:t>
      </w:r>
    </w:p>
    <w:p w14:paraId="51E4FE45">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2 患者发病年龄46~50岁发病，同时伴有：</w:t>
      </w:r>
    </w:p>
    <w:p w14:paraId="6A4E8D67">
      <w:pPr>
        <w:widowControl/>
        <w:numPr>
          <w:ilvl w:val="0"/>
          <w:numId w:val="4"/>
        </w:numPr>
        <w:spacing w:before="26"/>
        <w:ind w:firstLine="180" w:firstLineChars="100"/>
        <w:rPr>
          <w:rFonts w:hint="eastAsia" w:ascii="宋体" w:hAnsi="宋体" w:eastAsia="宋体" w:cs="宋体"/>
          <w:sz w:val="18"/>
          <w:szCs w:val="18"/>
        </w:rPr>
      </w:pPr>
      <w:r>
        <w:rPr>
          <w:rFonts w:hint="eastAsia" w:ascii="宋体" w:hAnsi="宋体" w:eastAsia="宋体" w:cs="宋体"/>
          <w:sz w:val="18"/>
          <w:szCs w:val="18"/>
        </w:rPr>
        <w:t>第二原发性乳腺癌；</w:t>
      </w:r>
    </w:p>
    <w:p w14:paraId="309C5244">
      <w:pPr>
        <w:spacing w:before="26"/>
        <w:ind w:firstLine="180" w:firstLineChars="100"/>
        <w:rPr>
          <w:rFonts w:hint="eastAsia" w:ascii="宋体" w:hAnsi="宋体" w:eastAsia="宋体" w:cs="宋体"/>
          <w:sz w:val="18"/>
          <w:szCs w:val="18"/>
          <w:lang w:eastAsia="zh-CN"/>
        </w:rPr>
      </w:pPr>
      <w:r>
        <w:rPr>
          <w:rFonts w:hint="eastAsia" w:ascii="宋体" w:hAnsi="宋体" w:eastAsia="宋体" w:cs="宋体"/>
          <w:sz w:val="18"/>
          <w:szCs w:val="18"/>
          <w:lang w:eastAsia="zh-CN"/>
        </w:rPr>
        <w:t>(2) 满足≥1项以下家族史标准：</w:t>
      </w:r>
    </w:p>
    <w:p w14:paraId="68D6E655">
      <w:pPr>
        <w:spacing w:before="26"/>
        <w:ind w:left="810" w:leftChars="300" w:hanging="180" w:hangingChars="100"/>
        <w:rPr>
          <w:rFonts w:hint="eastAsia" w:ascii="宋体" w:hAnsi="宋体" w:eastAsia="宋体" w:cs="宋体"/>
          <w:sz w:val="18"/>
          <w:szCs w:val="18"/>
          <w:lang w:eastAsia="zh-CN"/>
        </w:rPr>
      </w:pPr>
      <w:r>
        <w:rPr>
          <w:rFonts w:hint="eastAsia" w:ascii="宋体" w:hAnsi="宋体" w:eastAsia="宋体" w:cs="宋体"/>
          <w:sz w:val="18"/>
          <w:szCs w:val="18"/>
          <w:lang w:eastAsia="zh-CN"/>
        </w:rPr>
        <w:t>① ≥1血缘近亲有任何年龄发病的乳腺癌史、卵巢癌史、胰腺癌史、前列腺癌史（Gleason评分≥7）或导管内前列腺癌；</w:t>
      </w:r>
    </w:p>
    <w:p w14:paraId="4DE35B08">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② 未知或有限的家族史；</w:t>
      </w:r>
    </w:p>
    <w:p w14:paraId="6A020F40">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3 患者发病年龄≤60岁发病，同时伴有：三阴性乳腺癌；</w:t>
      </w:r>
    </w:p>
    <w:p w14:paraId="37492318">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4 所有男性乳腺癌患者；</w:t>
      </w:r>
    </w:p>
    <w:p w14:paraId="4E7F4523">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5 任何年龄发病，同时满足≥1项以下家族史标准：</w:t>
      </w:r>
    </w:p>
    <w:p w14:paraId="4BEEECBF">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① ≥1血缘近亲有≤50岁发病的乳腺癌史；</w:t>
      </w:r>
    </w:p>
    <w:p w14:paraId="68215646">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② 在任何年龄被诊断患有卵巢癌、胰腺癌或转移性前列腺癌或导管内前列腺癌；</w:t>
      </w:r>
    </w:p>
    <w:p w14:paraId="3D1B18E7">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③ ≥2血缘近亲有任何年龄发病的乳腺癌或前列腺癌（任何级别）；</w:t>
      </w:r>
    </w:p>
    <w:p w14:paraId="63A050CA">
      <w:pPr>
        <w:spacing w:before="26"/>
        <w:ind w:left="810" w:leftChars="300" w:hanging="180" w:hangingChars="100"/>
        <w:rPr>
          <w:rFonts w:hint="eastAsia" w:ascii="宋体" w:hAnsi="宋体" w:eastAsia="宋体" w:cs="宋体"/>
          <w:sz w:val="18"/>
          <w:szCs w:val="18"/>
          <w:lang w:eastAsia="zh-CN"/>
        </w:rPr>
      </w:pPr>
      <w:r>
        <w:rPr>
          <w:rFonts w:hint="eastAsia" w:ascii="宋体" w:hAnsi="宋体" w:eastAsia="宋体" w:cs="宋体"/>
          <w:sz w:val="18"/>
          <w:szCs w:val="18"/>
          <w:lang w:eastAsia="zh-CN"/>
        </w:rPr>
        <w:t>④ 有三级亲属患有乳腺癌和（或）卵巢癌，同时其有≥2血缘近亲患有乳腺癌（其中至少有1例≤50岁）和（或）卵巢癌；</w:t>
      </w:r>
    </w:p>
    <w:p w14:paraId="28577E28">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⑤ 血缘近亲有男性乳腺癌家族史；</w:t>
      </w:r>
    </w:p>
    <w:p w14:paraId="7ED16C86">
      <w:pPr>
        <w:spacing w:before="26"/>
        <w:ind w:firstLine="540" w:firstLineChars="300"/>
        <w:rPr>
          <w:rFonts w:hint="eastAsia" w:ascii="宋体" w:hAnsi="宋体" w:eastAsia="宋体" w:cs="宋体"/>
          <w:sz w:val="18"/>
          <w:szCs w:val="18"/>
          <w:lang w:eastAsia="zh-CN"/>
        </w:rPr>
      </w:pPr>
      <w:r>
        <w:rPr>
          <w:rFonts w:hint="eastAsia" w:ascii="宋体" w:hAnsi="宋体" w:eastAsia="宋体" w:cs="宋体"/>
          <w:sz w:val="18"/>
          <w:szCs w:val="18"/>
          <w:lang w:eastAsia="zh-CN"/>
        </w:rPr>
        <w:t>⑥ 有已知的家族型致病性BRCA1/2基因突变。</w:t>
      </w:r>
    </w:p>
    <w:p w14:paraId="2E87579F">
      <w:pPr>
        <w:spacing w:before="26"/>
        <w:rPr>
          <w:rFonts w:hint="eastAsia" w:ascii="宋体" w:hAnsi="宋体" w:eastAsia="宋体" w:cs="宋体"/>
          <w:sz w:val="15"/>
          <w:szCs w:val="15"/>
          <w:lang w:eastAsia="zh-CN"/>
        </w:rPr>
      </w:pPr>
      <w:r>
        <w:rPr>
          <w:rFonts w:hint="eastAsia" w:ascii="宋体" w:hAnsi="宋体" w:eastAsia="宋体" w:cs="宋体"/>
          <w:sz w:val="15"/>
          <w:szCs w:val="15"/>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eastAsia" w:ascii="宋体" w:hAnsi="宋体" w:eastAsia="宋体" w:cs="宋体"/>
          <w:b/>
          <w:bCs/>
          <w:sz w:val="24"/>
          <w:szCs w:val="24"/>
          <w:lang w:eastAsia="zh-CN"/>
        </w:rPr>
      </w:pPr>
    </w:p>
    <w:p w14:paraId="1B8E1E98">
      <w:pPr>
        <w:spacing w:before="26"/>
        <w:rPr>
          <w:rFonts w:hint="eastAsia" w:ascii="宋体" w:hAnsi="宋体" w:eastAsia="宋体" w:cs="宋体"/>
          <w:b/>
          <w:sz w:val="4"/>
          <w:szCs w:val="21"/>
          <w:lang w:eastAsia="zh-CN"/>
        </w:rPr>
      </w:pPr>
      <w:r>
        <w:rPr>
          <w:rFonts w:hint="eastAsia" w:ascii="宋体" w:hAnsi="宋体" w:eastAsia="宋体" w:cs="宋体"/>
          <w:b/>
          <w:bCs/>
          <w:sz w:val="24"/>
          <w:szCs w:val="24"/>
          <w:lang w:eastAsia="zh-CN"/>
        </w:rPr>
        <w:t>前列腺癌易感人群特征</w:t>
      </w:r>
    </w:p>
    <w:p w14:paraId="15843F0D">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1 &gt;50岁的男性；</w:t>
      </w:r>
    </w:p>
    <w:p w14:paraId="52991DCA">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2 患者个人有男性乳腺癌或胰腺癌病史；</w:t>
      </w:r>
    </w:p>
    <w:p w14:paraId="1D22B753">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3 &gt;40岁且前列腺特异性抗原（PSA）&gt;1μg/L；</w:t>
      </w:r>
    </w:p>
    <w:p w14:paraId="30F17F32">
      <w:pPr>
        <w:spacing w:before="26"/>
        <w:rPr>
          <w:rFonts w:hint="eastAsia" w:ascii="宋体" w:hAnsi="宋体" w:eastAsia="宋体" w:cs="宋体"/>
          <w:sz w:val="18"/>
          <w:szCs w:val="18"/>
          <w:lang w:eastAsia="zh-CN"/>
        </w:rPr>
      </w:pPr>
      <w:r>
        <w:rPr>
          <w:rFonts w:hint="eastAsia" w:ascii="宋体" w:hAnsi="宋体" w:eastAsia="宋体" w:cs="宋体"/>
          <w:sz w:val="18"/>
          <w:szCs w:val="18"/>
          <w:lang w:eastAsia="zh-CN"/>
        </w:rPr>
        <w:t>4 &gt;45岁，同时满足≥1项一下家族史：</w:t>
      </w:r>
    </w:p>
    <w:p w14:paraId="09B9B214">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① 有兄弟、父亲或其他家族成员在60岁前诊断为前列腺癌或因前列腺癌死亡；</w:t>
      </w:r>
    </w:p>
    <w:p w14:paraId="03AB2D8B">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③ 已知家族携带相关胚系致病基因（BRCA1/BRCA2等）突变。</w:t>
      </w:r>
    </w:p>
    <w:p w14:paraId="559401F4">
      <w:pPr>
        <w:spacing w:before="26"/>
        <w:rPr>
          <w:rFonts w:hint="eastAsia" w:ascii="宋体" w:hAnsi="宋体" w:eastAsia="宋体" w:cs="宋体"/>
          <w:sz w:val="15"/>
          <w:szCs w:val="15"/>
          <w:lang w:eastAsia="zh-CN"/>
        </w:rPr>
      </w:pPr>
      <w:r>
        <w:rPr>
          <w:rFonts w:hint="eastAsia" w:ascii="宋体" w:hAnsi="宋体" w:eastAsia="宋体" w:cs="宋体"/>
          <w:sz w:val="15"/>
          <w:szCs w:val="15"/>
          <w:lang w:eastAsia="zh-CN"/>
        </w:rPr>
        <w:t>注：符合以上标准中一条或多条即应考虑进一步的风险评估、遗传咨询，以及基因检测和管理。仅有家族史个体应慎重解读基因检测结果，因其可能存在明显局限性。</w:t>
      </w:r>
    </w:p>
    <w:p w14:paraId="3FA426DD">
      <w:pPr>
        <w:spacing w:before="26"/>
        <w:rPr>
          <w:rFonts w:hint="eastAsia" w:ascii="宋体" w:hAnsi="宋体" w:eastAsia="宋体" w:cs="宋体"/>
          <w:sz w:val="15"/>
          <w:szCs w:val="15"/>
          <w:lang w:eastAsia="zh-CN"/>
        </w:rPr>
      </w:pPr>
    </w:p>
    <w:p w14:paraId="6DBFFFC9">
      <w:pPr>
        <w:spacing w:before="26"/>
        <w:rPr>
          <w:rFonts w:hint="eastAsia" w:ascii="宋体" w:hAnsi="宋体" w:eastAsia="宋体" w:cs="宋体"/>
          <w:lang w:eastAsia="zh-CN"/>
        </w:rPr>
      </w:pPr>
      <w:r>
        <w:rPr>
          <w:rFonts w:hint="eastAsia" w:ascii="宋体" w:hAnsi="宋体" w:eastAsia="宋体" w:cs="宋体"/>
          <w:b/>
          <w:bCs/>
          <w:sz w:val="24"/>
          <w:szCs w:val="24"/>
          <w:lang w:eastAsia="zh-CN"/>
        </w:rPr>
        <w:t>胰腺癌易感人群特征</w:t>
      </w:r>
    </w:p>
    <w:p w14:paraId="7A990B15">
      <w:pPr>
        <w:spacing w:before="26"/>
        <w:rPr>
          <w:rFonts w:hint="eastAsia" w:ascii="宋体" w:hAnsi="宋体" w:eastAsia="宋体" w:cs="宋体"/>
          <w:sz w:val="18"/>
          <w:szCs w:val="18"/>
          <w:lang w:eastAsia="zh-CN"/>
        </w:rPr>
      </w:pPr>
      <w:bookmarkStart w:id="19" w:name="_Toc5400"/>
      <w:bookmarkStart w:id="20" w:name="_Toc2622"/>
      <w:bookmarkStart w:id="21" w:name="_Toc3846"/>
      <w:r>
        <w:rPr>
          <w:rFonts w:hint="eastAsia" w:ascii="宋体" w:hAnsi="宋体" w:eastAsia="宋体" w:cs="宋体"/>
          <w:sz w:val="18"/>
          <w:szCs w:val="18"/>
          <w:lang w:eastAsia="zh-CN"/>
        </w:rPr>
        <w:t>1 40岁以上，同时伴有≥1项下述者</w:t>
      </w:r>
      <w:bookmarkEnd w:id="19"/>
      <w:bookmarkEnd w:id="20"/>
      <w:bookmarkEnd w:id="21"/>
    </w:p>
    <w:p w14:paraId="47FAD633">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① 无家族遗传史的新近突发糖尿病患者；</w:t>
      </w:r>
    </w:p>
    <w:p w14:paraId="4EEE3608">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② 有长期吸烟、饮酒、高脂肪和高蛋白饮食史；</w:t>
      </w:r>
    </w:p>
    <w:p w14:paraId="47B8D717">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③ 慢性胰腺炎反复发作者，尤其合并胰管结石的慢性胰腺炎；在胰腺炎发病后20年或在40岁时（选较早者）进行胰腺癌筛查；</w:t>
      </w:r>
    </w:p>
    <w:p w14:paraId="7FA1412E">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④ 主胰管型粘液乳头状瘤、粘液性囊性腺瘤，突性假乳头状瘤患者，有血清CA19-9升高者；</w:t>
      </w:r>
    </w:p>
    <w:p w14:paraId="75037EF8">
      <w:pPr>
        <w:spacing w:before="26"/>
        <w:rPr>
          <w:rFonts w:hint="eastAsia" w:ascii="宋体" w:hAnsi="宋体" w:eastAsia="宋体" w:cs="宋体"/>
          <w:sz w:val="18"/>
          <w:szCs w:val="18"/>
          <w:lang w:eastAsia="zh-CN"/>
        </w:rPr>
      </w:pPr>
      <w:bookmarkStart w:id="22" w:name="_Toc7995"/>
      <w:bookmarkStart w:id="23" w:name="_Toc126"/>
      <w:bookmarkStart w:id="24" w:name="_Toc10299"/>
      <w:r>
        <w:rPr>
          <w:rFonts w:hint="eastAsia" w:ascii="宋体" w:hAnsi="宋体" w:eastAsia="宋体" w:cs="宋体"/>
          <w:sz w:val="18"/>
          <w:szCs w:val="18"/>
          <w:lang w:eastAsia="zh-CN"/>
        </w:rPr>
        <w:t>2 有胰腺癌家族史、糖尿病史</w:t>
      </w:r>
      <w:bookmarkEnd w:id="22"/>
      <w:bookmarkEnd w:id="23"/>
      <w:bookmarkEnd w:id="24"/>
    </w:p>
    <w:p w14:paraId="3DCC0B8B">
      <w:pPr>
        <w:spacing w:before="26"/>
        <w:ind w:left="208" w:leftChars="99" w:firstLine="90" w:firstLineChars="50"/>
        <w:rPr>
          <w:rFonts w:hint="eastAsia" w:ascii="宋体" w:hAnsi="宋体" w:eastAsia="宋体" w:cs="宋体"/>
          <w:sz w:val="18"/>
          <w:szCs w:val="18"/>
          <w:lang w:eastAsia="zh-CN"/>
        </w:rPr>
      </w:pPr>
      <w:r>
        <w:rPr>
          <w:rFonts w:hint="eastAsia" w:ascii="宋体" w:hAnsi="宋体" w:eastAsia="宋体" w:cs="宋体"/>
          <w:sz w:val="18"/>
          <w:szCs w:val="18"/>
          <w:lang w:eastAsia="zh-CN"/>
        </w:rPr>
        <w:t>① 一级亲属被确认患有胰腺外分泌癌的个体；</w:t>
      </w:r>
    </w:p>
    <w:p w14:paraId="3E8D69E5">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03" w:leftChars="149" w:hanging="90" w:hangingChars="50"/>
        <w:rPr>
          <w:rFonts w:hint="eastAsia" w:ascii="宋体" w:hAnsi="宋体" w:eastAsia="宋体" w:cs="宋体"/>
          <w:sz w:val="18"/>
          <w:szCs w:val="18"/>
          <w:lang w:eastAsia="zh-CN"/>
        </w:rPr>
      </w:pPr>
      <w:r>
        <w:rPr>
          <w:rFonts w:hint="eastAsia" w:ascii="宋体" w:hAnsi="宋体" w:eastAsia="宋体" w:cs="宋体"/>
          <w:sz w:val="18"/>
          <w:szCs w:val="18"/>
          <w:lang w:eastAsia="zh-CN"/>
        </w:rPr>
        <w:t>④ 家族中有≥3个同支的一级和/或二级亲属确诊为胰腺外分泌癌时，即使家族中没有携带已知的胚系致病/疑似致病突变也要进行筛查。</w:t>
      </w:r>
    </w:p>
    <w:p w14:paraId="7E172B5A">
      <w:pPr>
        <w:spacing w:before="26"/>
        <w:rPr>
          <w:rFonts w:hint="eastAsia" w:ascii="宋体" w:hAnsi="宋体" w:eastAsia="宋体" w:cs="宋体"/>
          <w:sz w:val="15"/>
          <w:szCs w:val="15"/>
          <w:lang w:eastAsia="zh-CN"/>
        </w:rPr>
      </w:pPr>
      <w:r>
        <w:rPr>
          <w:rFonts w:hint="eastAsia" w:ascii="宋体" w:hAnsi="宋体" w:eastAsia="宋体" w:cs="宋体"/>
          <w:sz w:val="15"/>
          <w:szCs w:val="15"/>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5" w:name="_Toc14191"/>
      <w:bookmarkEnd w:id="25"/>
    </w:p>
    <w:p w14:paraId="1722712F">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9" name="同侧圆角矩形 9"/>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98997D8">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p>
                          <w:p w14:paraId="413B21D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Do&#10;kdqC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198997D8">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p>
                    <w:p w14:paraId="413B21D4">
                      <w:pPr>
                        <w:rPr>
                          <w:rFonts w:hint="default"/>
                          <w:lang w:val="en-US" w:eastAsia="zh-CN"/>
                        </w:rPr>
                      </w:pPr>
                    </w:p>
                  </w:txbxContent>
                </v:textbox>
                <w10:wrap type="none"/>
                <w10:anchorlock/>
              </v:shape>
            </w:pict>
          </mc:Fallback>
        </mc:AlternateContent>
      </w: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7"/>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检测结果包含：点突变、短片段插入缺失突变,以及基因组杂合性缺失（LOH）、端粒等位基因不平衡（TAI）、大片段迁移（LST）。并基于LOH、TAI、LST获得基因不稳定状态评分（HRD score），为泛实体瘤个性化精准诊疗提供靶向用药等参考信息。参考基因组为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7"/>
        <w:keepNext w:val="0"/>
        <w:keepLines w:val="0"/>
        <w:pageBreakBefore w:val="0"/>
        <w:widowControl w:val="0"/>
        <w:numPr>
          <w:ilvl w:val="0"/>
          <w:numId w:val="6"/>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12"/>
      <w:bookmarkEnd w:id="13"/>
      <w:bookmarkEnd w:id="14"/>
      <w:bookmarkEnd w:id="15"/>
      <w:bookmarkEnd w:id="16"/>
      <w:bookmarkEnd w:id="17"/>
      <w:bookmarkStart w:id="26" w:name="_Toc13275"/>
      <w:bookmarkStart w:id="27" w:name="_Toc19584_WPSOffice_Level1"/>
      <w:bookmarkStart w:id="28" w:name="_Toc22162_WPSOffice_Level1"/>
      <w:bookmarkStart w:id="29" w:name="_Toc17792_WPSOffice_Level2"/>
      <w:bookmarkStart w:id="30" w:name="_Toc22623"/>
      <w:bookmarkStart w:id="31" w:name="_Toc14611_WPSOffice_Level1"/>
    </w:p>
    <w:p w14:paraId="23DBC5C7">
      <w:pPr>
        <w:rPr>
          <w:rFonts w:hint="eastAsia" w:ascii="Times New Roman" w:hAnsi="Times New Roman" w:eastAsia="微软雅黑" w:cs="Times New Roman"/>
          <w:bCs/>
          <w:sz w:val="21"/>
          <w:szCs w:val="21"/>
          <w:lang w:val="en-US" w:eastAsia="zh-CN"/>
        </w:rPr>
      </w:pPr>
      <w:bookmarkStart w:id="32" w:name="_Toc22967"/>
      <w:bookmarkStart w:id="33" w:name="_Toc24849"/>
      <w:bookmarkStart w:id="34" w:name="_Toc23906"/>
      <w:bookmarkStart w:id="35" w:name="_Toc21361"/>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32"/>
      <w:bookmarkEnd w:id="33"/>
      <w:bookmarkEnd w:id="34"/>
      <w:bookmarkEnd w:id="35"/>
    </w:p>
    <w:p w14:paraId="1D6EF290">
      <w:pPr>
        <w:rPr>
          <w:rFonts w:hint="eastAsia" w:ascii="Times New Roman" w:hAnsi="Times New Roman" w:eastAsia="微软雅黑" w:cs="Times New Roman"/>
          <w:bCs/>
          <w:sz w:val="21"/>
          <w:szCs w:val="21"/>
          <w:lang w:val="en-US" w:eastAsia="zh-CN"/>
        </w:rPr>
      </w:pPr>
    </w:p>
    <w:bookmarkEnd w:id="26"/>
    <w:bookmarkEnd w:id="27"/>
    <w:bookmarkEnd w:id="28"/>
    <w:bookmarkEnd w:id="29"/>
    <w:bookmarkEnd w:id="30"/>
    <w:bookmarkEnd w:id="31"/>
    <w:p w14:paraId="0A1944A3">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Nakonechny Q B, Gilks C B. Ovarian cancer in hereditary cancer susceptibility syndromes[J]. Surgical pathology clinics, 2016, 9(2): 189-199. [PMID: 27241103]</w:t>
      </w:r>
    </w:p>
    <w:p w14:paraId="195AA2F2">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Chui M H, Ryan P, Radigan J, et al. The histomorphology of Lynch syndrome–associated ovarian carcinomas: toward a subtype-specific screening strategy[J]. The American journal of surgical pathology, 2014, 38(9): 1173-1181. [PMID: 25025451]</w:t>
      </w:r>
    </w:p>
    <w:p w14:paraId="32D6CDAB">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Lu K H, Daniels M. Endometrial and ovarian cancer in women with Lynch syndrome: update in screening and prevention[J]. Familial cancer, 2013, 12(2): 273-277. [PMID: 23765559]</w:t>
      </w:r>
    </w:p>
    <w:p w14:paraId="379A6489">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Lancaster J M, Powell C B, Chen L, et al. Society of Gynecologic Oncology statement on risk assessment for inherited gynecologic cancer predispositions[J]. Gynecologic oncology, 2015, 136(1): 3-7. [PMID: 25238946]</w:t>
      </w:r>
    </w:p>
    <w:p w14:paraId="6E2B0B9E">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Tr R, Mitra N, Wan F, et al. Association of type and location of BRCA1 and BRCA2 mutations with risk of breast and ovarian cancer[J]. JAMA INTERNAL MEDICINE, 2015 (Aprile): 1347-1361. [PMID: 25849179]</w:t>
      </w:r>
    </w:p>
    <w:p w14:paraId="53074DDB">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Daly M B, Axilbund J E, Buys S, et al. Genetic/familial high-risk assessment: breast and ovarian[J]. Journal of the National Comprehensive Cancer Network, 2010, 8(5): 562-594. [PMID: 20495085]</w:t>
      </w:r>
    </w:p>
    <w:p w14:paraId="0F453308">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Walsh C S, Blum A, Walts A, et al. Lynch syndrome among gynecologic oncology patients meeting Bethesda guidelines for screening[J]. Gynecologic oncology, 2010, 116(3): 516-521. [PMID: 20034658]</w:t>
      </w:r>
    </w:p>
    <w:p w14:paraId="73425C01">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Shulman L P. Hereditary breast and ovarian cancer (HBOC): clinical features and counseling for BRCA1 and BRCA2, Lynch syndrome, Cowden syndrome, and Li-Fraumeni syndrome[J]. Obstetrics and Gynecology Clinics, 2010, 37(1): 109-133. [PMID: 20494261]</w:t>
      </w:r>
    </w:p>
    <w:p w14:paraId="6F6F828B">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Zhang S, Royer R, Li S, et al. Frequencies of BRCA1 and BRCA2 mutations among 1,342 unselected patients with invasive ovarian cancer[J]. Gynecologic oncology, 2011, 121(2): 353-357. [PMID: 21324516]</w:t>
      </w:r>
    </w:p>
    <w:p w14:paraId="245DC778">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Liu G, Yang D, Sun Y, et al. Differing clinical impact of BRCA1 and BRCA2 mutations in serous ovarian cancer[J]. Pharmacogenomics, 2012, 13(13): 1523-1535. [PMID: 23057551]</w:t>
      </w:r>
    </w:p>
    <w:p w14:paraId="09934996">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Finch A, Beiner M, Lubinski J, et al. Salpingo-oophorectomy and the risk of ovarian, fallopian tube, and peritoneal cancers in women with a BRCA1 or BRCA2 Mutation[J]. Jama, 2006, 296(2): 185-192. [PMID: 16835424]</w:t>
      </w:r>
    </w:p>
    <w:p w14:paraId="6730E4B6">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Stan D L, Shuster L T, Wick M J, et al. Challenging and complex decisions in the management of the BRCA mutation carrier[J]. Journal of Women's Health, 2013, 22(10): 825-834. [PMID: 23987739]</w:t>
      </w:r>
    </w:p>
    <w:p w14:paraId="2E675FEA">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Elit L, Hirte H. Palliative systemic therapy for women with recurrent epithelial ovarian cancer: current options[J]. OncoTargets and therapy, 2013, 6: 107. [PMID: 23459506]</w:t>
      </w:r>
    </w:p>
    <w:p w14:paraId="6C88F75D">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Suh D H, Lee K H, Kim K, et al. Major clinical research advances in gynecologic cancer in 2014[J]. Journal of gynecologic oncology, 2015, 26(2): 156-167. [PMID: 25872896]</w:t>
      </w:r>
    </w:p>
    <w:p w14:paraId="5FEF914C">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20E286D7">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15B62554">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854C98F">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Arnold Lee. Fuzuloparib: First Approval[J]. Drugs. 2021, 81(10):1221-1226. [PMID: 34118019]</w:t>
      </w:r>
    </w:p>
    <w:p w14:paraId="3182F03C">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Anthony Markham. Pamiparib: First Approval[J]. Drugs. 2021. [PMID: 34287805]Muthiah Bose, Juliane Sachsenweger, Niina Laurila, et al. BRCA1 mislocalization leads to aberrant DNA damage response in heterozygous ABRAXAS1 mutation carrier cells[J]. Hum Mol Genet, 2019,28(24):4148-4160. [PMID: 31630195]</w:t>
      </w:r>
    </w:p>
    <w:p w14:paraId="0A51FF40">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default" w:ascii="Times New Roman" w:hAnsi="Times New Roman" w:eastAsia="微软雅黑" w:cs="Times New Roman"/>
          <w:sz w:val="15"/>
          <w:szCs w:val="15"/>
          <w:lang w:val="en-US" w:eastAsia="en-US"/>
        </w:rPr>
      </w:pPr>
      <w:r>
        <w:rPr>
          <w:rFonts w:hint="default" w:ascii="Times New Roman" w:hAnsi="Times New Roman" w:eastAsia="微软雅黑" w:cs="Times New Roman"/>
          <w:sz w:val="15"/>
          <w:szCs w:val="15"/>
          <w:lang w:val="en-US" w:eastAsia="zh-CN"/>
        </w:rPr>
        <w:t>Zdenek Kleibl, Vessela N Kristensen. Women at High Risk of Breast Cancer: Molecular Characteristics, Clinical Presentation and Management[J]. Breast, 2016, 28:136-44. [PMID: 27318168]</w:t>
      </w:r>
    </w:p>
    <w:p w14:paraId="071AAFAC">
      <w:pPr>
        <w:keepNext w:val="0"/>
        <w:keepLines w:val="0"/>
        <w:pageBreakBefore w:val="0"/>
        <w:widowControl/>
        <w:numPr>
          <w:ilvl w:val="0"/>
          <w:numId w:val="7"/>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eastAsia="微软雅黑" w:cs="Times New Roman"/>
          <w:sz w:val="15"/>
          <w:szCs w:val="15"/>
          <w:lang w:val="en-US" w:eastAsia="zh-CN"/>
        </w:rPr>
        <w:t>Clare Turnbull, Sarah Hines, Anthony Renwick. Mutation and Association Analysis of GEN1 in Breast Cancer Susceptibility[J], Breast Cancer Res Treat, 2010, 124(1):283-8. [PMID: 20512659]</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rPr>
        <w:rFonts w:ascii="楷体" w:hAnsi="楷体" w:eastAsia="楷体" w:cs="楷体"/>
        <w:b/>
        <w:bCs/>
        <w:sz w:val="24"/>
        <w:szCs w:val="24"/>
      </w:rPr>
    </w:pPr>
    <w:bookmarkStart w:id="39" w:name="_GoBack"/>
    <w:r>
      <w:rPr>
        <w:rFonts w:hint="eastAsia" w:ascii="楷体" w:hAnsi="楷体" w:eastAsia="楷体" w:cs="楷体"/>
        <w:b/>
        <w:bCs/>
        <w:sz w:val="24"/>
        <w:szCs w:val="24"/>
      </w:rPr>
      <w:drawing>
        <wp:anchor distT="0" distB="0" distL="114300" distR="114300" simplePos="0" relativeHeight="251662336" behindDoc="1" locked="0" layoutInCell="1" allowOverlap="1">
          <wp:simplePos x="0" y="0"/>
          <wp:positionH relativeFrom="column">
            <wp:posOffset>5109845</wp:posOffset>
          </wp:positionH>
          <wp:positionV relativeFrom="paragraph">
            <wp:posOffset>23495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bookmarkEnd w:id="39"/>
    <w:r>
      <w:rPr>
        <w:rFonts w:hint="eastAsia" w:ascii="楷体" w:hAnsi="楷体" w:eastAsia="楷体" w:cs="楷体"/>
        <w:b/>
        <w:bCs/>
        <w:sz w:val="24"/>
        <w:szCs w:val="24"/>
      </w:rPr>
      <w:drawing>
        <wp:anchor distT="0" distB="0" distL="114300" distR="114300" simplePos="0" relativeHeight="251664384"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2" name="图片 12"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876ED0">
    <w:pPr>
      <w:spacing w:before="138" w:line="192" w:lineRule="auto"/>
    </w:pP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5076190</wp:posOffset>
          </wp:positionH>
          <wp:positionV relativeFrom="paragraph">
            <wp:posOffset>1905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1" name="图片 11"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1">
    <w:nsid w:val="12127B25"/>
    <w:multiLevelType w:val="multilevel"/>
    <w:tmpl w:val="12127B25"/>
    <w:lvl w:ilvl="0" w:tentative="0">
      <w:start w:val="1"/>
      <w:numFmt w:val="decimal"/>
      <w:lvlText w:val="%1."/>
      <w:lvlJc w:val="left"/>
      <w:pPr>
        <w:ind w:left="420" w:hanging="420"/>
      </w:pPr>
      <w:rPr>
        <w:rFonts w:hint="default"/>
        <w:sz w:val="13"/>
        <w:szCs w:val="13"/>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13"/>
        <w:szCs w:val="13"/>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BAC6FD5"/>
    <w:multiLevelType w:val="singleLevel"/>
    <w:tmpl w:val="6BAC6FD5"/>
    <w:lvl w:ilvl="0" w:tentative="0">
      <w:start w:val="1"/>
      <w:numFmt w:val="decimal"/>
      <w:suff w:val="space"/>
      <w:lvlText w:val="(%1)"/>
      <w:lvlJc w:val="left"/>
    </w:lvl>
  </w:abstractNum>
  <w:abstractNum w:abstractNumId="5">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abstractNum w:abstractNumId="6">
    <w:nsid w:val="7B09C697"/>
    <w:multiLevelType w:val="singleLevel"/>
    <w:tmpl w:val="7B09C697"/>
    <w:lvl w:ilvl="0" w:tentative="0">
      <w:start w:val="1"/>
      <w:numFmt w:val="decimal"/>
      <w:lvlText w:val="%1."/>
      <w:lvlJc w:val="left"/>
      <w:pPr>
        <w:ind w:left="425" w:hanging="425"/>
      </w:pPr>
      <w:rPr>
        <w:rFonts w:hint="default"/>
      </w:rPr>
    </w:lvl>
  </w:abstractNum>
  <w:num w:numId="1">
    <w:abstractNumId w:val="3"/>
  </w:num>
  <w:num w:numId="2">
    <w:abstractNumId w:val="2"/>
  </w:num>
  <w:num w:numId="3">
    <w:abstractNumId w:val="1"/>
  </w:num>
  <w:num w:numId="4">
    <w:abstractNumId w:val="4"/>
  </w:num>
  <w:num w:numId="5">
    <w:abstractNumId w:val="0"/>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5688F"/>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992715"/>
    <w:rsid w:val="01C0331C"/>
    <w:rsid w:val="01D658DA"/>
    <w:rsid w:val="021F4B56"/>
    <w:rsid w:val="02517CBA"/>
    <w:rsid w:val="03E06E1F"/>
    <w:rsid w:val="03E57C61"/>
    <w:rsid w:val="04E67AD1"/>
    <w:rsid w:val="05191617"/>
    <w:rsid w:val="057335C1"/>
    <w:rsid w:val="061C48FA"/>
    <w:rsid w:val="06622FDE"/>
    <w:rsid w:val="06862B05"/>
    <w:rsid w:val="06B31420"/>
    <w:rsid w:val="071D3FAB"/>
    <w:rsid w:val="09812E93"/>
    <w:rsid w:val="099E5147"/>
    <w:rsid w:val="09B6050D"/>
    <w:rsid w:val="0ABB4F52"/>
    <w:rsid w:val="0CFF1530"/>
    <w:rsid w:val="0D404FEF"/>
    <w:rsid w:val="0D4E2FA5"/>
    <w:rsid w:val="0D5C636E"/>
    <w:rsid w:val="0D60450C"/>
    <w:rsid w:val="0DD71E98"/>
    <w:rsid w:val="0DFA7935"/>
    <w:rsid w:val="0E24538F"/>
    <w:rsid w:val="0ED57440"/>
    <w:rsid w:val="0F320836"/>
    <w:rsid w:val="0F5117D6"/>
    <w:rsid w:val="0FAC466A"/>
    <w:rsid w:val="10393FAE"/>
    <w:rsid w:val="109D2528"/>
    <w:rsid w:val="11387E9F"/>
    <w:rsid w:val="11F748B7"/>
    <w:rsid w:val="1212349F"/>
    <w:rsid w:val="124A1047"/>
    <w:rsid w:val="12AF5735"/>
    <w:rsid w:val="12C34799"/>
    <w:rsid w:val="13287A7C"/>
    <w:rsid w:val="138942D4"/>
    <w:rsid w:val="13A25A77"/>
    <w:rsid w:val="13B121FA"/>
    <w:rsid w:val="14206CB7"/>
    <w:rsid w:val="142B36A0"/>
    <w:rsid w:val="14720225"/>
    <w:rsid w:val="14D412B4"/>
    <w:rsid w:val="16192126"/>
    <w:rsid w:val="167D2018"/>
    <w:rsid w:val="16891F33"/>
    <w:rsid w:val="16924B4D"/>
    <w:rsid w:val="171F4F95"/>
    <w:rsid w:val="176123B1"/>
    <w:rsid w:val="17713378"/>
    <w:rsid w:val="18452030"/>
    <w:rsid w:val="18FB363A"/>
    <w:rsid w:val="19066A98"/>
    <w:rsid w:val="199F74A2"/>
    <w:rsid w:val="1A4A453E"/>
    <w:rsid w:val="1A712159"/>
    <w:rsid w:val="1B6509D4"/>
    <w:rsid w:val="1B9C1403"/>
    <w:rsid w:val="1C170A7F"/>
    <w:rsid w:val="1CA01EAA"/>
    <w:rsid w:val="1CD24EBC"/>
    <w:rsid w:val="1D5664B6"/>
    <w:rsid w:val="1D647A6D"/>
    <w:rsid w:val="1DF84375"/>
    <w:rsid w:val="1EB4180B"/>
    <w:rsid w:val="1F4B7FF0"/>
    <w:rsid w:val="1FCB32AB"/>
    <w:rsid w:val="1FFE0153"/>
    <w:rsid w:val="20343022"/>
    <w:rsid w:val="21E40288"/>
    <w:rsid w:val="22BD432B"/>
    <w:rsid w:val="231D4771"/>
    <w:rsid w:val="23AE14CB"/>
    <w:rsid w:val="23D03057"/>
    <w:rsid w:val="23EF6974"/>
    <w:rsid w:val="24285550"/>
    <w:rsid w:val="2533755C"/>
    <w:rsid w:val="259424BE"/>
    <w:rsid w:val="263042A2"/>
    <w:rsid w:val="26803FD4"/>
    <w:rsid w:val="26822E97"/>
    <w:rsid w:val="26AB38BE"/>
    <w:rsid w:val="27935073"/>
    <w:rsid w:val="27C11992"/>
    <w:rsid w:val="280F13FD"/>
    <w:rsid w:val="28C56D3D"/>
    <w:rsid w:val="28F66353"/>
    <w:rsid w:val="291D29FD"/>
    <w:rsid w:val="29A9011D"/>
    <w:rsid w:val="29CC4423"/>
    <w:rsid w:val="2A4C184E"/>
    <w:rsid w:val="2A581813"/>
    <w:rsid w:val="2AA669D3"/>
    <w:rsid w:val="2B307889"/>
    <w:rsid w:val="2B76648E"/>
    <w:rsid w:val="2C1B47E9"/>
    <w:rsid w:val="2C2841CC"/>
    <w:rsid w:val="2CB80E38"/>
    <w:rsid w:val="2CF27CFD"/>
    <w:rsid w:val="2D035FCE"/>
    <w:rsid w:val="2D391923"/>
    <w:rsid w:val="2D945258"/>
    <w:rsid w:val="2E0E7081"/>
    <w:rsid w:val="2E516D92"/>
    <w:rsid w:val="2EA15E7F"/>
    <w:rsid w:val="2EE45D6B"/>
    <w:rsid w:val="2F2B2D57"/>
    <w:rsid w:val="2F675360"/>
    <w:rsid w:val="2FEC6956"/>
    <w:rsid w:val="301F1E4C"/>
    <w:rsid w:val="30354AD0"/>
    <w:rsid w:val="30B87665"/>
    <w:rsid w:val="30BF439A"/>
    <w:rsid w:val="33775400"/>
    <w:rsid w:val="346800E7"/>
    <w:rsid w:val="346C7CD4"/>
    <w:rsid w:val="347A065D"/>
    <w:rsid w:val="356502F1"/>
    <w:rsid w:val="3571067D"/>
    <w:rsid w:val="35A5383E"/>
    <w:rsid w:val="35A81922"/>
    <w:rsid w:val="35D70F26"/>
    <w:rsid w:val="3606548C"/>
    <w:rsid w:val="367F3C97"/>
    <w:rsid w:val="37982968"/>
    <w:rsid w:val="37A61E10"/>
    <w:rsid w:val="38CB1241"/>
    <w:rsid w:val="39170258"/>
    <w:rsid w:val="39DE55F3"/>
    <w:rsid w:val="39FD7AC0"/>
    <w:rsid w:val="3A103993"/>
    <w:rsid w:val="3A1846D0"/>
    <w:rsid w:val="3A43603C"/>
    <w:rsid w:val="3A8B7AF3"/>
    <w:rsid w:val="3B2F045B"/>
    <w:rsid w:val="3B40257B"/>
    <w:rsid w:val="3C181440"/>
    <w:rsid w:val="3C4147FD"/>
    <w:rsid w:val="3C53013A"/>
    <w:rsid w:val="3C6A5F3E"/>
    <w:rsid w:val="3C942B48"/>
    <w:rsid w:val="3C9B7773"/>
    <w:rsid w:val="3D125367"/>
    <w:rsid w:val="3D4F01CF"/>
    <w:rsid w:val="3D7F55DD"/>
    <w:rsid w:val="3E4800C5"/>
    <w:rsid w:val="3E784CAF"/>
    <w:rsid w:val="407A652F"/>
    <w:rsid w:val="42784497"/>
    <w:rsid w:val="43776D56"/>
    <w:rsid w:val="43F76D91"/>
    <w:rsid w:val="44354C47"/>
    <w:rsid w:val="45013EA7"/>
    <w:rsid w:val="45093545"/>
    <w:rsid w:val="45BF5ADC"/>
    <w:rsid w:val="45F51780"/>
    <w:rsid w:val="469E0050"/>
    <w:rsid w:val="47D71662"/>
    <w:rsid w:val="47FB1302"/>
    <w:rsid w:val="488D0130"/>
    <w:rsid w:val="48EC02BF"/>
    <w:rsid w:val="49A62559"/>
    <w:rsid w:val="49C35028"/>
    <w:rsid w:val="4B5C190B"/>
    <w:rsid w:val="4B6E01D6"/>
    <w:rsid w:val="4B8B3BFC"/>
    <w:rsid w:val="4C093628"/>
    <w:rsid w:val="4C4D2D4A"/>
    <w:rsid w:val="4CC21042"/>
    <w:rsid w:val="4D626381"/>
    <w:rsid w:val="4D903FFE"/>
    <w:rsid w:val="4DB46430"/>
    <w:rsid w:val="4DCE524B"/>
    <w:rsid w:val="4E94373F"/>
    <w:rsid w:val="4EC969CC"/>
    <w:rsid w:val="4ECE7922"/>
    <w:rsid w:val="4ED37AFB"/>
    <w:rsid w:val="4F0348E3"/>
    <w:rsid w:val="4F11005F"/>
    <w:rsid w:val="4F964A55"/>
    <w:rsid w:val="4FF5558B"/>
    <w:rsid w:val="5011275F"/>
    <w:rsid w:val="50136F8F"/>
    <w:rsid w:val="505E1082"/>
    <w:rsid w:val="516C6066"/>
    <w:rsid w:val="51B34B08"/>
    <w:rsid w:val="51D81308"/>
    <w:rsid w:val="52AF1549"/>
    <w:rsid w:val="53272682"/>
    <w:rsid w:val="53723B8B"/>
    <w:rsid w:val="53D17DBD"/>
    <w:rsid w:val="54016BAE"/>
    <w:rsid w:val="542755F1"/>
    <w:rsid w:val="553D3F87"/>
    <w:rsid w:val="55B464AB"/>
    <w:rsid w:val="56731990"/>
    <w:rsid w:val="5692566B"/>
    <w:rsid w:val="56E32460"/>
    <w:rsid w:val="571C1C97"/>
    <w:rsid w:val="574D1079"/>
    <w:rsid w:val="575136EE"/>
    <w:rsid w:val="57911F10"/>
    <w:rsid w:val="57E91301"/>
    <w:rsid w:val="580D1911"/>
    <w:rsid w:val="582A2734"/>
    <w:rsid w:val="58554097"/>
    <w:rsid w:val="5A160C1F"/>
    <w:rsid w:val="5A1E1DD0"/>
    <w:rsid w:val="5A8B4CF4"/>
    <w:rsid w:val="5A9015FB"/>
    <w:rsid w:val="5ADA39FB"/>
    <w:rsid w:val="5B710073"/>
    <w:rsid w:val="5BC1147D"/>
    <w:rsid w:val="5CB54D70"/>
    <w:rsid w:val="5CD251BD"/>
    <w:rsid w:val="5D940211"/>
    <w:rsid w:val="5ED317F6"/>
    <w:rsid w:val="5EEC56B0"/>
    <w:rsid w:val="5EFF7ED4"/>
    <w:rsid w:val="5F4210D0"/>
    <w:rsid w:val="5FA1715B"/>
    <w:rsid w:val="5FBA5715"/>
    <w:rsid w:val="608163B8"/>
    <w:rsid w:val="608F09B2"/>
    <w:rsid w:val="60F168FC"/>
    <w:rsid w:val="61AF16FF"/>
    <w:rsid w:val="624E41CF"/>
    <w:rsid w:val="628232F6"/>
    <w:rsid w:val="62B44FFF"/>
    <w:rsid w:val="62E00B42"/>
    <w:rsid w:val="6321538F"/>
    <w:rsid w:val="6321796C"/>
    <w:rsid w:val="64065861"/>
    <w:rsid w:val="64967EC8"/>
    <w:rsid w:val="64AA1754"/>
    <w:rsid w:val="66064CBA"/>
    <w:rsid w:val="67AB72BD"/>
    <w:rsid w:val="67C80D34"/>
    <w:rsid w:val="68BC3A71"/>
    <w:rsid w:val="68CD2E71"/>
    <w:rsid w:val="695D3A47"/>
    <w:rsid w:val="6AFF0A3C"/>
    <w:rsid w:val="6B230036"/>
    <w:rsid w:val="6B7519B8"/>
    <w:rsid w:val="6B8E6F9E"/>
    <w:rsid w:val="6BAA4AB8"/>
    <w:rsid w:val="6BCC3834"/>
    <w:rsid w:val="6CE452D6"/>
    <w:rsid w:val="6D2A25C0"/>
    <w:rsid w:val="6D60320B"/>
    <w:rsid w:val="6DD54C21"/>
    <w:rsid w:val="6DF42976"/>
    <w:rsid w:val="6E297E68"/>
    <w:rsid w:val="6E7C73C6"/>
    <w:rsid w:val="6E87371E"/>
    <w:rsid w:val="6EDD18B4"/>
    <w:rsid w:val="6EEA7031"/>
    <w:rsid w:val="6F0C162D"/>
    <w:rsid w:val="6F2B4B68"/>
    <w:rsid w:val="6F4D4E57"/>
    <w:rsid w:val="6F6254D4"/>
    <w:rsid w:val="6FAB550E"/>
    <w:rsid w:val="6FE70C3C"/>
    <w:rsid w:val="707E0E37"/>
    <w:rsid w:val="723B53D9"/>
    <w:rsid w:val="7261482B"/>
    <w:rsid w:val="72750781"/>
    <w:rsid w:val="72B74712"/>
    <w:rsid w:val="734B0AAB"/>
    <w:rsid w:val="73AC6191"/>
    <w:rsid w:val="74BF0FAF"/>
    <w:rsid w:val="74FC6746"/>
    <w:rsid w:val="760342F6"/>
    <w:rsid w:val="76CECDB4"/>
    <w:rsid w:val="76F27584"/>
    <w:rsid w:val="77106CCA"/>
    <w:rsid w:val="777546A8"/>
    <w:rsid w:val="77804029"/>
    <w:rsid w:val="77B915CF"/>
    <w:rsid w:val="782F3180"/>
    <w:rsid w:val="784A5363"/>
    <w:rsid w:val="78DC32F4"/>
    <w:rsid w:val="78DE0702"/>
    <w:rsid w:val="796E3F04"/>
    <w:rsid w:val="79E92285"/>
    <w:rsid w:val="7A15284A"/>
    <w:rsid w:val="7B582304"/>
    <w:rsid w:val="7B99466E"/>
    <w:rsid w:val="7BD35584"/>
    <w:rsid w:val="7BDF0250"/>
    <w:rsid w:val="7C1120EB"/>
    <w:rsid w:val="7D275E6F"/>
    <w:rsid w:val="7D3B6123"/>
    <w:rsid w:val="7D806106"/>
    <w:rsid w:val="7E0B4B47"/>
    <w:rsid w:val="7E350398"/>
    <w:rsid w:val="7E363261"/>
    <w:rsid w:val="7E826381"/>
    <w:rsid w:val="7F381071"/>
    <w:rsid w:val="7F7605F4"/>
    <w:rsid w:val="7F923FF5"/>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8"/>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0"/>
    <w:semiHidden/>
    <w:unhideWhenUsed/>
    <w:qFormat/>
    <w:uiPriority w:val="99"/>
    <w:pPr>
      <w:jc w:val="left"/>
    </w:pPr>
  </w:style>
  <w:style w:type="paragraph" w:styleId="6">
    <w:name w:val="Body Text"/>
    <w:basedOn w:val="1"/>
    <w:link w:val="23"/>
    <w:qFormat/>
    <w:uiPriority w:val="1"/>
    <w:rPr>
      <w:sz w:val="18"/>
      <w:szCs w:val="18"/>
    </w:rPr>
  </w:style>
  <w:style w:type="paragraph" w:styleId="7">
    <w:name w:val="Balloon Text"/>
    <w:basedOn w:val="1"/>
    <w:link w:val="22"/>
    <w:semiHidden/>
    <w:unhideWhenUsed/>
    <w:qFormat/>
    <w:uiPriority w:val="99"/>
    <w:rPr>
      <w:sz w:val="18"/>
      <w:szCs w:val="18"/>
    </w:rPr>
  </w:style>
  <w:style w:type="paragraph" w:styleId="8">
    <w:name w:val="footer"/>
    <w:basedOn w:val="1"/>
    <w:link w:val="17"/>
    <w:unhideWhenUsed/>
    <w:qFormat/>
    <w:uiPriority w:val="99"/>
    <w:pPr>
      <w:tabs>
        <w:tab w:val="center" w:pos="4153"/>
        <w:tab w:val="right" w:pos="8306"/>
      </w:tabs>
      <w:snapToGrid w:val="0"/>
      <w:jc w:val="left"/>
    </w:pPr>
    <w:rPr>
      <w:sz w:val="18"/>
      <w:szCs w:val="18"/>
    </w:rPr>
  </w:style>
  <w:style w:type="paragraph" w:styleId="9">
    <w:name w:val="header"/>
    <w:basedOn w:val="1"/>
    <w:link w:val="16"/>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1"/>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annotation reference"/>
    <w:basedOn w:val="14"/>
    <w:semiHidden/>
    <w:unhideWhenUsed/>
    <w:qFormat/>
    <w:uiPriority w:val="99"/>
    <w:rPr>
      <w:sz w:val="21"/>
      <w:szCs w:val="21"/>
    </w:rPr>
  </w:style>
  <w:style w:type="character" w:customStyle="1" w:styleId="16">
    <w:name w:val="页眉 字符"/>
    <w:basedOn w:val="14"/>
    <w:link w:val="9"/>
    <w:qFormat/>
    <w:uiPriority w:val="99"/>
    <w:rPr>
      <w:sz w:val="18"/>
      <w:szCs w:val="18"/>
    </w:rPr>
  </w:style>
  <w:style w:type="character" w:customStyle="1" w:styleId="17">
    <w:name w:val="页脚 字符"/>
    <w:basedOn w:val="14"/>
    <w:link w:val="8"/>
    <w:qFormat/>
    <w:uiPriority w:val="99"/>
    <w:rPr>
      <w:sz w:val="18"/>
      <w:szCs w:val="18"/>
    </w:rPr>
  </w:style>
  <w:style w:type="character" w:customStyle="1" w:styleId="18">
    <w:name w:val="标题 2 字符"/>
    <w:basedOn w:val="14"/>
    <w:link w:val="3"/>
    <w:qFormat/>
    <w:uiPriority w:val="9"/>
    <w:rPr>
      <w:rFonts w:asciiTheme="majorHAnsi" w:hAnsiTheme="majorHAnsi" w:eastAsiaTheme="majorEastAsia" w:cstheme="majorBidi"/>
      <w:b/>
      <w:bCs/>
      <w:sz w:val="32"/>
      <w:szCs w:val="32"/>
    </w:rPr>
  </w:style>
  <w:style w:type="paragraph" w:styleId="19">
    <w:name w:val="List Paragraph"/>
    <w:basedOn w:val="1"/>
    <w:qFormat/>
    <w:uiPriority w:val="34"/>
    <w:pPr>
      <w:ind w:firstLine="420" w:firstLineChars="200"/>
    </w:pPr>
  </w:style>
  <w:style w:type="character" w:customStyle="1" w:styleId="20">
    <w:name w:val="批注文字 字符"/>
    <w:basedOn w:val="14"/>
    <w:link w:val="5"/>
    <w:semiHidden/>
    <w:qFormat/>
    <w:uiPriority w:val="99"/>
  </w:style>
  <w:style w:type="character" w:customStyle="1" w:styleId="21">
    <w:name w:val="批注主题 字符"/>
    <w:basedOn w:val="20"/>
    <w:link w:val="11"/>
    <w:semiHidden/>
    <w:qFormat/>
    <w:uiPriority w:val="99"/>
    <w:rPr>
      <w:b/>
      <w:bCs/>
    </w:rPr>
  </w:style>
  <w:style w:type="character" w:customStyle="1" w:styleId="22">
    <w:name w:val="批注框文本 字符"/>
    <w:basedOn w:val="14"/>
    <w:link w:val="7"/>
    <w:semiHidden/>
    <w:qFormat/>
    <w:uiPriority w:val="99"/>
    <w:rPr>
      <w:sz w:val="18"/>
      <w:szCs w:val="18"/>
    </w:rPr>
  </w:style>
  <w:style w:type="character" w:customStyle="1" w:styleId="23">
    <w:name w:val="正文文本 字符"/>
    <w:basedOn w:val="14"/>
    <w:link w:val="6"/>
    <w:qFormat/>
    <w:uiPriority w:val="1"/>
    <w:rPr>
      <w:kern w:val="2"/>
      <w:sz w:val="18"/>
      <w:szCs w:val="18"/>
    </w:rPr>
  </w:style>
  <w:style w:type="table" w:customStyle="1" w:styleId="24">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5">
    <w:name w:val="列出段落1"/>
    <w:basedOn w:val="1"/>
    <w:qFormat/>
    <w:uiPriority w:val="34"/>
    <w:pPr>
      <w:ind w:firstLine="420" w:firstLineChars="200"/>
    </w:pPr>
  </w:style>
  <w:style w:type="paragraph" w:customStyle="1" w:styleId="26">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7">
    <w:name w:val="Table Paragraph"/>
    <w:basedOn w:val="1"/>
    <w:autoRedefine/>
    <w:qFormat/>
    <w:uiPriority w:val="1"/>
  </w:style>
  <w:style w:type="table" w:customStyle="1" w:styleId="28">
    <w:name w:val="Table Normal1"/>
    <w:autoRedefine/>
    <w:unhideWhenUsed/>
    <w:qFormat/>
    <w:uiPriority w:val="2"/>
    <w:tblPr>
      <w:tblCellMar>
        <w:top w:w="0" w:type="dxa"/>
        <w:left w:w="0" w:type="dxa"/>
        <w:bottom w:w="0" w:type="dxa"/>
        <w:right w:w="0" w:type="dxa"/>
      </w:tblCellMar>
    </w:tblPr>
  </w:style>
  <w:style w:type="paragraph" w:customStyle="1" w:styleId="29">
    <w:name w:val="List Paragraph1"/>
    <w:basedOn w:val="1"/>
    <w:autoRedefine/>
    <w:qFormat/>
    <w:uiPriority w:val="34"/>
    <w:rPr>
      <w:rFonts w:asciiTheme="minorHAnsi" w:hAnsiTheme="minorHAnsi" w:eastAsiaTheme="minorEastAsia" w:cstheme="minorBidi"/>
    </w:rPr>
  </w:style>
  <w:style w:type="character" w:customStyle="1" w:styleId="30">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1">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2">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3">
    <w:name w:val="font61"/>
    <w:basedOn w:val="14"/>
    <w:autoRedefine/>
    <w:qFormat/>
    <w:uiPriority w:val="0"/>
    <w:rPr>
      <w:rFonts w:hint="default" w:ascii="Times New Roman" w:hAnsi="Times New Roman" w:cs="Times New Roman"/>
      <w:color w:val="000000"/>
      <w:sz w:val="21"/>
      <w:szCs w:val="21"/>
      <w:u w:val="none"/>
    </w:rPr>
  </w:style>
  <w:style w:type="paragraph" w:customStyle="1" w:styleId="34">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6">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7">
    <w:name w:val="列出段落2"/>
    <w:basedOn w:val="1"/>
    <w:qFormat/>
    <w:uiPriority w:val="34"/>
    <w:pPr>
      <w:ind w:firstLine="420" w:firstLineChars="200"/>
    </w:pPr>
  </w:style>
  <w:style w:type="paragraph" w:customStyle="1" w:styleId="38">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22</Pages>
  <Words>6110</Words>
  <Characters>15771</Characters>
  <Lines>37</Lines>
  <Paragraphs>10</Paragraphs>
  <TotalTime>0</TotalTime>
  <ScaleCrop>false</ScaleCrop>
  <LinksUpToDate>false</LinksUpToDate>
  <CharactersWithSpaces>17058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tassles-L</cp:lastModifiedBy>
  <dcterms:modified xsi:type="dcterms:W3CDTF">2025-12-12T05:19:49Z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