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1B50D">
      <w:pPr>
        <w:spacing w:after="0"/>
        <w:rPr>
          <w:rFonts w:eastAsia="微软雅黑"/>
          <w:lang w:eastAsia="zh-CN"/>
        </w:rPr>
      </w:pPr>
      <w:r>
        <w:rPr>
          <w:rFonts w:ascii="微软雅黑" w:hAnsi="微软雅黑" w:eastAsia="微软雅黑"/>
          <w:b/>
          <w:color w:val="000000"/>
          <w:sz w:val="36"/>
        </w:rPr>
        <w:t xml:space="preserve"> </w:t>
      </w:r>
      <w:r>
        <w:rPr>
          <w:rFonts w:ascii="微软雅黑" w:hAnsi="微软雅黑" w:eastAsia="微软雅黑"/>
          <w:b/>
          <w:color w:val="000000"/>
          <w:sz w:val="32"/>
        </w:rPr>
        <w:t>样本信息</w:t>
      </w:r>
      <w:r>
        <w:rPr>
          <w:rFonts w:ascii="微软雅黑" w:hAnsi="微软雅黑" w:eastAsia="微软雅黑"/>
          <w:b/>
          <w:color w:val="000000"/>
          <w:sz w:val="36"/>
        </w:rPr>
        <w:t xml:space="preserve"> </w:t>
      </w:r>
      <w:r>
        <w:rPr>
          <w:rFonts w:hint="eastAsia" w:ascii="微软雅黑" w:hAnsi="微软雅黑" w:eastAsia="微软雅黑"/>
          <w:color w:val="000000"/>
          <w:sz w:val="24"/>
          <w:lang w:eastAsia="zh-CN"/>
        </w:rPr>
        <w:t>{{ room }}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1848"/>
        <w:gridCol w:w="1296"/>
        <w:gridCol w:w="2021"/>
        <w:gridCol w:w="1231"/>
        <w:gridCol w:w="2029"/>
      </w:tblGrid>
      <w:tr w14:paraId="6D275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tblHeader/>
          <w:jc w:val="center"/>
        </w:trPr>
        <w:tc>
          <w:tcPr>
            <w:tcW w:w="12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94BACB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姓名</w:t>
            </w:r>
          </w:p>
        </w:tc>
        <w:tc>
          <w:tcPr>
            <w:tcW w:w="1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2E6943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4"/>
                <w:szCs w:val="24"/>
                <w:lang w:eastAsia="zh-CN"/>
              </w:rPr>
              <w:t>{{ client }}</w:t>
            </w:r>
          </w:p>
        </w:tc>
        <w:tc>
          <w:tcPr>
            <w:tcW w:w="12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88F55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性别</w:t>
            </w:r>
          </w:p>
        </w:tc>
        <w:tc>
          <w:tcPr>
            <w:tcW w:w="20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383DA8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{{ sex }}</w:t>
            </w:r>
          </w:p>
        </w:tc>
        <w:tc>
          <w:tcPr>
            <w:tcW w:w="12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A21AF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年龄</w:t>
            </w:r>
          </w:p>
        </w:tc>
        <w:tc>
          <w:tcPr>
            <w:tcW w:w="20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8F153C4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4"/>
                <w:szCs w:val="24"/>
                <w:lang w:eastAsia="zh-CN"/>
              </w:rPr>
              <w:t>{{ age }}</w:t>
            </w:r>
          </w:p>
        </w:tc>
      </w:tr>
      <w:tr w14:paraId="5D6B8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2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5FFA6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住院号</w:t>
            </w:r>
          </w:p>
        </w:tc>
        <w:tc>
          <w:tcPr>
            <w:tcW w:w="1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F1564E1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2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2CBFF6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病理号</w:t>
            </w:r>
          </w:p>
        </w:tc>
        <w:tc>
          <w:tcPr>
            <w:tcW w:w="20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712E3D3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{{specimenno}}</w:t>
            </w:r>
          </w:p>
        </w:tc>
        <w:tc>
          <w:tcPr>
            <w:tcW w:w="12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BAC65A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送检科室</w:t>
            </w:r>
          </w:p>
        </w:tc>
        <w:tc>
          <w:tcPr>
            <w:tcW w:w="20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586D71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{{ locationname }}</w:t>
            </w:r>
          </w:p>
        </w:tc>
      </w:tr>
      <w:tr w14:paraId="6DD31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2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23399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送检医师</w:t>
            </w:r>
          </w:p>
        </w:tc>
        <w:tc>
          <w:tcPr>
            <w:tcW w:w="1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6612E1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{{ doctorname }}</w:t>
            </w:r>
          </w:p>
        </w:tc>
        <w:tc>
          <w:tcPr>
            <w:tcW w:w="12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EF093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联系电话</w:t>
            </w:r>
          </w:p>
        </w:tc>
        <w:tc>
          <w:tcPr>
            <w:tcW w:w="20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419995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4"/>
                <w:szCs w:val="24"/>
                <w:lang w:eastAsia="zh-CN"/>
              </w:rPr>
              <w:t>{{ patient_phone }}</w:t>
            </w:r>
          </w:p>
        </w:tc>
        <w:tc>
          <w:tcPr>
            <w:tcW w:w="12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ADED1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标本类型</w:t>
            </w:r>
          </w:p>
        </w:tc>
        <w:tc>
          <w:tcPr>
            <w:tcW w:w="20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6CED2A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</w:tr>
    </w:tbl>
    <w:p w14:paraId="551A464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73D4D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6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C076C5B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lang w:eastAsia="zh-CN"/>
              </w:rPr>
              <w:t xml:space="preserve">检测项目: 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乳腺癌卵巢癌遗传基因胚</w:t>
            </w:r>
            <w:r>
              <w:rPr>
                <w:rFonts w:hint="eastAsia" w:ascii="微软雅黑" w:hAnsi="微软雅黑" w:eastAsia="微软雅黑"/>
                <w:b/>
                <w:sz w:val="20"/>
                <w:lang w:val="en-US" w:eastAsia="zh-CN"/>
              </w:rPr>
              <w:t>系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检测-小panel</w:t>
            </w:r>
          </w:p>
        </w:tc>
      </w:tr>
      <w:tr w14:paraId="4B0EA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6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A2C93A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lang w:eastAsia="zh-CN"/>
              </w:rPr>
              <w:t>检测方法：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高通量测序法(NGS)</w:t>
            </w:r>
          </w:p>
        </w:tc>
      </w:tr>
      <w:tr w14:paraId="0B76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6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710FC4">
            <w:pPr>
              <w:spacing w:after="0"/>
              <w:rPr>
                <w:rFonts w:hint="eastAsia" w:ascii="微软雅黑" w:hAnsi="微软雅黑" w:eastAsia="微软雅黑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lang w:eastAsia="zh-CN"/>
              </w:rPr>
              <w:t>合作检测机构：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济南爱新卓尔医学检验实验室</w:t>
            </w:r>
          </w:p>
        </w:tc>
      </w:tr>
      <w:tr w14:paraId="5E0BD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6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BAB84A0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检测平台：</w:t>
            </w:r>
            <w:r>
              <w:rPr>
                <w:rFonts w:hint="eastAsia" w:ascii="微软雅黑" w:hAnsi="微软雅黑" w:eastAsia="微软雅黑"/>
                <w:b/>
                <w:sz w:val="20"/>
                <w:lang w:val="en-US" w:eastAsia="zh-CN"/>
              </w:rPr>
              <w:t>高通量测序平台</w:t>
            </w:r>
          </w:p>
        </w:tc>
      </w:tr>
      <w:tr w14:paraId="15008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6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65C10E3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参考基因组：</w:t>
            </w:r>
            <w:r>
              <w:rPr>
                <w:rFonts w:ascii="微软雅黑" w:hAnsi="微软雅黑" w:eastAsia="微软雅黑"/>
                <w:b/>
                <w:sz w:val="20"/>
              </w:rPr>
              <w:t>GRCh37/hg19</w:t>
            </w:r>
          </w:p>
        </w:tc>
      </w:tr>
      <w:tr w14:paraId="632BE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6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0FBB3C1">
            <w:pPr>
              <w:spacing w:after="0"/>
              <w:rPr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lang w:eastAsia="zh-CN"/>
              </w:rPr>
              <w:t>检测内容：</w:t>
            </w:r>
            <w:r>
              <w:rPr>
                <w:rFonts w:hint="eastAsia" w:ascii="微软雅黑" w:hAnsi="微软雅黑" w:eastAsia="微软雅黑"/>
                <w:b/>
                <w:sz w:val="20"/>
                <w:lang w:eastAsia="zh-CN"/>
              </w:rPr>
              <w:t>本产品对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BRCA1/2</w:t>
            </w:r>
            <w:r>
              <w:rPr>
                <w:rFonts w:hint="eastAsia" w:ascii="微软雅黑" w:hAnsi="微软雅黑" w:eastAsia="微软雅黑"/>
                <w:b/>
                <w:sz w:val="20"/>
                <w:lang w:eastAsia="zh-CN"/>
              </w:rPr>
              <w:t>基因全外显子±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20 bp</w:t>
            </w:r>
            <w:r>
              <w:rPr>
                <w:rFonts w:hint="eastAsia" w:ascii="微软雅黑" w:hAnsi="微软雅黑" w:eastAsia="微软雅黑"/>
                <w:b/>
                <w:sz w:val="20"/>
                <w:lang w:eastAsia="zh-CN"/>
              </w:rPr>
              <w:t>内含子区域进行高通量测序，检测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BRCA1/2</w:t>
            </w:r>
            <w:r>
              <w:rPr>
                <w:rFonts w:hint="eastAsia" w:ascii="微软雅黑" w:hAnsi="微软雅黑" w:eastAsia="微软雅黑"/>
                <w:b/>
                <w:sz w:val="20"/>
                <w:lang w:eastAsia="zh-CN"/>
              </w:rPr>
              <w:t>基因的靶向用药信息和遗传风险，适用于乳腺癌、卵巢癌、宫颈癌、子宫内膜癌、前列腺癌及胰腺癌等癌种。检测突变形式为点突变（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SNV</w:t>
            </w:r>
            <w:r>
              <w:rPr>
                <w:rFonts w:hint="eastAsia" w:ascii="微软雅黑" w:hAnsi="微软雅黑" w:eastAsia="微软雅黑"/>
                <w:b/>
                <w:sz w:val="20"/>
                <w:lang w:eastAsia="zh-CN"/>
              </w:rPr>
              <w:t>）、小片段插入缺失（</w:t>
            </w:r>
            <w:r>
              <w:rPr>
                <w:rFonts w:ascii="微软雅黑" w:hAnsi="微软雅黑" w:eastAsia="微软雅黑"/>
                <w:b/>
                <w:sz w:val="20"/>
                <w:lang w:eastAsia="zh-CN"/>
              </w:rPr>
              <w:t>INDEL</w:t>
            </w:r>
            <w:r>
              <w:rPr>
                <w:rFonts w:hint="eastAsia" w:ascii="微软雅黑" w:hAnsi="微软雅黑" w:eastAsia="微软雅黑"/>
                <w:b/>
                <w:sz w:val="20"/>
                <w:lang w:eastAsia="zh-CN"/>
              </w:rPr>
              <w:t>）。</w:t>
            </w:r>
          </w:p>
        </w:tc>
      </w:tr>
    </w:tbl>
    <w:p w14:paraId="25EED573">
      <w:pPr>
        <w:spacing w:after="0"/>
        <w:jc w:val="both"/>
        <w:rPr>
          <w:lang w:eastAsia="zh-CN"/>
        </w:rPr>
      </w:pPr>
      <w:r>
        <w:rPr>
          <w:rFonts w:ascii="微软雅黑" w:hAnsi="微软雅黑" w:eastAsia="微软雅黑"/>
          <w:b/>
          <w:sz w:val="20"/>
          <w:lang w:eastAsia="zh-CN"/>
        </w:rPr>
        <w:t>备注：本报告仅针对本次送检样本，该检测为该肿瘤患者提供个体化治疗提供依据，仅供临床参考。</w:t>
      </w:r>
    </w:p>
    <w:p w14:paraId="567F51E7">
      <w:pPr>
        <w:rPr>
          <w:lang w:eastAsia="zh-CN"/>
        </w:rPr>
      </w:pPr>
    </w:p>
    <w:p w14:paraId="5D13A2EA">
      <w:pPr>
        <w:rPr>
          <w:lang w:eastAsia="zh-CN"/>
        </w:rPr>
      </w:pPr>
    </w:p>
    <w:tbl>
      <w:tblPr>
        <w:tblStyle w:val="32"/>
        <w:tblpPr w:leftFromText="181" w:rightFromText="181" w:vertAnchor="text" w:horzAnchor="page" w:tblpX="1129" w:tblpY="1"/>
        <w:tblOverlap w:val="never"/>
        <w:tblW w:w="984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227"/>
        <w:gridCol w:w="1985"/>
        <w:gridCol w:w="3637"/>
      </w:tblGrid>
      <w:tr w14:paraId="24672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1999" w:type="dxa"/>
            <w:vAlign w:val="center"/>
          </w:tcPr>
          <w:p w14:paraId="6D75DC70">
            <w:pPr>
              <w:spacing w:after="0"/>
              <w:jc w:val="both"/>
              <w:rPr>
                <w:rFonts w:hint="eastAsia" w:ascii="微软雅黑" w:hAnsi="微软雅黑" w:eastAsia="微软雅黑"/>
                <w:b/>
                <w:sz w:val="20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18"/>
                <w:lang w:eastAsia="zh-CN"/>
              </w:rPr>
              <w:t xml:space="preserve">检测者： </w:t>
            </w:r>
          </w:p>
        </w:tc>
        <w:tc>
          <w:tcPr>
            <w:tcW w:w="2227" w:type="dxa"/>
            <w:vAlign w:val="center"/>
          </w:tcPr>
          <w:p w14:paraId="5D96A681">
            <w:pPr>
              <w:spacing w:after="0"/>
              <w:jc w:val="both"/>
              <w:rPr>
                <w:rFonts w:hint="eastAsia" w:ascii="微软雅黑" w:hAnsi="微软雅黑" w:eastAsia="微软雅黑"/>
                <w:b/>
                <w:sz w:val="20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18"/>
                <w:lang w:eastAsia="zh-CN"/>
              </w:rPr>
              <w:t xml:space="preserve">审核者： </w:t>
            </w:r>
          </w:p>
        </w:tc>
        <w:tc>
          <w:tcPr>
            <w:tcW w:w="1985" w:type="dxa"/>
            <w:vAlign w:val="center"/>
          </w:tcPr>
          <w:p w14:paraId="777E7967">
            <w:pPr>
              <w:spacing w:after="0"/>
              <w:jc w:val="both"/>
              <w:rPr>
                <w:rFonts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18"/>
                <w:lang w:eastAsia="zh-CN"/>
              </w:rPr>
              <w:t>复核者</w:t>
            </w:r>
            <w:r>
              <w:rPr>
                <w:rFonts w:ascii="微软雅黑" w:hAnsi="微软雅黑" w:eastAsia="微软雅黑"/>
                <w:b/>
                <w:sz w:val="20"/>
                <w:szCs w:val="18"/>
              </w:rPr>
              <w:t xml:space="preserve">： </w:t>
            </w:r>
          </w:p>
        </w:tc>
        <w:tc>
          <w:tcPr>
            <w:tcW w:w="3637" w:type="dxa"/>
            <w:vAlign w:val="center"/>
          </w:tcPr>
          <w:p w14:paraId="4A045CC1">
            <w:pPr>
              <w:spacing w:after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b/>
                <w:sz w:val="20"/>
                <w:szCs w:val="18"/>
              </w:rPr>
              <w:t>报告日期：</w:t>
            </w:r>
            <w:r>
              <w:rPr>
                <w:rFonts w:hint="eastAsia" w:ascii="微软雅黑" w:hAnsi="微软雅黑" w:eastAsia="微软雅黑"/>
                <w:b/>
                <w:sz w:val="20"/>
                <w:szCs w:val="18"/>
              </w:rPr>
              <w:t>{{ reportdate }}</w:t>
            </w:r>
          </w:p>
        </w:tc>
      </w:tr>
    </w:tbl>
    <w:p w14:paraId="4CE2B79E">
      <w:pPr>
        <w:sectPr>
          <w:headerReference r:id="rId5" w:type="default"/>
          <w:footerReference r:id="rId6" w:type="default"/>
          <w:pgSz w:w="11900" w:h="16840"/>
          <w:pgMar w:top="1440" w:right="1134" w:bottom="1440" w:left="1134" w:header="720" w:footer="720" w:gutter="0"/>
          <w:cols w:space="720" w:num="1"/>
          <w:docGrid w:linePitch="360" w:charSpace="0"/>
        </w:sectPr>
      </w:pPr>
      <w:r>
        <w:br w:type="page"/>
      </w:r>
    </w:p>
    <w:p w14:paraId="3657D29B">
      <w:pPr>
        <w:spacing w:after="0"/>
        <w:outlineLvl w:val="2"/>
        <w:rPr>
          <w:rFonts w:hint="eastAsia" w:ascii="微软雅黑" w:hAnsi="微软雅黑" w:eastAsia="微软雅黑"/>
          <w:b/>
          <w:color w:val="000000"/>
          <w:sz w:val="32"/>
          <w:lang w:eastAsia="zh-CN"/>
        </w:rPr>
      </w:pPr>
      <w:r>
        <w:rPr>
          <w:rFonts w:ascii="微软雅黑" w:hAnsi="微软雅黑" w:eastAsia="微软雅黑"/>
          <w:b/>
          <w:color w:val="000000"/>
          <w:sz w:val="32"/>
        </w:rPr>
        <w:t>检测结果概览</w:t>
      </w:r>
    </w:p>
    <w:tbl>
      <w:tblPr>
        <w:tblStyle w:val="165"/>
        <w:tblW w:w="9885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5"/>
        <w:gridCol w:w="5340"/>
      </w:tblGrid>
      <w:tr w14:paraId="4E33E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</w:tblPrEx>
        <w:trPr>
          <w:trHeight w:val="510" w:hRule="exact"/>
          <w:jc w:val="center"/>
        </w:trPr>
        <w:tc>
          <w:tcPr>
            <w:tcW w:w="45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46CCD341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/>
              </w:rPr>
              <w:t>检测类型</w:t>
            </w:r>
          </w:p>
        </w:tc>
        <w:tc>
          <w:tcPr>
            <w:tcW w:w="5340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6600"/>
            <w:vAlign w:val="center"/>
          </w:tcPr>
          <w:p w14:paraId="26939D34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/>
                <w:sz w:val="21"/>
                <w:szCs w:val="21"/>
                <w:lang w:eastAsia="zh-CN"/>
              </w:rPr>
              <w:t>检测结果</w:t>
            </w:r>
          </w:p>
        </w:tc>
      </w:tr>
      <w:tr w14:paraId="705B614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545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16368D31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5340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51D51F6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sz w:val="18"/>
                <w:szCs w:val="18"/>
                <w:lang w:eastAsia="zh-CN"/>
              </w:rPr>
              <w:t>共检出{{ summaryOfRresults.crCheckLineStrYF1280Size }}个变异位点，其中{{summaryOfRresults.hasPathogenicityCount}}个为致病/可能致病性突变，{{summaryOfRresults.crDrugList}}个与靶向药物相关</w:t>
            </w:r>
          </w:p>
        </w:tc>
      </w:tr>
      <w:tr w14:paraId="0153C8C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545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319F068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40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DC1F77B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{{ sequencing_depth | oqa(100,50) }}</w:t>
            </w:r>
          </w:p>
        </w:tc>
      </w:tr>
    </w:tbl>
    <w:p w14:paraId="565E9B97">
      <w:pPr>
        <w:rPr>
          <w:rFonts w:hint="eastAsia" w:ascii="微软雅黑" w:hAnsi="微软雅黑" w:eastAsia="微软雅黑"/>
          <w:b/>
          <w:color w:val="000000"/>
          <w:sz w:val="32"/>
          <w:lang w:eastAsia="zh-CN"/>
        </w:rPr>
      </w:pPr>
      <w:r>
        <w:rPr>
          <w:rFonts w:hint="eastAsia" w:ascii="微软雅黑" w:hAnsi="微软雅黑" w:eastAsia="微软雅黑"/>
          <w:b/>
          <w:color w:val="000000"/>
          <w:sz w:val="32"/>
          <w:lang w:eastAsia="zh-CN"/>
        </w:rPr>
        <w:br w:type="page"/>
      </w:r>
    </w:p>
    <w:p w14:paraId="2A457E0F">
      <w:pPr>
        <w:rPr>
          <w:rFonts w:hint="eastAsia" w:ascii="微软雅黑" w:hAnsi="微软雅黑" w:eastAsia="微软雅黑"/>
          <w:b/>
          <w:color w:val="000000"/>
          <w:sz w:val="32"/>
          <w:lang w:eastAsia="zh-CN"/>
        </w:rPr>
      </w:pPr>
      <w:r>
        <w:rPr>
          <w:rFonts w:hint="eastAsia" w:ascii="微软雅黑" w:hAnsi="微软雅黑" w:eastAsia="微软雅黑"/>
          <w:b/>
          <w:color w:val="000000"/>
          <w:sz w:val="32"/>
          <w:lang w:eastAsia="zh-CN"/>
        </w:rPr>
        <w:t>变异位点结果提示</w:t>
      </w:r>
    </w:p>
    <w:p w14:paraId="7E7CDF96">
      <w:pPr>
        <w:widowControl w:val="0"/>
        <w:spacing w:before="120" w:beforeLines="50" w:after="120" w:afterLines="50" w:line="240" w:lineRule="auto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179A75E8">
      <w:pPr>
        <w:widowControl w:val="0"/>
        <w:spacing w:before="120" w:beforeLines="50" w:after="240" w:line="240" w:lineRule="auto"/>
        <w:ind w:firstLine="420" w:firstLineChars="200"/>
        <w:rPr>
          <w:rFonts w:ascii="Times New Roman" w:hAnsi="Times New Roman" w:eastAsia="微软雅黑" w:cs="Times New Roman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。{%if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具体信息见“检测结果详细解析”。{% endif %}</w:t>
      </w:r>
    </w:p>
    <w:tbl>
      <w:tblPr>
        <w:tblStyle w:val="164"/>
        <w:tblW w:w="984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789"/>
        <w:gridCol w:w="1687"/>
        <w:gridCol w:w="953"/>
        <w:gridCol w:w="960"/>
        <w:gridCol w:w="947"/>
        <w:gridCol w:w="1606"/>
        <w:gridCol w:w="1919"/>
      </w:tblGrid>
      <w:tr w14:paraId="417A310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983" w:type="dxa"/>
            <w:tcBorders>
              <w:top w:val="nil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755848B4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检测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78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6ECC374C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168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61B35E1E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微软雅黑" w:cs="Times New Roman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953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273C1105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96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743ABDD3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4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6D815924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606" w:type="dxa"/>
            <w:tcBorders>
              <w:top w:val="nil"/>
              <w:left w:val="single" w:color="FFFFFF" w:sz="18" w:space="0"/>
              <w:bottom w:val="nil"/>
            </w:tcBorders>
            <w:shd w:val="clear" w:color="auto" w:fill="006600"/>
            <w:vAlign w:val="center"/>
          </w:tcPr>
          <w:p w14:paraId="5A8A4753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  <w:tc>
          <w:tcPr>
            <w:tcW w:w="1919" w:type="dxa"/>
            <w:tcBorders>
              <w:top w:val="nil"/>
              <w:left w:val="single" w:color="FFFFFF" w:sz="18" w:space="0"/>
              <w:bottom w:val="nil"/>
            </w:tcBorders>
            <w:shd w:val="clear" w:color="auto" w:fill="006600"/>
            <w:vAlign w:val="center"/>
          </w:tcPr>
          <w:p w14:paraId="76A4D4D9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相关肿瘤</w:t>
            </w:r>
          </w:p>
        </w:tc>
      </w:tr>
      <w:tr w14:paraId="38D2B4D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op w:val="nil"/>
            </w:tcBorders>
            <w:shd w:val="clear" w:color="auto" w:fill="auto"/>
            <w:vAlign w:val="center"/>
          </w:tcPr>
          <w:p w14:paraId="35D50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if crCheckLineStrYF1280 != [] %}</w:t>
            </w:r>
          </w:p>
        </w:tc>
      </w:tr>
      <w:tr w14:paraId="5E3A0C1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</w:tcBorders>
            <w:shd w:val="clear" w:color="auto" w:fill="auto"/>
            <w:vAlign w:val="center"/>
          </w:tcPr>
          <w:p w14:paraId="63837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for cr in crCheckLineStrYF1280 %}</w:t>
            </w:r>
          </w:p>
        </w:tc>
      </w:tr>
      <w:tr w14:paraId="05B9D7F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15E61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cr.Gene }}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763DF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cr.Chr }}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2D4A0A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.ori_variant }}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4FC7E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cr.ExonicFunc }}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04E59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cr.Zygosity }}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66AAE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cr.c1000g2015aug_all }}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4365C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cr.Clinical_significance }}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66DB7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66" w:leftChars="30" w:right="66" w:rightChars="30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{{cr.cr_tumors}}</w:t>
            </w:r>
          </w:p>
        </w:tc>
      </w:tr>
      <w:tr w14:paraId="76202D0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shd w:val="clear" w:color="auto" w:fill="auto"/>
            <w:vAlign w:val="center"/>
          </w:tcPr>
          <w:p w14:paraId="7B186F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endfor %}</w:t>
            </w:r>
          </w:p>
        </w:tc>
      </w:tr>
      <w:tr w14:paraId="74EEE80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</w:tcBorders>
            <w:shd w:val="clear" w:color="auto" w:fill="auto"/>
            <w:vAlign w:val="center"/>
          </w:tcPr>
          <w:p w14:paraId="7EBFD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else %}</w:t>
            </w:r>
          </w:p>
        </w:tc>
      </w:tr>
      <w:tr w14:paraId="5026C2E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4E055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5C7CD2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5918F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213E8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61550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51AFA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500D0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2D697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/</w:t>
            </w:r>
          </w:p>
        </w:tc>
      </w:tr>
      <w:tr w14:paraId="7FE9916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shd w:val="clear" w:color="auto" w:fill="auto"/>
            <w:vAlign w:val="center"/>
          </w:tcPr>
          <w:p w14:paraId="309A2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endif %}</w:t>
            </w:r>
          </w:p>
        </w:tc>
      </w:tr>
    </w:tbl>
    <w:p w14:paraId="6EB293ED">
      <w:pPr>
        <w:rPr>
          <w:rFonts w:eastAsia="宋体"/>
          <w:lang w:eastAsia="zh-CN"/>
        </w:rPr>
      </w:pPr>
    </w:p>
    <w:p w14:paraId="2932CF06">
      <w:pPr>
        <w:spacing w:after="0"/>
        <w:outlineLvl w:val="3"/>
        <w:rPr>
          <w:rFonts w:hint="eastAsia" w:ascii="微软雅黑" w:hAnsi="微软雅黑" w:eastAsia="微软雅黑"/>
          <w:b/>
          <w:bCs/>
          <w:color w:val="00000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位点</w:t>
      </w:r>
      <w:r>
        <w:rPr>
          <w:rFonts w:hint="eastAsia" w:ascii="微软雅黑" w:hAnsi="微软雅黑" w:eastAsia="微软雅黑"/>
          <w:b/>
          <w:color w:val="000000"/>
          <w:sz w:val="24"/>
          <w:lang w:eastAsia="zh-CN"/>
        </w:rPr>
        <w:t>用药提示</w:t>
      </w:r>
    </w:p>
    <w:tbl>
      <w:tblPr>
        <w:tblStyle w:val="164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735"/>
        <w:gridCol w:w="1261"/>
        <w:gridCol w:w="1049"/>
        <w:gridCol w:w="2198"/>
        <w:gridCol w:w="2202"/>
      </w:tblGrid>
      <w:tr w14:paraId="20DFF06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45502468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检测</w:t>
            </w:r>
            <w:bookmarkStart w:id="2" w:name="_GoBack"/>
            <w:bookmarkEnd w:id="2"/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13038140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6B6EF6DA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46F9412D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2F7BB5F8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6600"/>
            <w:vAlign w:val="center"/>
          </w:tcPr>
          <w:p w14:paraId="02E3A94B">
            <w:pPr>
              <w:pStyle w:val="16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2FBB9EA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4D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62" w:right="131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if embryonalDrugTipLineStr != [] %}</w:t>
            </w:r>
          </w:p>
        </w:tc>
      </w:tr>
      <w:tr w14:paraId="4FA9CB7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AA9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62" w:right="131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for tip in embryonalDrugTipLineStr %}</w:t>
            </w:r>
          </w:p>
        </w:tc>
      </w:tr>
      <w:tr w14:paraId="3BFB9BB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1A5E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62" w:right="163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7F963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16" w:right="116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11CD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EFD6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CD26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tip.drugNameList == [] %}无{% else%}{% for d in tip.drugNameList 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{{d.name_level}}{%if not loop.last %}，</w:t>
            </w:r>
          </w:p>
          <w:p w14:paraId="24E1A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164E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tip.ResistantDrug == [] %}无{% else%}{% for d in tip.ResistantDrug 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{{d.name_level}}{%if not loop.last %}，</w:t>
            </w:r>
          </w:p>
          <w:p w14:paraId="27674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endfor %}{% endif%}</w:t>
            </w:r>
          </w:p>
        </w:tc>
      </w:tr>
      <w:tr w14:paraId="4F5573F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FC45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62" w:right="131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endfor %}</w:t>
            </w:r>
          </w:p>
        </w:tc>
      </w:tr>
      <w:tr w14:paraId="1B913B3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25CF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else %}</w:t>
            </w:r>
          </w:p>
        </w:tc>
      </w:tr>
      <w:tr w14:paraId="18D549FE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606E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本次检测未发现靶药相关致病性及可能致病性变异位点</w:t>
            </w:r>
          </w:p>
        </w:tc>
      </w:tr>
      <w:tr w14:paraId="290C259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E72BA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{%tr endif %}</w:t>
            </w:r>
          </w:p>
        </w:tc>
      </w:tr>
    </w:tbl>
    <w:p w14:paraId="02CAC240">
      <w:pPr>
        <w:widowControl w:val="0"/>
        <w:spacing w:before="47" w:after="0" w:line="240" w:lineRule="auto"/>
        <w:rPr>
          <w:rFonts w:ascii="Times New Roman" w:hAnsi="Times New Roman" w:eastAsia="微软雅黑" w:cs="Times New Roman"/>
          <w:b/>
          <w:bCs/>
          <w:sz w:val="15"/>
          <w:szCs w:val="15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5"/>
          <w:szCs w:val="15"/>
          <w:lang w:eastAsia="zh-CN"/>
        </w:rPr>
        <w:t>注：</w:t>
      </w:r>
    </w:p>
    <w:p w14:paraId="378ACE05">
      <w:pPr>
        <w:widowControl w:val="0"/>
        <w:spacing w:after="0" w:line="240" w:lineRule="auto"/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 xml:space="preserve">1.  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根据美国医学遗传医师学会（</w:t>
      </w: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ACMG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）指导意见，个体携带的变异，分为</w:t>
      </w: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5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个大类：</w:t>
      </w:r>
    </w:p>
    <w:p w14:paraId="630E5535">
      <w:pPr>
        <w:widowControl w:val="0"/>
        <w:spacing w:after="0" w:line="240" w:lineRule="auto"/>
        <w:rPr>
          <w:rFonts w:ascii="Times New Roman" w:hAnsi="Times New Roman" w:eastAsia="微软雅黑" w:cs="Times New Roman"/>
          <w:color w:val="000000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●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致病性变异：有大量证据表明这种变异是高风险的致病性变异。</w:t>
      </w:r>
    </w:p>
    <w:p w14:paraId="37E7B65C">
      <w:pPr>
        <w:widowControl w:val="0"/>
        <w:spacing w:after="0" w:line="240" w:lineRule="auto"/>
        <w:rPr>
          <w:rFonts w:ascii="Times New Roman" w:hAnsi="Times New Roman" w:eastAsia="微软雅黑" w:cs="Times New Roman"/>
          <w:color w:val="000000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●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可能致病性变异：有一些证据表明这种变异是高风险的致病性变异。</w:t>
      </w:r>
    </w:p>
    <w:p w14:paraId="4F4BB4AC">
      <w:pPr>
        <w:widowControl w:val="0"/>
        <w:spacing w:after="0" w:line="240" w:lineRule="auto"/>
        <w:rPr>
          <w:rFonts w:ascii="Times New Roman" w:hAnsi="Times New Roman" w:eastAsia="微软雅黑" w:cs="Times New Roman"/>
          <w:color w:val="000000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●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不确定性变异：没有足够的证据，将变异分类到其他四类中。</w:t>
      </w:r>
    </w:p>
    <w:p w14:paraId="265F0EBE">
      <w:pPr>
        <w:widowControl w:val="0"/>
        <w:spacing w:after="0" w:line="240" w:lineRule="auto"/>
        <w:rPr>
          <w:rFonts w:ascii="Times New Roman" w:hAnsi="Times New Roman" w:eastAsia="微软雅黑" w:cs="Times New Roman"/>
          <w:color w:val="000000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●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可能良性变异：有一些证据表明这种变异不是高风险的致病变异。</w:t>
      </w:r>
    </w:p>
    <w:p w14:paraId="27C543DA">
      <w:pPr>
        <w:widowControl w:val="0"/>
        <w:spacing w:after="0" w:line="240" w:lineRule="auto"/>
        <w:rPr>
          <w:rFonts w:ascii="Times New Roman" w:hAnsi="Times New Roman" w:eastAsia="微软雅黑" w:cs="Times New Roman"/>
          <w:color w:val="000000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●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良性变异：有大量证据表明这种变异不是高风险的致病变异。</w:t>
      </w:r>
    </w:p>
    <w:p w14:paraId="55C8B7D8">
      <w:pPr>
        <w:widowControl w:val="0"/>
        <w:spacing w:after="0" w:line="240" w:lineRule="auto"/>
        <w:rPr>
          <w:rFonts w:ascii="Times New Roman" w:hAnsi="Times New Roman" w:eastAsia="微软雅黑" w:cs="Times New Roman"/>
          <w:color w:val="000000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 xml:space="preserve">2.  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基因变异临床意义等级来源于</w:t>
      </w: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ACMG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指南及</w:t>
      </w: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>Clinvar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等公共数据库，随着相关指南、数据库不断完善以及临床数据的更新，变异分级可能发生变化。</w:t>
      </w:r>
    </w:p>
    <w:p w14:paraId="1041B569">
      <w:pPr>
        <w:widowControl w:val="0"/>
        <w:spacing w:after="0" w:line="240" w:lineRule="auto"/>
        <w:rPr>
          <w:rFonts w:ascii="Times New Roman" w:hAnsi="Times New Roman" w:eastAsia="微软雅黑" w:cs="Times New Roman"/>
          <w:color w:val="000000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bCs/>
          <w:sz w:val="15"/>
          <w:szCs w:val="15"/>
          <w:lang w:eastAsia="zh-CN"/>
        </w:rPr>
        <w:t xml:space="preserve">3.  </w:t>
      </w:r>
      <w:r>
        <w:rPr>
          <w:rFonts w:hint="eastAsia" w:ascii="Times New Roman" w:hAnsi="Times New Roman" w:eastAsia="微软雅黑" w:cs="Times New Roman"/>
          <w:bCs/>
          <w:sz w:val="15"/>
          <w:szCs w:val="15"/>
          <w:lang w:eastAsia="zh-CN"/>
        </w:rPr>
        <w:t>良性变异和可能良性变异不在报告中展示。</w:t>
      </w:r>
    </w:p>
    <w:p w14:paraId="2C0FBB89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 w14:paraId="564DA81D">
      <w:pPr>
        <w:widowControl w:val="0"/>
        <w:spacing w:after="0" w:line="240" w:lineRule="auto"/>
        <w:rPr>
          <w:rFonts w:hint="eastAsia" w:ascii="微软雅黑" w:hAnsi="微软雅黑" w:eastAsia="微软雅黑"/>
          <w:b/>
          <w:color w:val="000000"/>
          <w:sz w:val="32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{%if geneticCancerRiskInfo %}</w:t>
      </w:r>
      <w:r>
        <w:rPr>
          <w:rFonts w:ascii="微软雅黑" w:hAnsi="微软雅黑" w:eastAsia="微软雅黑"/>
          <w:b/>
          <w:color w:val="000000"/>
          <w:sz w:val="32"/>
          <w:lang w:eastAsia="zh-CN"/>
        </w:rPr>
        <w:t>检测结果详细解析</w:t>
      </w:r>
    </w:p>
    <w:p w14:paraId="64837D62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outlineLvl w:val="0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bookmarkStart w:id="0" w:name="_Toc149837265"/>
      <w:r>
        <w:rPr>
          <w:rFonts w:hint="default" w:ascii="Times New Roman" w:hAnsi="Times New Roman" w:eastAsia="微软雅黑" w:cs="Times New Roman"/>
          <w:b/>
          <w:bCs/>
          <w:color w:val="auto"/>
          <w:sz w:val="32"/>
          <w:szCs w:val="36"/>
          <w:lang w:val="en-US" w:eastAsia="zh-CN" w:bidi="ar-SA"/>
          <w14:shadow w14:blurRad="0" w14:dist="0" w14:dir="0" w14:sx="0" w14:sy="0" w14:kx="0" w14:ky="0" w14:algn="none">
            <w14:srgbClr w14:val="000000"/>
          </w14:shadow>
        </w:rPr>
        <w:t>变异位点结果解析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for tdd in geneticCancerRiskInfo %}</w:t>
      </w:r>
      <w:bookmarkEnd w:id="0"/>
    </w:p>
    <w:p w14:paraId="275BF50E">
      <w:pPr>
        <w:keepNext/>
        <w:widowControl w:val="0"/>
        <w:spacing w:before="120" w:beforeLines="50" w:after="120" w:afterLines="50" w:line="240" w:lineRule="auto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32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435"/>
      </w:tblGrid>
      <w:tr w14:paraId="52B3F77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35" w:type="dxa"/>
            <w:tcBorders>
              <w:top w:val="nil"/>
              <w:left w:val="nil"/>
              <w:bottom w:val="single" w:color="FFFFFF" w:sz="18" w:space="0"/>
              <w:right w:val="nil"/>
            </w:tcBorders>
            <w:shd w:val="clear" w:color="auto" w:fill="006600"/>
            <w:vAlign w:val="center"/>
          </w:tcPr>
          <w:p w14:paraId="001AE7D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435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3AB5D4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48C7381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35" w:type="dxa"/>
            <w:tcBorders>
              <w:top w:val="single" w:color="FFFFFF" w:sz="18" w:space="0"/>
              <w:left w:val="nil"/>
              <w:bottom w:val="single" w:color="FFFFFF" w:sz="18" w:space="0"/>
              <w:right w:val="nil"/>
            </w:tcBorders>
            <w:shd w:val="clear" w:color="auto" w:fill="006600"/>
            <w:vAlign w:val="center"/>
          </w:tcPr>
          <w:p w14:paraId="3FBCB21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{{ tdd.mutFreqType }}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E992BE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72AED99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tcBorders>
              <w:top w:val="single" w:color="FFFFFF" w:sz="18" w:space="0"/>
              <w:left w:val="nil"/>
              <w:right w:val="nil"/>
            </w:tcBorders>
            <w:shd w:val="clear" w:color="auto" w:fill="006600"/>
            <w:vAlign w:val="center"/>
          </w:tcPr>
          <w:p w14:paraId="2F3D50B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9B6F0B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'变异解析:'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43653B3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78747C8F">
      <w:pPr>
        <w:widowControl w:val="0"/>
        <w:spacing w:before="26" w:after="0" w:line="240" w:lineRule="auto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44394350">
      <w:pPr>
        <w:keepNext/>
        <w:widowControl w:val="0"/>
        <w:spacing w:before="26" w:after="0" w:line="240" w:lineRule="auto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32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3A909A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053030FE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48688502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242CB20B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证据等级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6600"/>
            <w:vAlign w:val="center"/>
          </w:tcPr>
          <w:p w14:paraId="73DE087E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循证医学信息</w:t>
            </w:r>
          </w:p>
        </w:tc>
      </w:tr>
      <w:tr w14:paraId="61395A0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18431B1A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1EC10CA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EEA24F1">
            <w:pPr>
              <w:widowControl w:val="0"/>
              <w:spacing w:before="1" w:after="0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E7BB75E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5CB4EB1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1FE0A66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423CF1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8407B9E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E77AC48">
      <w:pPr>
        <w:widowControl w:val="0"/>
        <w:spacing w:before="26" w:after="0" w:line="240" w:lineRule="auto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2A2E760B">
      <w:pPr>
        <w:keepNext/>
        <w:widowControl w:val="0"/>
        <w:spacing w:before="26" w:after="0" w:line="240" w:lineRule="auto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32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25421D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6E6E2AEE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1865CA0E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7D96DDC5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证据等级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6600"/>
            <w:vAlign w:val="center"/>
          </w:tcPr>
          <w:p w14:paraId="23B46CE6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循证医学信息</w:t>
            </w:r>
          </w:p>
        </w:tc>
      </w:tr>
      <w:tr w14:paraId="7DA292A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41A67631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tdd.potentialDrugList %}</w:t>
            </w:r>
          </w:p>
        </w:tc>
      </w:tr>
      <w:tr w14:paraId="42F2619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1ABCAFC7">
            <w:pPr>
              <w:widowControl w:val="0"/>
              <w:spacing w:before="1" w:after="0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043D3EC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617BF3A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1E5FFC04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46DB5C9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194F5CB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2AC184E">
      <w:pPr>
        <w:widowControl w:val="0"/>
        <w:spacing w:before="26" w:after="0" w:line="240" w:lineRule="auto"/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7278AB86">
      <w:pPr>
        <w:keepNext/>
        <w:widowControl w:val="0"/>
        <w:spacing w:before="26" w:after="0" w:line="240" w:lineRule="auto"/>
        <w:rPr>
          <w:rFonts w:hint="default" w:ascii="Times New Roman" w:hAnsi="Times New Roman" w:eastAsia="微软雅黑" w:cs="Times New Roman"/>
          <w:b/>
          <w:sz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32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088A0B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6AD10C00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37DE1ACD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75E6A9D4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33164EB3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6D7BBF47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6600"/>
            <w:vAlign w:val="center"/>
          </w:tcPr>
          <w:p w14:paraId="1A6F828D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地点</w:t>
            </w:r>
          </w:p>
        </w:tc>
      </w:tr>
      <w:tr w14:paraId="11A1DB3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0A2A251B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25F1DF0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CA171C0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0F4F2F9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2A99EEB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A62C5C1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FC02150">
            <w:pPr>
              <w:widowControl w:val="0"/>
              <w:spacing w:before="1" w:after="0" w:line="249" w:lineRule="auto"/>
              <w:ind w:right="131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0FB563A">
            <w:pPr>
              <w:keepNext/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27F32344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3D4ECA6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1E5D90BE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EA8FE59">
      <w:pPr>
        <w:rPr>
          <w:rFonts w:hint="eastAsia" w:eastAsia="宋体"/>
          <w:lang w:eastAsia="zh-CN"/>
        </w:rPr>
      </w:pPr>
      <w:r>
        <w:rPr>
          <w:rFonts w:hint="default" w:ascii="Times New Roman" w:hAnsi="Times New Roman" w:eastAsia="微软雅黑" w:cs="Times New Roman"/>
          <w:b/>
          <w:color w:val="auto"/>
          <w:sz w:val="21"/>
          <w:szCs w:val="21"/>
          <w:lang w:val="en-US" w:eastAsia="zh-CN" w:bidi="ar-SA"/>
        </w:rPr>
        <w:t>{% endif %}{% endfor %}</w:t>
      </w:r>
      <w:r>
        <w:rPr>
          <w:rFonts w:hint="default" w:ascii="Times New Roman" w:hAnsi="Times New Roman" w:eastAsia="微软雅黑" w:cs="Times New Roman"/>
          <w:b/>
          <w:color w:val="auto"/>
          <w:sz w:val="21"/>
          <w:szCs w:val="21"/>
          <w:lang w:val="en-US" w:eastAsia="zh-CN" w:bidi="ar-SA"/>
        </w:rPr>
        <w:br w:type="page"/>
      </w:r>
      <w:r>
        <w:rPr>
          <w:rFonts w:hint="default" w:ascii="Times New Roman" w:hAnsi="Times New Roman" w:eastAsia="微软雅黑" w:cs="Times New Roman"/>
          <w:b/>
          <w:color w:val="000000"/>
          <w:sz w:val="21"/>
          <w:szCs w:val="21"/>
          <w:highlight w:val="none"/>
          <w:lang w:val="en-US" w:eastAsia="zh-CN" w:bidi="ar-SA"/>
        </w:rPr>
        <w:t>{% endif %}</w:t>
      </w:r>
    </w:p>
    <w:p w14:paraId="638EC60F">
      <w:pPr>
        <w:spacing w:after="0"/>
        <w:outlineLvl w:val="2"/>
      </w:pPr>
      <w:r>
        <w:rPr>
          <w:rFonts w:ascii="微软雅黑" w:hAnsi="微软雅黑" w:eastAsia="微软雅黑"/>
          <w:b/>
          <w:color w:val="000000"/>
          <w:sz w:val="32"/>
        </w:rPr>
        <w:t>附录</w:t>
      </w:r>
    </w:p>
    <w:p w14:paraId="77512A5A">
      <w:pPr>
        <w:spacing w:after="0"/>
        <w:outlineLvl w:val="3"/>
      </w:pPr>
      <w:r>
        <w:rPr>
          <w:rFonts w:ascii="微软雅黑" w:hAnsi="微软雅黑" w:eastAsia="微软雅黑"/>
          <w:b/>
          <w:color w:val="000000"/>
          <w:sz w:val="24"/>
        </w:rPr>
        <w:t>样本主要质控</w:t>
      </w:r>
    </w:p>
    <w:tbl>
      <w:tblPr>
        <w:tblStyle w:val="32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416AAB" w:sz="24" w:space="0"/>
          <w:right w:val="single" w:color="416AAB" w:sz="24" w:space="0"/>
          <w:insideH w:val="single" w:color="416AAB" w:sz="24" w:space="0"/>
          <w:insideV w:val="single" w:color="416AAB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6189973B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592C7738">
            <w:pPr>
              <w:widowControl w:val="0"/>
              <w:autoSpaceDE w:val="0"/>
              <w:spacing w:after="0" w:line="240" w:lineRule="auto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/>
                <w:sz w:val="21"/>
                <w:szCs w:val="21"/>
                <w:lang w:eastAsia="zh-CN" w:bidi="ar"/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19E6871F">
            <w:pPr>
              <w:widowControl w:val="0"/>
              <w:autoSpaceDE w:val="0"/>
              <w:spacing w:after="0" w:line="240" w:lineRule="auto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/>
                <w:sz w:val="21"/>
                <w:szCs w:val="21"/>
                <w:lang w:eastAsia="zh-CN" w:bidi="ar"/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6600"/>
            <w:vAlign w:val="center"/>
          </w:tcPr>
          <w:p w14:paraId="3BDA79B1">
            <w:pPr>
              <w:widowControl w:val="0"/>
              <w:autoSpaceDE w:val="0"/>
              <w:spacing w:after="0" w:line="240" w:lineRule="auto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/>
                <w:sz w:val="21"/>
                <w:szCs w:val="21"/>
                <w:lang w:eastAsia="zh-CN" w:bidi="ar"/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6600"/>
            <w:vAlign w:val="center"/>
          </w:tcPr>
          <w:p w14:paraId="477B5570">
            <w:pPr>
              <w:widowControl w:val="0"/>
              <w:autoSpaceDE w:val="0"/>
              <w:spacing w:after="0" w:line="240" w:lineRule="auto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/>
                <w:sz w:val="21"/>
                <w:szCs w:val="21"/>
                <w:lang w:eastAsia="zh-CN" w:bidi="ar"/>
              </w:rPr>
              <w:t>质控标准</w:t>
            </w:r>
          </w:p>
        </w:tc>
      </w:tr>
      <w:tr w14:paraId="34157940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67BA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FF74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C49A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41214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0%</w:t>
            </w:r>
          </w:p>
        </w:tc>
      </w:tr>
      <w:tr w14:paraId="3FE09321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6D96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 w:bidi="ar"/>
              </w:rPr>
              <w:t>核酸质量评估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CB59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ng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D805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6E9E0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100</w:t>
            </w:r>
          </w:p>
        </w:tc>
      </w:tr>
      <w:tr w14:paraId="537DA71F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257922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31BD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降解程度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F135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336A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 w:bidi="ar"/>
              </w:rPr>
              <w:t>级</w:t>
            </w:r>
          </w:p>
        </w:tc>
      </w:tr>
      <w:tr w14:paraId="12431BB4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168128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3F11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ng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3D97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489189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500</w:t>
            </w:r>
          </w:p>
        </w:tc>
      </w:tr>
      <w:tr w14:paraId="08565BA4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8A7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 w:bidi="ar"/>
              </w:rPr>
              <w:t>测序质量评估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3208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平均测序深度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0FEC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8C3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</w:t>
            </w:r>
          </w:p>
        </w:tc>
      </w:tr>
      <w:tr w14:paraId="707DF933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4064C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0A4B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覆盖均一性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A79D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6FBE3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90%</w:t>
            </w:r>
          </w:p>
        </w:tc>
      </w:tr>
      <w:tr w14:paraId="161FBC2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2BCE08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A344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基因组比对率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3043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ind w:left="119" w:leftChars="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3567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95%</w:t>
            </w:r>
          </w:p>
        </w:tc>
      </w:tr>
      <w:tr w14:paraId="6BA34F56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5A82E1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A171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Q30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占比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3871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406E8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80%</w:t>
            </w:r>
          </w:p>
        </w:tc>
      </w:tr>
      <w:tr w14:paraId="7B02BE08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454" w:hRule="atLeast"/>
          <w:jc w:val="center"/>
        </w:trPr>
        <w:tc>
          <w:tcPr>
            <w:tcW w:w="1984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F1F1F1"/>
            <w:vAlign w:val="center"/>
          </w:tcPr>
          <w:p w14:paraId="73279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F1F1F1"/>
            <w:vAlign w:val="center"/>
          </w:tcPr>
          <w:p w14:paraId="5030C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left="110" w:leftChars="50"/>
              <w:jc w:val="center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27BB586B">
      <w:pPr>
        <w:spacing w:after="0"/>
        <w:jc w:val="both"/>
        <w:rPr>
          <w:rFonts w:hint="eastAsia" w:ascii="微软雅黑" w:hAnsi="微软雅黑" w:eastAsia="微软雅黑"/>
          <w:color w:val="000000"/>
          <w:sz w:val="13"/>
          <w:lang w:eastAsia="zh-CN"/>
        </w:rPr>
      </w:pPr>
    </w:p>
    <w:p w14:paraId="06369D31">
      <w:pPr>
        <w:widowControl w:val="0"/>
        <w:tabs>
          <w:tab w:val="left" w:pos="1317"/>
        </w:tabs>
        <w:kinsoku w:val="0"/>
        <w:overflowPunct w:val="0"/>
        <w:spacing w:before="40" w:after="0" w:line="187" w:lineRule="auto"/>
        <w:ind w:right="1128"/>
        <w:rPr>
          <w:rFonts w:ascii="Times New Roman" w:hAnsi="Times New Roman" w:eastAsia="微软雅黑" w:cs="Times New Roman"/>
          <w:b/>
          <w:bCs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lang w:eastAsia="zh-CN"/>
        </w:rPr>
        <w:t>注：</w:t>
      </w:r>
    </w:p>
    <w:p w14:paraId="7839103A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 xml:space="preserve">1.  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肿瘤细胞含量：送检样本经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HE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染色评估的肿瘤细胞含量。如送检样本不满足病理评估所需条件，则不进行此项评估。</w:t>
      </w:r>
    </w:p>
    <w:p w14:paraId="40308073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2.  DNA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总量：送检样本的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DNA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提取总量。</w:t>
      </w:r>
    </w:p>
    <w:p w14:paraId="1FBC8D87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3.  DNA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降解程度：</w:t>
      </w:r>
    </w:p>
    <w:p w14:paraId="1F8E2E0A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● A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级：有主带，或降解均匀且降解区域主要集中在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5000bp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以上；</w:t>
      </w:r>
    </w:p>
    <w:p w14:paraId="2C88FFBD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● B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级：无主带，降解均匀且降解区域主要集中在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1500-5000bp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之间；</w:t>
      </w:r>
    </w:p>
    <w:p w14:paraId="1EC7C1CA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● C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级：无主带，降解均匀且降解区域主要集中在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500-1500bp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之间；</w:t>
      </w:r>
    </w:p>
    <w:p w14:paraId="70622AD6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● D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级（不合格）：无主带，降解均匀且降解区域主要集中在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500-1500bp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100ng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到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300ng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之间；或降解区域弥散在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150-1000bp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，或集中在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500bp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以下。</w:t>
      </w:r>
    </w:p>
    <w:p w14:paraId="01124663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 xml:space="preserve">4.  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预文库总量：核酸片段经过接头连接和扩增纯化后中间产物的总量。</w:t>
      </w:r>
    </w:p>
    <w:p w14:paraId="3522F425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 xml:space="preserve">5.  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平均测序深度：目标区域每个碱基被测到的平均次数。</w:t>
      </w:r>
    </w:p>
    <w:p w14:paraId="18FD016B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 xml:space="preserve">6.  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覆盖均一性：测序深度达到平均测序深度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20%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的碱基占比。</w:t>
      </w:r>
    </w:p>
    <w:p w14:paraId="3D2C19E9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 xml:space="preserve">7.  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基因组比对率：比对到参考基因组上的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reads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数目占比。</w:t>
      </w:r>
    </w:p>
    <w:p w14:paraId="5FEACC08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 xml:space="preserve">8.  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碱基质量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Q30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占比：测序数据中碱基质量在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Q30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以上（即碱基识别错误率在千分之一以下）的占比。</w:t>
      </w:r>
    </w:p>
    <w:p w14:paraId="4DA242E5">
      <w:pPr>
        <w:widowControl w:val="0"/>
        <w:spacing w:after="0" w:line="240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 xml:space="preserve">9.  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总体质量评估：根据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 xml:space="preserve"> DNA 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平均测序深度进行评估，分为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合格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、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警戒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、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不合格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三个等级。总体质量评估为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警戒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或者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不合格</w:t>
      </w:r>
      <w:r>
        <w:rPr>
          <w:rFonts w:ascii="Times New Roman" w:hAnsi="Times New Roman" w:eastAsia="微软雅黑" w:cs="Times New Roman"/>
          <w:sz w:val="15"/>
          <w:szCs w:val="15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  <w:t>时，均会影响检测的准确性和敏感性。</w:t>
      </w:r>
    </w:p>
    <w:p w14:paraId="0626033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br w:type="page"/>
      </w:r>
    </w:p>
    <w:p w14:paraId="3B7A24E0">
      <w:pPr>
        <w:spacing w:after="0"/>
        <w:outlineLvl w:val="2"/>
        <w:rPr>
          <w:rFonts w:hint="eastAsia" w:ascii="微软雅黑" w:hAnsi="微软雅黑" w:eastAsia="微软雅黑"/>
          <w:b/>
          <w:color w:val="000000"/>
          <w:sz w:val="32"/>
          <w:lang w:eastAsia="zh-CN"/>
        </w:rPr>
      </w:pPr>
      <w:bookmarkStart w:id="1" w:name="_Toc23686"/>
      <w:r>
        <w:rPr>
          <w:rFonts w:hint="eastAsia" w:ascii="微软雅黑" w:hAnsi="微软雅黑" w:eastAsia="微软雅黑"/>
          <w:b/>
          <w:color w:val="000000"/>
          <w:sz w:val="32"/>
          <w:lang w:eastAsia="zh-CN"/>
        </w:rPr>
        <w:t>检测方法与局限性</w:t>
      </w:r>
      <w:bookmarkEnd w:id="1"/>
    </w:p>
    <w:p w14:paraId="57E5861B">
      <w:pPr>
        <w:widowControl w:val="0"/>
        <w:spacing w:after="0" w:line="240" w:lineRule="auto"/>
        <w:rPr>
          <w:rFonts w:ascii="Times New Roman" w:hAnsi="Times New Roman" w:eastAsia="微软雅黑" w:cs="Times New Roman"/>
          <w:highlight w:val="yellow"/>
          <w:lang w:eastAsia="zh-CN"/>
        </w:rPr>
      </w:pPr>
    </w:p>
    <w:p w14:paraId="0745E955">
      <w:pPr>
        <w:widowControl w:val="0"/>
        <w:spacing w:after="0"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检测方法</w:t>
      </w:r>
    </w:p>
    <w:p w14:paraId="0F738594">
      <w:pPr>
        <w:widowControl w:val="0"/>
        <w:spacing w:after="0"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本次检测采用目标区域探针捕获技术，基于Illumina测序平台的二代高通量测序技术(NGS)对样本进行检测。本机构已依据相关技术指导准则完成技术平台验证。</w:t>
      </w:r>
    </w:p>
    <w:p w14:paraId="637A29AC">
      <w:pPr>
        <w:widowControl w:val="0"/>
        <w:spacing w:after="0" w:line="240" w:lineRule="auto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3D9483B4">
      <w:pPr>
        <w:widowControl w:val="0"/>
        <w:spacing w:after="0"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局限性说明</w:t>
      </w:r>
    </w:p>
    <w:p w14:paraId="6E1F01EE">
      <w:pPr>
        <w:widowControl w:val="0"/>
        <w:spacing w:after="0"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74B1B819">
      <w:pPr>
        <w:widowControl w:val="0"/>
        <w:spacing w:after="0" w:line="276" w:lineRule="auto"/>
        <w:ind w:firstLine="420" w:firstLineChars="200"/>
        <w:jc w:val="both"/>
        <w:rPr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sectPr>
      <w:headerReference r:id="rId7" w:type="default"/>
      <w:pgSz w:w="11900" w:h="16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93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29DAF">
    <w:pPr>
      <w:jc w:val="center"/>
    </w:pPr>
    <w:r>
      <w:rPr>
        <w:rFonts w:ascii="微软雅黑" w:hAnsi="微软雅黑" w:eastAsia="微软雅黑"/>
        <w:b/>
        <w:sz w:val="20"/>
      </w:rPr>
      <w:fldChar w:fldCharType="begin"/>
    </w:r>
    <w:r>
      <w:rPr>
        <w:rFonts w:ascii="微软雅黑" w:hAnsi="微软雅黑" w:eastAsia="微软雅黑"/>
        <w:b/>
        <w:sz w:val="20"/>
      </w:rPr>
      <w:instrText xml:space="preserve">PAGE</w:instrText>
    </w:r>
    <w:r>
      <w:rPr>
        <w:rFonts w:ascii="微软雅黑" w:hAnsi="微软雅黑" w:eastAsia="微软雅黑"/>
        <w:b/>
        <w:sz w:val="20"/>
      </w:rPr>
      <w:fldChar w:fldCharType="separate"/>
    </w:r>
    <w:r>
      <w:rPr>
        <w:rFonts w:hint="eastAsia" w:ascii="微软雅黑" w:hAnsi="微软雅黑" w:eastAsia="微软雅黑"/>
        <w:b/>
        <w:sz w:val="20"/>
      </w:rPr>
      <w:t>1</w:t>
    </w:r>
    <w:r>
      <w:rPr>
        <w:rFonts w:ascii="微软雅黑" w:hAnsi="微软雅黑" w:eastAsia="微软雅黑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CC01F">
    <w:pPr>
      <w:jc w:val="center"/>
    </w:pPr>
    <w:r>
      <w:drawing>
        <wp:inline distT="0" distB="0" distL="114300" distR="114300">
          <wp:extent cx="3700780" cy="719455"/>
          <wp:effectExtent l="0" t="0" r="1397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01408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E33416">
    <w:pPr>
      <w:jc w:val="center"/>
    </w:pPr>
    <w:r>
      <w:rPr>
        <w:rFonts w:ascii="宋体" w:hAnsi="宋体" w:eastAsia="宋体"/>
        <w:b/>
        <w:sz w:val="28"/>
      </w:rPr>
      <w:t>基因检测报告单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B1EA3">
    <w:pPr>
      <w:jc w:val="center"/>
    </w:pPr>
    <w:r>
      <w:drawing>
        <wp:inline distT="0" distB="0" distL="114300" distR="114300">
          <wp:extent cx="3700780" cy="719455"/>
          <wp:effectExtent l="0" t="0" r="7620" b="1714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01408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EEC"/>
    <w:rsid w:val="00034616"/>
    <w:rsid w:val="0006063C"/>
    <w:rsid w:val="00064CC5"/>
    <w:rsid w:val="000B63EA"/>
    <w:rsid w:val="00111B52"/>
    <w:rsid w:val="0015074B"/>
    <w:rsid w:val="002366AB"/>
    <w:rsid w:val="0029639D"/>
    <w:rsid w:val="00326F90"/>
    <w:rsid w:val="00331C7A"/>
    <w:rsid w:val="0033272F"/>
    <w:rsid w:val="006A331F"/>
    <w:rsid w:val="00906583"/>
    <w:rsid w:val="00AA1D8D"/>
    <w:rsid w:val="00AD6C03"/>
    <w:rsid w:val="00B47730"/>
    <w:rsid w:val="00CB0664"/>
    <w:rsid w:val="00D82770"/>
    <w:rsid w:val="00FC693F"/>
    <w:rsid w:val="01C26E13"/>
    <w:rsid w:val="057D69E2"/>
    <w:rsid w:val="07AF3996"/>
    <w:rsid w:val="097F1A8E"/>
    <w:rsid w:val="098F309D"/>
    <w:rsid w:val="0D35493D"/>
    <w:rsid w:val="0D705975"/>
    <w:rsid w:val="0DB26A52"/>
    <w:rsid w:val="13313C85"/>
    <w:rsid w:val="13A66595"/>
    <w:rsid w:val="14F41496"/>
    <w:rsid w:val="15C90318"/>
    <w:rsid w:val="16D74CB7"/>
    <w:rsid w:val="18AD4FC2"/>
    <w:rsid w:val="227B30DE"/>
    <w:rsid w:val="2705317A"/>
    <w:rsid w:val="28D265E4"/>
    <w:rsid w:val="29344BC9"/>
    <w:rsid w:val="2AA36F32"/>
    <w:rsid w:val="2B8054C5"/>
    <w:rsid w:val="2C974875"/>
    <w:rsid w:val="2CC82C80"/>
    <w:rsid w:val="2F4D6084"/>
    <w:rsid w:val="331365F3"/>
    <w:rsid w:val="333F2E0A"/>
    <w:rsid w:val="34207080"/>
    <w:rsid w:val="34C463DA"/>
    <w:rsid w:val="3E6B5B61"/>
    <w:rsid w:val="3E7F6402"/>
    <w:rsid w:val="3FA62446"/>
    <w:rsid w:val="416A109C"/>
    <w:rsid w:val="43B379E8"/>
    <w:rsid w:val="46496210"/>
    <w:rsid w:val="4B0B4954"/>
    <w:rsid w:val="4B6A3DF6"/>
    <w:rsid w:val="4C7351BF"/>
    <w:rsid w:val="4E0423C2"/>
    <w:rsid w:val="4E8C1402"/>
    <w:rsid w:val="5A126225"/>
    <w:rsid w:val="5A350349"/>
    <w:rsid w:val="5ADF54B5"/>
    <w:rsid w:val="5EF94460"/>
    <w:rsid w:val="5F031561"/>
    <w:rsid w:val="61FE4473"/>
    <w:rsid w:val="66D37220"/>
    <w:rsid w:val="67080B97"/>
    <w:rsid w:val="68B731E7"/>
    <w:rsid w:val="6AD279A3"/>
    <w:rsid w:val="6B80239C"/>
    <w:rsid w:val="6D1A412B"/>
    <w:rsid w:val="6E324C1E"/>
    <w:rsid w:val="6EB8541A"/>
    <w:rsid w:val="6FA84DB7"/>
    <w:rsid w:val="70730F3D"/>
    <w:rsid w:val="70BA0DD5"/>
    <w:rsid w:val="723B701D"/>
    <w:rsid w:val="751F38D5"/>
    <w:rsid w:val="76DF4B3E"/>
    <w:rsid w:val="798C015E"/>
    <w:rsid w:val="FFFB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  <w:style w:type="table" w:customStyle="1" w:styleId="164">
    <w:name w:val="Table Normal1"/>
    <w:autoRedefine/>
    <w:qFormat/>
    <w:uiPriority w:val="2"/>
    <w:rPr>
      <w:rFonts w:ascii="Times New Roman" w:hAnsi="Times New Roman" w:eastAsia="宋体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5">
    <w:name w:val="网格型1"/>
    <w:basedOn w:val="32"/>
    <w:autoRedefine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6">
    <w:name w:val="Table Paragraph"/>
    <w:basedOn w:val="1"/>
    <w:autoRedefine/>
    <w:qFormat/>
    <w:uiPriority w:val="1"/>
  </w:style>
  <w:style w:type="paragraph" w:customStyle="1" w:styleId="167">
    <w:name w:val="样式1"/>
    <w:basedOn w:val="19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1886</Words>
  <Characters>4106</Characters>
  <Lines>40</Lines>
  <Paragraphs>11</Paragraphs>
  <TotalTime>0</TotalTime>
  <ScaleCrop>false</ScaleCrop>
  <LinksUpToDate>false</LinksUpToDate>
  <CharactersWithSpaces>4397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fengyy</dc:creator>
  <cp:lastModifiedBy>tassles-L</cp:lastModifiedBy>
  <dcterms:modified xsi:type="dcterms:W3CDTF">2025-12-09T03:05:12Z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eyJoZGlkIjoiY2Y2NjU5MGIzZGFmM2M5NTIxMmI2NjdmNGQ0NDdjMDUiLCJ1c2VySWQiOiI2MjE3NDUxNTQifQ==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77C7F60402E9466795C27868484F6D22_43</vt:lpwstr>
  </property>
</Properties>
</file>