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2D6F1DB0">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379A0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113B2ED8">
            <w:pPr>
              <w:jc w:val="right"/>
              <w:rPr>
                <w:rFonts w:ascii="Times New Roman" w:hAnsi="Times New Roman" w:eastAsia="微软雅黑" w:cs="Times New Roman"/>
                <w:b/>
                <w:bCs/>
                <w:color w:val="1F497D"/>
                <w:sz w:val="36"/>
                <w:szCs w:val="36"/>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2680D5E2">
            <w:pPr>
              <w:jc w:val="center"/>
              <w:rPr>
                <w:rFonts w:ascii="Times New Roman" w:hAnsi="Times New Roman" w:eastAsia="微软雅黑" w:cs="Times New Roman"/>
                <w:b/>
                <w:bCs/>
                <w:color w:val="1F497D"/>
                <w:sz w:val="36"/>
                <w:szCs w:val="36"/>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8066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B46238C">
            <w:pPr>
              <w:jc w:val="both"/>
              <w:rPr>
                <w:rFonts w:ascii="Times New Roman" w:hAnsi="Times New Roman" w:eastAsia="微软雅黑" w:cs="Times New Roman"/>
                <w:b/>
                <w:bCs/>
                <w:color w:val="1F497D"/>
                <w:sz w:val="36"/>
                <w:szCs w:val="36"/>
              </w:rPr>
            </w:pPr>
          </w:p>
        </w:tc>
        <w:tc>
          <w:tcPr>
            <w:tcW w:w="8060" w:type="dxa"/>
            <w:vAlign w:val="center"/>
          </w:tcPr>
          <w:p w14:paraId="3CCE790B">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1AB96777">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177"/>
        <w:gridCol w:w="1039"/>
        <w:gridCol w:w="1040"/>
        <w:gridCol w:w="1037"/>
        <w:gridCol w:w="1039"/>
        <w:gridCol w:w="1039"/>
        <w:gridCol w:w="1030"/>
        <w:gridCol w:w="227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template_subbarcode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39FFCE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本检测项目为脑胶质瘤200基因检测，针对与肿瘤密切相关的200个基因进行高通量测序{% if PDInfo != undefined %}，同时，本项目也通过免疫组化检测PD-L1表达情况{% endif %}。检测突变形式为点突变（SNV）、小片段插入缺失（INDEL）、拷贝数变异（CNV）以及融合（FUSION）。</w:t>
            </w:r>
          </w:p>
          <w:p w14:paraId="2A3E975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脑胶质瘤分子分型诊断预后、靶向药物、免疫药物、化疗药物和遗传风险的相关性，给出靶向药物（FDA/NMPA批准药物、临床试验药物等）、化疗药物的用药提示信息，从而为临床制定治疗方案提供参考信息。</w:t>
            </w:r>
          </w:p>
        </w:tc>
      </w:tr>
    </w:tbl>
    <w:p w14:paraId="04880570">
      <w:pPr>
        <w:rPr>
          <w:rFonts w:ascii="Times New Roman" w:hAnsi="Times New Roman" w:eastAsia="微软雅黑" w:cs="Times New Roman"/>
        </w:rPr>
      </w:pPr>
      <w:bookmarkStart w:id="62" w:name="_GoBack"/>
      <w:bookmarkEnd w:id="62"/>
    </w:p>
    <w:p w14:paraId="1D96BAC8">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cols w:space="720" w:num="1"/>
        </w:sectPr>
      </w:pPr>
    </w:p>
    <w:p w14:paraId="008CFE06">
      <w:pPr>
        <w:pStyle w:val="2"/>
        <w:rPr>
          <w:rFonts w:ascii="Times New Roman" w:hAnsi="Times New Roman" w:eastAsia="微软雅黑" w:cs="Times New Roman"/>
          <w:color w:val="FFFFFF"/>
          <w:szCs w:val="30"/>
          <w:shd w:val="clear" w:color="auto" w:fill="17365D"/>
        </w:rPr>
      </w:pPr>
      <w:bookmarkStart w:id="0" w:name="_Toc527112379"/>
      <w:bookmarkStart w:id="1" w:name="_Toc534637492"/>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3BF9CB93">
      <w:pPr>
        <w:outlineLvl w:val="1"/>
        <w:rPr>
          <w:rFonts w:ascii="Times New Roman" w:hAnsi="Times New Roman" w:eastAsia="微软雅黑" w:cs="Times New Roman"/>
          <w:b/>
          <w:color w:val="00B050"/>
          <w:sz w:val="32"/>
          <w:szCs w:val="32"/>
        </w:rPr>
      </w:pPr>
      <w:r>
        <w:rPr>
          <w:rFonts w:hint="eastAsia" w:ascii="Times New Roman" w:hAnsi="Times New Roman" w:eastAsia="微软雅黑" w:cs="黑体"/>
          <w:b/>
          <w:bCs/>
          <w:color w:val="254061" w:themeColor="accent1" w:themeShade="80"/>
          <w:sz w:val="32"/>
          <w:szCs w:val="32"/>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Layout w:type="fixed"/>
        <w:tblCellMar>
          <w:top w:w="0" w:type="dxa"/>
          <w:left w:w="0" w:type="dxa"/>
          <w:bottom w:w="0" w:type="dxa"/>
          <w:right w:w="0" w:type="dxa"/>
        </w:tblCellMar>
      </w:tblPr>
      <w:tblGrid>
        <w:gridCol w:w="1579"/>
        <w:gridCol w:w="2706"/>
        <w:gridCol w:w="5273"/>
      </w:tblGrid>
      <w:tr w14:paraId="7E15AFE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90" w:hRule="atLeast"/>
          <w:jc w:val="center"/>
        </w:trPr>
        <w:tc>
          <w:tcPr>
            <w:tcW w:w="4285" w:type="dxa"/>
            <w:gridSpan w:val="2"/>
            <w:tcBorders>
              <w:tl2br w:val="nil"/>
              <w:tr2bl w:val="nil"/>
            </w:tcBorders>
            <w:shd w:val="clear" w:color="auto" w:fill="auto"/>
            <w:vAlign w:val="center"/>
          </w:tcPr>
          <w:p w14:paraId="7903A45C">
            <w:pPr>
              <w:jc w:val="center"/>
              <w:rPr>
                <w:rFonts w:hint="eastAsia" w:ascii="微软雅黑" w:eastAsia="微软雅黑"/>
                <w:b/>
                <w:color w:val="244061"/>
                <w:sz w:val="21"/>
              </w:rPr>
            </w:pPr>
            <w:bookmarkStart w:id="3" w:name="_Toc534807930"/>
            <w:r>
              <w:rPr>
                <w:rFonts w:hint="eastAsia" w:cs="黑体"/>
                <w:b/>
                <w:bCs/>
                <w:color w:val="244061"/>
                <w:sz w:val="28"/>
                <w:szCs w:val="36"/>
              </w:rPr>
              <w:br w:type="page"/>
            </w:r>
            <w:r>
              <w:rPr>
                <w:rFonts w:hint="eastAsia" w:ascii="微软雅黑" w:eastAsia="微软雅黑"/>
                <w:b/>
                <w:color w:val="244061"/>
                <w:sz w:val="21"/>
              </w:rPr>
              <w:t>检测类型</w:t>
            </w:r>
          </w:p>
        </w:tc>
        <w:tc>
          <w:tcPr>
            <w:tcW w:w="5273" w:type="dxa"/>
            <w:tcBorders>
              <w:tl2br w:val="nil"/>
              <w:tr2bl w:val="nil"/>
            </w:tcBorders>
            <w:shd w:val="clear" w:color="auto" w:fill="auto"/>
            <w:vAlign w:val="center"/>
          </w:tcPr>
          <w:p w14:paraId="1BC5608D">
            <w:pPr>
              <w:jc w:val="center"/>
              <w:rPr>
                <w:rFonts w:hint="eastAsia" w:ascii="微软雅黑" w:eastAsia="微软雅黑"/>
                <w:b/>
                <w:color w:val="244061"/>
              </w:rPr>
            </w:pPr>
            <w:r>
              <w:rPr>
                <w:rFonts w:ascii="Times New Roman" w:hAnsi="Times New Roman" w:eastAsia="微软雅黑" w:cs="黑体"/>
                <w:b/>
                <w:color w:val="244061"/>
                <w:sz w:val="21"/>
              </w:rPr>
              <w:t>检测结果</w:t>
            </w:r>
          </w:p>
        </w:tc>
      </w:tr>
      <w:tr w14:paraId="42404DD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210A10FA">
            <w:pPr>
              <w:pStyle w:val="33"/>
              <w:spacing w:before="40"/>
              <w:ind w:left="119"/>
              <w:rPr>
                <w:rFonts w:ascii="Times New Roman" w:hAnsi="Times New Roman" w:eastAsia="微软雅黑" w:cs="黑体"/>
                <w:sz w:val="21"/>
              </w:rPr>
            </w:pPr>
            <w:r>
              <w:rPr>
                <w:rFonts w:hint="eastAsia" w:ascii="Times New Roman" w:hAnsi="Times New Roman" w:eastAsia="微软雅黑" w:cs="黑体"/>
                <w:sz w:val="21"/>
              </w:rPr>
              <w:t>脑胶质瘤相关分子标记物检测</w:t>
            </w:r>
          </w:p>
        </w:tc>
        <w:tc>
          <w:tcPr>
            <w:tcW w:w="5273" w:type="dxa"/>
            <w:tcBorders>
              <w:tl2br w:val="nil"/>
              <w:tr2bl w:val="nil"/>
            </w:tcBorders>
            <w:shd w:val="clear" w:color="auto" w:fill="auto"/>
            <w:vAlign w:val="center"/>
          </w:tcPr>
          <w:p w14:paraId="1A3A1B91">
            <w:pPr>
              <w:pStyle w:val="33"/>
              <w:spacing w:before="40"/>
              <w:ind w:left="119"/>
              <w:rPr>
                <w:rFonts w:ascii="Times New Roman" w:hAnsi="Times New Roman" w:eastAsia="微软雅黑" w:cs="黑体"/>
                <w:sz w:val="21"/>
              </w:rPr>
            </w:pPr>
            <w:r>
              <w:rPr>
                <w:rFonts w:hint="eastAsia" w:ascii="Times New Roman" w:hAnsi="Times New Roman" w:eastAsia="微软雅黑" w:cs="黑体"/>
                <w:sz w:val="21"/>
              </w:rPr>
              <w:t>共检出{{ summaryOfRresults.brainGliomaSize }}个与脑胶质瘤诊断预后相关的分子标志物</w:t>
            </w:r>
          </w:p>
        </w:tc>
      </w:tr>
      <w:tr w14:paraId="35DC87D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37F7D600">
            <w:pPr>
              <w:pStyle w:val="33"/>
              <w:spacing w:before="40"/>
              <w:ind w:left="119"/>
              <w:rPr>
                <w:rFonts w:ascii="Times New Roman" w:hAnsi="Times New Roman" w:eastAsia="微软雅黑" w:cs="黑体"/>
                <w:sz w:val="21"/>
              </w:rPr>
            </w:pPr>
            <w:r>
              <w:rPr>
                <w:rFonts w:ascii="Times New Roman" w:hAnsi="Times New Roman" w:eastAsia="微软雅黑" w:cs="黑体"/>
                <w:sz w:val="21"/>
              </w:rPr>
              <w:t>靶向用药指导</w:t>
            </w:r>
          </w:p>
        </w:tc>
        <w:tc>
          <w:tcPr>
            <w:tcW w:w="5273" w:type="dxa"/>
            <w:tcBorders>
              <w:tl2br w:val="nil"/>
              <w:tr2bl w:val="nil"/>
            </w:tcBorders>
            <w:shd w:val="clear" w:color="auto" w:fill="auto"/>
            <w:vAlign w:val="center"/>
          </w:tcPr>
          <w:p w14:paraId="39D9991D">
            <w:pPr>
              <w:pStyle w:val="33"/>
              <w:spacing w:before="40" w:line="204" w:lineRule="auto"/>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共检出{{ summaryOfRresults.thisGeneticmarkerVwListSize }}个体细胞突变，其中{{ summaryOfRresults.somaticCellMedicationNum}}个与靶向药物相关{{bodyDrugStr}}；</w:t>
            </w:r>
          </w:p>
          <w:p w14:paraId="6BD3C294">
            <w:pPr>
              <w:pStyle w:val="33"/>
              <w:spacing w:before="40" w:line="204" w:lineRule="auto"/>
              <w:ind w:left="119" w:right="119"/>
              <w:rPr>
                <w:rFonts w:ascii="Times New Roman" w:hAnsi="Times New Roman" w:eastAsia="微软雅黑" w:cs="黑体"/>
                <w:sz w:val="21"/>
              </w:rPr>
            </w:pPr>
            <w:r>
              <w:rPr>
                <w:rFonts w:hint="eastAsia" w:ascii="Times New Roman" w:hAnsi="Times New Roman" w:eastAsia="微软雅黑" w:cs="Times New Roman"/>
                <w:sz w:val="21"/>
                <w:szCs w:val="21"/>
              </w:rPr>
              <w:t>共检出{{ summaryOfRresults.crCheckLineStrYF1280Size }}个胚系突变，其中{{summaryOfRresults.crDrugList}}个与靶向药物相关{{embryonalDrugStr}}</w:t>
            </w:r>
          </w:p>
        </w:tc>
      </w:tr>
      <w:tr w14:paraId="071DEF4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68537E65">
            <w:pPr>
              <w:pStyle w:val="33"/>
              <w:spacing w:before="40"/>
              <w:ind w:left="119"/>
              <w:rPr>
                <w:rFonts w:hint="eastAsia" w:ascii="微软雅黑" w:hAnsi="微软雅黑" w:eastAsia="微软雅黑" w:cs="微软雅黑"/>
                <w:sz w:val="21"/>
                <w:szCs w:val="21"/>
              </w:rPr>
            </w:pPr>
            <w:r>
              <w:rPr>
                <w:rFonts w:hint="eastAsia" w:ascii="微软雅黑" w:hAnsi="微软雅黑" w:eastAsia="微软雅黑" w:cs="微软雅黑"/>
                <w:sz w:val="21"/>
                <w:szCs w:val="21"/>
              </w:rPr>
              <w:t>免疫治疗相关标志物检测</w:t>
            </w:r>
          </w:p>
        </w:tc>
        <w:tc>
          <w:tcPr>
            <w:tcW w:w="2706" w:type="dxa"/>
            <w:tcBorders>
              <w:tl2br w:val="nil"/>
              <w:tr2bl w:val="nil"/>
            </w:tcBorders>
            <w:shd w:val="clear" w:color="auto" w:fill="auto"/>
            <w:vAlign w:val="center"/>
          </w:tcPr>
          <w:p w14:paraId="6624D33D">
            <w:pPr>
              <w:ind w:left="119"/>
              <w:rPr>
                <w:rFonts w:ascii="Times New Roman" w:hAnsi="Times New Roman" w:eastAsia="微软雅黑" w:cs="黑体"/>
                <w:sz w:val="21"/>
              </w:rPr>
            </w:pPr>
            <w:r>
              <w:rPr>
                <w:rFonts w:ascii="Times New Roman" w:hAnsi="Times New Roman" w:eastAsia="微软雅黑" w:cs="黑体"/>
                <w:sz w:val="21"/>
              </w:rPr>
              <w:t>微卫星不稳定性（MSI）</w:t>
            </w:r>
          </w:p>
        </w:tc>
        <w:tc>
          <w:tcPr>
            <w:tcW w:w="5273" w:type="dxa"/>
            <w:tcBorders>
              <w:tl2br w:val="nil"/>
              <w:tr2bl w:val="nil"/>
            </w:tcBorders>
            <w:shd w:val="clear" w:color="auto" w:fill="auto"/>
            <w:vAlign w:val="center"/>
          </w:tcPr>
          <w:p w14:paraId="2DC8B03D">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{{summaryOfRresults.msi_status_state}}</w:t>
            </w:r>
          </w:p>
        </w:tc>
      </w:tr>
      <w:tr w14:paraId="2B33E9F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271257A">
            <w:pPr>
              <w:pStyle w:val="33"/>
              <w:spacing w:before="40"/>
              <w:ind w:left="119"/>
              <w:rPr>
                <w:rFonts w:hint="eastAsia" w:ascii="微软雅黑" w:hAnsi="微软雅黑" w:eastAsia="微软雅黑" w:cs="微软雅黑"/>
                <w:sz w:val="21"/>
                <w:szCs w:val="21"/>
              </w:rPr>
            </w:pPr>
          </w:p>
        </w:tc>
        <w:tc>
          <w:tcPr>
            <w:tcW w:w="2706" w:type="dxa"/>
            <w:tcBorders>
              <w:tl2br w:val="nil"/>
              <w:tr2bl w:val="nil"/>
            </w:tcBorders>
            <w:shd w:val="clear" w:color="auto" w:fill="auto"/>
            <w:vAlign w:val="center"/>
          </w:tcPr>
          <w:p w14:paraId="69B77303">
            <w:pPr>
              <w:ind w:left="119"/>
              <w:rPr>
                <w:rFonts w:ascii="Times New Roman" w:hAnsi="Times New Roman" w:eastAsia="微软雅黑" w:cs="黑体"/>
                <w:sz w:val="21"/>
              </w:rPr>
            </w:pPr>
            <w:r>
              <w:rPr>
                <w:rFonts w:hint="eastAsia" w:ascii="Times New Roman" w:hAnsi="Times New Roman" w:eastAsia="微软雅黑" w:cs="黑体"/>
                <w:sz w:val="21"/>
              </w:rPr>
              <w:t>错配修复（MMR）基因</w:t>
            </w:r>
          </w:p>
        </w:tc>
        <w:tc>
          <w:tcPr>
            <w:tcW w:w="5273" w:type="dxa"/>
            <w:tcBorders>
              <w:tl2br w:val="nil"/>
              <w:tr2bl w:val="nil"/>
            </w:tcBorders>
            <w:shd w:val="clear" w:color="auto" w:fill="auto"/>
            <w:vAlign w:val="center"/>
          </w:tcPr>
          <w:p w14:paraId="3DC4350C">
            <w:pPr>
              <w:pStyle w:val="33"/>
              <w:ind w:left="119" w:right="119"/>
              <w:rPr>
                <w:rFonts w:ascii="Times New Roman" w:hAnsi="Times New Roman" w:eastAsia="微软雅黑" w:cs="Times New Roman"/>
                <w:sz w:val="21"/>
                <w:szCs w:val="21"/>
              </w:rPr>
            </w:pPr>
            <w:r>
              <w:rPr>
                <w:rFonts w:ascii="Times New Roman" w:hAnsi="Times New Roman" w:eastAsia="微软雅黑" w:cs="Times New Roman"/>
                <w:sz w:val="21"/>
                <w:szCs w:val="21"/>
              </w:rPr>
              <w:t>共检出</w:t>
            </w:r>
            <w:r>
              <w:rPr>
                <w:rFonts w:hint="eastAsia" w:ascii="Times New Roman" w:hAnsi="Times New Roman" w:eastAsia="微软雅黑" w:cs="Times New Roman"/>
                <w:sz w:val="21"/>
                <w:szCs w:val="21"/>
              </w:rPr>
              <w:t>{{summaryOfRresults.dMMRinfoSize}}</w:t>
            </w:r>
            <w:r>
              <w:rPr>
                <w:rFonts w:ascii="Times New Roman" w:hAnsi="Times New Roman" w:eastAsia="微软雅黑" w:cs="Times New Roman"/>
                <w:sz w:val="21"/>
                <w:szCs w:val="21"/>
              </w:rPr>
              <w:t>个MMR</w:t>
            </w:r>
            <w:r>
              <w:rPr>
                <w:rFonts w:hint="eastAsia" w:ascii="Times New Roman" w:hAnsi="Times New Roman" w:eastAsia="微软雅黑" w:cs="Times New Roman"/>
                <w:sz w:val="21"/>
                <w:szCs w:val="21"/>
              </w:rPr>
              <w:t>基因失活</w:t>
            </w:r>
            <w:r>
              <w:rPr>
                <w:rFonts w:ascii="Times New Roman" w:hAnsi="Times New Roman" w:eastAsia="微软雅黑" w:cs="Times New Roman"/>
                <w:sz w:val="21"/>
                <w:szCs w:val="21"/>
              </w:rPr>
              <w:t>突变</w:t>
            </w:r>
          </w:p>
        </w:tc>
      </w:tr>
      <w:tr w14:paraId="27E12F1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1A3BC6B">
            <w:pPr>
              <w:pStyle w:val="33"/>
              <w:spacing w:before="40"/>
              <w:ind w:left="119"/>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018008E0">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PDInfo != undefined %}</w:t>
            </w:r>
          </w:p>
        </w:tc>
      </w:tr>
      <w:tr w14:paraId="031FFA7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04D8C07E">
            <w:pPr>
              <w:pStyle w:val="33"/>
              <w:spacing w:before="40"/>
              <w:ind w:left="119"/>
              <w:rPr>
                <w:rFonts w:hint="eastAsia" w:ascii="微软雅黑" w:hAnsi="微软雅黑" w:eastAsia="微软雅黑" w:cs="微软雅黑"/>
                <w:sz w:val="21"/>
                <w:szCs w:val="21"/>
              </w:rPr>
            </w:pPr>
          </w:p>
        </w:tc>
        <w:tc>
          <w:tcPr>
            <w:tcW w:w="2706" w:type="dxa"/>
            <w:tcBorders>
              <w:tl2br w:val="nil"/>
              <w:tr2bl w:val="nil"/>
            </w:tcBorders>
            <w:shd w:val="clear" w:color="auto" w:fill="auto"/>
            <w:vAlign w:val="center"/>
          </w:tcPr>
          <w:p w14:paraId="0A5D43E8">
            <w:pPr>
              <w:pStyle w:val="33"/>
              <w:ind w:left="119"/>
              <w:rPr>
                <w:rFonts w:ascii="Times New Roman" w:hAnsi="Times New Roman" w:eastAsia="微软雅黑" w:cs="黑体"/>
                <w:sz w:val="21"/>
              </w:rPr>
            </w:pPr>
            <w:r>
              <w:rPr>
                <w:rFonts w:ascii="Times New Roman" w:hAnsi="Times New Roman" w:eastAsia="微软雅黑" w:cs="Times New Roman"/>
                <w:sz w:val="21"/>
                <w:szCs w:val="21"/>
              </w:rPr>
              <w:t>PD-L1蛋白表达水平</w:t>
            </w:r>
            <w:r>
              <w:rPr>
                <w:rFonts w:ascii="Times New Roman" w:hAnsi="Times New Roman" w:eastAsia="微软雅黑" w:cs="Times New Roman"/>
                <w:sz w:val="21"/>
                <w:szCs w:val="21"/>
              </w:rPr>
              <w:tab/>
            </w:r>
          </w:p>
        </w:tc>
        <w:tc>
          <w:tcPr>
            <w:tcW w:w="5273" w:type="dxa"/>
            <w:tcBorders>
              <w:tl2br w:val="nil"/>
              <w:tr2bl w:val="nil"/>
            </w:tcBorders>
            <w:shd w:val="clear" w:color="auto" w:fill="auto"/>
            <w:vAlign w:val="center"/>
          </w:tcPr>
          <w:p w14:paraId="3702D7DD">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使用{{</w:t>
            </w:r>
            <w:r>
              <w:rPr>
                <w:rFonts w:ascii="Times New Roman" w:hAnsi="Times New Roman" w:eastAsia="微软雅黑" w:cs="Times New Roman"/>
                <w:sz w:val="21"/>
                <w:szCs w:val="21"/>
              </w:rPr>
              <w:t xml:space="preserve"> PDInfo</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Detect_antibody</w:t>
            </w:r>
            <w:r>
              <w:rPr>
                <w:rFonts w:hint="eastAsia" w:ascii="Times New Roman" w:hAnsi="Times New Roman" w:eastAsia="微软雅黑" w:cs="Times New Roman"/>
                <w:sz w:val="21"/>
                <w:szCs w:val="21"/>
              </w:rPr>
              <w:t xml:space="preserve"> }}抗体；T</w:t>
            </w:r>
            <w:r>
              <w:rPr>
                <w:rFonts w:ascii="Times New Roman" w:hAnsi="Times New Roman" w:eastAsia="微软雅黑" w:cs="Times New Roman"/>
                <w:sz w:val="21"/>
                <w:szCs w:val="21"/>
              </w:rPr>
              <w:t>PS</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 xml:space="preserve"> PDInfo</w:t>
            </w:r>
            <w:r>
              <w:rPr>
                <w:rFonts w:hint="eastAsia" w:ascii="Times New Roman" w:hAnsi="Times New Roman" w:eastAsia="微软雅黑" w:cs="Times New Roman"/>
                <w:sz w:val="21"/>
                <w:szCs w:val="21"/>
              </w:rPr>
              <w:t>.TPS }}，</w:t>
            </w:r>
            <w:r>
              <w:rPr>
                <w:rFonts w:ascii="Times New Roman" w:hAnsi="Times New Roman" w:eastAsia="微软雅黑" w:cs="Times New Roman"/>
                <w:sz w:val="21"/>
                <w:szCs w:val="21"/>
              </w:rPr>
              <w:t xml:space="preserve"> CPS </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 xml:space="preserve"> PDInfo</w:t>
            </w:r>
            <w:r>
              <w:rPr>
                <w:rFonts w:hint="eastAsia" w:ascii="Times New Roman" w:hAnsi="Times New Roman" w:eastAsia="微软雅黑" w:cs="Times New Roman"/>
                <w:sz w:val="21"/>
                <w:szCs w:val="21"/>
              </w:rPr>
              <w:t>.CPS }}</w:t>
            </w:r>
          </w:p>
        </w:tc>
      </w:tr>
      <w:tr w14:paraId="0242427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7CD75EDE">
            <w:pPr>
              <w:spacing w:before="40"/>
              <w:ind w:left="119"/>
              <w:rPr>
                <w:rFonts w:ascii="Times New Roman" w:hAnsi="Times New Roman" w:eastAsia="微软雅黑" w:cs="黑体"/>
                <w:sz w:val="21"/>
              </w:rPr>
            </w:pPr>
          </w:p>
        </w:tc>
        <w:tc>
          <w:tcPr>
            <w:tcW w:w="7979" w:type="dxa"/>
            <w:gridSpan w:val="2"/>
            <w:tcBorders>
              <w:tl2br w:val="nil"/>
              <w:tr2bl w:val="nil"/>
            </w:tcBorders>
            <w:shd w:val="clear" w:color="auto" w:fill="auto"/>
            <w:vAlign w:val="center"/>
          </w:tcPr>
          <w:p w14:paraId="6D5F7617">
            <w:pPr>
              <w:pStyle w:val="33"/>
              <w:ind w:left="119" w:right="119"/>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r w14:paraId="4C81212B">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42FCE802">
            <w:pPr>
              <w:pStyle w:val="33"/>
              <w:spacing w:before="40"/>
              <w:ind w:left="119"/>
              <w:rPr>
                <w:rFonts w:ascii="Times New Roman" w:hAnsi="Times New Roman" w:eastAsia="微软雅黑" w:cs="黑体"/>
                <w:sz w:val="21"/>
              </w:rPr>
            </w:pPr>
            <w:r>
              <w:rPr>
                <w:rFonts w:ascii="Times New Roman" w:hAnsi="Times New Roman" w:eastAsia="微软雅黑" w:cs="黑体"/>
                <w:sz w:val="21"/>
              </w:rPr>
              <w:t>肿瘤遗传风险检测</w:t>
            </w:r>
          </w:p>
        </w:tc>
        <w:tc>
          <w:tcPr>
            <w:tcW w:w="5273" w:type="dxa"/>
            <w:tcBorders>
              <w:tl2br w:val="nil"/>
              <w:tr2bl w:val="nil"/>
            </w:tcBorders>
            <w:shd w:val="clear" w:color="auto" w:fill="auto"/>
            <w:vAlign w:val="center"/>
          </w:tcPr>
          <w:p w14:paraId="7B5D7C94">
            <w:pPr>
              <w:pStyle w:val="33"/>
              <w:spacing w:before="40" w:line="204" w:lineRule="auto"/>
              <w:ind w:left="119" w:right="119"/>
              <w:rPr>
                <w:rFonts w:ascii="Times New Roman" w:hAnsi="Times New Roman" w:eastAsia="微软雅黑" w:cs="黑体"/>
                <w:sz w:val="21"/>
              </w:rPr>
            </w:pPr>
            <w:r>
              <w:rPr>
                <w:rFonts w:ascii="Times New Roman" w:hAnsi="Times New Roman" w:eastAsia="微软雅黑" w:cs="Times New Roman"/>
                <w:sz w:val="21"/>
                <w:szCs w:val="21"/>
              </w:rPr>
              <w:t>共检出</w:t>
            </w:r>
            <w:r>
              <w:rPr>
                <w:rFonts w:hint="eastAsia" w:ascii="Times New Roman" w:hAnsi="Times New Roman" w:eastAsia="微软雅黑" w:cs="黑体"/>
                <w:sz w:val="21"/>
              </w:rPr>
              <w:t>{{ summaryOfRresults.crCheckLineStrYF1280Size }}</w:t>
            </w:r>
            <w:r>
              <w:rPr>
                <w:rFonts w:ascii="Times New Roman" w:hAnsi="Times New Roman" w:eastAsia="微软雅黑" w:cs="Times New Roman"/>
                <w:sz w:val="21"/>
                <w:szCs w:val="21"/>
              </w:rPr>
              <w:t>个胚系突变，其中</w:t>
            </w:r>
            <w:r>
              <w:rPr>
                <w:rFonts w:hint="eastAsia" w:ascii="Times New Roman" w:hAnsi="Times New Roman" w:eastAsia="微软雅黑" w:cs="黑体"/>
                <w:sz w:val="21"/>
              </w:rPr>
              <w:t>{{summaryOfRresults.hasPathogenicityCount}}</w:t>
            </w:r>
            <w:r>
              <w:rPr>
                <w:rFonts w:ascii="Times New Roman" w:hAnsi="Times New Roman" w:eastAsia="微软雅黑" w:cs="Times New Roman"/>
                <w:sz w:val="21"/>
                <w:szCs w:val="21"/>
              </w:rPr>
              <w:t>个为致病</w:t>
            </w:r>
            <w:r>
              <w:rPr>
                <w:rFonts w:hint="eastAsia" w:ascii="Times New Roman" w:hAnsi="Times New Roman" w:eastAsia="微软雅黑" w:cs="Times New Roman"/>
                <w:sz w:val="21"/>
                <w:szCs w:val="21"/>
              </w:rPr>
              <w:t>/可能</w:t>
            </w:r>
            <w:r>
              <w:rPr>
                <w:rFonts w:ascii="Times New Roman" w:hAnsi="Times New Roman" w:eastAsia="微软雅黑" w:cs="Times New Roman"/>
                <w:sz w:val="21"/>
                <w:szCs w:val="21"/>
              </w:rPr>
              <w:t>致病</w:t>
            </w:r>
            <w:r>
              <w:rPr>
                <w:rFonts w:hint="eastAsia" w:ascii="Times New Roman" w:hAnsi="Times New Roman" w:eastAsia="微软雅黑" w:cs="Times New Roman"/>
                <w:sz w:val="21"/>
                <w:szCs w:val="21"/>
              </w:rPr>
              <w:t>性</w:t>
            </w:r>
            <w:r>
              <w:rPr>
                <w:rFonts w:ascii="Times New Roman" w:hAnsi="Times New Roman" w:eastAsia="微软雅黑" w:cs="Times New Roman"/>
                <w:sz w:val="21"/>
                <w:szCs w:val="21"/>
              </w:rPr>
              <w:t>突变</w:t>
            </w:r>
            <w:r>
              <w:rPr>
                <w:rFonts w:hint="eastAsia" w:ascii="Times New Roman" w:hAnsi="Times New Roman" w:eastAsia="微软雅黑" w:cs="Times New Roman"/>
                <w:sz w:val="21"/>
                <w:szCs w:val="21"/>
                <w:lang w:bidi="ar"/>
              </w:rPr>
              <w:t>{{</w:t>
            </w:r>
            <w:r>
              <w:rPr>
                <w:rFonts w:ascii="Times New Roman" w:hAnsi="Times New Roman" w:eastAsia="微软雅黑" w:cs="Times New Roman"/>
                <w:sz w:val="21"/>
                <w:szCs w:val="21"/>
                <w:lang w:bidi="ar"/>
              </w:rPr>
              <w:t>crCheckDrugStr</w:t>
            </w:r>
            <w:r>
              <w:rPr>
                <w:rFonts w:hint="eastAsia" w:ascii="Times New Roman" w:hAnsi="Times New Roman" w:eastAsia="微软雅黑" w:cs="Times New Roman"/>
                <w:sz w:val="21"/>
                <w:szCs w:val="21"/>
                <w:lang w:bidi="ar"/>
              </w:rPr>
              <w:t>}}</w:t>
            </w:r>
          </w:p>
        </w:tc>
      </w:tr>
      <w:tr w14:paraId="6DB96A5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10E23B93">
            <w:pPr>
              <w:pStyle w:val="33"/>
              <w:ind w:left="119"/>
              <w:jc w:val="both"/>
              <w:rPr>
                <w:rFonts w:ascii="Times New Roman" w:hAnsi="Times New Roman" w:eastAsia="微软雅黑" w:cs="黑体"/>
                <w:sz w:val="21"/>
              </w:rPr>
            </w:pPr>
            <w:r>
              <w:rPr>
                <w:rFonts w:ascii="Times New Roman" w:hAnsi="Times New Roman" w:eastAsia="微软雅黑" w:cs="黑体"/>
                <w:sz w:val="21"/>
              </w:rPr>
              <w:t>化疗药物检测</w:t>
            </w:r>
          </w:p>
        </w:tc>
        <w:tc>
          <w:tcPr>
            <w:tcW w:w="5273" w:type="dxa"/>
            <w:tcBorders>
              <w:tl2br w:val="nil"/>
              <w:tr2bl w:val="nil"/>
            </w:tcBorders>
            <w:shd w:val="clear" w:color="auto" w:fill="auto"/>
            <w:vAlign w:val="center"/>
          </w:tcPr>
          <w:p w14:paraId="52143EC8">
            <w:pPr>
              <w:pStyle w:val="33"/>
              <w:ind w:left="119" w:right="119"/>
              <w:jc w:val="both"/>
              <w:rPr>
                <w:rFonts w:ascii="Times New Roman" w:hAnsi="Times New Roman" w:eastAsia="微软雅黑" w:cs="黑体"/>
                <w:sz w:val="21"/>
              </w:rPr>
            </w:pPr>
            <w:r>
              <w:rPr>
                <w:rFonts w:ascii="Times New Roman" w:hAnsi="Times New Roman" w:eastAsia="微软雅黑" w:cs="Times New Roman"/>
                <w:sz w:val="21"/>
                <w:szCs w:val="21"/>
              </w:rPr>
              <w:t>详见“化疗药物检测解析”部分</w:t>
            </w:r>
          </w:p>
        </w:tc>
      </w:tr>
      <w:tr w14:paraId="3D8EBE6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285" w:type="dxa"/>
            <w:gridSpan w:val="2"/>
            <w:tcBorders>
              <w:tl2br w:val="nil"/>
              <w:tr2bl w:val="nil"/>
            </w:tcBorders>
            <w:shd w:val="clear" w:color="auto" w:fill="auto"/>
            <w:vAlign w:val="center"/>
          </w:tcPr>
          <w:p w14:paraId="7D30F307">
            <w:pPr>
              <w:pStyle w:val="33"/>
              <w:ind w:left="119"/>
              <w:rPr>
                <w:rFonts w:ascii="Times New Roman" w:hAnsi="Times New Roman" w:eastAsia="微软雅黑" w:cs="黑体"/>
                <w:sz w:val="21"/>
              </w:rPr>
            </w:pPr>
            <w:r>
              <w:rPr>
                <w:rFonts w:ascii="Times New Roman" w:hAnsi="Times New Roman" w:eastAsia="微软雅黑" w:cs="黑体"/>
                <w:sz w:val="21"/>
              </w:rPr>
              <w:t>样品总体质量评估</w:t>
            </w:r>
          </w:p>
        </w:tc>
        <w:tc>
          <w:tcPr>
            <w:tcW w:w="5273" w:type="dxa"/>
            <w:tcBorders>
              <w:tl2br w:val="nil"/>
              <w:tr2bl w:val="nil"/>
            </w:tcBorders>
            <w:shd w:val="clear" w:color="auto" w:fill="auto"/>
            <w:vAlign w:val="center"/>
          </w:tcPr>
          <w:p w14:paraId="59E83D91">
            <w:pPr>
              <w:pStyle w:val="33"/>
              <w:ind w:left="119" w:right="119"/>
              <w:jc w:val="both"/>
              <w:rPr>
                <w:rFonts w:ascii="Times New Roman" w:hAnsi="Times New Roman" w:eastAsia="微软雅黑" w:cs="黑体"/>
                <w:sz w:val="21"/>
              </w:rPr>
            </w:pPr>
            <w:r>
              <w:rPr>
                <w:rFonts w:hint="eastAsia" w:ascii="微软雅黑" w:hAnsi="微软雅黑" w:eastAsia="微软雅黑"/>
                <w:color w:val="000000"/>
                <w:sz w:val="21"/>
                <w:szCs w:val="21"/>
              </w:rPr>
              <w:t xml:space="preserve">{{ </w:t>
            </w:r>
            <w:r>
              <w:rPr>
                <w:rFonts w:ascii="微软雅黑" w:hAnsi="微软雅黑" w:eastAsia="微软雅黑"/>
                <w:color w:val="000000"/>
                <w:sz w:val="21"/>
                <w:szCs w:val="21"/>
              </w:rPr>
              <w:t>overall_quality_assessment</w:t>
            </w:r>
            <w:r>
              <w:rPr>
                <w:rFonts w:hint="eastAsia" w:ascii="微软雅黑" w:hAnsi="微软雅黑" w:eastAsia="微软雅黑"/>
                <w:color w:val="000000"/>
                <w:sz w:val="21"/>
                <w:szCs w:val="21"/>
              </w:rPr>
              <w:t xml:space="preserve"> }}</w:t>
            </w:r>
          </w:p>
        </w:tc>
      </w:tr>
    </w:tbl>
    <w:p w14:paraId="282BC113">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bidi="ar"/>
        </w:rPr>
        <w:t>说明</w:t>
      </w:r>
      <w:r>
        <w:rPr>
          <w:rFonts w:ascii="微软雅黑" w:hAnsi="微软雅黑" w:eastAsia="微软雅黑" w:cs="微软雅黑"/>
          <w:sz w:val="18"/>
          <w:szCs w:val="18"/>
          <w:lang w:bidi="ar"/>
        </w:rPr>
        <w:t>：</w:t>
      </w:r>
    </w:p>
    <w:p w14:paraId="319AC434">
      <w:pPr>
        <w:numPr>
          <w:ilvl w:val="0"/>
          <w:numId w:val="2"/>
        </w:numPr>
        <w:ind w:left="330" w:leftChars="150"/>
        <w:rPr>
          <w:rFonts w:hint="eastAsia" w:ascii="微软雅黑" w:hAnsi="微软雅黑" w:eastAsia="微软雅黑" w:cs="微软雅黑"/>
          <w:sz w:val="18"/>
          <w:szCs w:val="18"/>
          <w:lang w:bidi="ar"/>
        </w:rPr>
      </w:pPr>
      <w:r>
        <w:rPr>
          <w:rFonts w:ascii="微软雅黑" w:hAnsi="微软雅黑" w:eastAsia="微软雅黑" w:cs="微软雅黑"/>
          <w:sz w:val="18"/>
          <w:szCs w:val="18"/>
          <w:lang w:bidi="ar"/>
        </w:rPr>
        <w:t>本报告为基因检测结果，基因、药物等信息列举未按照重要性排序。</w:t>
      </w:r>
    </w:p>
    <w:p w14:paraId="1965D19D">
      <w:pPr>
        <w:numPr>
          <w:ilvl w:val="0"/>
          <w:numId w:val="2"/>
        </w:numPr>
        <w:ind w:left="330" w:leftChars="150"/>
        <w:rPr>
          <w:rFonts w:hint="eastAsia" w:ascii="微软雅黑" w:hAnsi="微软雅黑" w:eastAsia="微软雅黑" w:cs="微软雅黑"/>
          <w:sz w:val="18"/>
          <w:szCs w:val="18"/>
          <w:lang w:bidi="ar"/>
        </w:rPr>
      </w:pPr>
      <w:r>
        <w:rPr>
          <w:rFonts w:ascii="Times New Roman" w:hAnsi="Times New Roman" w:eastAsia="微软雅黑" w:cs="Times New Roman"/>
          <w:sz w:val="18"/>
          <w:szCs w:val="18"/>
        </w:rPr>
        <w:t>检测结果仅供科学研究和临床用药参考，具体治疗方案请咨询主治医生。</w:t>
      </w:r>
    </w:p>
    <w:p w14:paraId="72273BE3">
      <w:pPr>
        <w:numPr>
          <w:ilvl w:val="0"/>
          <w:numId w:val="2"/>
        </w:numPr>
        <w:ind w:left="330" w:leftChars="150"/>
        <w:rPr>
          <w:rFonts w:hint="eastAsia" w:ascii="微软雅黑" w:hAnsi="微软雅黑" w:eastAsia="微软雅黑" w:cs="微软雅黑"/>
          <w:sz w:val="18"/>
          <w:szCs w:val="18"/>
          <w:lang w:bidi="ar"/>
        </w:rPr>
      </w:pPr>
      <w:r>
        <w:rPr>
          <w:rFonts w:ascii="微软雅黑" w:hAnsi="微软雅黑" w:eastAsia="微软雅黑" w:cs="微软雅黑"/>
          <w:sz w:val="18"/>
          <w:szCs w:val="18"/>
          <w:lang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6C093537">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134BCC25">
      <w:pPr>
        <w:outlineLvl w:val="1"/>
        <w:rPr>
          <w:rFonts w:ascii="Times New Roman" w:hAnsi="Times New Roman" w:eastAsia="微软雅黑" w:cs="黑体"/>
          <w:b/>
          <w:bCs/>
          <w:color w:val="244061"/>
          <w:sz w:val="32"/>
          <w:szCs w:val="32"/>
        </w:rPr>
      </w:pPr>
      <w:bookmarkStart w:id="4" w:name="_Toc499"/>
      <w:bookmarkStart w:id="5" w:name="_Toc2819"/>
      <w:bookmarkStart w:id="6" w:name="_Toc20136_WPSOffice_Level1"/>
      <w:bookmarkStart w:id="7" w:name="_Toc19898_WPSOffice_Level1"/>
      <w:bookmarkStart w:id="8" w:name="_Toc2781"/>
      <w:bookmarkStart w:id="9" w:name="_Toc22132"/>
      <w:r>
        <w:rPr>
          <w:rFonts w:hint="eastAsia" w:ascii="Times New Roman" w:hAnsi="Times New Roman" w:eastAsia="微软雅黑" w:cs="黑体"/>
          <w:b/>
          <w:bCs/>
          <w:color w:val="254061" w:themeColor="accent1" w:themeShade="80"/>
          <w:sz w:val="32"/>
          <w:szCs w:val="32"/>
        </w:rPr>
        <w:t xml:space="preserve">二 </w:t>
      </w:r>
      <w:r>
        <w:rPr>
          <w:rFonts w:hint="eastAsia" w:ascii="Times New Roman" w:hAnsi="Times New Roman" w:eastAsia="微软雅黑" w:cs="黑体"/>
          <w:b/>
          <w:bCs/>
          <w:color w:val="244061"/>
          <w:sz w:val="32"/>
          <w:szCs w:val="32"/>
        </w:rPr>
        <w:t>检测结果及用药提示</w:t>
      </w:r>
    </w:p>
    <w:bookmarkEnd w:id="3"/>
    <w:bookmarkEnd w:id="4"/>
    <w:bookmarkEnd w:id="5"/>
    <w:bookmarkEnd w:id="6"/>
    <w:bookmarkEnd w:id="7"/>
    <w:bookmarkEnd w:id="8"/>
    <w:bookmarkEnd w:id="9"/>
    <w:p w14:paraId="5DE3500D">
      <w:pPr>
        <w:pStyle w:val="3"/>
        <w:jc w:val="both"/>
        <w:rPr>
          <w:rFonts w:hint="eastAsia" w:ascii="微软雅黑" w:hAnsi="微软雅黑" w:eastAsia="微软雅黑" w:cs="微软雅黑"/>
          <w:color w:val="254061" w:themeColor="accent1" w:themeShade="80"/>
        </w:rPr>
      </w:pPr>
      <w:bookmarkStart w:id="10" w:name="_Toc23317"/>
      <w:bookmarkStart w:id="11" w:name="_Toc29369"/>
      <w:bookmarkStart w:id="12" w:name="_Toc18062_WPSOffice_Level2"/>
      <w:bookmarkStart w:id="13" w:name="_Toc23375"/>
      <w:bookmarkStart w:id="14" w:name="_Toc10877"/>
      <w:bookmarkStart w:id="15" w:name="_Toc9088"/>
      <w:bookmarkStart w:id="16" w:name="_Toc11015_WPSOffice_Level2"/>
      <w:bookmarkStart w:id="17" w:name="_Toc3049"/>
      <w:r>
        <w:rPr>
          <w:rFonts w:hint="eastAsia" w:ascii="微软雅黑" w:hAnsi="微软雅黑" w:eastAsia="微软雅黑" w:cs="微软雅黑"/>
          <w:color w:val="254061" w:themeColor="accent1" w:themeShade="80"/>
        </w:rPr>
        <w:t>1 脑胶质瘤相关分子标记物检测结果</w:t>
      </w:r>
      <w:bookmarkEnd w:id="10"/>
      <w:bookmarkEnd w:id="11"/>
    </w:p>
    <w:tbl>
      <w:tblPr>
        <w:tblStyle w:val="19"/>
        <w:tblW w:w="9791"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976"/>
        <w:gridCol w:w="1546"/>
        <w:gridCol w:w="6269"/>
      </w:tblGrid>
      <w:tr w14:paraId="5A4C19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7482EDCB">
            <w:pPr>
              <w:jc w:val="center"/>
              <w:rPr>
                <w:rFonts w:hint="eastAsia" w:ascii="微软雅黑" w:hAnsi="微软雅黑" w:eastAsia="微软雅黑" w:cs="微软雅黑"/>
                <w:b/>
                <w:bCs/>
                <w:color w:val="244061"/>
                <w:sz w:val="21"/>
                <w:szCs w:val="21"/>
              </w:rPr>
            </w:pPr>
            <w:r>
              <w:rPr>
                <w:rFonts w:hint="eastAsia" w:ascii="微软雅黑" w:hAnsi="微软雅黑" w:eastAsia="微软雅黑" w:cs="微软雅黑"/>
                <w:b/>
                <w:bCs/>
                <w:color w:val="244061"/>
                <w:sz w:val="21"/>
                <w:szCs w:val="21"/>
              </w:rPr>
              <w:t>分子标记物</w:t>
            </w:r>
          </w:p>
        </w:tc>
        <w:tc>
          <w:tcPr>
            <w:tcW w:w="1546" w:type="dxa"/>
            <w:tcBorders>
              <w:tl2br w:val="nil"/>
              <w:tr2bl w:val="nil"/>
            </w:tcBorders>
            <w:shd w:val="clear" w:color="auto" w:fill="auto"/>
            <w:vAlign w:val="center"/>
          </w:tcPr>
          <w:p w14:paraId="5DE9743D">
            <w:pPr>
              <w:jc w:val="center"/>
              <w:rPr>
                <w:rFonts w:hint="eastAsia" w:ascii="微软雅黑" w:hAnsi="微软雅黑" w:eastAsia="微软雅黑" w:cs="微软雅黑"/>
                <w:b/>
                <w:bCs/>
                <w:color w:val="244061"/>
                <w:sz w:val="21"/>
                <w:szCs w:val="21"/>
              </w:rPr>
            </w:pPr>
            <w:r>
              <w:rPr>
                <w:rFonts w:hint="eastAsia" w:ascii="微软雅黑" w:hAnsi="微软雅黑" w:eastAsia="微软雅黑" w:cs="微软雅黑"/>
                <w:b/>
                <w:bCs/>
                <w:color w:val="244061"/>
                <w:sz w:val="21"/>
                <w:szCs w:val="21"/>
              </w:rPr>
              <w:t>检测结果</w:t>
            </w:r>
          </w:p>
        </w:tc>
        <w:tc>
          <w:tcPr>
            <w:tcW w:w="6269" w:type="dxa"/>
            <w:tcBorders>
              <w:tl2br w:val="nil"/>
              <w:tr2bl w:val="nil"/>
            </w:tcBorders>
            <w:shd w:val="clear" w:color="auto" w:fill="auto"/>
            <w:vAlign w:val="center"/>
          </w:tcPr>
          <w:p w14:paraId="601D2CCA">
            <w:pPr>
              <w:jc w:val="center"/>
              <w:rPr>
                <w:rFonts w:hint="eastAsia" w:ascii="微软雅黑" w:hAnsi="微软雅黑" w:eastAsia="微软雅黑" w:cs="微软雅黑"/>
                <w:b/>
                <w:bCs/>
                <w:color w:val="244061"/>
                <w:sz w:val="21"/>
                <w:szCs w:val="21"/>
              </w:rPr>
            </w:pPr>
            <w:r>
              <w:rPr>
                <w:rFonts w:hint="eastAsia" w:ascii="微软雅黑" w:hAnsi="微软雅黑" w:eastAsia="微软雅黑" w:cs="微软雅黑"/>
                <w:b/>
                <w:bCs/>
                <w:color w:val="244061"/>
                <w:sz w:val="21"/>
                <w:szCs w:val="21"/>
              </w:rPr>
              <w:t>临床检测意义</w:t>
            </w:r>
          </w:p>
        </w:tc>
      </w:tr>
      <w:tr w14:paraId="1FF7707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3469CF21">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xml:space="preserve">MGMT </w:t>
            </w:r>
          </w:p>
          <w:p w14:paraId="5A3C02CC">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启动子甲基化</w:t>
            </w:r>
          </w:p>
        </w:tc>
        <w:tc>
          <w:tcPr>
            <w:tcW w:w="1546" w:type="dxa"/>
            <w:tcBorders>
              <w:tl2br w:val="nil"/>
              <w:tr2bl w:val="nil"/>
            </w:tcBorders>
            <w:shd w:val="clear" w:color="auto" w:fill="auto"/>
            <w:vAlign w:val="center"/>
          </w:tcPr>
          <w:p w14:paraId="4B4435D5">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bg.MGMT | mr() }}</w:t>
            </w:r>
          </w:p>
        </w:tc>
        <w:tc>
          <w:tcPr>
            <w:tcW w:w="6269" w:type="dxa"/>
            <w:tcBorders>
              <w:tl2br w:val="nil"/>
              <w:tr2bl w:val="nil"/>
            </w:tcBorders>
            <w:shd w:val="clear" w:color="auto" w:fill="auto"/>
            <w:vAlign w:val="center"/>
          </w:tcPr>
          <w:p w14:paraId="12D21189">
            <w:pPr>
              <w:widowControl/>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2CC12D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72A33C54">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染色体7+/10-</w:t>
            </w:r>
          </w:p>
        </w:tc>
        <w:tc>
          <w:tcPr>
            <w:tcW w:w="1546" w:type="dxa"/>
            <w:tcBorders>
              <w:tl2br w:val="nil"/>
              <w:tr2bl w:val="nil"/>
            </w:tcBorders>
            <w:shd w:val="clear" w:color="auto" w:fill="auto"/>
            <w:vAlign w:val="center"/>
          </w:tcPr>
          <w:p w14:paraId="7B4E694F">
            <w:pPr>
              <w:widowControl/>
              <w:jc w:val="center"/>
              <w:textAlignment w:val="center"/>
              <w:rPr>
                <w:rFonts w:hint="eastAsia" w:ascii="微软雅黑" w:hAnsi="微软雅黑" w:eastAsia="微软雅黑" w:cs="微软雅黑"/>
                <w:color w:val="FF0000"/>
                <w:sz w:val="21"/>
                <w:szCs w:val="21"/>
                <w:lang w:bidi="ar"/>
              </w:rPr>
            </w:pPr>
            <w:r>
              <w:rPr>
                <w:rFonts w:hint="eastAsia" w:ascii="微软雅黑" w:hAnsi="微软雅黑" w:eastAsia="微软雅黑" w:cs="微软雅黑"/>
                <w:color w:val="000000"/>
                <w:sz w:val="21"/>
                <w:szCs w:val="21"/>
                <w:lang w:bidi="ar"/>
              </w:rPr>
              <w:t>{{ bg.chr | mr() }}</w:t>
            </w:r>
          </w:p>
        </w:tc>
        <w:tc>
          <w:tcPr>
            <w:tcW w:w="6269" w:type="dxa"/>
            <w:tcBorders>
              <w:tl2br w:val="nil"/>
              <w:tr2bl w:val="nil"/>
            </w:tcBorders>
            <w:shd w:val="clear" w:color="auto" w:fill="auto"/>
            <w:vAlign w:val="center"/>
          </w:tcPr>
          <w:p w14:paraId="0A2AF337">
            <w:pPr>
              <w:keepNext w:val="0"/>
              <w:keepLines w:val="0"/>
              <w:widowControl w:val="0"/>
              <w:suppressLineNumbers w:val="0"/>
              <w:spacing w:before="0" w:beforeAutospacing="0" w:after="0" w:afterAutospacing="0"/>
              <w:ind w:left="0" w:right="0"/>
              <w:jc w:val="left"/>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超过50%的IDH野生型低级别胶质瘤同时发生7号染色体的扩增和10号染色体的缺失</w:t>
            </w:r>
            <w:r>
              <w:rPr>
                <w:rFonts w:hint="eastAsia" w:ascii="微软雅黑" w:hAnsi="微软雅黑" w:eastAsia="微软雅黑" w:cs="微软雅黑"/>
                <w:i w:val="0"/>
                <w:iCs w:val="0"/>
                <w:color w:val="000000"/>
                <w:kern w:val="0"/>
                <w:sz w:val="21"/>
                <w:szCs w:val="21"/>
                <w:lang w:val="en-US" w:eastAsia="zh-CN" w:bidi="ar"/>
              </w:rPr>
              <w:t>（</w:t>
            </w:r>
            <w:r>
              <w:rPr>
                <w:rFonts w:hint="eastAsia" w:ascii="微软雅黑" w:hAnsi="微软雅黑" w:eastAsia="微软雅黑" w:cs="微软雅黑"/>
                <w:b w:val="0"/>
                <w:bCs w:val="0"/>
                <w:i w:val="0"/>
                <w:iCs w:val="0"/>
                <w:color w:val="000000"/>
                <w:kern w:val="0"/>
                <w:sz w:val="21"/>
                <w:szCs w:val="21"/>
                <w:lang w:val="en-US" w:eastAsia="zh-CN" w:bidi="ar"/>
              </w:rPr>
              <w:t>Chr7+/10-</w:t>
            </w:r>
            <w:r>
              <w:rPr>
                <w:rFonts w:hint="eastAsia" w:ascii="微软雅黑" w:hAnsi="微软雅黑" w:eastAsia="微软雅黑" w:cs="微软雅黑"/>
                <w:i w:val="0"/>
                <w:iCs w:val="0"/>
                <w:color w:val="000000"/>
                <w:kern w:val="0"/>
                <w:sz w:val="21"/>
                <w:szCs w:val="21"/>
                <w:lang w:val="en-US" w:eastAsia="zh-CN" w:bidi="ar"/>
              </w:rPr>
              <w:t>）</w:t>
            </w:r>
            <w:r>
              <w:rPr>
                <w:rFonts w:hint="eastAsia" w:ascii="微软雅黑" w:hAnsi="微软雅黑" w:eastAsia="微软雅黑" w:cs="微软雅黑"/>
                <w:color w:val="000000"/>
                <w:sz w:val="21"/>
                <w:szCs w:val="21"/>
                <w:lang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0CB38E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0A01C4CD">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xml:space="preserve">1p/19q </w:t>
            </w:r>
          </w:p>
          <w:p w14:paraId="00E7B17C">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联合性缺失</w:t>
            </w:r>
          </w:p>
        </w:tc>
        <w:tc>
          <w:tcPr>
            <w:tcW w:w="1546" w:type="dxa"/>
            <w:tcBorders>
              <w:tl2br w:val="nil"/>
              <w:tr2bl w:val="nil"/>
            </w:tcBorders>
            <w:shd w:val="clear" w:color="auto" w:fill="auto"/>
            <w:vAlign w:val="center"/>
          </w:tcPr>
          <w:p w14:paraId="5390A0B0">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bg.pq | mr() }}</w:t>
            </w:r>
          </w:p>
        </w:tc>
        <w:tc>
          <w:tcPr>
            <w:tcW w:w="6269" w:type="dxa"/>
            <w:tcBorders>
              <w:tl2br w:val="nil"/>
              <w:tr2bl w:val="nil"/>
            </w:tcBorders>
            <w:shd w:val="clear" w:color="auto" w:fill="auto"/>
            <w:vAlign w:val="center"/>
          </w:tcPr>
          <w:p w14:paraId="6E715415">
            <w:pPr>
              <w:widowControl/>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07CF45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5F6551B7">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xml:space="preserve">TERT </w:t>
            </w:r>
          </w:p>
          <w:p w14:paraId="4CFCCE38">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启动子突变</w:t>
            </w:r>
          </w:p>
        </w:tc>
        <w:tc>
          <w:tcPr>
            <w:tcW w:w="1546" w:type="dxa"/>
            <w:tcBorders>
              <w:tl2br w:val="nil"/>
              <w:tr2bl w:val="nil"/>
            </w:tcBorders>
            <w:shd w:val="clear" w:color="auto" w:fill="auto"/>
            <w:vAlign w:val="center"/>
          </w:tcPr>
          <w:p w14:paraId="19801409">
            <w:pPr>
              <w:widowControl/>
              <w:jc w:val="center"/>
              <w:textAlignment w:val="center"/>
              <w:rPr>
                <w:rFonts w:hint="eastAsia" w:ascii="微软雅黑" w:hAnsi="微软雅黑" w:eastAsia="微软雅黑" w:cs="微软雅黑"/>
                <w:color w:val="FF0000"/>
                <w:sz w:val="21"/>
                <w:szCs w:val="21"/>
                <w:lang w:bidi="ar"/>
              </w:rPr>
            </w:pPr>
            <w:r>
              <w:rPr>
                <w:rFonts w:hint="eastAsia" w:ascii="微软雅黑" w:hAnsi="微软雅黑" w:eastAsia="微软雅黑" w:cs="微软雅黑"/>
                <w:color w:val="000000"/>
                <w:sz w:val="21"/>
                <w:szCs w:val="21"/>
                <w:lang w:bidi="ar"/>
              </w:rPr>
              <w:t>{{ bg.TERT | mr() }}</w:t>
            </w:r>
          </w:p>
        </w:tc>
        <w:tc>
          <w:tcPr>
            <w:tcW w:w="6269" w:type="dxa"/>
            <w:tcBorders>
              <w:tl2br w:val="nil"/>
              <w:tr2bl w:val="nil"/>
            </w:tcBorders>
            <w:shd w:val="clear" w:color="auto" w:fill="auto"/>
            <w:vAlign w:val="center"/>
          </w:tcPr>
          <w:p w14:paraId="618D6101">
            <w:pPr>
              <w:widowControl/>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33FCB0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3596B81D">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IDH1 突变</w:t>
            </w:r>
          </w:p>
        </w:tc>
        <w:tc>
          <w:tcPr>
            <w:tcW w:w="1546" w:type="dxa"/>
            <w:tcBorders>
              <w:tl2br w:val="nil"/>
              <w:tr2bl w:val="nil"/>
            </w:tcBorders>
            <w:shd w:val="clear" w:color="auto" w:fill="auto"/>
            <w:vAlign w:val="center"/>
          </w:tcPr>
          <w:p w14:paraId="72220354">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 bg.IDH1 | mr() }}</w:t>
            </w:r>
          </w:p>
        </w:tc>
        <w:tc>
          <w:tcPr>
            <w:tcW w:w="6269" w:type="dxa"/>
            <w:vMerge w:val="restart"/>
            <w:tcBorders>
              <w:tl2br w:val="nil"/>
              <w:tr2bl w:val="nil"/>
            </w:tcBorders>
            <w:shd w:val="clear" w:color="auto" w:fill="auto"/>
            <w:vAlign w:val="center"/>
          </w:tcPr>
          <w:p w14:paraId="1DE6A2B5">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2BD58AC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000CFC6B">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IDH2 突变</w:t>
            </w:r>
          </w:p>
        </w:tc>
        <w:tc>
          <w:tcPr>
            <w:tcW w:w="1546" w:type="dxa"/>
            <w:tcBorders>
              <w:tl2br w:val="nil"/>
              <w:tr2bl w:val="nil"/>
            </w:tcBorders>
            <w:shd w:val="clear" w:color="auto" w:fill="auto"/>
            <w:vAlign w:val="center"/>
          </w:tcPr>
          <w:p w14:paraId="0D3C5264">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 bg.IDH2 | mr() }}</w:t>
            </w:r>
          </w:p>
        </w:tc>
        <w:tc>
          <w:tcPr>
            <w:tcW w:w="6269" w:type="dxa"/>
            <w:vMerge w:val="continue"/>
            <w:tcBorders>
              <w:tl2br w:val="nil"/>
              <w:tr2bl w:val="nil"/>
            </w:tcBorders>
            <w:shd w:val="clear" w:color="auto" w:fill="auto"/>
            <w:vAlign w:val="center"/>
          </w:tcPr>
          <w:p w14:paraId="5E317EAD">
            <w:pPr>
              <w:rPr>
                <w:rFonts w:hint="eastAsia" w:ascii="微软雅黑" w:hAnsi="微软雅黑" w:eastAsia="微软雅黑" w:cs="微软雅黑"/>
                <w:color w:val="000000"/>
                <w:sz w:val="21"/>
                <w:szCs w:val="21"/>
              </w:rPr>
            </w:pPr>
          </w:p>
        </w:tc>
      </w:tr>
      <w:tr w14:paraId="37C63C9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3A3908EC">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ATRX 突变</w:t>
            </w:r>
          </w:p>
        </w:tc>
        <w:tc>
          <w:tcPr>
            <w:tcW w:w="1546" w:type="dxa"/>
            <w:tcBorders>
              <w:tl2br w:val="nil"/>
              <w:tr2bl w:val="nil"/>
            </w:tcBorders>
            <w:shd w:val="clear" w:color="auto" w:fill="auto"/>
            <w:vAlign w:val="center"/>
          </w:tcPr>
          <w:p w14:paraId="39181469">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 bg.ATRX | mr() }}</w:t>
            </w:r>
          </w:p>
        </w:tc>
        <w:tc>
          <w:tcPr>
            <w:tcW w:w="6269" w:type="dxa"/>
            <w:tcBorders>
              <w:tl2br w:val="nil"/>
              <w:tr2bl w:val="nil"/>
            </w:tcBorders>
            <w:shd w:val="clear" w:color="auto" w:fill="auto"/>
            <w:vAlign w:val="center"/>
          </w:tcPr>
          <w:p w14:paraId="6BD3CF57">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4120B6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4B0F0342">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EGFR 扩增</w:t>
            </w:r>
          </w:p>
        </w:tc>
        <w:tc>
          <w:tcPr>
            <w:tcW w:w="1546" w:type="dxa"/>
            <w:tcBorders>
              <w:tl2br w:val="nil"/>
              <w:tr2bl w:val="nil"/>
            </w:tcBorders>
            <w:shd w:val="clear" w:color="auto" w:fill="auto"/>
            <w:vAlign w:val="center"/>
          </w:tcPr>
          <w:p w14:paraId="19FCE0BB">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bg.EGFR | mr() }}</w:t>
            </w:r>
          </w:p>
        </w:tc>
        <w:tc>
          <w:tcPr>
            <w:tcW w:w="6269" w:type="dxa"/>
            <w:tcBorders>
              <w:tl2br w:val="nil"/>
              <w:tr2bl w:val="nil"/>
            </w:tcBorders>
            <w:shd w:val="clear" w:color="auto" w:fill="auto"/>
            <w:vAlign w:val="center"/>
          </w:tcPr>
          <w:p w14:paraId="1546330A">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EGFR 扩增是 IDH 野生型胶质母细胞瘤的常见分子指标。EGFR 扩增的胶质母细胞瘤患者预后较差。</w:t>
            </w:r>
          </w:p>
        </w:tc>
      </w:tr>
      <w:tr w14:paraId="019688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1F097BED">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xml:space="preserve">CDKN2A/B </w:t>
            </w:r>
          </w:p>
          <w:p w14:paraId="49E3E7FF">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缺失</w:t>
            </w:r>
          </w:p>
        </w:tc>
        <w:tc>
          <w:tcPr>
            <w:tcW w:w="1546" w:type="dxa"/>
            <w:tcBorders>
              <w:tl2br w:val="nil"/>
              <w:tr2bl w:val="nil"/>
            </w:tcBorders>
            <w:shd w:val="clear" w:color="auto" w:fill="auto"/>
            <w:vAlign w:val="center"/>
          </w:tcPr>
          <w:p w14:paraId="4748049E">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bg.CDKN2 | mr() }}</w:t>
            </w:r>
          </w:p>
        </w:tc>
        <w:tc>
          <w:tcPr>
            <w:tcW w:w="6269" w:type="dxa"/>
            <w:tcBorders>
              <w:tl2br w:val="nil"/>
              <w:tr2bl w:val="nil"/>
            </w:tcBorders>
            <w:shd w:val="clear" w:color="auto" w:fill="auto"/>
            <w:vAlign w:val="center"/>
          </w:tcPr>
          <w:p w14:paraId="30E5F937">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CDKN2A/B 纯合缺失是组织学缺少坏死和微血管增生的星形细胞瘤，IDH 突变型、WHO 4级胶质瘤的诊断指标之一。CDKN2A/B 缺失的星形细胞瘤患者预后较差。</w:t>
            </w:r>
          </w:p>
        </w:tc>
      </w:tr>
      <w:tr w14:paraId="15235B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06F8ADB9">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xml:space="preserve">BRAF </w:t>
            </w:r>
          </w:p>
          <w:p w14:paraId="0D2D5652">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突变/融合</w:t>
            </w:r>
          </w:p>
        </w:tc>
        <w:tc>
          <w:tcPr>
            <w:tcW w:w="1546" w:type="dxa"/>
            <w:tcBorders>
              <w:tl2br w:val="nil"/>
              <w:tr2bl w:val="nil"/>
            </w:tcBorders>
            <w:shd w:val="clear" w:color="auto" w:fill="auto"/>
            <w:vAlign w:val="center"/>
          </w:tcPr>
          <w:p w14:paraId="1F554B0A">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 bg.BRAF | mr() }}</w:t>
            </w:r>
          </w:p>
        </w:tc>
        <w:tc>
          <w:tcPr>
            <w:tcW w:w="6269" w:type="dxa"/>
            <w:tcBorders>
              <w:tl2br w:val="nil"/>
              <w:tr2bl w:val="nil"/>
            </w:tcBorders>
            <w:shd w:val="clear" w:color="auto" w:fill="auto"/>
            <w:vAlign w:val="center"/>
          </w:tcPr>
          <w:p w14:paraId="262C8627">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BRAF 基因突变（尤其是 V600E）常见于青少年多形性低阶别神经上皮肿瘤；MAPK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379D263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0870769D">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H3-3A</w:t>
            </w:r>
          </w:p>
          <w:p w14:paraId="5D832463">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（H3F3A） 突变</w:t>
            </w:r>
          </w:p>
        </w:tc>
        <w:tc>
          <w:tcPr>
            <w:tcW w:w="1546" w:type="dxa"/>
            <w:tcBorders>
              <w:tl2br w:val="nil"/>
              <w:tr2bl w:val="nil"/>
            </w:tcBorders>
            <w:shd w:val="clear" w:color="auto" w:fill="auto"/>
            <w:vAlign w:val="center"/>
          </w:tcPr>
          <w:p w14:paraId="0B17C6C4">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bg.H33A | mr() }}</w:t>
            </w:r>
          </w:p>
        </w:tc>
        <w:tc>
          <w:tcPr>
            <w:tcW w:w="6269" w:type="dxa"/>
            <w:vMerge w:val="restart"/>
            <w:tcBorders>
              <w:tl2br w:val="nil"/>
              <w:tr2bl w:val="nil"/>
            </w:tcBorders>
            <w:shd w:val="clear" w:color="auto" w:fill="auto"/>
            <w:vAlign w:val="center"/>
          </w:tcPr>
          <w:p w14:paraId="2A311270">
            <w:pPr>
              <w:widowControl/>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H3F3A和HIST1H3B/C为组蛋白H3相关基因，2016年WHO中枢神经系统指南结合组蛋白H3基因K27M位点变异新定义了一类脑胶质瘤－弥漫性中线胶质瘤，H3K27M突变型。该种类型胶质瘤主要发生于儿童中，成人中也可见，常位于脑干，丘脑和脊髓中；病理分级属于WHO 4级，预后较差，生存期短。</w:t>
            </w:r>
          </w:p>
        </w:tc>
      </w:tr>
      <w:tr w14:paraId="0FC55D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22D09395">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H3C2</w:t>
            </w:r>
          </w:p>
          <w:p w14:paraId="36BA6F0E">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（HIST1H3B）突变</w:t>
            </w:r>
          </w:p>
        </w:tc>
        <w:tc>
          <w:tcPr>
            <w:tcW w:w="1546" w:type="dxa"/>
            <w:tcBorders>
              <w:tl2br w:val="nil"/>
              <w:tr2bl w:val="nil"/>
            </w:tcBorders>
            <w:shd w:val="clear" w:color="auto" w:fill="auto"/>
            <w:vAlign w:val="center"/>
          </w:tcPr>
          <w:p w14:paraId="29434135">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bg.H3C2 | mr() }}</w:t>
            </w:r>
          </w:p>
        </w:tc>
        <w:tc>
          <w:tcPr>
            <w:tcW w:w="6269" w:type="dxa"/>
            <w:vMerge w:val="continue"/>
            <w:tcBorders>
              <w:tl2br w:val="nil"/>
              <w:tr2bl w:val="nil"/>
            </w:tcBorders>
            <w:shd w:val="clear" w:color="auto" w:fill="auto"/>
            <w:vAlign w:val="center"/>
          </w:tcPr>
          <w:p w14:paraId="14294EEC">
            <w:pPr>
              <w:widowControl/>
              <w:textAlignment w:val="center"/>
              <w:rPr>
                <w:rFonts w:hint="eastAsia" w:ascii="微软雅黑" w:hAnsi="微软雅黑" w:eastAsia="微软雅黑" w:cs="微软雅黑"/>
                <w:color w:val="000000"/>
                <w:sz w:val="21"/>
                <w:szCs w:val="21"/>
                <w:lang w:bidi="ar"/>
              </w:rPr>
            </w:pPr>
          </w:p>
        </w:tc>
      </w:tr>
      <w:tr w14:paraId="423B22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21AE0475">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H3C3（HIST1H3C）突变</w:t>
            </w:r>
          </w:p>
        </w:tc>
        <w:tc>
          <w:tcPr>
            <w:tcW w:w="1546" w:type="dxa"/>
            <w:tcBorders>
              <w:tl2br w:val="nil"/>
              <w:tr2bl w:val="nil"/>
            </w:tcBorders>
            <w:shd w:val="clear" w:color="auto" w:fill="auto"/>
            <w:vAlign w:val="center"/>
          </w:tcPr>
          <w:p w14:paraId="2BEDBFF1">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 bg.H3C3 | mr() }}</w:t>
            </w:r>
          </w:p>
        </w:tc>
        <w:tc>
          <w:tcPr>
            <w:tcW w:w="6269" w:type="dxa"/>
            <w:vMerge w:val="continue"/>
            <w:tcBorders>
              <w:tl2br w:val="nil"/>
              <w:tr2bl w:val="nil"/>
            </w:tcBorders>
            <w:shd w:val="clear" w:color="auto" w:fill="auto"/>
            <w:vAlign w:val="center"/>
          </w:tcPr>
          <w:p w14:paraId="5AE9464F">
            <w:pPr>
              <w:rPr>
                <w:rFonts w:hint="eastAsia" w:ascii="微软雅黑" w:hAnsi="微软雅黑" w:eastAsia="微软雅黑" w:cs="微软雅黑"/>
                <w:color w:val="000000"/>
                <w:sz w:val="21"/>
                <w:szCs w:val="21"/>
              </w:rPr>
            </w:pPr>
          </w:p>
        </w:tc>
      </w:tr>
      <w:tr w14:paraId="6EB008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71AD7EB0">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TP53 突变</w:t>
            </w:r>
          </w:p>
        </w:tc>
        <w:tc>
          <w:tcPr>
            <w:tcW w:w="1546" w:type="dxa"/>
            <w:tcBorders>
              <w:tl2br w:val="nil"/>
              <w:tr2bl w:val="nil"/>
            </w:tcBorders>
            <w:shd w:val="clear" w:color="auto" w:fill="auto"/>
            <w:vAlign w:val="center"/>
          </w:tcPr>
          <w:p w14:paraId="27E22937">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 bg.TP53 | mr() }}</w:t>
            </w:r>
          </w:p>
        </w:tc>
        <w:tc>
          <w:tcPr>
            <w:tcW w:w="6269" w:type="dxa"/>
            <w:tcBorders>
              <w:tl2br w:val="nil"/>
              <w:tr2bl w:val="nil"/>
            </w:tcBorders>
            <w:shd w:val="clear" w:color="auto" w:fill="auto"/>
            <w:vAlign w:val="center"/>
          </w:tcPr>
          <w:p w14:paraId="2A53DF73">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常见于星形细胞瘤，IDH 突变型；弥漫型中线胶质瘤，H3 K27 突变型和弥漫型半球胶质瘤，H3 G34 突变型；可鉴别 WHO 1级胶质瘤与胶质增生。</w:t>
            </w:r>
          </w:p>
        </w:tc>
      </w:tr>
      <w:tr w14:paraId="753611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7248F29D">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PTEN 突变</w:t>
            </w:r>
          </w:p>
        </w:tc>
        <w:tc>
          <w:tcPr>
            <w:tcW w:w="1546" w:type="dxa"/>
            <w:tcBorders>
              <w:tl2br w:val="nil"/>
              <w:tr2bl w:val="nil"/>
            </w:tcBorders>
            <w:shd w:val="clear" w:color="auto" w:fill="auto"/>
            <w:vAlign w:val="center"/>
          </w:tcPr>
          <w:p w14:paraId="73906C4A">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 bg.PTEN | mr() }}</w:t>
            </w:r>
          </w:p>
        </w:tc>
        <w:tc>
          <w:tcPr>
            <w:tcW w:w="6269" w:type="dxa"/>
            <w:tcBorders>
              <w:tl2br w:val="nil"/>
              <w:tr2bl w:val="nil"/>
            </w:tcBorders>
            <w:shd w:val="clear" w:color="auto" w:fill="auto"/>
            <w:vAlign w:val="center"/>
          </w:tcPr>
          <w:p w14:paraId="06974B72">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554E37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365AB62C">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PIK3CA 突变</w:t>
            </w:r>
          </w:p>
        </w:tc>
        <w:tc>
          <w:tcPr>
            <w:tcW w:w="1546" w:type="dxa"/>
            <w:tcBorders>
              <w:tl2br w:val="nil"/>
              <w:tr2bl w:val="nil"/>
            </w:tcBorders>
            <w:shd w:val="clear" w:color="auto" w:fill="auto"/>
            <w:vAlign w:val="center"/>
          </w:tcPr>
          <w:p w14:paraId="510B803D">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 bg.PIK3CA | mr() }}</w:t>
            </w:r>
          </w:p>
        </w:tc>
        <w:tc>
          <w:tcPr>
            <w:tcW w:w="6269" w:type="dxa"/>
            <w:tcBorders>
              <w:tl2br w:val="nil"/>
              <w:tr2bl w:val="nil"/>
            </w:tcBorders>
            <w:shd w:val="clear" w:color="auto" w:fill="auto"/>
            <w:vAlign w:val="center"/>
          </w:tcPr>
          <w:p w14:paraId="41437E39">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PIK3CA基因编码磷酸脂酰肌醇3激酶（PI3K）的p110a 催化亚基，它是由酪氨酸激酶受体（如EGFR以及HER2等）驱动的通路中的一个完整信号分子。PIK3CA激活突变常在胶质母细胞瘤中发生。</w:t>
            </w:r>
          </w:p>
        </w:tc>
      </w:tr>
      <w:tr w14:paraId="569263B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34ABB88C">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MYCN 扩增</w:t>
            </w:r>
          </w:p>
        </w:tc>
        <w:tc>
          <w:tcPr>
            <w:tcW w:w="1546" w:type="dxa"/>
            <w:tcBorders>
              <w:tl2br w:val="nil"/>
              <w:tr2bl w:val="nil"/>
            </w:tcBorders>
            <w:shd w:val="clear" w:color="auto" w:fill="auto"/>
            <w:vAlign w:val="center"/>
          </w:tcPr>
          <w:p w14:paraId="3AD3A236">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bg.MYCN | mr() }}</w:t>
            </w:r>
          </w:p>
        </w:tc>
        <w:tc>
          <w:tcPr>
            <w:tcW w:w="6269" w:type="dxa"/>
            <w:tcBorders>
              <w:tl2br w:val="nil"/>
              <w:tr2bl w:val="nil"/>
            </w:tcBorders>
            <w:shd w:val="clear" w:color="auto" w:fill="auto"/>
            <w:vAlign w:val="center"/>
          </w:tcPr>
          <w:p w14:paraId="6402B2CE">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MYCN 扩增的脊髓室管膜瘤更具侵袭性，预后相对较差。</w:t>
            </w:r>
          </w:p>
        </w:tc>
      </w:tr>
      <w:tr w14:paraId="7476401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490896B5">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PDGFRA 扩增</w:t>
            </w:r>
          </w:p>
        </w:tc>
        <w:tc>
          <w:tcPr>
            <w:tcW w:w="1546" w:type="dxa"/>
            <w:tcBorders>
              <w:tl2br w:val="nil"/>
              <w:tr2bl w:val="nil"/>
            </w:tcBorders>
            <w:shd w:val="clear" w:color="auto" w:fill="auto"/>
            <w:vAlign w:val="center"/>
          </w:tcPr>
          <w:p w14:paraId="698A8A2C">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bg.PDGFRA | mr() }}</w:t>
            </w:r>
          </w:p>
        </w:tc>
        <w:tc>
          <w:tcPr>
            <w:tcW w:w="6269" w:type="dxa"/>
            <w:tcBorders>
              <w:tl2br w:val="nil"/>
              <w:tr2bl w:val="nil"/>
            </w:tcBorders>
            <w:shd w:val="clear" w:color="auto" w:fill="auto"/>
            <w:vAlign w:val="center"/>
          </w:tcPr>
          <w:p w14:paraId="02E3B3D2">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常见于 H3 K27 型弥漫性中线胶质瘤和 H3 及 IDH野生型弥漫性儿童高级别胶质瘤。</w:t>
            </w:r>
          </w:p>
        </w:tc>
      </w:tr>
      <w:tr w14:paraId="2650A2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778603DB">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FGFR1 融合</w:t>
            </w:r>
          </w:p>
        </w:tc>
        <w:tc>
          <w:tcPr>
            <w:tcW w:w="1546" w:type="dxa"/>
            <w:tcBorders>
              <w:tl2br w:val="nil"/>
              <w:tr2bl w:val="nil"/>
            </w:tcBorders>
            <w:shd w:val="clear" w:color="auto" w:fill="auto"/>
            <w:vAlign w:val="center"/>
          </w:tcPr>
          <w:p w14:paraId="6B4ED461">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bg.FGFR1 | mr() }}</w:t>
            </w:r>
          </w:p>
        </w:tc>
        <w:tc>
          <w:tcPr>
            <w:tcW w:w="6269" w:type="dxa"/>
            <w:vMerge w:val="restart"/>
            <w:tcBorders>
              <w:tl2br w:val="nil"/>
              <w:tr2bl w:val="nil"/>
            </w:tcBorders>
            <w:shd w:val="clear" w:color="auto" w:fill="auto"/>
            <w:vAlign w:val="center"/>
          </w:tcPr>
          <w:p w14:paraId="4A3675C3">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FGFR1/2/3 融合常见于青少年多形性低阶别神经上皮肿瘤；其中FGFR1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1DF3036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7E7D3204">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FGFR2 融合</w:t>
            </w:r>
          </w:p>
        </w:tc>
        <w:tc>
          <w:tcPr>
            <w:tcW w:w="1546" w:type="dxa"/>
            <w:tcBorders>
              <w:tl2br w:val="nil"/>
              <w:tr2bl w:val="nil"/>
            </w:tcBorders>
            <w:shd w:val="clear" w:color="auto" w:fill="auto"/>
            <w:vAlign w:val="center"/>
          </w:tcPr>
          <w:p w14:paraId="23F4B0A0">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bg.FGFR2 | mr() }}</w:t>
            </w:r>
          </w:p>
        </w:tc>
        <w:tc>
          <w:tcPr>
            <w:tcW w:w="6269" w:type="dxa"/>
            <w:vMerge w:val="continue"/>
            <w:tcBorders>
              <w:tl2br w:val="nil"/>
              <w:tr2bl w:val="nil"/>
            </w:tcBorders>
            <w:shd w:val="clear" w:color="auto" w:fill="auto"/>
            <w:vAlign w:val="center"/>
          </w:tcPr>
          <w:p w14:paraId="7D28B6A0">
            <w:pPr>
              <w:rPr>
                <w:rFonts w:hint="eastAsia" w:ascii="微软雅黑" w:hAnsi="微软雅黑" w:eastAsia="微软雅黑" w:cs="微软雅黑"/>
                <w:color w:val="000000"/>
                <w:sz w:val="21"/>
                <w:szCs w:val="21"/>
              </w:rPr>
            </w:pPr>
          </w:p>
        </w:tc>
      </w:tr>
      <w:tr w14:paraId="3DCA3F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0ED72446">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FGFR3 融合</w:t>
            </w:r>
          </w:p>
        </w:tc>
        <w:tc>
          <w:tcPr>
            <w:tcW w:w="1546" w:type="dxa"/>
            <w:tcBorders>
              <w:tl2br w:val="nil"/>
              <w:tr2bl w:val="nil"/>
            </w:tcBorders>
            <w:shd w:val="clear" w:color="auto" w:fill="auto"/>
            <w:vAlign w:val="center"/>
          </w:tcPr>
          <w:p w14:paraId="6E974354">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bg.FGFR3 | mr() }}</w:t>
            </w:r>
          </w:p>
        </w:tc>
        <w:tc>
          <w:tcPr>
            <w:tcW w:w="6269" w:type="dxa"/>
            <w:vMerge w:val="continue"/>
            <w:tcBorders>
              <w:tl2br w:val="nil"/>
              <w:tr2bl w:val="nil"/>
            </w:tcBorders>
            <w:shd w:val="clear" w:color="auto" w:fill="auto"/>
            <w:vAlign w:val="center"/>
          </w:tcPr>
          <w:p w14:paraId="3BFEECAB">
            <w:pPr>
              <w:rPr>
                <w:rFonts w:hint="eastAsia" w:ascii="微软雅黑" w:hAnsi="微软雅黑" w:eastAsia="微软雅黑" w:cs="微软雅黑"/>
                <w:color w:val="000000"/>
                <w:sz w:val="21"/>
                <w:szCs w:val="21"/>
              </w:rPr>
            </w:pPr>
          </w:p>
        </w:tc>
      </w:tr>
      <w:tr w14:paraId="7B0A57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12EF1FBF">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NTRK1 融合</w:t>
            </w:r>
          </w:p>
        </w:tc>
        <w:tc>
          <w:tcPr>
            <w:tcW w:w="1546" w:type="dxa"/>
            <w:tcBorders>
              <w:tl2br w:val="nil"/>
              <w:tr2bl w:val="nil"/>
            </w:tcBorders>
            <w:shd w:val="clear" w:color="auto" w:fill="auto"/>
            <w:vAlign w:val="center"/>
          </w:tcPr>
          <w:p w14:paraId="7AA1A73E">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bg.NTRK1 | mr() }}</w:t>
            </w:r>
          </w:p>
        </w:tc>
        <w:tc>
          <w:tcPr>
            <w:tcW w:w="6269" w:type="dxa"/>
            <w:vMerge w:val="restart"/>
            <w:tcBorders>
              <w:tl2br w:val="nil"/>
              <w:tr2bl w:val="nil"/>
            </w:tcBorders>
            <w:shd w:val="clear" w:color="auto" w:fill="auto"/>
            <w:vAlign w:val="center"/>
          </w:tcPr>
          <w:p w14:paraId="2699F2F5">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常见于婴儿型半球胶质瘤。治疗意义：靶向治疗靶点。</w:t>
            </w:r>
          </w:p>
        </w:tc>
      </w:tr>
      <w:tr w14:paraId="5BCBE1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56BF3FB3">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NTRK2 融合</w:t>
            </w:r>
          </w:p>
        </w:tc>
        <w:tc>
          <w:tcPr>
            <w:tcW w:w="1546" w:type="dxa"/>
            <w:tcBorders>
              <w:tl2br w:val="nil"/>
              <w:tr2bl w:val="nil"/>
            </w:tcBorders>
            <w:shd w:val="clear" w:color="auto" w:fill="auto"/>
            <w:vAlign w:val="center"/>
          </w:tcPr>
          <w:p w14:paraId="01FB94AA">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bg.NTRK2 | mr() }}</w:t>
            </w:r>
          </w:p>
        </w:tc>
        <w:tc>
          <w:tcPr>
            <w:tcW w:w="6269" w:type="dxa"/>
            <w:vMerge w:val="continue"/>
            <w:tcBorders>
              <w:tl2br w:val="nil"/>
              <w:tr2bl w:val="nil"/>
            </w:tcBorders>
            <w:shd w:val="clear" w:color="auto" w:fill="auto"/>
            <w:vAlign w:val="center"/>
          </w:tcPr>
          <w:p w14:paraId="2B83010C">
            <w:pPr>
              <w:rPr>
                <w:rFonts w:hint="eastAsia" w:ascii="微软雅黑" w:hAnsi="微软雅黑" w:eastAsia="微软雅黑" w:cs="微软雅黑"/>
                <w:color w:val="000000"/>
                <w:sz w:val="21"/>
                <w:szCs w:val="21"/>
              </w:rPr>
            </w:pPr>
          </w:p>
        </w:tc>
      </w:tr>
      <w:tr w14:paraId="2252AD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378A9EEB">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NTRK3 融合</w:t>
            </w:r>
          </w:p>
        </w:tc>
        <w:tc>
          <w:tcPr>
            <w:tcW w:w="1546" w:type="dxa"/>
            <w:tcBorders>
              <w:tl2br w:val="nil"/>
              <w:tr2bl w:val="nil"/>
            </w:tcBorders>
            <w:shd w:val="clear" w:color="auto" w:fill="auto"/>
            <w:vAlign w:val="center"/>
          </w:tcPr>
          <w:p w14:paraId="5BFF64DA">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bg.NTRK3 | mr() }}</w:t>
            </w:r>
          </w:p>
        </w:tc>
        <w:tc>
          <w:tcPr>
            <w:tcW w:w="6269" w:type="dxa"/>
            <w:vMerge w:val="continue"/>
            <w:tcBorders>
              <w:tl2br w:val="nil"/>
              <w:tr2bl w:val="nil"/>
            </w:tcBorders>
            <w:shd w:val="clear" w:color="auto" w:fill="auto"/>
            <w:vAlign w:val="center"/>
          </w:tcPr>
          <w:p w14:paraId="6FCCE3F9">
            <w:pPr>
              <w:rPr>
                <w:rFonts w:hint="eastAsia" w:ascii="微软雅黑" w:hAnsi="微软雅黑" w:eastAsia="微软雅黑" w:cs="微软雅黑"/>
                <w:color w:val="000000"/>
                <w:sz w:val="21"/>
                <w:szCs w:val="21"/>
              </w:rPr>
            </w:pPr>
          </w:p>
        </w:tc>
      </w:tr>
      <w:tr w14:paraId="64D3A6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58C5FDFA">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ALK 融合</w:t>
            </w:r>
          </w:p>
        </w:tc>
        <w:tc>
          <w:tcPr>
            <w:tcW w:w="1546" w:type="dxa"/>
            <w:tcBorders>
              <w:tl2br w:val="nil"/>
              <w:tr2bl w:val="nil"/>
            </w:tcBorders>
            <w:shd w:val="clear" w:color="auto" w:fill="auto"/>
            <w:vAlign w:val="center"/>
          </w:tcPr>
          <w:p w14:paraId="3EAD3E61">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bg.ALK | mr() }}</w:t>
            </w:r>
          </w:p>
        </w:tc>
        <w:tc>
          <w:tcPr>
            <w:tcW w:w="6269" w:type="dxa"/>
            <w:tcBorders>
              <w:tl2br w:val="nil"/>
              <w:tr2bl w:val="nil"/>
            </w:tcBorders>
            <w:shd w:val="clear" w:color="auto" w:fill="auto"/>
            <w:vAlign w:val="center"/>
          </w:tcPr>
          <w:p w14:paraId="173EF1EC">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常见于婴儿型半球胶质瘤。治疗意义：靶向治疗靶点。</w:t>
            </w:r>
          </w:p>
        </w:tc>
      </w:tr>
      <w:tr w14:paraId="747F43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26AE20AD">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ROS1 融合</w:t>
            </w:r>
          </w:p>
        </w:tc>
        <w:tc>
          <w:tcPr>
            <w:tcW w:w="1546" w:type="dxa"/>
            <w:tcBorders>
              <w:tl2br w:val="nil"/>
              <w:tr2bl w:val="nil"/>
            </w:tcBorders>
            <w:shd w:val="clear" w:color="auto" w:fill="auto"/>
            <w:vAlign w:val="center"/>
          </w:tcPr>
          <w:p w14:paraId="012860EC">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bg.ROS1 | mr() }}</w:t>
            </w:r>
          </w:p>
        </w:tc>
        <w:tc>
          <w:tcPr>
            <w:tcW w:w="6269" w:type="dxa"/>
            <w:tcBorders>
              <w:tl2br w:val="nil"/>
              <w:tr2bl w:val="nil"/>
            </w:tcBorders>
            <w:shd w:val="clear" w:color="auto" w:fill="auto"/>
            <w:vAlign w:val="center"/>
          </w:tcPr>
          <w:p w14:paraId="051AE992">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常见于婴儿型半球胶质瘤。治疗意义：靶向治疗靶点。</w:t>
            </w:r>
          </w:p>
        </w:tc>
      </w:tr>
      <w:tr w14:paraId="133000A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514CA8EC">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MET 扩增</w:t>
            </w:r>
          </w:p>
        </w:tc>
        <w:tc>
          <w:tcPr>
            <w:tcW w:w="1546" w:type="dxa"/>
            <w:tcBorders>
              <w:tl2br w:val="nil"/>
              <w:tr2bl w:val="nil"/>
            </w:tcBorders>
            <w:shd w:val="clear" w:color="auto" w:fill="auto"/>
            <w:vAlign w:val="center"/>
          </w:tcPr>
          <w:p w14:paraId="04F93B3B">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bg.MET | mr() }}</w:t>
            </w:r>
          </w:p>
        </w:tc>
        <w:tc>
          <w:tcPr>
            <w:tcW w:w="6269" w:type="dxa"/>
            <w:tcBorders>
              <w:tl2br w:val="nil"/>
              <w:tr2bl w:val="nil"/>
            </w:tcBorders>
            <w:shd w:val="clear" w:color="auto" w:fill="auto"/>
            <w:vAlign w:val="center"/>
          </w:tcPr>
          <w:p w14:paraId="68620393">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常见于婴儿型半球胶质瘤。治疗意义：靶向治疗靶点。</w:t>
            </w:r>
          </w:p>
        </w:tc>
      </w:tr>
      <w:tr w14:paraId="747D24A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339525B6">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SMARCB1 突变</w:t>
            </w:r>
          </w:p>
        </w:tc>
        <w:tc>
          <w:tcPr>
            <w:tcW w:w="1546" w:type="dxa"/>
            <w:tcBorders>
              <w:tl2br w:val="nil"/>
              <w:tr2bl w:val="nil"/>
            </w:tcBorders>
            <w:shd w:val="clear" w:color="auto" w:fill="auto"/>
            <w:vAlign w:val="center"/>
          </w:tcPr>
          <w:p w14:paraId="7BD48F4E">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bg.SMARCB1 | mr() }}</w:t>
            </w:r>
          </w:p>
        </w:tc>
        <w:tc>
          <w:tcPr>
            <w:tcW w:w="6269" w:type="dxa"/>
            <w:tcBorders>
              <w:tl2br w:val="nil"/>
              <w:tr2bl w:val="nil"/>
            </w:tcBorders>
            <w:shd w:val="clear" w:color="auto" w:fill="auto"/>
            <w:vAlign w:val="center"/>
          </w:tcPr>
          <w:p w14:paraId="248A9B86">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非典型畸胎样/横纹肌样肿瘤的关键诊断指标；松果体区促纤维增生型黏液样肿瘤，SMARCB1 突变型的关键诊断指标。</w:t>
            </w:r>
          </w:p>
        </w:tc>
      </w:tr>
      <w:tr w14:paraId="4D6C706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7FF393EC">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TSC1 突变</w:t>
            </w:r>
          </w:p>
        </w:tc>
        <w:tc>
          <w:tcPr>
            <w:tcW w:w="1546" w:type="dxa"/>
            <w:tcBorders>
              <w:tl2br w:val="nil"/>
              <w:tr2bl w:val="nil"/>
            </w:tcBorders>
            <w:shd w:val="clear" w:color="auto" w:fill="auto"/>
            <w:vAlign w:val="center"/>
          </w:tcPr>
          <w:p w14:paraId="3E7EB7C0">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bg.TSC1 | mr() }}</w:t>
            </w:r>
          </w:p>
        </w:tc>
        <w:tc>
          <w:tcPr>
            <w:tcW w:w="6269" w:type="dxa"/>
            <w:vMerge w:val="restart"/>
            <w:tcBorders>
              <w:tl2br w:val="nil"/>
              <w:tr2bl w:val="nil"/>
            </w:tcBorders>
            <w:shd w:val="clear" w:color="auto" w:fill="auto"/>
            <w:vAlign w:val="center"/>
          </w:tcPr>
          <w:p w14:paraId="1E5C13B3">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室管膜下巨细胞星形细胞瘤的关键诊断指标。</w:t>
            </w:r>
          </w:p>
        </w:tc>
      </w:tr>
      <w:tr w14:paraId="01096B6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5421DA7E">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TSC2 突变</w:t>
            </w:r>
          </w:p>
        </w:tc>
        <w:tc>
          <w:tcPr>
            <w:tcW w:w="1546" w:type="dxa"/>
            <w:tcBorders>
              <w:tl2br w:val="nil"/>
              <w:tr2bl w:val="nil"/>
            </w:tcBorders>
            <w:shd w:val="clear" w:color="auto" w:fill="auto"/>
            <w:vAlign w:val="center"/>
          </w:tcPr>
          <w:p w14:paraId="31C7E5E5">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bg.TSC2 | mr() }}</w:t>
            </w:r>
          </w:p>
        </w:tc>
        <w:tc>
          <w:tcPr>
            <w:tcW w:w="6269" w:type="dxa"/>
            <w:vMerge w:val="continue"/>
            <w:tcBorders>
              <w:tl2br w:val="nil"/>
              <w:tr2bl w:val="nil"/>
            </w:tcBorders>
            <w:shd w:val="clear" w:color="auto" w:fill="auto"/>
            <w:vAlign w:val="center"/>
          </w:tcPr>
          <w:p w14:paraId="5CCB5F07">
            <w:pPr>
              <w:rPr>
                <w:rFonts w:hint="eastAsia" w:ascii="微软雅黑" w:hAnsi="微软雅黑" w:eastAsia="微软雅黑" w:cs="微软雅黑"/>
                <w:color w:val="000000"/>
                <w:sz w:val="21"/>
                <w:szCs w:val="21"/>
              </w:rPr>
            </w:pPr>
          </w:p>
        </w:tc>
      </w:tr>
      <w:tr w14:paraId="045848E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616A42C8">
            <w:pPr>
              <w:widowControl/>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NF1 突变</w:t>
            </w:r>
          </w:p>
        </w:tc>
        <w:tc>
          <w:tcPr>
            <w:tcW w:w="1546" w:type="dxa"/>
            <w:tcBorders>
              <w:tl2br w:val="nil"/>
              <w:tr2bl w:val="nil"/>
            </w:tcBorders>
            <w:shd w:val="clear" w:color="auto" w:fill="auto"/>
            <w:vAlign w:val="center"/>
          </w:tcPr>
          <w:p w14:paraId="4490CFDE">
            <w:pPr>
              <w:widowControl/>
              <w:jc w:val="center"/>
              <w:textAlignment w:val="center"/>
              <w:rPr>
                <w:rFonts w:hint="eastAsia" w:ascii="微软雅黑" w:hAnsi="微软雅黑" w:eastAsia="微软雅黑" w:cs="微软雅黑"/>
                <w:color w:val="FF0000"/>
                <w:sz w:val="21"/>
                <w:szCs w:val="21"/>
              </w:rPr>
            </w:pPr>
            <w:r>
              <w:rPr>
                <w:rFonts w:hint="eastAsia" w:ascii="微软雅黑" w:hAnsi="微软雅黑" w:eastAsia="微软雅黑" w:cs="微软雅黑"/>
                <w:color w:val="000000"/>
                <w:sz w:val="21"/>
                <w:szCs w:val="21"/>
                <w:lang w:bidi="ar"/>
              </w:rPr>
              <w:t>{{ bg.NF1 | mr() }}</w:t>
            </w:r>
          </w:p>
        </w:tc>
        <w:tc>
          <w:tcPr>
            <w:tcW w:w="6269" w:type="dxa"/>
            <w:tcBorders>
              <w:tl2br w:val="nil"/>
              <w:tr2bl w:val="nil"/>
            </w:tcBorders>
            <w:shd w:val="clear" w:color="auto" w:fill="auto"/>
            <w:vAlign w:val="center"/>
          </w:tcPr>
          <w:p w14:paraId="02835B75">
            <w:pPr>
              <w:widowControl/>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color w:val="000000"/>
                <w:sz w:val="21"/>
                <w:szCs w:val="21"/>
                <w:lang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0E840F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49F0D47B">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YAP1 融合</w:t>
            </w:r>
          </w:p>
        </w:tc>
        <w:tc>
          <w:tcPr>
            <w:tcW w:w="1546" w:type="dxa"/>
            <w:tcBorders>
              <w:tl2br w:val="nil"/>
              <w:tr2bl w:val="nil"/>
            </w:tcBorders>
            <w:shd w:val="clear" w:color="auto" w:fill="auto"/>
            <w:vAlign w:val="center"/>
          </w:tcPr>
          <w:p w14:paraId="37143D01">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bg.YAP1 | mr() }}</w:t>
            </w:r>
          </w:p>
        </w:tc>
        <w:tc>
          <w:tcPr>
            <w:tcW w:w="6269" w:type="dxa"/>
            <w:tcBorders>
              <w:tl2br w:val="nil"/>
              <w:tr2bl w:val="nil"/>
            </w:tcBorders>
            <w:shd w:val="clear" w:color="auto" w:fill="auto"/>
            <w:vAlign w:val="center"/>
          </w:tcPr>
          <w:p w14:paraId="1E75211D">
            <w:pPr>
              <w:widowControl/>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YAP1融合是幕上室管膜瘤的诊断指标。发生YAP1 融合变异的幕上室管膜瘤更具侵袭性，预后相对较差。</w:t>
            </w:r>
          </w:p>
        </w:tc>
      </w:tr>
      <w:tr w14:paraId="4449105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6" w:type="dxa"/>
            <w:tcBorders>
              <w:tl2br w:val="nil"/>
              <w:tr2bl w:val="nil"/>
            </w:tcBorders>
            <w:shd w:val="clear" w:color="auto" w:fill="auto"/>
            <w:vAlign w:val="center"/>
          </w:tcPr>
          <w:p w14:paraId="7B549E82">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ZFTA（C11orf95）-RELA融合</w:t>
            </w:r>
          </w:p>
        </w:tc>
        <w:tc>
          <w:tcPr>
            <w:tcW w:w="1546" w:type="dxa"/>
            <w:tcBorders>
              <w:tl2br w:val="nil"/>
              <w:tr2bl w:val="nil"/>
            </w:tcBorders>
            <w:shd w:val="clear" w:color="auto" w:fill="auto"/>
            <w:vAlign w:val="center"/>
          </w:tcPr>
          <w:p w14:paraId="7851D3B7">
            <w:pPr>
              <w:widowControl/>
              <w:jc w:val="center"/>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 bg.ZFTA | mr() }}</w:t>
            </w:r>
          </w:p>
        </w:tc>
        <w:tc>
          <w:tcPr>
            <w:tcW w:w="6269" w:type="dxa"/>
            <w:tcBorders>
              <w:tl2br w:val="nil"/>
              <w:tr2bl w:val="nil"/>
            </w:tcBorders>
            <w:shd w:val="clear" w:color="auto" w:fill="auto"/>
            <w:vAlign w:val="center"/>
          </w:tcPr>
          <w:p w14:paraId="7634024C">
            <w:pPr>
              <w:widowControl/>
              <w:textAlignment w:val="center"/>
              <w:rPr>
                <w:rFonts w:hint="eastAsia" w:ascii="微软雅黑" w:hAnsi="微软雅黑" w:eastAsia="微软雅黑" w:cs="微软雅黑"/>
                <w:color w:val="000000"/>
                <w:sz w:val="21"/>
                <w:szCs w:val="21"/>
                <w:lang w:bidi="ar"/>
              </w:rPr>
            </w:pPr>
            <w:r>
              <w:rPr>
                <w:rFonts w:hint="eastAsia" w:ascii="微软雅黑" w:hAnsi="微软雅黑" w:eastAsia="微软雅黑" w:cs="微软雅黑"/>
                <w:color w:val="000000"/>
                <w:sz w:val="21"/>
                <w:szCs w:val="21"/>
                <w:lang w:bidi="ar"/>
              </w:rPr>
              <w:t>ZFTA-RELA 基因融合是室管膜瘤亚型的关键诊断指标。发生ZFTA-RELA 融合变异的幕上室管膜瘤更具侵袭性，预后相对较差。</w:t>
            </w:r>
          </w:p>
        </w:tc>
      </w:tr>
    </w:tbl>
    <w:p w14:paraId="42041D97">
      <w:pPr>
        <w:rPr>
          <w:rFonts w:ascii="Times New Roman" w:hAnsi="Times New Roman"/>
          <w:color w:val="62B541"/>
          <w:szCs w:val="18"/>
          <w14:shadow w14:blurRad="50800" w14:dist="38100" w14:dir="10800000" w14:sx="100000" w14:sy="100000" w14:kx="0" w14:ky="0" w14:algn="r">
            <w14:srgbClr w14:val="62B541">
              <w14:alpha w14:val="60000"/>
            </w14:srgbClr>
          </w14:shadow>
        </w:rPr>
      </w:pPr>
    </w:p>
    <w:p w14:paraId="32EFF0BD">
      <w:pPr>
        <w:spacing w:before="47"/>
        <w:rPr>
          <w:rFonts w:ascii="Times New Roman" w:hAnsi="Times New Roman" w:eastAsia="微软雅黑" w:cs="Times New Roman"/>
          <w:b/>
          <w:bCs/>
          <w:sz w:val="18"/>
          <w:szCs w:val="18"/>
        </w:rPr>
      </w:pPr>
      <w:r>
        <w:rPr>
          <w:rFonts w:hint="eastAsia" w:ascii="Times New Roman" w:hAnsi="Times New Roman" w:eastAsia="微软雅黑" w:cs="Times New Roman"/>
          <w:b/>
          <w:bCs/>
          <w:sz w:val="18"/>
          <w:szCs w:val="18"/>
        </w:rPr>
        <w:t>注:</w:t>
      </w:r>
    </w:p>
    <w:p w14:paraId="39F3560E">
      <w:pPr>
        <w:pStyle w:val="10"/>
        <w:numPr>
          <w:ilvl w:val="0"/>
          <w:numId w:val="3"/>
        </w:numPr>
        <w:rPr>
          <w:rFonts w:ascii="Times New Roman" w:hAnsi="Times New Roman" w:eastAsia="微软雅黑" w:cs="Times New Roman"/>
          <w:bCs/>
        </w:rPr>
      </w:pPr>
      <w:r>
        <w:rPr>
          <w:rFonts w:hint="eastAsia" w:ascii="Times New Roman" w:hAnsi="Times New Roman" w:eastAsia="微软雅黑" w:cs="Times New Roman"/>
          <w:bCs/>
        </w:rPr>
        <w:t>MGMT启动子甲基化检测：多重荧光PCR法。MGMT基因编码O</w:t>
      </w:r>
      <w:r>
        <w:rPr>
          <w:rFonts w:hint="eastAsia" w:ascii="Times New Roman" w:hAnsi="Times New Roman" w:eastAsia="微软雅黑" w:cs="Times New Roman"/>
          <w:bCs/>
          <w:vertAlign w:val="superscript"/>
        </w:rPr>
        <w:t>6</w:t>
      </w:r>
      <w:r>
        <w:rPr>
          <w:rFonts w:hint="eastAsia" w:ascii="Times New Roman" w:hAnsi="Times New Roman" w:eastAsia="微软雅黑" w:cs="Times New Roman"/>
          <w:bCs/>
        </w:rPr>
        <w:t>-甲基鸟嘌呤DNA甲基转移酶，可将鸟嘌呤O</w:t>
      </w:r>
      <w:r>
        <w:rPr>
          <w:rFonts w:hint="eastAsia" w:ascii="Times New Roman" w:hAnsi="Times New Roman" w:eastAsia="微软雅黑" w:cs="Times New Roman"/>
          <w:bCs/>
          <w:vertAlign w:val="superscript"/>
        </w:rPr>
        <w:t>6</w:t>
      </w:r>
      <w:r>
        <w:rPr>
          <w:rFonts w:hint="eastAsia" w:ascii="Times New Roman" w:hAnsi="Times New Roman" w:eastAsia="微软雅黑" w:cs="Times New Roman"/>
          <w:bCs/>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4739374B">
      <w:pPr>
        <w:pStyle w:val="10"/>
        <w:numPr>
          <w:ilvl w:val="0"/>
          <w:numId w:val="3"/>
        </w:numPr>
        <w:rPr>
          <w:rFonts w:ascii="Times New Roman" w:hAnsi="Times New Roman" w:eastAsia="微软雅黑" w:cs="Times New Roman"/>
          <w:bCs/>
        </w:rPr>
      </w:pPr>
      <w:r>
        <w:rPr>
          <w:rFonts w:hint="eastAsia" w:ascii="Times New Roman" w:hAnsi="Times New Roman" w:eastAsia="微软雅黑" w:cs="Times New Roman"/>
          <w:bCs/>
        </w:rPr>
        <w:t>1p19q联合性缺失检测：覆盖1p 29个区域和19q 16个区域，进行NGS测序和染色体缺失分析。若1p染⾊体与19q染⾊体同时检测出杂合性缺失则为联合缺失，若仅有⼀项或者两项都未检测出缺失则为非联合缺失。</w:t>
      </w:r>
    </w:p>
    <w:p w14:paraId="790B1AC6">
      <w:pPr>
        <w:pStyle w:val="10"/>
        <w:numPr>
          <w:ilvl w:val="0"/>
          <w:numId w:val="3"/>
        </w:numPr>
        <w:rPr>
          <w:rFonts w:ascii="Times New Roman" w:hAnsi="Times New Roman" w:eastAsia="微软雅黑" w:cs="Times New Roman"/>
          <w:bCs/>
        </w:rPr>
      </w:pPr>
      <w:r>
        <w:rPr>
          <w:rFonts w:hint="eastAsia" w:ascii="Times New Roman" w:hAnsi="Times New Roman" w:eastAsia="微软雅黑" w:cs="Times New Roman"/>
          <w:bCs/>
        </w:rPr>
        <w:t>H3变异（H3-3A G35或K28M、H3C2 K28M、H3C3 K28M）依据COSMIC命名标准进⾏呈现，其位点与指南或文献报道的H3G34和K27M⼀致 [PMID:28912153]。</w:t>
      </w:r>
    </w:p>
    <w:p w14:paraId="3A0F18AA">
      <w:pPr>
        <w:pStyle w:val="10"/>
        <w:numPr>
          <w:ilvl w:val="0"/>
          <w:numId w:val="3"/>
        </w:numPr>
        <w:rPr>
          <w:rFonts w:ascii="Times New Roman" w:hAnsi="Times New Roman" w:eastAsia="微软雅黑" w:cs="Times New Roman"/>
          <w:bCs/>
        </w:rPr>
      </w:pPr>
      <w:r>
        <w:rPr>
          <w:rFonts w:hint="eastAsia" w:ascii="Times New Roman" w:hAnsi="Times New Roman" w:eastAsia="微软雅黑" w:cs="Times New Roman"/>
          <w:bCs/>
        </w:rPr>
        <w:t>本列表中基因的检测范围涵盖但不限于上表中列出的变异类型。良性变异、或疑似良性变异不在此“检出”范围内。</w:t>
      </w:r>
    </w:p>
    <w:p w14:paraId="7031F99D">
      <w:pPr>
        <w:pStyle w:val="10"/>
        <w:numPr>
          <w:ilvl w:val="0"/>
          <w:numId w:val="3"/>
        </w:numPr>
        <w:rPr>
          <w:rFonts w:ascii="Times New Roman" w:hAnsi="Times New Roman" w:eastAsia="微软雅黑" w:cs="Times New Roman"/>
          <w:bCs/>
        </w:rPr>
      </w:pPr>
      <w:r>
        <w:rPr>
          <w:rFonts w:hint="eastAsia" w:ascii="Times New Roman" w:hAnsi="Times New Roman" w:eastAsia="微软雅黑" w:cs="Times New Roman"/>
          <w:bCs/>
        </w:rPr>
        <w:t>本列表中的脑胶质瘤分子标记诊断和预后参考2021年WHO中枢神经系统肿瘤分类（第五版）、NCCN临床实践指南：中枢神经系统肿瘤（2020.V3）、2022年版《脑胶质瘤中国肿瘤整合诊治指南》。随着新靶点药物的批准、指南的更新、临床研究的进展，报告内容和相关解读会随相关内容的更新而变化。</w:t>
      </w:r>
    </w:p>
    <w:p w14:paraId="4841DD4B">
      <w:pPr>
        <w:pStyle w:val="10"/>
        <w:numPr>
          <w:ilvl w:val="0"/>
          <w:numId w:val="3"/>
        </w:numPr>
        <w:rPr>
          <w:rFonts w:ascii="Times New Roman" w:hAnsi="Times New Roman" w:eastAsia="微软雅黑" w:cs="Times New Roman"/>
        </w:rPr>
      </w:pPr>
      <w:r>
        <w:rPr>
          <w:rFonts w:hint="eastAsia" w:ascii="Times New Roman" w:hAnsi="Times New Roman" w:eastAsia="微软雅黑" w:cs="Times New Roman"/>
          <w:bCs/>
        </w:rPr>
        <w:t>本报告结果仅针对本次送检样品，结果仅供医⽣参考，不包含任何临床建议，具体用药请遵医嘱。</w:t>
      </w:r>
    </w:p>
    <w:p w14:paraId="21D35765">
      <w:pPr>
        <w:pStyle w:val="10"/>
        <w:numPr>
          <w:ilvl w:val="0"/>
          <w:numId w:val="3"/>
        </w:numPr>
        <w:rPr>
          <w:rFonts w:ascii="Times New Roman" w:hAnsi="Times New Roman" w:eastAsia="微软雅黑" w:cs="Times New Roman"/>
        </w:rPr>
      </w:pPr>
      <w:r>
        <w:rPr>
          <w:rFonts w:hint="eastAsia" w:ascii="Times New Roman" w:hAnsi="Times New Roman" w:eastAsia="微软雅黑" w:cs="Times New Roman"/>
        </w:rPr>
        <w:t>本报告只对本次采集样本负责，如有疑问，请在7个工作日内与我们联系。</w:t>
      </w:r>
    </w:p>
    <w:p w14:paraId="43CC8CAA">
      <w:pPr>
        <w:rPr>
          <w:rFonts w:hint="eastAsia"/>
        </w:rPr>
      </w:pPr>
      <w:r>
        <w:rPr>
          <w:rFonts w:hint="eastAsia"/>
        </w:rPr>
        <w:br w:type="page"/>
      </w:r>
    </w:p>
    <w:p w14:paraId="193D40D5">
      <w:pPr>
        <w:pStyle w:val="3"/>
        <w:jc w:val="both"/>
        <w:rPr>
          <w:rFonts w:hint="eastAsia" w:ascii="微软雅黑" w:hAnsi="微软雅黑" w:eastAsia="微软雅黑" w:cs="微软雅黑"/>
          <w:color w:val="254061" w:themeColor="accent1" w:themeShade="80"/>
        </w:rPr>
      </w:pPr>
      <w:r>
        <w:rPr>
          <w:rFonts w:hint="eastAsia" w:ascii="微软雅黑" w:hAnsi="微软雅黑" w:eastAsia="微软雅黑" w:cs="微软雅黑"/>
          <w:color w:val="254061" w:themeColor="accent1" w:themeShade="80"/>
        </w:rPr>
        <w:t xml:space="preserve">2 </w:t>
      </w:r>
      <w:bookmarkEnd w:id="12"/>
      <w:bookmarkEnd w:id="13"/>
      <w:bookmarkEnd w:id="14"/>
      <w:bookmarkEnd w:id="15"/>
      <w:bookmarkEnd w:id="16"/>
      <w:bookmarkEnd w:id="17"/>
      <w:r>
        <w:rPr>
          <w:rFonts w:hint="eastAsia" w:ascii="微软雅黑" w:hAnsi="微软雅黑" w:eastAsia="微软雅黑" w:cs="微软雅黑"/>
          <w:color w:val="254061" w:themeColor="accent1" w:themeShade="80"/>
        </w:rPr>
        <w:t>体细胞变异分级提示</w:t>
      </w:r>
    </w:p>
    <w:p w14:paraId="5DECF482">
      <w:pPr>
        <w:ind w:firstLine="420" w:firstLineChars="200"/>
        <w:rPr>
          <w:rFonts w:ascii="Times New Roman" w:hAnsi="Times New Roman" w:eastAsia="微软雅黑" w:cs="Times New Roman"/>
          <w:b/>
          <w:color w:val="00B050"/>
          <w:sz w:val="24"/>
          <w:szCs w:val="24"/>
        </w:rPr>
      </w:pPr>
      <w:r>
        <w:rPr>
          <w:rFonts w:hint="eastAsia" w:ascii="Times New Roman" w:hAnsi="Times New Roman" w:eastAsia="微软雅黑" w:cs="Times New Roman"/>
          <w:b/>
          <w:color w:val="000000" w:themeColor="text1"/>
          <w:sz w:val="21"/>
          <w:szCs w:val="21"/>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6"/>
        <w:gridCol w:w="1031"/>
        <w:gridCol w:w="1463"/>
        <w:gridCol w:w="923"/>
        <w:gridCol w:w="1031"/>
        <w:gridCol w:w="2157"/>
        <w:gridCol w:w="2167"/>
      </w:tblGrid>
      <w:tr w14:paraId="6D5005A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66D03DA">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变异分类</w:t>
            </w:r>
          </w:p>
        </w:tc>
        <w:tc>
          <w:tcPr>
            <w:tcW w:w="535" w:type="pct"/>
            <w:shd w:val="clear" w:color="auto" w:fill="auto"/>
            <w:vAlign w:val="center"/>
          </w:tcPr>
          <w:p w14:paraId="7F39C039">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6590387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68D37E34">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突变类型</w:t>
            </w:r>
          </w:p>
        </w:tc>
        <w:tc>
          <w:tcPr>
            <w:tcW w:w="535" w:type="pct"/>
            <w:shd w:val="clear" w:color="auto" w:fill="auto"/>
            <w:vAlign w:val="center"/>
          </w:tcPr>
          <w:p w14:paraId="149D8196">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变异丰度/拷贝数{% if readsFlag == True %}</w:t>
            </w:r>
          </w:p>
          <w:p w14:paraId="79811228">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/reads数{%endif%}</w:t>
            </w:r>
          </w:p>
        </w:tc>
        <w:tc>
          <w:tcPr>
            <w:tcW w:w="1119" w:type="pct"/>
            <w:shd w:val="clear" w:color="auto" w:fill="auto"/>
            <w:vAlign w:val="center"/>
          </w:tcPr>
          <w:p w14:paraId="67A29159">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可能获益药物</w:t>
            </w:r>
          </w:p>
        </w:tc>
        <w:tc>
          <w:tcPr>
            <w:tcW w:w="1122" w:type="pct"/>
            <w:shd w:val="clear" w:color="auto" w:fill="auto"/>
            <w:vAlign w:val="center"/>
          </w:tcPr>
          <w:p w14:paraId="62AEF73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可能耐药药物</w:t>
            </w:r>
          </w:p>
        </w:tc>
      </w:tr>
      <w:tr w14:paraId="3762F41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31F5A25F">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bodyAndComplexDrugTipLineStr or unknownTipLineStr %}</w:t>
            </w:r>
          </w:p>
        </w:tc>
      </w:tr>
      <w:tr w14:paraId="7CDC641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6A3B37E6">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tip in bodyDrugTipLineStr %}</w:t>
            </w:r>
          </w:p>
        </w:tc>
      </w:tr>
      <w:tr w14:paraId="7E4D8CA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2DF7E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tip.variationClass }}</w:t>
            </w:r>
          </w:p>
        </w:tc>
        <w:tc>
          <w:tcPr>
            <w:tcW w:w="535" w:type="pct"/>
            <w:shd w:val="clear" w:color="auto" w:fill="auto"/>
            <w:vAlign w:val="center"/>
          </w:tcPr>
          <w:p w14:paraId="1A78CEC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tip.gene }}</w:t>
            </w:r>
          </w:p>
        </w:tc>
        <w:tc>
          <w:tcPr>
            <w:tcW w:w="759" w:type="pct"/>
            <w:shd w:val="clear" w:color="auto" w:fill="auto"/>
            <w:vAlign w:val="center"/>
          </w:tcPr>
          <w:p w14:paraId="27A16164">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tip.ori_variant }}</w:t>
            </w:r>
          </w:p>
        </w:tc>
        <w:tc>
          <w:tcPr>
            <w:tcW w:w="479" w:type="pct"/>
            <w:shd w:val="clear" w:color="auto" w:fill="auto"/>
            <w:vAlign w:val="center"/>
          </w:tcPr>
          <w:p w14:paraId="7521FC8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tip.ExonicFunc }}</w:t>
            </w:r>
          </w:p>
        </w:tc>
        <w:tc>
          <w:tcPr>
            <w:tcW w:w="535" w:type="pct"/>
            <w:shd w:val="clear" w:color="auto" w:fill="auto"/>
            <w:vAlign w:val="center"/>
          </w:tcPr>
          <w:p w14:paraId="33E2115A">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tip.mutFreq }}</w:t>
            </w:r>
          </w:p>
        </w:tc>
        <w:tc>
          <w:tcPr>
            <w:tcW w:w="1119" w:type="pct"/>
            <w:shd w:val="clear" w:color="auto" w:fill="auto"/>
            <w:vAlign w:val="center"/>
          </w:tcPr>
          <w:p w14:paraId="02C06DA9">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 if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 [] %}无{% else%}{% for d in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 xml:space="preserve">{%if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1</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2B3B9635">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2</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27FE305F">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3</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5D927112">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4</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5608A118">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c>
          <w:tcPr>
            <w:tcW w:w="1122" w:type="pct"/>
            <w:shd w:val="clear" w:color="auto" w:fill="auto"/>
            <w:vAlign w:val="center"/>
          </w:tcPr>
          <w:p w14:paraId="2419029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xml:space="preserve">{% if tip.ResistantDrug == [] %}无{% else%}{% for d in tip.ResistantDrug %}{%if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5</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6E8531C5">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6</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06D34762">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7</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726634F8">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8</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560AFB0A">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r>
      <w:tr w14:paraId="0D2432E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001A5464">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62E567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0C1B910">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tip in unknownTipLineStr %}</w:t>
            </w:r>
          </w:p>
        </w:tc>
      </w:tr>
      <w:tr w14:paraId="0F5052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5B8F75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tip.variationClass }}</w:t>
            </w:r>
          </w:p>
        </w:tc>
        <w:tc>
          <w:tcPr>
            <w:tcW w:w="535" w:type="pct"/>
            <w:shd w:val="clear" w:color="auto" w:fill="auto"/>
            <w:vAlign w:val="center"/>
          </w:tcPr>
          <w:p w14:paraId="73F5ED4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tip.gene }}</w:t>
            </w:r>
          </w:p>
        </w:tc>
        <w:tc>
          <w:tcPr>
            <w:tcW w:w="759" w:type="pct"/>
            <w:shd w:val="clear" w:color="auto" w:fill="auto"/>
            <w:vAlign w:val="center"/>
          </w:tcPr>
          <w:p w14:paraId="3C9C4509">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tip.ori_variant }}</w:t>
            </w:r>
          </w:p>
        </w:tc>
        <w:tc>
          <w:tcPr>
            <w:tcW w:w="479" w:type="pct"/>
            <w:shd w:val="clear" w:color="auto" w:fill="auto"/>
            <w:vAlign w:val="center"/>
          </w:tcPr>
          <w:p w14:paraId="5211438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tip.ExonicFunc }}</w:t>
            </w:r>
          </w:p>
        </w:tc>
        <w:tc>
          <w:tcPr>
            <w:tcW w:w="535" w:type="pct"/>
            <w:shd w:val="clear" w:color="auto" w:fill="auto"/>
            <w:vAlign w:val="center"/>
          </w:tcPr>
          <w:p w14:paraId="7B57B8E0">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tip.mutFreq }}</w:t>
            </w:r>
          </w:p>
        </w:tc>
        <w:tc>
          <w:tcPr>
            <w:tcW w:w="1119" w:type="pct"/>
            <w:shd w:val="clear" w:color="auto" w:fill="auto"/>
            <w:vAlign w:val="center"/>
          </w:tcPr>
          <w:p w14:paraId="6F5C63BB">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22" w:type="pct"/>
            <w:shd w:val="clear" w:color="auto" w:fill="auto"/>
            <w:vAlign w:val="center"/>
          </w:tcPr>
          <w:p w14:paraId="466AEE9A">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r>
      <w:tr w14:paraId="025227D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177BC570">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3A3A25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24CF27E4">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tip in complexDrugTipLineStr %}</w:t>
            </w:r>
          </w:p>
        </w:tc>
      </w:tr>
      <w:tr w14:paraId="2521EB7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3CDEC9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tip.variationClass }}</w:t>
            </w:r>
          </w:p>
        </w:tc>
        <w:tc>
          <w:tcPr>
            <w:tcW w:w="535" w:type="pct"/>
            <w:shd w:val="clear" w:color="auto" w:fill="auto"/>
            <w:vAlign w:val="center"/>
          </w:tcPr>
          <w:p w14:paraId="6DFAEBA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tip.comutation }}</w:t>
            </w:r>
          </w:p>
        </w:tc>
        <w:tc>
          <w:tcPr>
            <w:tcW w:w="759" w:type="pct"/>
            <w:shd w:val="clear" w:color="auto" w:fill="auto"/>
            <w:vAlign w:val="center"/>
          </w:tcPr>
          <w:p w14:paraId="4E2F0403">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479" w:type="pct"/>
            <w:shd w:val="clear" w:color="auto" w:fill="auto"/>
            <w:vAlign w:val="center"/>
          </w:tcPr>
          <w:p w14:paraId="7CB9D6A8">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tip.ExonicFunc }}</w:t>
            </w:r>
          </w:p>
        </w:tc>
        <w:tc>
          <w:tcPr>
            <w:tcW w:w="535" w:type="pct"/>
            <w:shd w:val="clear" w:color="auto" w:fill="auto"/>
            <w:vAlign w:val="center"/>
          </w:tcPr>
          <w:p w14:paraId="006CD6A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tip.mutFreq }}</w:t>
            </w:r>
          </w:p>
        </w:tc>
        <w:tc>
          <w:tcPr>
            <w:tcW w:w="1119" w:type="pct"/>
            <w:shd w:val="clear" w:color="auto" w:fill="auto"/>
            <w:vAlign w:val="center"/>
          </w:tcPr>
          <w:p w14:paraId="6A72B208">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 if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 [] %}无{% else%}{% for d in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 xml:space="preserve">{%if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1</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4D24CB0D">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2</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178E977A">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3</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5455F06C">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4</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7FF5358C">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c>
          <w:tcPr>
            <w:tcW w:w="1122" w:type="pct"/>
            <w:shd w:val="clear" w:color="auto" w:fill="auto"/>
            <w:vAlign w:val="center"/>
          </w:tcPr>
          <w:p w14:paraId="7D1445A6">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xml:space="preserve">{% if tip.ResistantDrug == [] %}无{% else%}{% for d in tip.ResistantDrug %}{%if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5</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0DC0F302">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6</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3E375763">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7</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6C204BA0">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8</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2E023116">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r>
      <w:tr w14:paraId="2CB9ED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53F3BA">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4D4CCF6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73E5ADE3">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else %}</w:t>
            </w:r>
          </w:p>
        </w:tc>
      </w:tr>
      <w:tr w14:paraId="61FA94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6BE937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w:t>
            </w:r>
          </w:p>
        </w:tc>
        <w:tc>
          <w:tcPr>
            <w:tcW w:w="535" w:type="pct"/>
            <w:shd w:val="clear" w:color="auto" w:fill="auto"/>
            <w:vAlign w:val="center"/>
          </w:tcPr>
          <w:p w14:paraId="282B1FC8">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w:t>
            </w:r>
          </w:p>
        </w:tc>
        <w:tc>
          <w:tcPr>
            <w:tcW w:w="759" w:type="pct"/>
            <w:shd w:val="clear" w:color="auto" w:fill="auto"/>
            <w:vAlign w:val="center"/>
          </w:tcPr>
          <w:p w14:paraId="196F0B4F">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479" w:type="pct"/>
            <w:shd w:val="clear" w:color="auto" w:fill="auto"/>
            <w:vAlign w:val="center"/>
          </w:tcPr>
          <w:p w14:paraId="54118C65">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535" w:type="pct"/>
            <w:shd w:val="clear" w:color="auto" w:fill="auto"/>
            <w:vAlign w:val="center"/>
          </w:tcPr>
          <w:p w14:paraId="4043EF75">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19" w:type="pct"/>
            <w:shd w:val="clear" w:color="auto" w:fill="auto"/>
            <w:vAlign w:val="center"/>
          </w:tcPr>
          <w:p w14:paraId="09464382">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22" w:type="pct"/>
            <w:shd w:val="clear" w:color="auto" w:fill="auto"/>
            <w:vAlign w:val="center"/>
          </w:tcPr>
          <w:p w14:paraId="67988A32">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r>
      <w:tr w14:paraId="6DDB444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65183CA4">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bl>
    <w:p w14:paraId="0FD75CCB">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14:paraId="540F9B1B">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本报告所列举的药物或基因变异并未按照基因或者药物的重要性排序，具体决策需参照临床实际。</w:t>
      </w:r>
    </w:p>
    <w:p w14:paraId="75BE3FF5">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EA8A273">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rPr>
        <w:t>）</w:t>
      </w:r>
      <w:r>
        <w:rPr>
          <w:rFonts w:hint="eastAsia" w:ascii="Times New Roman" w:hAnsi="Times New Roman" w:eastAsia="微软雅黑" w:cs="Times New Roman"/>
          <w:bCs/>
        </w:rPr>
        <w:t>。</w:t>
      </w:r>
    </w:p>
    <w:p w14:paraId="466CE6C6">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ADE2154">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可能耐药药物：FDA/NMPA已经批准的、NCCN指南推荐的、临床试验或者临床研究有明确结果的、药物敏感性可能降低或产生耐药的靶向药物。</w:t>
      </w:r>
    </w:p>
    <w:p w14:paraId="16B186D5">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“-”表示该位点无相应靶向药物提示。</w:t>
      </w:r>
    </w:p>
    <w:p w14:paraId="338E61C3">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*标注的药物：NMPA批准的靶向药物。</w:t>
      </w:r>
    </w:p>
    <w:p w14:paraId="78493B25">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分析注释时采用RefSeq转录本编号。</w:t>
      </w:r>
    </w:p>
    <w:p w14:paraId="2C6EFB52">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变异丰度：在某位点产生突变的等位基因在该位点全部等位基因中所占比率。</w:t>
      </w:r>
    </w:p>
    <w:p w14:paraId="38AC3C73">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拷贝数：是指某⼀种基因或某⼀段特定的DNA序列在单倍体基因组中出现的数目。</w:t>
      </w:r>
      <w:r>
        <w:rPr>
          <w:rFonts w:hint="eastAsia" w:ascii="Times New Roman" w:hAnsi="Times New Roman" w:eastAsia="微软雅黑" w:cs="Times New Roman"/>
        </w:rPr>
        <w:t>{% if readsFlag == True %}</w:t>
      </w:r>
    </w:p>
    <w:p w14:paraId="4297E271">
      <w:pPr>
        <w:pStyle w:val="10"/>
        <w:numPr>
          <w:ilvl w:val="0"/>
          <w:numId w:val="4"/>
        </w:numPr>
        <w:rPr>
          <w:rFonts w:ascii="Times New Roman" w:hAnsi="Times New Roman" w:eastAsia="微软雅黑" w:cs="Times New Roman"/>
          <w:bCs/>
        </w:rPr>
      </w:pPr>
      <w:r>
        <w:rPr>
          <w:rFonts w:hint="eastAsia" w:ascii="Times New Roman" w:hAnsi="Times New Roman" w:eastAsia="微软雅黑" w:cs="Times New Roman"/>
          <w:bCs/>
        </w:rPr>
        <w:t>reads数：RNA层面检测到的支持融合基因的片段数。</w:t>
      </w:r>
      <w:r>
        <w:rPr>
          <w:rFonts w:hint="eastAsia" w:ascii="Times New Roman" w:hAnsi="Times New Roman" w:eastAsia="微软雅黑" w:cs="Times New Roman"/>
        </w:rPr>
        <w:t>{% endif %}</w:t>
      </w:r>
    </w:p>
    <w:p w14:paraId="57D6DAA6">
      <w:pPr>
        <w:pStyle w:val="10"/>
        <w:numPr>
          <w:ilvl w:val="0"/>
          <w:numId w:val="4"/>
        </w:numPr>
        <w:rPr>
          <w:rFonts w:ascii="Times New Roman" w:hAnsi="Times New Roman" w:eastAsia="微软雅黑" w:cs="Times New Roman"/>
        </w:rPr>
      </w:pPr>
      <w:r>
        <w:rPr>
          <w:rFonts w:hint="eastAsia" w:ascii="Times New Roman" w:hAnsi="Times New Roman" w:eastAsia="微软雅黑" w:cs="Times New Roman"/>
          <w:bCs/>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rPr>
        <w:t>{% if complex == True %}</w:t>
      </w:r>
    </w:p>
    <w:p w14:paraId="688EE4B9">
      <w:pPr>
        <w:pStyle w:val="10"/>
        <w:numPr>
          <w:ilvl w:val="0"/>
          <w:numId w:val="4"/>
        </w:numPr>
        <w:rPr>
          <w:rFonts w:ascii="Times New Roman" w:hAnsi="Times New Roman" w:eastAsia="微软雅黑" w:cs="Times New Roman"/>
        </w:rPr>
      </w:pPr>
      <w:r>
        <w:rPr>
          <w:rFonts w:ascii="Times New Roman" w:hAnsi="Times New Roman" w:eastAsia="微软雅黑" w:cs="Times New Roman"/>
        </w:rPr>
        <w:t>多靶点循证</w:t>
      </w:r>
      <w:r>
        <w:rPr>
          <w:rFonts w:hint="eastAsia" w:ascii="Times New Roman" w:hAnsi="Times New Roman" w:eastAsia="微软雅黑" w:cs="Times New Roman"/>
        </w:rPr>
        <w:t>检测结果中的符号意义：“+”表示“并且”，“/”表示“或者”，“!”表示“不满足”。{% endif %}</w:t>
      </w:r>
    </w:p>
    <w:p w14:paraId="4CE985EB">
      <w:pPr>
        <w:numPr>
          <w:ilvl w:val="0"/>
          <w:numId w:val="5"/>
        </w:numPr>
        <w:rPr>
          <w:rFonts w:ascii="Times New Roman" w:hAnsi="Times New Roman" w:eastAsia="微软雅黑" w:cs="Times New Roman"/>
          <w:sz w:val="18"/>
          <w:szCs w:val="18"/>
        </w:rPr>
      </w:pPr>
      <w:r>
        <w:rPr>
          <w:rFonts w:ascii="Times New Roman" w:hAnsi="Times New Roman" w:eastAsia="微软雅黑" w:cs="Times New Roman"/>
          <w:b/>
          <w:color w:val="00B050"/>
          <w:sz w:val="24"/>
          <w:szCs w:val="24"/>
        </w:rPr>
        <w:br w:type="page"/>
      </w:r>
    </w:p>
    <w:p w14:paraId="35C353C0">
      <w:pPr>
        <w:pStyle w:val="3"/>
        <w:jc w:val="both"/>
        <w:rPr>
          <w:rFonts w:hint="eastAsia" w:ascii="微软雅黑" w:hAnsi="微软雅黑" w:eastAsia="微软雅黑" w:cs="微软雅黑"/>
          <w:color w:val="254061" w:themeColor="accent1" w:themeShade="80"/>
        </w:rPr>
      </w:pPr>
      <w:bookmarkStart w:id="18" w:name="_Toc3497"/>
      <w:bookmarkStart w:id="19" w:name="_Toc5962"/>
      <w:bookmarkStart w:id="20" w:name="_Hlk516758315"/>
      <w:bookmarkStart w:id="21" w:name="_Toc13489_WPSOffice_Level2"/>
      <w:bookmarkStart w:id="22" w:name="_Toc24038"/>
      <w:bookmarkStart w:id="23" w:name="_Toc19898_WPSOffice_Level2"/>
      <w:bookmarkStart w:id="24" w:name="_Toc10743"/>
      <w:r>
        <w:rPr>
          <w:rFonts w:hint="eastAsia" w:ascii="微软雅黑" w:hAnsi="微软雅黑" w:eastAsia="微软雅黑" w:cs="微软雅黑"/>
          <w:color w:val="254061" w:themeColor="accent1" w:themeShade="80"/>
        </w:rPr>
        <w:t xml:space="preserve">3 </w:t>
      </w:r>
      <w:bookmarkEnd w:id="18"/>
      <w:bookmarkEnd w:id="19"/>
      <w:bookmarkEnd w:id="20"/>
      <w:bookmarkEnd w:id="21"/>
      <w:bookmarkEnd w:id="22"/>
      <w:bookmarkEnd w:id="23"/>
      <w:bookmarkEnd w:id="24"/>
      <w:r>
        <w:rPr>
          <w:rFonts w:hint="eastAsia" w:ascii="微软雅黑" w:hAnsi="微软雅黑" w:eastAsia="微软雅黑" w:cs="微软雅黑"/>
          <w:color w:val="254061" w:themeColor="accent1" w:themeShade="80"/>
        </w:rPr>
        <w:t>胚系变异结果提示</w:t>
      </w:r>
    </w:p>
    <w:p w14:paraId="2170BC40">
      <w:pPr>
        <w:pStyle w:val="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3.1 肿瘤遗传风险检测</w:t>
      </w:r>
    </w:p>
    <w:p w14:paraId="7CF2B25F">
      <w:pPr>
        <w:spacing w:before="188" w:line="252" w:lineRule="auto"/>
        <w:ind w:left="113" w:right="213" w:firstLine="476"/>
        <w:jc w:val="both"/>
        <w:rPr>
          <w:rFonts w:ascii="Times New Roman" w:hAnsi="Times New Roman" w:eastAsia="微软雅黑" w:cs="Times New Roman"/>
          <w:sz w:val="21"/>
          <w:szCs w:val="21"/>
        </w:rPr>
      </w:pPr>
      <w:r>
        <w:rPr>
          <w:rFonts w:hint="eastAsia" w:ascii="Times New Roman" w:hAnsi="Times New Roman" w:eastAsia="微软雅黑" w:cs="Times New Roman"/>
          <w:b/>
          <w:color w:val="000000" w:themeColor="text1"/>
          <w:sz w:val="21"/>
          <w:szCs w:val="21"/>
          <w14:textFill>
            <w14:solidFill>
              <w14:schemeClr w14:val="tx1"/>
            </w14:solidFill>
          </w14:textFill>
        </w:rPr>
        <w:t>本次样本共检出</w:t>
      </w:r>
      <w:r>
        <w:rPr>
          <w:rFonts w:ascii="Times New Roman" w:hAnsi="Times New Roman" w:eastAsia="微软雅黑" w:cs="Times New Roman"/>
          <w:b/>
          <w:color w:val="000000" w:themeColor="text1"/>
          <w:sz w:val="21"/>
          <w:szCs w:val="21"/>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14:textFill>
            <w14:solidFill>
              <w14:schemeClr w14:val="tx1"/>
            </w14:solidFill>
          </w14:textFill>
        </w:rPr>
        <w:t>。</w:t>
      </w:r>
      <w:r>
        <w:rPr>
          <w:rFonts w:hint="eastAsia" w:ascii="Times New Roman" w:hAnsi="Times New Roman" w:eastAsia="微软雅黑" w:cs="Times New Roman"/>
          <w:b/>
          <w:color w:val="000000" w:themeColor="text1"/>
          <w:sz w:val="21"/>
          <w:szCs w:val="21"/>
          <w14:textFill>
            <w14:solidFill>
              <w14:schemeClr w14:val="tx1"/>
            </w14:solidFill>
          </w14:textFill>
        </w:rPr>
        <w:t>{%if geneticCancerRiskInfo %}具体信息见“基因检测结果解析”。{% endif %}如果您有家族遗传史，可联系我们做进一步的检测。</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28"/>
        <w:gridCol w:w="808"/>
        <w:gridCol w:w="808"/>
        <w:gridCol w:w="1122"/>
        <w:gridCol w:w="1034"/>
        <w:gridCol w:w="1116"/>
        <w:gridCol w:w="1116"/>
        <w:gridCol w:w="911"/>
        <w:gridCol w:w="1495"/>
      </w:tblGrid>
      <w:tr w14:paraId="536CFD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exact"/>
          <w:jc w:val="center"/>
        </w:trPr>
        <w:tc>
          <w:tcPr>
            <w:tcW w:w="1255" w:type="dxa"/>
            <w:shd w:val="clear" w:color="auto" w:fill="auto"/>
            <w:vAlign w:val="center"/>
          </w:tcPr>
          <w:p w14:paraId="05B1DF86">
            <w:pPr>
              <w:pStyle w:val="33"/>
              <w:jc w:val="center"/>
              <w:rPr>
                <w:rFonts w:ascii="Times New Roman" w:hAnsi="Times New Roman" w:eastAsia="微软雅黑" w:cs="Times New Roman"/>
                <w:color w:val="244061"/>
                <w:sz w:val="21"/>
                <w:szCs w:val="21"/>
              </w:rPr>
            </w:pPr>
            <w:r>
              <w:rPr>
                <w:rFonts w:hint="eastAsia" w:ascii="Times New Roman" w:hAnsi="Times New Roman" w:eastAsia="微软雅黑" w:cs="Times New Roman"/>
                <w:b/>
                <w:bCs/>
                <w:color w:val="244061"/>
                <w:sz w:val="21"/>
                <w:szCs w:val="21"/>
              </w:rPr>
              <w:t>突变</w:t>
            </w:r>
            <w:r>
              <w:rPr>
                <w:rFonts w:ascii="Times New Roman" w:hAnsi="Times New Roman" w:eastAsia="微软雅黑" w:cs="Times New Roman"/>
                <w:b/>
                <w:bCs/>
                <w:color w:val="244061"/>
                <w:sz w:val="21"/>
                <w:szCs w:val="21"/>
              </w:rPr>
              <w:t>基因</w:t>
            </w:r>
          </w:p>
        </w:tc>
        <w:tc>
          <w:tcPr>
            <w:tcW w:w="825" w:type="dxa"/>
            <w:shd w:val="clear" w:color="auto" w:fill="auto"/>
            <w:vAlign w:val="center"/>
          </w:tcPr>
          <w:p w14:paraId="13D8D8A5">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染色体</w:t>
            </w:r>
          </w:p>
        </w:tc>
        <w:tc>
          <w:tcPr>
            <w:tcW w:w="825" w:type="dxa"/>
            <w:shd w:val="clear" w:color="auto" w:fill="auto"/>
            <w:vAlign w:val="center"/>
          </w:tcPr>
          <w:p w14:paraId="00FBF7EE">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区域</w:t>
            </w:r>
          </w:p>
        </w:tc>
        <w:tc>
          <w:tcPr>
            <w:tcW w:w="1146" w:type="dxa"/>
            <w:shd w:val="clear" w:color="auto" w:fill="auto"/>
            <w:vAlign w:val="center"/>
          </w:tcPr>
          <w:p w14:paraId="5D630B99">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核苷酸</w:t>
            </w:r>
          </w:p>
        </w:tc>
        <w:tc>
          <w:tcPr>
            <w:tcW w:w="1056" w:type="dxa"/>
            <w:shd w:val="clear" w:color="auto" w:fill="auto"/>
            <w:vAlign w:val="center"/>
          </w:tcPr>
          <w:p w14:paraId="3BC0D7E2">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氨基酸</w:t>
            </w:r>
          </w:p>
        </w:tc>
        <w:tc>
          <w:tcPr>
            <w:tcW w:w="1140" w:type="dxa"/>
            <w:shd w:val="clear" w:color="auto" w:fill="auto"/>
            <w:vAlign w:val="center"/>
          </w:tcPr>
          <w:p w14:paraId="7026BC3C">
            <w:pPr>
              <w:pStyle w:val="33"/>
              <w:jc w:val="center"/>
              <w:rPr>
                <w:rFonts w:ascii="Times New Roman" w:hAnsi="Times New Roman" w:eastAsia="微软雅黑" w:cs="Times New Roman"/>
                <w:b/>
                <w:bCs/>
                <w:color w:val="244061"/>
                <w:spacing w:val="-1"/>
                <w:sz w:val="21"/>
                <w:szCs w:val="21"/>
              </w:rPr>
            </w:pPr>
            <w:r>
              <w:rPr>
                <w:rFonts w:ascii="Times New Roman" w:hAnsi="Times New Roman" w:eastAsia="微软雅黑" w:cs="Times New Roman"/>
                <w:b/>
                <w:bCs/>
                <w:color w:val="244061"/>
                <w:sz w:val="21"/>
                <w:szCs w:val="21"/>
              </w:rPr>
              <w:t>突变类型</w:t>
            </w:r>
          </w:p>
        </w:tc>
        <w:tc>
          <w:tcPr>
            <w:tcW w:w="1140" w:type="dxa"/>
            <w:shd w:val="clear" w:color="auto" w:fill="auto"/>
            <w:vAlign w:val="center"/>
          </w:tcPr>
          <w:p w14:paraId="19104069">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pacing w:val="-1"/>
                <w:sz w:val="21"/>
                <w:szCs w:val="21"/>
              </w:rPr>
              <w:t>杂合/纯合</w:t>
            </w:r>
          </w:p>
        </w:tc>
        <w:tc>
          <w:tcPr>
            <w:tcW w:w="930" w:type="dxa"/>
            <w:shd w:val="clear" w:color="auto" w:fill="auto"/>
            <w:vAlign w:val="center"/>
          </w:tcPr>
          <w:p w14:paraId="1F83C44E">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千人频率</w:t>
            </w:r>
          </w:p>
        </w:tc>
        <w:tc>
          <w:tcPr>
            <w:tcW w:w="1527" w:type="dxa"/>
            <w:shd w:val="clear" w:color="auto" w:fill="auto"/>
            <w:vAlign w:val="center"/>
          </w:tcPr>
          <w:p w14:paraId="1D0E94BE">
            <w:pPr>
              <w:pStyle w:val="33"/>
              <w:spacing w:before="24" w:beforeLines="10"/>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临床意义</w:t>
            </w:r>
          </w:p>
        </w:tc>
      </w:tr>
      <w:tr w14:paraId="2747DA5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74759AC">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crCheckLineStrYF1280 != [] %}</w:t>
            </w:r>
          </w:p>
        </w:tc>
      </w:tr>
      <w:tr w14:paraId="625A89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A907163">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cr in crCheckLineStrYF1280 %}</w:t>
            </w:r>
          </w:p>
        </w:tc>
      </w:tr>
      <w:tr w14:paraId="2934F2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4656153A">
            <w:pPr>
              <w:spacing w:before="20"/>
              <w:jc w:val="center"/>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rPr>
              <w:t>{{ cr.Gene }}</w:t>
            </w:r>
          </w:p>
        </w:tc>
        <w:tc>
          <w:tcPr>
            <w:tcW w:w="825" w:type="dxa"/>
            <w:shd w:val="clear" w:color="auto" w:fill="auto"/>
            <w:vAlign w:val="center"/>
          </w:tcPr>
          <w:p w14:paraId="6F791F9E">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cr.Chr }}</w:t>
            </w:r>
          </w:p>
        </w:tc>
        <w:tc>
          <w:tcPr>
            <w:tcW w:w="825" w:type="dxa"/>
            <w:shd w:val="clear" w:color="auto" w:fill="auto"/>
            <w:vAlign w:val="center"/>
          </w:tcPr>
          <w:p w14:paraId="14BEF087">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w:t>
            </w:r>
            <w:r>
              <w:rPr>
                <w:rFonts w:ascii="Times New Roman" w:hAnsi="Times New Roman" w:eastAsia="微软雅黑" w:cs="Times New Roman"/>
                <w:sz w:val="21"/>
                <w:szCs w:val="21"/>
              </w:rPr>
              <w:t>exon</w:t>
            </w:r>
            <w:r>
              <w:rPr>
                <w:rFonts w:hint="eastAsia" w:ascii="Times New Roman" w:hAnsi="Times New Roman" w:eastAsia="微软雅黑" w:cs="Times New Roman"/>
                <w:sz w:val="21"/>
                <w:szCs w:val="21"/>
              </w:rPr>
              <w:t xml:space="preserve"> }}</w:t>
            </w:r>
          </w:p>
        </w:tc>
        <w:tc>
          <w:tcPr>
            <w:tcW w:w="1146" w:type="dxa"/>
            <w:shd w:val="clear" w:color="auto" w:fill="auto"/>
            <w:vAlign w:val="center"/>
          </w:tcPr>
          <w:p w14:paraId="7C1E35E5">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cr.cHGVS }}</w:t>
            </w:r>
          </w:p>
        </w:tc>
        <w:tc>
          <w:tcPr>
            <w:tcW w:w="1056" w:type="dxa"/>
            <w:shd w:val="clear" w:color="auto" w:fill="auto"/>
            <w:vAlign w:val="center"/>
          </w:tcPr>
          <w:p w14:paraId="2E067DA4">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cr.pHGVS }}</w:t>
            </w:r>
          </w:p>
        </w:tc>
        <w:tc>
          <w:tcPr>
            <w:tcW w:w="1140" w:type="dxa"/>
            <w:shd w:val="clear" w:color="auto" w:fill="auto"/>
            <w:vAlign w:val="center"/>
          </w:tcPr>
          <w:p w14:paraId="4A0EC256">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cr.ExonicFunc }}</w:t>
            </w:r>
          </w:p>
        </w:tc>
        <w:tc>
          <w:tcPr>
            <w:tcW w:w="1140" w:type="dxa"/>
            <w:shd w:val="clear" w:color="auto" w:fill="auto"/>
            <w:vAlign w:val="center"/>
          </w:tcPr>
          <w:p w14:paraId="33423B34">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cr.Zygosity }}</w:t>
            </w:r>
          </w:p>
        </w:tc>
        <w:tc>
          <w:tcPr>
            <w:tcW w:w="930" w:type="dxa"/>
            <w:shd w:val="clear" w:color="auto" w:fill="auto"/>
            <w:vAlign w:val="center"/>
          </w:tcPr>
          <w:p w14:paraId="0EE60B31">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cr.c1000g2015aug_all }}</w:t>
            </w:r>
          </w:p>
        </w:tc>
        <w:tc>
          <w:tcPr>
            <w:tcW w:w="1527" w:type="dxa"/>
            <w:shd w:val="clear" w:color="auto" w:fill="auto"/>
            <w:vAlign w:val="center"/>
          </w:tcPr>
          <w:p w14:paraId="2A480D5A">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cr.Clinical_significance }}</w:t>
            </w:r>
          </w:p>
        </w:tc>
      </w:tr>
      <w:tr w14:paraId="455ABF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F3AFF22">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053F33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569C1DE">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else %}</w:t>
            </w:r>
          </w:p>
        </w:tc>
      </w:tr>
      <w:tr w14:paraId="709988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255" w:type="dxa"/>
            <w:shd w:val="clear" w:color="auto" w:fill="auto"/>
            <w:vAlign w:val="center"/>
          </w:tcPr>
          <w:p w14:paraId="64B1E967">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rPr>
              <w:t>/</w:t>
            </w:r>
          </w:p>
        </w:tc>
        <w:tc>
          <w:tcPr>
            <w:tcW w:w="825" w:type="dxa"/>
            <w:shd w:val="clear" w:color="auto" w:fill="auto"/>
            <w:vAlign w:val="center"/>
          </w:tcPr>
          <w:p w14:paraId="1853F048">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825" w:type="dxa"/>
            <w:shd w:val="clear" w:color="auto" w:fill="auto"/>
            <w:vAlign w:val="center"/>
          </w:tcPr>
          <w:p w14:paraId="6735C828">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46" w:type="dxa"/>
            <w:shd w:val="clear" w:color="auto" w:fill="auto"/>
            <w:vAlign w:val="center"/>
          </w:tcPr>
          <w:p w14:paraId="154C83BF">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056" w:type="dxa"/>
            <w:shd w:val="clear" w:color="auto" w:fill="auto"/>
            <w:vAlign w:val="center"/>
          </w:tcPr>
          <w:p w14:paraId="3366E85D">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40" w:type="dxa"/>
            <w:shd w:val="clear" w:color="auto" w:fill="auto"/>
            <w:vAlign w:val="center"/>
          </w:tcPr>
          <w:p w14:paraId="0DED178C">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140" w:type="dxa"/>
            <w:shd w:val="clear" w:color="auto" w:fill="auto"/>
            <w:vAlign w:val="center"/>
          </w:tcPr>
          <w:p w14:paraId="5BAD0E94">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930" w:type="dxa"/>
            <w:shd w:val="clear" w:color="auto" w:fill="auto"/>
            <w:vAlign w:val="center"/>
          </w:tcPr>
          <w:p w14:paraId="191530DD">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c>
          <w:tcPr>
            <w:tcW w:w="1527" w:type="dxa"/>
            <w:shd w:val="clear" w:color="auto" w:fill="auto"/>
            <w:vAlign w:val="center"/>
          </w:tcPr>
          <w:p w14:paraId="5D0053BE">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w:t>
            </w:r>
          </w:p>
        </w:tc>
      </w:tr>
      <w:tr w14:paraId="49D30D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D156BBD">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bl>
    <w:p w14:paraId="40AC3C54">
      <w:pPr>
        <w:ind w:left="412"/>
        <w:jc w:val="both"/>
        <w:rPr>
          <w:rFonts w:hint="eastAsia"/>
          <w:color w:val="254061" w:themeColor="accent1" w:themeShade="80"/>
        </w:rPr>
      </w:pPr>
    </w:p>
    <w:p w14:paraId="2A932DF8">
      <w:pPr>
        <w:pStyle w:val="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3.2 胚系变异用药提示</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43035C0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6B57598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895" w:type="pct"/>
            <w:tcBorders>
              <w:top w:val="single" w:color="244061" w:sz="18" w:space="0"/>
            </w:tcBorders>
            <w:shd w:val="clear" w:color="auto" w:fill="auto"/>
            <w:vAlign w:val="center"/>
          </w:tcPr>
          <w:p w14:paraId="1113B452">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650" w:type="pct"/>
            <w:tcBorders>
              <w:top w:val="single" w:color="244061" w:sz="18" w:space="0"/>
            </w:tcBorders>
            <w:shd w:val="clear" w:color="auto" w:fill="auto"/>
            <w:vAlign w:val="center"/>
          </w:tcPr>
          <w:p w14:paraId="3BF95A86">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突变类型</w:t>
            </w:r>
          </w:p>
        </w:tc>
        <w:tc>
          <w:tcPr>
            <w:tcW w:w="541" w:type="pct"/>
            <w:tcBorders>
              <w:top w:val="single" w:color="244061" w:sz="18" w:space="0"/>
            </w:tcBorders>
            <w:shd w:val="clear" w:color="auto" w:fill="auto"/>
            <w:vAlign w:val="center"/>
          </w:tcPr>
          <w:p w14:paraId="68128B0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bCs/>
                <w:color w:val="244061"/>
                <w:spacing w:val="-1"/>
                <w:sz w:val="21"/>
                <w:szCs w:val="21"/>
              </w:rPr>
              <w:t>杂合/纯合</w:t>
            </w:r>
          </w:p>
        </w:tc>
        <w:tc>
          <w:tcPr>
            <w:tcW w:w="1133" w:type="pct"/>
            <w:tcBorders>
              <w:top w:val="single" w:color="244061" w:sz="18" w:space="0"/>
            </w:tcBorders>
            <w:shd w:val="clear" w:color="auto" w:fill="auto"/>
            <w:vAlign w:val="center"/>
          </w:tcPr>
          <w:p w14:paraId="2A6BE51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可能获益药物</w:t>
            </w:r>
          </w:p>
        </w:tc>
        <w:tc>
          <w:tcPr>
            <w:tcW w:w="1133" w:type="pct"/>
            <w:tcBorders>
              <w:top w:val="single" w:color="244061" w:sz="18" w:space="0"/>
            </w:tcBorders>
            <w:shd w:val="clear" w:color="auto" w:fill="auto"/>
            <w:vAlign w:val="center"/>
          </w:tcPr>
          <w:p w14:paraId="08410FA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可能耐药药物</w:t>
            </w:r>
          </w:p>
        </w:tc>
      </w:tr>
      <w:tr w14:paraId="193D39F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72ED6B60">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if embryonalDrugTipLineStr != [] %}</w:t>
            </w:r>
          </w:p>
        </w:tc>
      </w:tr>
      <w:tr w14:paraId="0BF06642">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5CE658FA">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for tip in embryonalDrugTipLineStr %}</w:t>
            </w:r>
          </w:p>
        </w:tc>
      </w:tr>
      <w:tr w14:paraId="46A3FCD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208FB9FC">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tip.gene }}</w:t>
            </w:r>
          </w:p>
        </w:tc>
        <w:tc>
          <w:tcPr>
            <w:tcW w:w="1780" w:type="dxa"/>
            <w:shd w:val="clear" w:color="auto" w:fill="auto"/>
            <w:vAlign w:val="center"/>
          </w:tcPr>
          <w:p w14:paraId="44DEC161">
            <w:pPr>
              <w:spacing w:before="2"/>
              <w:ind w:left="116" w:right="116"/>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tip.ori_variant }}</w:t>
            </w:r>
          </w:p>
        </w:tc>
        <w:tc>
          <w:tcPr>
            <w:tcW w:w="650" w:type="pct"/>
            <w:shd w:val="clear" w:color="auto" w:fill="auto"/>
            <w:vAlign w:val="center"/>
          </w:tcPr>
          <w:p w14:paraId="30AD6EFF">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tip.ExonicFunc }}</w:t>
            </w:r>
          </w:p>
        </w:tc>
        <w:tc>
          <w:tcPr>
            <w:tcW w:w="541" w:type="pct"/>
            <w:shd w:val="clear" w:color="auto" w:fill="auto"/>
            <w:vAlign w:val="center"/>
          </w:tcPr>
          <w:p w14:paraId="0887EE6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tip.mutFreq }}</w:t>
            </w:r>
          </w:p>
        </w:tc>
        <w:tc>
          <w:tcPr>
            <w:tcW w:w="2253" w:type="dxa"/>
            <w:shd w:val="clear" w:color="auto" w:fill="auto"/>
            <w:vAlign w:val="center"/>
          </w:tcPr>
          <w:p w14:paraId="61D29181">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 if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 [] %}无{% else%}{% for d in tip.</w:t>
            </w:r>
            <w:r>
              <w:rPr>
                <w:rFonts w:hint="eastAsia" w:ascii="Times New Roman" w:hAnsi="Times New Roman" w:eastAsia="微软雅黑" w:cs="Times New Roman"/>
                <w:sz w:val="21"/>
                <w:szCs w:val="21"/>
              </w:rPr>
              <w:t xml:space="preserve">drugNameList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 xml:space="preserve">{%if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1</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6624EDC2">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2</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31C21AE5">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3</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7E8EA0D9">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4</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40BDA6FC">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c>
          <w:tcPr>
            <w:tcW w:w="2253" w:type="dxa"/>
            <w:shd w:val="clear" w:color="auto" w:fill="auto"/>
            <w:vAlign w:val="center"/>
          </w:tcPr>
          <w:p w14:paraId="46BBD8A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xml:space="preserve">{% if tip.ResistantDrug == [] %}无{% else%}{% for d in tip.ResistantDrug %}{%if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5</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}}（A级）</w:t>
            </w:r>
            <w:r>
              <w:rPr>
                <w:rFonts w:ascii="Times New Roman" w:hAnsi="Times New Roman" w:eastAsia="微软雅黑" w:cs="Times New Roman"/>
                <w:sz w:val="21"/>
                <w:szCs w:val="21"/>
              </w:rPr>
              <w:t>，</w:t>
            </w:r>
          </w:p>
          <w:p w14:paraId="2F7366F8">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6</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}}（B级）</w:t>
            </w:r>
            <w:r>
              <w:rPr>
                <w:rFonts w:ascii="Times New Roman" w:hAnsi="Times New Roman" w:eastAsia="微软雅黑" w:cs="Times New Roman"/>
                <w:sz w:val="21"/>
                <w:szCs w:val="21"/>
              </w:rPr>
              <w:t>，</w:t>
            </w:r>
          </w:p>
          <w:p w14:paraId="79420BEF">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7</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}}（C级）</w:t>
            </w:r>
            <w:r>
              <w:rPr>
                <w:rFonts w:ascii="Times New Roman" w:hAnsi="Times New Roman" w:eastAsia="微软雅黑" w:cs="Times New Roman"/>
                <w:sz w:val="21"/>
                <w:szCs w:val="21"/>
              </w:rPr>
              <w:t>，</w:t>
            </w:r>
          </w:p>
          <w:p w14:paraId="75D0D9D7">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w:t>
            </w:r>
            <w:r>
              <w:rPr>
                <w:rFonts w:hint="eastAsia" w:ascii="Times New Roman" w:hAnsi="Times New Roman" w:eastAsia="微软雅黑" w:cs="Times New Roman"/>
                <w:sz w:val="21"/>
                <w:szCs w:val="21"/>
              </w:rPr>
              <w:t xml:space="preserve">{%elif </w:t>
            </w:r>
            <w:r>
              <w:rPr>
                <w:rFonts w:ascii="Times New Roman" w:hAnsi="Times New Roman" w:eastAsia="微软雅黑" w:cs="Times New Roman"/>
                <w:sz w:val="21"/>
                <w:szCs w:val="21"/>
              </w:rPr>
              <w:t>d</w:t>
            </w:r>
            <w:r>
              <w:rPr>
                <w:rFonts w:hint="eastAsia" w:ascii="Times New Roman" w:hAnsi="Times New Roman" w:eastAsia="微软雅黑" w:cs="Times New Roman"/>
                <w:sz w:val="21"/>
                <w:szCs w:val="21"/>
              </w:rPr>
              <w:t xml:space="preserve">.level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8</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w:t>
            </w:r>
            <w:r>
              <w:rPr>
                <w:rFonts w:ascii="Times New Roman" w:hAnsi="Times New Roman" w:eastAsia="微软雅黑" w:cs="Times New Roman"/>
                <w:sz w:val="21"/>
                <w:szCs w:val="21"/>
              </w:rPr>
              <w:t>{%if loop.last%}</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{%else%}</w:t>
            </w:r>
            <w:r>
              <w:rPr>
                <w:rFonts w:hint="eastAsia" w:ascii="Times New Roman" w:hAnsi="Times New Roman" w:eastAsia="微软雅黑" w:cs="Times New Roman"/>
                <w:sz w:val="21"/>
                <w:szCs w:val="21"/>
              </w:rPr>
              <w:t>{{ d.nameLevel }}（D级）</w:t>
            </w:r>
            <w:r>
              <w:rPr>
                <w:rFonts w:ascii="Times New Roman" w:hAnsi="Times New Roman" w:eastAsia="微软雅黑" w:cs="Times New Roman"/>
                <w:sz w:val="21"/>
                <w:szCs w:val="21"/>
              </w:rPr>
              <w:t>，</w:t>
            </w:r>
          </w:p>
          <w:p w14:paraId="6841FD6C">
            <w:pPr>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{%endif%}{%endif%}</w:t>
            </w:r>
            <w:r>
              <w:rPr>
                <w:rFonts w:hint="eastAsia" w:ascii="Times New Roman" w:hAnsi="Times New Roman" w:eastAsia="微软雅黑" w:cs="Times New Roman"/>
                <w:sz w:val="21"/>
                <w:szCs w:val="21"/>
              </w:rPr>
              <w:t>{% endfor %}{% endif%}</w:t>
            </w:r>
          </w:p>
        </w:tc>
      </w:tr>
      <w:tr w14:paraId="590E350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1C2881F4">
            <w:pPr>
              <w:spacing w:before="1" w:line="249" w:lineRule="auto"/>
              <w:ind w:left="262" w:right="131"/>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endfor %}</w:t>
            </w:r>
          </w:p>
        </w:tc>
      </w:tr>
      <w:tr w14:paraId="10EBBA5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115EB2C">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else %}</w:t>
            </w:r>
          </w:p>
        </w:tc>
      </w:tr>
      <w:tr w14:paraId="6A103257">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3E58A71F">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b/>
                <w:bCs/>
                <w:sz w:val="21"/>
                <w:szCs w:val="21"/>
              </w:rPr>
              <w:t>本次检测未发现靶药相关致病性及可能致病性胚系突变</w:t>
            </w:r>
          </w:p>
        </w:tc>
      </w:tr>
      <w:tr w14:paraId="59424D42">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0A682AE5">
            <w:pPr>
              <w:spacing w:before="2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{%tr endif %}</w:t>
            </w:r>
          </w:p>
        </w:tc>
      </w:tr>
    </w:tbl>
    <w:p w14:paraId="5F9AD469">
      <w:pPr>
        <w:spacing w:before="4" w:line="240" w:lineRule="exact"/>
        <w:rPr>
          <w:rFonts w:ascii="Times New Roman" w:hAnsi="Times New Roman" w:eastAsia="微软雅黑" w:cs="Times New Roman"/>
          <w:sz w:val="24"/>
          <w:szCs w:val="24"/>
        </w:rPr>
      </w:pPr>
    </w:p>
    <w:p w14:paraId="51D3AE83">
      <w:pPr>
        <w:spacing w:before="47"/>
        <w:rPr>
          <w:rFonts w:ascii="Times New Roman" w:hAnsi="Times New Roman" w:eastAsia="微软雅黑" w:cs="Times New Roman"/>
          <w:b/>
          <w:bCs/>
          <w:sz w:val="18"/>
          <w:szCs w:val="18"/>
        </w:rPr>
      </w:pPr>
      <w:r>
        <w:rPr>
          <w:rFonts w:ascii="Times New Roman" w:hAnsi="Times New Roman" w:eastAsia="微软雅黑" w:cs="Times New Roman"/>
          <w:b/>
          <w:bCs/>
          <w:sz w:val="18"/>
          <w:szCs w:val="18"/>
        </w:rPr>
        <w:t>注：</w:t>
      </w:r>
    </w:p>
    <w:p w14:paraId="40DAC6C9">
      <w:pPr>
        <w:pStyle w:val="50"/>
        <w:numPr>
          <w:ilvl w:val="0"/>
          <w:numId w:val="6"/>
        </w:numPr>
        <w:spacing w:before="47"/>
        <w:rPr>
          <w:rFonts w:ascii="Times New Roman" w:hAnsi="Times New Roman" w:eastAsia="微软雅黑" w:cs="Times New Roman"/>
          <w:sz w:val="18"/>
          <w:szCs w:val="18"/>
        </w:rPr>
      </w:pPr>
      <w:r>
        <w:rPr>
          <w:rFonts w:ascii="Times New Roman" w:hAnsi="Times New Roman" w:eastAsia="微软雅黑" w:cs="Times New Roman"/>
          <w:sz w:val="18"/>
          <w:szCs w:val="18"/>
        </w:rPr>
        <w:t>本报告只给出千人频率均在2%以下的胚系非同义突变。</w:t>
      </w:r>
    </w:p>
    <w:p w14:paraId="2408D5C7">
      <w:pPr>
        <w:pStyle w:val="50"/>
        <w:numPr>
          <w:ilvl w:val="0"/>
          <w:numId w:val="6"/>
        </w:numPr>
        <w:spacing w:before="47"/>
        <w:rPr>
          <w:rFonts w:ascii="Times New Roman" w:hAnsi="Times New Roman" w:eastAsia="微软雅黑" w:cs="Times New Roman"/>
          <w:sz w:val="18"/>
          <w:szCs w:val="18"/>
        </w:rPr>
      </w:pPr>
      <w:r>
        <w:rPr>
          <w:rFonts w:ascii="Times New Roman" w:hAnsi="Times New Roman" w:eastAsia="微软雅黑" w:cs="Times New Roman"/>
          <w:sz w:val="18"/>
          <w:szCs w:val="18"/>
        </w:rPr>
        <w:t>根据美国医学遗传医师学会（ACMG）指导意见，个体携带的变异，分为5个大类：</w:t>
      </w:r>
    </w:p>
    <w:p w14:paraId="01FDF516">
      <w:pPr>
        <w:ind w:firstLine="360" w:firstLineChars="200"/>
        <w:rPr>
          <w:rFonts w:ascii="Times New Roman" w:hAnsi="Times New Roman" w:eastAsia="微软雅黑" w:cs="Times New Roman"/>
          <w:sz w:val="18"/>
          <w:szCs w:val="18"/>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lang w:val="zh-CN"/>
        </w:rPr>
        <w:t>致病性变异：有大量证据表明这种变异是高风险的致病性变异。</w:t>
      </w:r>
    </w:p>
    <w:p w14:paraId="06AFEC8A">
      <w:pPr>
        <w:ind w:firstLine="360" w:firstLineChars="200"/>
        <w:rPr>
          <w:rFonts w:ascii="Times New Roman" w:hAnsi="Times New Roman" w:eastAsia="微软雅黑" w:cs="Times New Roman"/>
          <w:sz w:val="18"/>
          <w:szCs w:val="18"/>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lang w:val="zh-CN"/>
        </w:rPr>
        <w:t>可能致病性变异：有一些证据表明这种变异是高风险的致病性变异。</w:t>
      </w:r>
    </w:p>
    <w:p w14:paraId="26122FAC">
      <w:pPr>
        <w:ind w:firstLine="360" w:firstLineChars="200"/>
        <w:rPr>
          <w:rFonts w:ascii="Times New Roman" w:hAnsi="Times New Roman" w:eastAsia="微软雅黑" w:cs="Times New Roman"/>
          <w:sz w:val="18"/>
          <w:szCs w:val="18"/>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lang w:val="zh-CN"/>
        </w:rPr>
        <w:t>不确定性变异：没有足够的证据，将变异分类到其他四类中。</w:t>
      </w:r>
    </w:p>
    <w:p w14:paraId="22BB932C">
      <w:pPr>
        <w:ind w:firstLine="360" w:firstLineChars="200"/>
        <w:rPr>
          <w:rFonts w:ascii="Times New Roman" w:hAnsi="Times New Roman" w:eastAsia="微软雅黑" w:cs="Times New Roman"/>
          <w:sz w:val="18"/>
          <w:szCs w:val="18"/>
          <w:lang w:val="zh-CN"/>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rPr>
        <w:t>可能良性</w:t>
      </w:r>
      <w:r>
        <w:rPr>
          <w:rFonts w:ascii="Times New Roman" w:hAnsi="Times New Roman" w:eastAsia="微软雅黑" w:cs="Times New Roman"/>
          <w:sz w:val="18"/>
          <w:szCs w:val="18"/>
          <w:lang w:val="zh-CN"/>
        </w:rPr>
        <w:t>变异：有一些证据表明这种变异不是高风险的致病变异。</w:t>
      </w:r>
    </w:p>
    <w:p w14:paraId="1109C455">
      <w:pPr>
        <w:ind w:firstLine="360" w:firstLineChars="200"/>
        <w:rPr>
          <w:rFonts w:ascii="Times New Roman" w:hAnsi="Times New Roman" w:eastAsia="微软雅黑" w:cs="Times New Roman"/>
          <w:sz w:val="18"/>
          <w:szCs w:val="18"/>
        </w:rPr>
      </w:pPr>
      <w:r>
        <w:rPr>
          <w:rFonts w:hint="eastAsia" w:ascii="微软雅黑" w:hAnsi="微软雅黑" w:eastAsia="微软雅黑" w:cs="微软雅黑"/>
          <w:sz w:val="18"/>
          <w:szCs w:val="18"/>
          <w:lang w:val="zh-CN"/>
        </w:rPr>
        <w:t>●</w:t>
      </w:r>
      <w:r>
        <w:rPr>
          <w:rFonts w:ascii="Times New Roman" w:hAnsi="Times New Roman" w:eastAsia="微软雅黑" w:cs="Times New Roman"/>
          <w:sz w:val="18"/>
          <w:szCs w:val="18"/>
        </w:rPr>
        <w:t>良性</w:t>
      </w:r>
      <w:r>
        <w:rPr>
          <w:rFonts w:ascii="Times New Roman" w:hAnsi="Times New Roman" w:eastAsia="微软雅黑" w:cs="Times New Roman"/>
          <w:sz w:val="18"/>
          <w:szCs w:val="18"/>
          <w:lang w:val="zh-CN"/>
        </w:rPr>
        <w:t>变异：有大量证据表明这种变异不是高风险的致病变异。</w:t>
      </w:r>
    </w:p>
    <w:p w14:paraId="3EBDBBB2">
      <w:pPr>
        <w:numPr>
          <w:ilvl w:val="0"/>
          <w:numId w:val="6"/>
        </w:numPr>
        <w:rPr>
          <w:rFonts w:ascii="Times New Roman" w:hAnsi="Times New Roman" w:eastAsia="微软雅黑" w:cs="Times New Roman"/>
          <w:sz w:val="18"/>
          <w:szCs w:val="18"/>
        </w:rPr>
      </w:pPr>
      <w:r>
        <w:rPr>
          <w:rFonts w:ascii="Times New Roman" w:hAnsi="Times New Roman" w:eastAsia="微软雅黑" w:cs="Times New Roman"/>
          <w:sz w:val="18"/>
          <w:szCs w:val="18"/>
        </w:rPr>
        <w:t>基因变异临床意义等级来源于ACMG指南及Clinvar等公共数据库，随着相关指南、数据库不断完善以及临床数据的更新，变异分级可能发生变化。</w:t>
      </w:r>
    </w:p>
    <w:p w14:paraId="0FD67073">
      <w:pPr>
        <w:numPr>
          <w:ilvl w:val="0"/>
          <w:numId w:val="6"/>
        </w:numP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良性变异和可能良性变异不在报告中展示。</w:t>
      </w:r>
    </w:p>
    <w:p w14:paraId="30A4A03A">
      <w:pPr>
        <w:rPr>
          <w:rFonts w:ascii="Times New Roman" w:hAnsi="Times New Roman" w:eastAsia="微软雅黑" w:cs="Times New Roman"/>
          <w:sz w:val="18"/>
          <w:szCs w:val="18"/>
        </w:rPr>
      </w:pPr>
    </w:p>
    <w:p w14:paraId="36A3B09B">
      <w:pPr>
        <w:rPr>
          <w:rFonts w:ascii="Times New Roman" w:hAnsi="Times New Roman" w:eastAsia="微软雅黑" w:cs="Times New Roman"/>
          <w:b/>
          <w:color w:val="1F497D"/>
          <w:sz w:val="20"/>
          <w:szCs w:val="20"/>
        </w:rPr>
      </w:pPr>
      <w:r>
        <w:rPr>
          <w:rFonts w:ascii="Times New Roman" w:hAnsi="Times New Roman" w:eastAsia="微软雅黑" w:cs="Times New Roman"/>
          <w:b/>
          <w:color w:val="1F497D"/>
          <w:sz w:val="20"/>
          <w:szCs w:val="20"/>
        </w:rPr>
        <w:br w:type="page"/>
      </w:r>
    </w:p>
    <w:p w14:paraId="40BAF47D">
      <w:pPr>
        <w:pStyle w:val="3"/>
        <w:jc w:val="both"/>
        <w:rPr>
          <w:rFonts w:hint="eastAsia" w:ascii="微软雅黑" w:hAnsi="微软雅黑" w:eastAsia="微软雅黑" w:cs="微软雅黑"/>
          <w:color w:val="254061" w:themeColor="accent1" w:themeShade="80"/>
        </w:rPr>
      </w:pPr>
      <w:bookmarkStart w:id="25" w:name="_Toc6221_WPSOffice_Level2"/>
      <w:bookmarkStart w:id="26" w:name="_Toc22552"/>
      <w:bookmarkStart w:id="27" w:name="_Toc4339"/>
      <w:bookmarkStart w:id="28" w:name="_Toc7551_WPSOffice_Level2"/>
      <w:bookmarkStart w:id="29" w:name="_Toc20320"/>
      <w:bookmarkStart w:id="30" w:name="_Toc25737"/>
      <w:r>
        <w:rPr>
          <w:rFonts w:hint="eastAsia" w:ascii="微软雅黑" w:hAnsi="微软雅黑" w:eastAsia="微软雅黑" w:cs="微软雅黑"/>
          <w:color w:val="254061" w:themeColor="accent1" w:themeShade="80"/>
        </w:rPr>
        <w:t>4 免疫药物用药提示</w:t>
      </w:r>
      <w:bookmarkEnd w:id="25"/>
      <w:bookmarkEnd w:id="26"/>
      <w:bookmarkEnd w:id="27"/>
      <w:bookmarkEnd w:id="28"/>
      <w:bookmarkEnd w:id="29"/>
      <w:bookmarkEnd w:id="30"/>
    </w:p>
    <w:p w14:paraId="5F423281">
      <w:pPr>
        <w:pStyle w:val="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434"/>
        <w:gridCol w:w="2348"/>
        <w:gridCol w:w="2600"/>
        <w:gridCol w:w="3556"/>
      </w:tblGrid>
      <w:tr w14:paraId="7DE214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782" w:type="dxa"/>
            <w:gridSpan w:val="2"/>
            <w:tcBorders>
              <w:tl2br w:val="nil"/>
              <w:tr2bl w:val="nil"/>
            </w:tcBorders>
            <w:shd w:val="clear" w:color="auto" w:fill="auto"/>
            <w:vAlign w:val="center"/>
          </w:tcPr>
          <w:p w14:paraId="09986991">
            <w:pPr>
              <w:widowControl/>
              <w:snapToGrid w:val="0"/>
              <w:jc w:val="center"/>
              <w:textAlignment w:val="center"/>
              <w:rPr>
                <w:rFonts w:ascii="Times New Roman" w:hAnsi="Times New Roman" w:eastAsia="微软雅黑" w:cs="Times New Roman"/>
                <w:b/>
                <w:bCs/>
                <w:color w:val="244061"/>
                <w:sz w:val="21"/>
                <w:szCs w:val="21"/>
              </w:rPr>
            </w:pPr>
            <w:r>
              <w:rPr>
                <w:rFonts w:hint="eastAsia" w:ascii="微软雅黑" w:hAnsi="微软雅黑" w:eastAsia="微软雅黑" w:cs="微软雅黑"/>
                <w:b/>
                <w:bCs/>
                <w:color w:val="244061"/>
                <w:sz w:val="21"/>
                <w:szCs w:val="21"/>
              </w:rPr>
              <w:t>检出指标/基因</w:t>
            </w:r>
          </w:p>
        </w:tc>
        <w:tc>
          <w:tcPr>
            <w:tcW w:w="2600" w:type="dxa"/>
            <w:tcBorders>
              <w:tl2br w:val="nil"/>
              <w:tr2bl w:val="nil"/>
            </w:tcBorders>
            <w:shd w:val="clear" w:color="auto" w:fill="auto"/>
            <w:vAlign w:val="center"/>
          </w:tcPr>
          <w:p w14:paraId="371685F7">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bidi="ar"/>
              </w:rPr>
              <w:t>检测结果</w:t>
            </w:r>
          </w:p>
        </w:tc>
        <w:tc>
          <w:tcPr>
            <w:tcW w:w="3556" w:type="dxa"/>
            <w:tcBorders>
              <w:tl2br w:val="nil"/>
              <w:tr2bl w:val="nil"/>
            </w:tcBorders>
            <w:shd w:val="clear" w:color="auto" w:fill="auto"/>
            <w:vAlign w:val="center"/>
          </w:tcPr>
          <w:p w14:paraId="761E2799">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bidi="ar"/>
              </w:rPr>
              <w:t>检测意义</w:t>
            </w:r>
          </w:p>
        </w:tc>
      </w:tr>
      <w:tr w14:paraId="3F28B5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3782" w:type="dxa"/>
            <w:gridSpan w:val="2"/>
            <w:tcBorders>
              <w:tl2br w:val="nil"/>
              <w:tr2bl w:val="nil"/>
            </w:tcBorders>
            <w:shd w:val="clear" w:color="auto" w:fill="auto"/>
            <w:vAlign w:val="center"/>
          </w:tcPr>
          <w:p w14:paraId="65426FBF">
            <w:pPr>
              <w:widowControl/>
              <w:snapToGrid w:val="0"/>
              <w:jc w:val="center"/>
              <w:textAlignment w:val="center"/>
              <w:rPr>
                <w:rFonts w:ascii="Times New Roman" w:hAnsi="Times New Roman" w:eastAsia="微软雅黑" w:cs="Times New Roman"/>
                <w:b/>
                <w:bCs/>
                <w:color w:val="244061"/>
                <w:sz w:val="21"/>
                <w:szCs w:val="21"/>
              </w:rPr>
            </w:pPr>
            <w:r>
              <w:rPr>
                <w:rStyle w:val="62"/>
                <w:rFonts w:hint="default" w:ascii="Times New Roman" w:hAnsi="Times New Roman" w:cs="Times New Roman"/>
                <w:color w:val="244061"/>
                <w:lang w:bidi="ar"/>
              </w:rPr>
              <w:t>微卫星不稳定（</w:t>
            </w:r>
            <w:r>
              <w:rPr>
                <w:rStyle w:val="60"/>
                <w:rFonts w:eastAsia="微软雅黑"/>
                <w:color w:val="244061"/>
                <w:lang w:bidi="ar"/>
              </w:rPr>
              <w:t>MSI</w:t>
            </w:r>
            <w:r>
              <w:rPr>
                <w:rStyle w:val="62"/>
                <w:rFonts w:hint="default" w:ascii="Times New Roman" w:hAnsi="Times New Roman" w:cs="Times New Roman"/>
                <w:color w:val="244061"/>
                <w:lang w:bidi="ar"/>
              </w:rPr>
              <w:t>）</w:t>
            </w:r>
          </w:p>
        </w:tc>
        <w:tc>
          <w:tcPr>
            <w:tcW w:w="2600" w:type="dxa"/>
            <w:tcBorders>
              <w:tl2br w:val="nil"/>
              <w:tr2bl w:val="nil"/>
            </w:tcBorders>
            <w:shd w:val="clear" w:color="auto" w:fill="auto"/>
            <w:vAlign w:val="center"/>
          </w:tcPr>
          <w:p w14:paraId="40C5F18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rPr>
              <w:t>{{ summaryOfRresults.msi_status_state }}</w:t>
            </w:r>
          </w:p>
        </w:tc>
        <w:tc>
          <w:tcPr>
            <w:tcW w:w="3556" w:type="dxa"/>
            <w:tcBorders>
              <w:tl2br w:val="nil"/>
              <w:tr2bl w:val="nil"/>
            </w:tcBorders>
            <w:shd w:val="clear" w:color="auto" w:fill="auto"/>
            <w:vAlign w:val="center"/>
          </w:tcPr>
          <w:p w14:paraId="04D01E58">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rPr>
              <w:t xml:space="preserve">{% if summaryOfRresults.msi_status == </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MSI-H</w:t>
            </w:r>
            <w:r>
              <w:rPr>
                <w:rFonts w:ascii="Times New Roman" w:hAnsi="Times New Roman" w:eastAsia="微软雅黑" w:cs="Times New Roman"/>
                <w:sz w:val="21"/>
                <w:szCs w:val="21"/>
              </w:rPr>
              <w:t>’</w:t>
            </w:r>
            <w:r>
              <w:rPr>
                <w:rFonts w:hint="eastAsia" w:ascii="Times New Roman" w:hAnsi="Times New Roman" w:eastAsia="微软雅黑" w:cs="Times New Roman"/>
                <w:sz w:val="21"/>
                <w:szCs w:val="21"/>
              </w:rPr>
              <w:t xml:space="preserve"> %}</w:t>
            </w:r>
            <w:r>
              <w:rPr>
                <w:rStyle w:val="61"/>
                <w:rFonts w:hint="default" w:ascii="Times New Roman" w:hAnsi="Times New Roman" w:cs="Times New Roman"/>
                <w:lang w:bidi="ar"/>
              </w:rPr>
              <w:t>微卫星不稳定型（</w:t>
            </w:r>
            <w:r>
              <w:rPr>
                <w:rStyle w:val="63"/>
                <w:rFonts w:eastAsia="微软雅黑"/>
                <w:lang w:bidi="ar"/>
              </w:rPr>
              <w:t>MSI-H</w:t>
            </w:r>
            <w:r>
              <w:rPr>
                <w:rStyle w:val="61"/>
                <w:rFonts w:hint="default" w:ascii="Times New Roman" w:hAnsi="Times New Roman" w:cs="Times New Roman"/>
                <w:lang w:bidi="ar"/>
              </w:rPr>
              <w:t>）患者免疫治疗预后较好，接受免疫检查点抑制剂药物治疗的获益率较高。</w:t>
            </w:r>
            <w:r>
              <w:rPr>
                <w:rFonts w:hint="eastAsia" w:ascii="Times New Roman" w:hAnsi="Times New Roman" w:eastAsia="微软雅黑" w:cs="Times New Roman"/>
                <w:sz w:val="21"/>
                <w:szCs w:val="21"/>
              </w:rPr>
              <w:t>{% else %}</w:t>
            </w:r>
            <w:r>
              <w:rPr>
                <w:rFonts w:hint="eastAsia" w:ascii="Times New Roman" w:hAnsi="Times New Roman" w:eastAsia="微软雅黑" w:cs="Times New Roman"/>
                <w:color w:val="000000"/>
                <w:sz w:val="21"/>
                <w:szCs w:val="21"/>
                <w:lang w:bidi="ar"/>
              </w:rPr>
              <w:t>微卫星稳定型（</w:t>
            </w:r>
            <w:r>
              <w:rPr>
                <w:rFonts w:ascii="Times New Roman" w:hAnsi="Times New Roman" w:eastAsia="微软雅黑" w:cs="Times New Roman"/>
                <w:color w:val="000000"/>
                <w:sz w:val="21"/>
                <w:szCs w:val="21"/>
                <w:lang w:bidi="ar"/>
              </w:rPr>
              <w:t>MSS</w:t>
            </w:r>
            <w:r>
              <w:rPr>
                <w:rFonts w:hint="eastAsia" w:ascii="Times New Roman" w:hAnsi="Times New Roman" w:eastAsia="微软雅黑" w:cs="Times New Roman"/>
                <w:color w:val="000000"/>
                <w:sz w:val="21"/>
                <w:szCs w:val="21"/>
                <w:lang w:bidi="ar"/>
              </w:rPr>
              <w:t>）患者接受免疫检查点抑制剂药物治疗的获益率较低。</w:t>
            </w:r>
            <w:r>
              <w:rPr>
                <w:rFonts w:hint="eastAsia" w:ascii="Times New Roman" w:hAnsi="Times New Roman" w:eastAsia="微软雅黑" w:cs="Times New Roman"/>
                <w:sz w:val="21"/>
                <w:szCs w:val="21"/>
              </w:rPr>
              <w:t>{% endif %}</w:t>
            </w:r>
          </w:p>
        </w:tc>
      </w:tr>
      <w:tr w14:paraId="4BD08B8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1434" w:type="dxa"/>
            <w:vMerge w:val="restart"/>
            <w:tcBorders>
              <w:tl2br w:val="nil"/>
              <w:tr2bl w:val="nil"/>
            </w:tcBorders>
            <w:shd w:val="clear" w:color="auto" w:fill="auto"/>
            <w:vAlign w:val="center"/>
          </w:tcPr>
          <w:p w14:paraId="17D98DB7">
            <w:pPr>
              <w:widowControl/>
              <w:snapToGrid w:val="0"/>
              <w:jc w:val="center"/>
              <w:textAlignment w:val="center"/>
              <w:rPr>
                <w:rStyle w:val="62"/>
                <w:rFonts w:hint="default" w:ascii="Times New Roman" w:hAnsi="Times New Roman" w:cs="Times New Roman"/>
                <w:color w:val="244061"/>
                <w:lang w:bidi="ar"/>
              </w:rPr>
            </w:pPr>
            <w:r>
              <w:rPr>
                <w:rStyle w:val="62"/>
                <w:rFonts w:hint="default" w:ascii="Times New Roman" w:hAnsi="Times New Roman" w:cs="Times New Roman"/>
                <w:color w:val="244061"/>
                <w:lang w:bidi="ar"/>
              </w:rPr>
              <w:t>错配修复（</w:t>
            </w:r>
            <w:r>
              <w:rPr>
                <w:rStyle w:val="60"/>
                <w:rFonts w:eastAsia="微软雅黑"/>
                <w:color w:val="244061"/>
                <w:lang w:bidi="ar"/>
              </w:rPr>
              <w:t>MMR</w:t>
            </w:r>
            <w:r>
              <w:rPr>
                <w:rStyle w:val="62"/>
                <w:rFonts w:hint="default" w:ascii="Times New Roman" w:hAnsi="Times New Roman" w:cs="Times New Roman"/>
                <w:color w:val="244061"/>
                <w:lang w:bidi="ar"/>
              </w:rPr>
              <w:t>）</w:t>
            </w:r>
          </w:p>
          <w:p w14:paraId="101E55D0">
            <w:pPr>
              <w:widowControl/>
              <w:snapToGrid w:val="0"/>
              <w:jc w:val="center"/>
              <w:textAlignment w:val="center"/>
              <w:rPr>
                <w:rFonts w:ascii="Times New Roman" w:hAnsi="Times New Roman" w:eastAsia="微软雅黑" w:cs="Times New Roman"/>
                <w:b/>
                <w:bCs/>
                <w:color w:val="244061"/>
                <w:sz w:val="21"/>
                <w:szCs w:val="21"/>
              </w:rPr>
            </w:pPr>
            <w:r>
              <w:rPr>
                <w:rStyle w:val="62"/>
                <w:rFonts w:hint="default" w:ascii="Times New Roman" w:hAnsi="Times New Roman" w:cs="Times New Roman"/>
                <w:color w:val="244061"/>
                <w:lang w:bidi="ar"/>
              </w:rPr>
              <w:t>基因</w:t>
            </w:r>
          </w:p>
        </w:tc>
        <w:tc>
          <w:tcPr>
            <w:tcW w:w="2348" w:type="dxa"/>
            <w:tcBorders>
              <w:tl2br w:val="nil"/>
              <w:tr2bl w:val="nil"/>
            </w:tcBorders>
            <w:shd w:val="clear" w:color="auto" w:fill="auto"/>
            <w:vAlign w:val="center"/>
          </w:tcPr>
          <w:p w14:paraId="76CEC61B">
            <w:pPr>
              <w:widowControl/>
              <w:snapToGrid w:val="0"/>
              <w:textAlignment w:val="center"/>
              <w:rPr>
                <w:rFonts w:ascii="Times New Roman" w:hAnsi="Times New Roman" w:eastAsia="微软雅黑" w:cs="Times New Roman"/>
                <w:color w:val="000000"/>
                <w:sz w:val="21"/>
                <w:szCs w:val="21"/>
              </w:rPr>
            </w:pPr>
            <w:r>
              <w:rPr>
                <w:rStyle w:val="63"/>
                <w:rFonts w:eastAsia="微软雅黑"/>
                <w:lang w:bidi="ar"/>
              </w:rPr>
              <w:t>MLH1</w:t>
            </w:r>
            <w:r>
              <w:rPr>
                <w:rStyle w:val="63"/>
                <w:rFonts w:hint="eastAsia" w:eastAsia="微软雅黑"/>
                <w:lang w:bidi="ar"/>
              </w:rPr>
              <w:t>失活突变</w:t>
            </w:r>
          </w:p>
        </w:tc>
        <w:tc>
          <w:tcPr>
            <w:tcW w:w="2600" w:type="dxa"/>
            <w:tcBorders>
              <w:tl2br w:val="nil"/>
              <w:tr2bl w:val="nil"/>
            </w:tcBorders>
            <w:shd w:val="clear" w:color="auto" w:fill="auto"/>
            <w:vAlign w:val="center"/>
          </w:tcPr>
          <w:p w14:paraId="7592E6D4">
            <w:pPr>
              <w:widowControl/>
              <w:snapToGrid w:val="0"/>
              <w:jc w:val="center"/>
              <w:textAlignment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{%for i in dmmr.dmmrMLH1 %}{%if loop.last%}{{ i }}{%else%}{{ i }}</w:t>
            </w:r>
          </w:p>
          <w:p w14:paraId="1FAE37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rPr>
              <w:t>{%endif%}{% endfor %}</w:t>
            </w:r>
          </w:p>
        </w:tc>
        <w:tc>
          <w:tcPr>
            <w:tcW w:w="3556" w:type="dxa"/>
            <w:vMerge w:val="restart"/>
            <w:tcBorders>
              <w:tl2br w:val="nil"/>
              <w:tr2bl w:val="nil"/>
            </w:tcBorders>
            <w:shd w:val="clear" w:color="auto" w:fill="auto"/>
            <w:vAlign w:val="center"/>
          </w:tcPr>
          <w:p w14:paraId="79A50C29">
            <w:pPr>
              <w:snapToGrid w:val="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 dmmr.detectionSignificance }}</w:t>
            </w:r>
          </w:p>
        </w:tc>
      </w:tr>
      <w:tr w14:paraId="4D6B18B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1A84FBEE">
            <w:pPr>
              <w:snapToGrid w:val="0"/>
              <w:jc w:val="center"/>
              <w:rPr>
                <w:rFonts w:ascii="Times New Roman" w:hAnsi="Times New Roman" w:eastAsia="微软雅黑" w:cs="Times New Roman"/>
                <w:b/>
                <w:bCs/>
                <w:color w:val="244061"/>
                <w:sz w:val="21"/>
                <w:szCs w:val="21"/>
              </w:rPr>
            </w:pPr>
          </w:p>
        </w:tc>
        <w:tc>
          <w:tcPr>
            <w:tcW w:w="2348" w:type="dxa"/>
            <w:tcBorders>
              <w:tl2br w:val="nil"/>
              <w:tr2bl w:val="nil"/>
            </w:tcBorders>
            <w:shd w:val="clear" w:color="auto" w:fill="auto"/>
            <w:vAlign w:val="center"/>
          </w:tcPr>
          <w:p w14:paraId="7AC19D0B">
            <w:pPr>
              <w:widowControl/>
              <w:snapToGrid w:val="0"/>
              <w:textAlignment w:val="center"/>
              <w:rPr>
                <w:rFonts w:ascii="Times New Roman" w:hAnsi="Times New Roman" w:eastAsia="微软雅黑" w:cs="Times New Roman"/>
                <w:color w:val="000000"/>
                <w:sz w:val="21"/>
                <w:szCs w:val="21"/>
              </w:rPr>
            </w:pPr>
            <w:r>
              <w:rPr>
                <w:rStyle w:val="63"/>
                <w:rFonts w:eastAsia="微软雅黑"/>
                <w:lang w:bidi="ar"/>
              </w:rPr>
              <w:t>MSH2</w:t>
            </w:r>
            <w:r>
              <w:rPr>
                <w:rStyle w:val="63"/>
                <w:rFonts w:hint="eastAsia" w:eastAsia="微软雅黑"/>
                <w:lang w:bidi="ar"/>
              </w:rPr>
              <w:t>失活突变</w:t>
            </w:r>
          </w:p>
        </w:tc>
        <w:tc>
          <w:tcPr>
            <w:tcW w:w="2600" w:type="dxa"/>
            <w:tcBorders>
              <w:tl2br w:val="nil"/>
              <w:tr2bl w:val="nil"/>
            </w:tcBorders>
            <w:shd w:val="clear" w:color="auto" w:fill="auto"/>
            <w:vAlign w:val="center"/>
          </w:tcPr>
          <w:p w14:paraId="70B2A90D">
            <w:pPr>
              <w:widowControl/>
              <w:snapToGrid w:val="0"/>
              <w:jc w:val="center"/>
              <w:textAlignment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{%for i in dmmr.dmmrM</w:t>
            </w:r>
            <w:r>
              <w:rPr>
                <w:rStyle w:val="63"/>
                <w:rFonts w:eastAsia="微软雅黑"/>
                <w:color w:val="auto"/>
                <w:lang w:bidi="ar"/>
              </w:rPr>
              <w:t>SH</w:t>
            </w:r>
            <w:r>
              <w:rPr>
                <w:rFonts w:hint="eastAsia" w:ascii="Times New Roman" w:hAnsi="Times New Roman" w:eastAsia="微软雅黑" w:cs="Times New Roman"/>
                <w:sz w:val="21"/>
                <w:szCs w:val="21"/>
              </w:rPr>
              <w:t>2 %}{%if loop.last%}{{ i }}{%else%}{{ i }}</w:t>
            </w:r>
          </w:p>
          <w:p w14:paraId="110C53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rPr>
              <w:t>{%endif%}{% endfor %}</w:t>
            </w:r>
          </w:p>
        </w:tc>
        <w:tc>
          <w:tcPr>
            <w:tcW w:w="3556" w:type="dxa"/>
            <w:vMerge w:val="continue"/>
            <w:tcBorders>
              <w:tl2br w:val="nil"/>
              <w:tr2bl w:val="nil"/>
            </w:tcBorders>
            <w:shd w:val="clear" w:color="auto" w:fill="auto"/>
            <w:vAlign w:val="center"/>
          </w:tcPr>
          <w:p w14:paraId="20FAB7D5">
            <w:pPr>
              <w:snapToGrid w:val="0"/>
              <w:jc w:val="both"/>
              <w:rPr>
                <w:rFonts w:ascii="Times New Roman" w:hAnsi="Times New Roman" w:eastAsia="微软雅黑" w:cs="Times New Roman"/>
                <w:color w:val="000000"/>
                <w:sz w:val="21"/>
                <w:szCs w:val="21"/>
              </w:rPr>
            </w:pPr>
          </w:p>
        </w:tc>
      </w:tr>
      <w:tr w14:paraId="7CDA3C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20A09A2C">
            <w:pPr>
              <w:snapToGrid w:val="0"/>
              <w:jc w:val="center"/>
              <w:rPr>
                <w:rFonts w:ascii="Times New Roman" w:hAnsi="Times New Roman" w:eastAsia="微软雅黑" w:cs="Times New Roman"/>
                <w:b/>
                <w:bCs/>
                <w:color w:val="244061"/>
                <w:sz w:val="21"/>
                <w:szCs w:val="21"/>
              </w:rPr>
            </w:pPr>
          </w:p>
        </w:tc>
        <w:tc>
          <w:tcPr>
            <w:tcW w:w="2348" w:type="dxa"/>
            <w:tcBorders>
              <w:tl2br w:val="nil"/>
              <w:tr2bl w:val="nil"/>
            </w:tcBorders>
            <w:shd w:val="clear" w:color="auto" w:fill="auto"/>
            <w:vAlign w:val="center"/>
          </w:tcPr>
          <w:p w14:paraId="4C475476">
            <w:pPr>
              <w:widowControl/>
              <w:snapToGrid w:val="0"/>
              <w:textAlignment w:val="center"/>
              <w:rPr>
                <w:rFonts w:ascii="Times New Roman" w:hAnsi="Times New Roman" w:eastAsia="微软雅黑" w:cs="Times New Roman"/>
                <w:color w:val="000000"/>
                <w:sz w:val="21"/>
                <w:szCs w:val="21"/>
              </w:rPr>
            </w:pPr>
            <w:r>
              <w:rPr>
                <w:rStyle w:val="63"/>
                <w:rFonts w:eastAsia="微软雅黑"/>
                <w:lang w:bidi="ar"/>
              </w:rPr>
              <w:t>MSH6</w:t>
            </w:r>
            <w:r>
              <w:rPr>
                <w:rStyle w:val="63"/>
                <w:rFonts w:hint="eastAsia" w:eastAsia="微软雅黑"/>
                <w:lang w:bidi="ar"/>
              </w:rPr>
              <w:t>失活突变</w:t>
            </w:r>
          </w:p>
        </w:tc>
        <w:tc>
          <w:tcPr>
            <w:tcW w:w="2600" w:type="dxa"/>
            <w:tcBorders>
              <w:tl2br w:val="nil"/>
              <w:tr2bl w:val="nil"/>
            </w:tcBorders>
            <w:shd w:val="clear" w:color="auto" w:fill="auto"/>
            <w:vAlign w:val="center"/>
          </w:tcPr>
          <w:p w14:paraId="678021D5">
            <w:pPr>
              <w:widowControl/>
              <w:snapToGrid w:val="0"/>
              <w:jc w:val="center"/>
              <w:textAlignment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{%for i in dmmr.dmmrM</w:t>
            </w:r>
            <w:r>
              <w:rPr>
                <w:rStyle w:val="63"/>
                <w:rFonts w:eastAsia="微软雅黑"/>
                <w:color w:val="auto"/>
                <w:lang w:bidi="ar"/>
              </w:rPr>
              <w:t>SH6</w:t>
            </w:r>
            <w:r>
              <w:rPr>
                <w:rFonts w:hint="eastAsia" w:ascii="Times New Roman" w:hAnsi="Times New Roman" w:eastAsia="微软雅黑" w:cs="Times New Roman"/>
                <w:sz w:val="21"/>
                <w:szCs w:val="21"/>
              </w:rPr>
              <w:t xml:space="preserve"> %}{%if loop.last%}{{ i }}{%else%}{{ i }}</w:t>
            </w:r>
          </w:p>
          <w:p w14:paraId="399EE8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rPr>
              <w:t>{%endif%}{% endfor %}</w:t>
            </w:r>
          </w:p>
        </w:tc>
        <w:tc>
          <w:tcPr>
            <w:tcW w:w="3556" w:type="dxa"/>
            <w:vMerge w:val="continue"/>
            <w:tcBorders>
              <w:tl2br w:val="nil"/>
              <w:tr2bl w:val="nil"/>
            </w:tcBorders>
            <w:shd w:val="clear" w:color="auto" w:fill="auto"/>
            <w:vAlign w:val="center"/>
          </w:tcPr>
          <w:p w14:paraId="205BCD28">
            <w:pPr>
              <w:snapToGrid w:val="0"/>
              <w:jc w:val="both"/>
              <w:rPr>
                <w:rFonts w:ascii="Times New Roman" w:hAnsi="Times New Roman" w:eastAsia="微软雅黑" w:cs="Times New Roman"/>
                <w:color w:val="000000"/>
                <w:sz w:val="21"/>
                <w:szCs w:val="21"/>
              </w:rPr>
            </w:pPr>
          </w:p>
        </w:tc>
      </w:tr>
      <w:tr w14:paraId="2677167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54" w:hRule="atLeast"/>
          <w:jc w:val="center"/>
        </w:trPr>
        <w:tc>
          <w:tcPr>
            <w:tcW w:w="1434" w:type="dxa"/>
            <w:vMerge w:val="continue"/>
            <w:tcBorders>
              <w:tl2br w:val="nil"/>
              <w:tr2bl w:val="nil"/>
            </w:tcBorders>
            <w:shd w:val="clear" w:color="auto" w:fill="auto"/>
            <w:vAlign w:val="center"/>
          </w:tcPr>
          <w:p w14:paraId="5B48BF86">
            <w:pPr>
              <w:snapToGrid w:val="0"/>
              <w:jc w:val="center"/>
              <w:rPr>
                <w:rFonts w:ascii="Times New Roman" w:hAnsi="Times New Roman" w:eastAsia="微软雅黑" w:cs="Times New Roman"/>
                <w:b/>
                <w:bCs/>
                <w:color w:val="244061"/>
                <w:sz w:val="21"/>
                <w:szCs w:val="21"/>
              </w:rPr>
            </w:pPr>
          </w:p>
        </w:tc>
        <w:tc>
          <w:tcPr>
            <w:tcW w:w="2348" w:type="dxa"/>
            <w:tcBorders>
              <w:tl2br w:val="nil"/>
              <w:tr2bl w:val="nil"/>
            </w:tcBorders>
            <w:shd w:val="clear" w:color="auto" w:fill="auto"/>
            <w:vAlign w:val="center"/>
          </w:tcPr>
          <w:p w14:paraId="10E85844">
            <w:pPr>
              <w:widowControl/>
              <w:snapToGrid w:val="0"/>
              <w:textAlignment w:val="center"/>
              <w:rPr>
                <w:rFonts w:ascii="Times New Roman" w:hAnsi="Times New Roman" w:eastAsia="微软雅黑" w:cs="Times New Roman"/>
                <w:color w:val="000000"/>
                <w:sz w:val="21"/>
                <w:szCs w:val="21"/>
              </w:rPr>
            </w:pPr>
            <w:r>
              <w:rPr>
                <w:rStyle w:val="63"/>
                <w:rFonts w:eastAsia="微软雅黑"/>
                <w:lang w:bidi="ar"/>
              </w:rPr>
              <w:t>PMS2</w:t>
            </w:r>
            <w:r>
              <w:rPr>
                <w:rStyle w:val="63"/>
                <w:rFonts w:hint="eastAsia" w:eastAsia="微软雅黑"/>
                <w:lang w:bidi="ar"/>
              </w:rPr>
              <w:t>失活突变</w:t>
            </w:r>
          </w:p>
        </w:tc>
        <w:tc>
          <w:tcPr>
            <w:tcW w:w="2600" w:type="dxa"/>
            <w:tcBorders>
              <w:tl2br w:val="nil"/>
              <w:tr2bl w:val="nil"/>
            </w:tcBorders>
            <w:shd w:val="clear" w:color="auto" w:fill="auto"/>
            <w:vAlign w:val="center"/>
          </w:tcPr>
          <w:p w14:paraId="3C8EE159">
            <w:pPr>
              <w:widowControl/>
              <w:snapToGrid w:val="0"/>
              <w:jc w:val="center"/>
              <w:textAlignment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{%for i in dmmr.dmmr</w:t>
            </w:r>
            <w:r>
              <w:rPr>
                <w:rStyle w:val="63"/>
                <w:rFonts w:eastAsia="微软雅黑"/>
                <w:color w:val="auto"/>
                <w:lang w:bidi="ar"/>
              </w:rPr>
              <w:t>PMS2</w:t>
            </w:r>
            <w:r>
              <w:rPr>
                <w:rFonts w:hint="eastAsia" w:ascii="Times New Roman" w:hAnsi="Times New Roman" w:eastAsia="微软雅黑" w:cs="Times New Roman"/>
                <w:sz w:val="21"/>
                <w:szCs w:val="21"/>
              </w:rPr>
              <w:t xml:space="preserve"> %}{%if loop.last%}{{ i }}{%else%}{{ i }}</w:t>
            </w:r>
          </w:p>
          <w:p w14:paraId="5067F97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rPr>
              <w:t>{%endif%}{% endfor %}</w:t>
            </w:r>
          </w:p>
        </w:tc>
        <w:tc>
          <w:tcPr>
            <w:tcW w:w="3556" w:type="dxa"/>
            <w:vMerge w:val="continue"/>
            <w:tcBorders>
              <w:tl2br w:val="nil"/>
              <w:tr2bl w:val="nil"/>
            </w:tcBorders>
            <w:shd w:val="clear" w:color="auto" w:fill="auto"/>
            <w:vAlign w:val="center"/>
          </w:tcPr>
          <w:p w14:paraId="3FD9ED72">
            <w:pPr>
              <w:snapToGrid w:val="0"/>
              <w:jc w:val="both"/>
              <w:rPr>
                <w:rFonts w:ascii="Times New Roman" w:hAnsi="Times New Roman" w:eastAsia="微软雅黑" w:cs="Times New Roman"/>
                <w:color w:val="000000"/>
                <w:sz w:val="21"/>
                <w:szCs w:val="21"/>
              </w:rPr>
            </w:pPr>
          </w:p>
        </w:tc>
      </w:tr>
    </w:tbl>
    <w:p w14:paraId="41A69EB7">
      <w:pPr>
        <w:spacing w:line="216" w:lineRule="auto"/>
        <w:rPr>
          <w:rFonts w:ascii="Times New Roman" w:hAnsi="Times New Roman" w:eastAsia="微软雅黑" w:cs="Times New Roman"/>
          <w:b/>
          <w:sz w:val="18"/>
          <w:shd w:val="clear" w:color="auto" w:fill="FFFFFF"/>
        </w:rPr>
      </w:pPr>
      <w:r>
        <w:rPr>
          <w:rFonts w:hint="eastAsia" w:ascii="Times New Roman" w:hAnsi="Times New Roman" w:eastAsia="微软雅黑" w:cs="Times New Roman"/>
          <w:b/>
          <w:sz w:val="18"/>
          <w:shd w:val="clear" w:color="auto" w:fill="FFFFFF"/>
        </w:rPr>
        <w:t>注：</w:t>
      </w:r>
    </w:p>
    <w:p w14:paraId="30239C23">
      <w:pPr>
        <w:numPr>
          <w:ilvl w:val="0"/>
          <w:numId w:val="7"/>
        </w:numPr>
        <w:rPr>
          <w:rFonts w:ascii="Times New Roman" w:hAnsi="Times New Roman" w:eastAsia="微软雅黑" w:cs="Times New Roman"/>
          <w:sz w:val="18"/>
          <w:shd w:val="clear" w:color="auto" w:fill="FFFFFF"/>
        </w:rPr>
      </w:pPr>
      <w:r>
        <w:rPr>
          <w:rFonts w:hint="eastAsia" w:ascii="Times New Roman" w:hAnsi="Times New Roman" w:eastAsia="微软雅黑" w:cs="Times New Roman"/>
          <w:sz w:val="18"/>
          <w:shd w:val="clear" w:color="auto" w:fill="FFFFFF"/>
        </w:rPr>
        <w:t>免疫药物疗效相关基因突变检测及免疫药物用药提示：通过高通量测序法检测与免疫药物疗效相关的基因突变，评估免疫检查点抑制剂获益情况。</w:t>
      </w:r>
    </w:p>
    <w:p w14:paraId="17D40AE0">
      <w:pPr>
        <w:numPr>
          <w:ilvl w:val="0"/>
          <w:numId w:val="7"/>
        </w:numPr>
        <w:rPr>
          <w:rFonts w:ascii="Times New Roman" w:hAnsi="Times New Roman" w:eastAsia="微软雅黑" w:cs="Times New Roman"/>
          <w:sz w:val="18"/>
          <w:shd w:val="clear" w:color="auto" w:fill="FFFFFF"/>
        </w:rPr>
      </w:pPr>
      <w:r>
        <w:rPr>
          <w:rFonts w:hint="eastAsia" w:ascii="Times New Roman" w:hAnsi="Times New Roman" w:eastAsia="微软雅黑" w:cs="Times New Roman"/>
          <w:sz w:val="18"/>
          <w:shd w:val="clear" w:color="auto" w:fill="FFFFFF"/>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CB1FD68">
      <w:pPr>
        <w:numPr>
          <w:ilvl w:val="0"/>
          <w:numId w:val="7"/>
        </w:numPr>
        <w:rPr>
          <w:rFonts w:ascii="Times New Roman" w:hAnsi="Times New Roman" w:eastAsia="微软雅黑" w:cs="Times New Roman"/>
          <w:sz w:val="18"/>
          <w:shd w:val="clear" w:color="auto" w:fill="FFFFFF"/>
        </w:rPr>
      </w:pPr>
      <w:r>
        <w:rPr>
          <w:rFonts w:hint="eastAsia" w:ascii="Times New Roman" w:hAnsi="Times New Roman" w:eastAsia="微软雅黑" w:cs="Times New Roman"/>
          <w:sz w:val="18"/>
          <w:shd w:val="clear" w:color="auto" w:fill="FFFFFF"/>
        </w:rPr>
        <w:t>指标详细解析说明见免疫检查点抑制剂治疗相关指标检测结果解析。</w:t>
      </w:r>
    </w:p>
    <w:p w14:paraId="135343F1">
      <w:pPr>
        <w:numPr>
          <w:ilvl w:val="0"/>
          <w:numId w:val="7"/>
        </w:numPr>
        <w:rPr>
          <w:rFonts w:ascii="Times New Roman" w:hAnsi="Times New Roman" w:eastAsia="微软雅黑" w:cs="Times New Roman"/>
          <w:sz w:val="18"/>
          <w:shd w:val="clear" w:color="auto" w:fill="FFFFFF"/>
        </w:rPr>
      </w:pPr>
      <w:r>
        <w:rPr>
          <w:rFonts w:hint="eastAsia" w:ascii="Times New Roman" w:hAnsi="Times New Roman" w:eastAsia="微软雅黑" w:cs="Times New Roman"/>
          <w:sz w:val="18"/>
          <w:shd w:val="clear" w:color="auto" w:fill="FFFFFF"/>
        </w:rPr>
        <w:t>“-”表示本次检测未发现相关变异。</w:t>
      </w:r>
    </w:p>
    <w:p w14:paraId="7C624120">
      <w:pPr>
        <w:rPr>
          <w:rFonts w:ascii="Times New Roman" w:hAnsi="Times New Roman" w:eastAsia="微软雅黑" w:cs="Times New Roman"/>
          <w:sz w:val="18"/>
          <w:szCs w:val="18"/>
          <w:shd w:val="clear" w:color="auto" w:fill="FFFFFF"/>
        </w:rPr>
      </w:pPr>
      <w:r>
        <w:rPr>
          <w:rFonts w:ascii="Times New Roman" w:hAnsi="Times New Roman" w:eastAsia="微软雅黑" w:cs="Times New Roman"/>
          <w:b/>
          <w:color w:val="00B050"/>
          <w:sz w:val="24"/>
          <w:szCs w:val="24"/>
        </w:rPr>
        <w:br w:type="page"/>
      </w:r>
    </w:p>
    <w:p w14:paraId="60695AE4">
      <w:p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24"/>
          <w:szCs w:val="24"/>
        </w:rPr>
        <w:t xml:space="preserve">{%if </w:t>
      </w:r>
      <w:r>
        <w:rPr>
          <w:rFonts w:ascii="Times New Roman" w:hAnsi="Times New Roman" w:eastAsia="微软雅黑" w:cs="Times New Roman"/>
          <w:sz w:val="24"/>
          <w:szCs w:val="24"/>
        </w:rPr>
        <w:t>PDInfo</w:t>
      </w:r>
      <w:r>
        <w:rPr>
          <w:rFonts w:hint="eastAsia" w:ascii="Times New Roman" w:hAnsi="Times New Roman" w:eastAsia="微软雅黑" w:cs="Times New Roman"/>
          <w:sz w:val="24"/>
          <w:szCs w:val="24"/>
        </w:rPr>
        <w:t xml:space="preserve"> != </w:t>
      </w:r>
      <w:r>
        <w:rPr>
          <w:rFonts w:ascii="Times New Roman" w:hAnsi="Times New Roman" w:eastAsia="微软雅黑" w:cs="Times New Roman"/>
          <w:sz w:val="24"/>
          <w:szCs w:val="24"/>
        </w:rPr>
        <w:t>undefined</w:t>
      </w:r>
      <w:r>
        <w:rPr>
          <w:rFonts w:hint="eastAsia" w:ascii="Times New Roman" w:hAnsi="Times New Roman" w:eastAsia="微软雅黑" w:cs="Times New Roman"/>
          <w:sz w:val="24"/>
          <w:szCs w:val="24"/>
        </w:rPr>
        <w:t xml:space="preserve"> %}</w:t>
      </w:r>
    </w:p>
    <w:p w14:paraId="44D0B6D1">
      <w:pPr>
        <w:pStyle w:val="3"/>
        <w:jc w:val="both"/>
        <w:rPr>
          <w:rFonts w:hint="eastAsia" w:ascii="微软雅黑" w:hAnsi="微软雅黑" w:eastAsia="微软雅黑" w:cs="微软雅黑"/>
          <w:color w:val="254061" w:themeColor="accent1" w:themeShade="80"/>
        </w:rPr>
      </w:pPr>
      <w:bookmarkStart w:id="31" w:name="_Toc9387"/>
      <w:bookmarkStart w:id="32" w:name="_Toc106719764"/>
      <w:bookmarkStart w:id="33" w:name="_Toc10223"/>
      <w:bookmarkStart w:id="34" w:name="_Toc20034"/>
      <w:r>
        <w:rPr>
          <w:rFonts w:hint="eastAsia" w:ascii="微软雅黑" w:hAnsi="微软雅黑" w:eastAsia="微软雅黑" w:cs="微软雅黑"/>
          <w:color w:val="254061" w:themeColor="accent1" w:themeShade="80"/>
        </w:rPr>
        <w:t>5 PD-L1检测结果</w:t>
      </w:r>
      <w:bookmarkEnd w:id="31"/>
      <w:bookmarkEnd w:id="32"/>
      <w:bookmarkEnd w:id="33"/>
      <w:bookmarkEnd w:id="34"/>
    </w:p>
    <w:p w14:paraId="16024F8A">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5.1</w:t>
      </w:r>
      <w:r>
        <w:rPr>
          <w:rFonts w:hint="eastAsia" w:ascii="微软雅黑" w:hAnsi="微软雅黑" w:eastAsia="微软雅黑" w:cs="微软雅黑"/>
          <w:color w:val="254061" w:themeColor="accent1" w:themeShade="80"/>
          <w:sz w:val="28"/>
          <w:szCs w:val="28"/>
        </w:rPr>
        <w:tab/>
      </w:r>
      <w:r>
        <w:rPr>
          <w:rFonts w:hint="eastAsia" w:ascii="微软雅黑" w:hAnsi="微软雅黑" w:eastAsia="微软雅黑" w:cs="微软雅黑"/>
          <w:color w:val="254061" w:themeColor="accent1" w:themeShade="80"/>
          <w:sz w:val="28"/>
          <w:szCs w:val="28"/>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0859EC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71B20BEA">
            <w:pPr>
              <w:jc w:val="center"/>
              <w:rPr>
                <w:rFonts w:ascii="Times New Roman" w:hAnsi="Times New Roman" w:eastAsia="微软雅黑" w:cs="Times New Roman"/>
                <w:bCs/>
                <w:color w:val="000000"/>
                <w:sz w:val="18"/>
                <w:szCs w:val="18"/>
              </w:rPr>
            </w:pPr>
            <w:r>
              <w:rPr>
                <w:rFonts w:ascii="Times New Roman" w:hAnsi="Times New Roman" w:eastAsia="微软雅黑" w:cs="Times New Roman"/>
                <w:bCs/>
                <w:color w:val="000000"/>
                <w:sz w:val="18"/>
                <w:szCs w:val="18"/>
              </w:rPr>
              <w:t>肿瘤细胞数是否大于</w:t>
            </w:r>
            <w:r>
              <w:rPr>
                <w:rFonts w:hint="eastAsia" w:ascii="Times New Roman" w:hAnsi="Times New Roman" w:eastAsia="微软雅黑" w:cs="Times New Roman"/>
                <w:bCs/>
                <w:color w:val="000000"/>
                <w:sz w:val="18"/>
                <w:szCs w:val="18"/>
              </w:rPr>
              <w:t>1</w:t>
            </w:r>
            <w:r>
              <w:rPr>
                <w:rFonts w:ascii="Times New Roman" w:hAnsi="Times New Roman" w:eastAsia="微软雅黑" w:cs="Times New Roman"/>
                <w:bCs/>
                <w:color w:val="000000"/>
                <w:sz w:val="18"/>
                <w:szCs w:val="18"/>
              </w:rPr>
              <w:t>00个</w:t>
            </w:r>
          </w:p>
        </w:tc>
        <w:tc>
          <w:tcPr>
            <w:tcW w:w="6775" w:type="dxa"/>
            <w:tcBorders>
              <w:tl2br w:val="nil"/>
              <w:tr2bl w:val="nil"/>
            </w:tcBorders>
            <w:vAlign w:val="center"/>
          </w:tcPr>
          <w:p w14:paraId="56800558">
            <w:pPr>
              <w:pStyle w:val="57"/>
            </w:pPr>
            <w:r>
              <w:rPr>
                <w:rFonts w:hint="eastAsia"/>
              </w:rPr>
              <w:t>{{</w:t>
            </w:r>
            <w:r>
              <w:t xml:space="preserve"> PDInfo</w:t>
            </w:r>
            <w:r>
              <w:rPr>
                <w:rFonts w:hint="eastAsia"/>
              </w:rPr>
              <w:t>.</w:t>
            </w:r>
            <w:r>
              <w:t>Tumor_cell_count</w:t>
            </w:r>
            <w:r>
              <w:rPr>
                <w:rFonts w:hint="eastAsia"/>
              </w:rPr>
              <w:t xml:space="preserve"> }}</w:t>
            </w:r>
          </w:p>
        </w:tc>
      </w:tr>
      <w:tr w14:paraId="762D23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CC6EADD">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3CA5E8C3">
      <w:pPr>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if</w:t>
      </w:r>
      <w:r>
        <w:rPr>
          <w:rFonts w:ascii="Times New Roman" w:hAnsi="Times New Roman" w:eastAsia="微软雅黑" w:cs="Times New Roman"/>
          <w:b/>
          <w:sz w:val="21"/>
          <w:szCs w:val="21"/>
        </w:rPr>
        <w:t xml:space="preserve"> PDInfo</w:t>
      </w:r>
      <w:r>
        <w:rPr>
          <w:rFonts w:hint="eastAsia" w:ascii="Times New Roman" w:hAnsi="Times New Roman" w:eastAsia="微软雅黑" w:cs="Times New Roman"/>
          <w:b/>
          <w:sz w:val="21"/>
          <w:szCs w:val="21"/>
        </w:rPr>
        <w:t>.</w:t>
      </w:r>
      <w:r>
        <w:rPr>
          <w:rFonts w:ascii="Times New Roman" w:hAnsi="Times New Roman" w:eastAsia="微软雅黑" w:cs="Times New Roman"/>
          <w:b/>
          <w:sz w:val="21"/>
          <w:szCs w:val="21"/>
        </w:rPr>
        <w:t>he_PIC_status</w:t>
      </w:r>
      <w:r>
        <w:rPr>
          <w:rFonts w:hint="eastAsia" w:ascii="Times New Roman" w:hAnsi="Times New Roman" w:eastAsia="微软雅黑" w:cs="Times New Roman"/>
          <w:b/>
          <w:sz w:val="21"/>
          <w:szCs w:val="21"/>
        </w:rPr>
        <w:t xml:space="preserve"> %}</w:t>
      </w:r>
    </w:p>
    <w:p w14:paraId="43DF483F">
      <w:pPr>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rPr>
        <w:t xml:space="preserve">{{ </w:t>
      </w:r>
      <w:r>
        <w:rPr>
          <w:rFonts w:ascii="Times New Roman" w:hAnsi="Times New Roman" w:eastAsia="微软雅黑" w:cs="Times New Roman"/>
          <w:b/>
          <w:sz w:val="21"/>
          <w:szCs w:val="21"/>
        </w:rPr>
        <w:t>PDInfo</w:t>
      </w:r>
      <w:r>
        <w:rPr>
          <w:rFonts w:hint="eastAsia" w:ascii="Times New Roman" w:hAnsi="Times New Roman" w:eastAsia="微软雅黑" w:cs="Times New Roman"/>
          <w:b/>
          <w:sz w:val="21"/>
          <w:szCs w:val="21"/>
        </w:rPr>
        <w:t>.</w:t>
      </w:r>
      <w:r>
        <w:rPr>
          <w:rFonts w:ascii="Times New Roman" w:hAnsi="Times New Roman" w:eastAsia="微软雅黑" w:cs="Times New Roman"/>
          <w:b/>
          <w:sz w:val="21"/>
          <w:szCs w:val="21"/>
        </w:rPr>
        <w:t>he_PIC</w:t>
      </w:r>
      <w:r>
        <w:rPr>
          <w:rFonts w:hint="eastAsia" w:ascii="Times New Roman" w:hAnsi="Times New Roman" w:eastAsia="微软雅黑" w:cs="Times New Roman"/>
          <w:b/>
          <w:sz w:val="21"/>
          <w:szCs w:val="21"/>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rPr>
        <w:t xml:space="preserve"> }}{% endif %}</w:t>
      </w:r>
    </w:p>
    <w:p w14:paraId="67E376B2">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HE染色切片200X</w:t>
      </w:r>
    </w:p>
    <w:p w14:paraId="1C4D7464">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5.2</w:t>
      </w:r>
      <w:r>
        <w:rPr>
          <w:rFonts w:hint="eastAsia" w:ascii="微软雅黑" w:hAnsi="微软雅黑" w:eastAsia="微软雅黑" w:cs="微软雅黑"/>
          <w:color w:val="254061" w:themeColor="accent1" w:themeShade="80"/>
          <w:sz w:val="28"/>
          <w:szCs w:val="28"/>
        </w:rPr>
        <w:tab/>
      </w:r>
      <w:r>
        <w:rPr>
          <w:rFonts w:hint="eastAsia" w:ascii="微软雅黑" w:hAnsi="微软雅黑" w:eastAsia="微软雅黑" w:cs="微软雅黑"/>
          <w:color w:val="254061" w:themeColor="accent1" w:themeShade="80"/>
          <w:sz w:val="28"/>
          <w:szCs w:val="28"/>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2194"/>
        <w:gridCol w:w="2127"/>
        <w:gridCol w:w="2190"/>
        <w:gridCol w:w="3693"/>
      </w:tblGrid>
      <w:tr w14:paraId="6C2E24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276DF1E">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检测项目</w:t>
            </w:r>
          </w:p>
        </w:tc>
        <w:tc>
          <w:tcPr>
            <w:tcW w:w="2127" w:type="dxa"/>
            <w:tcBorders>
              <w:tl2br w:val="nil"/>
              <w:tr2bl w:val="nil"/>
            </w:tcBorders>
            <w:shd w:val="clear" w:color="auto" w:fill="auto"/>
            <w:vAlign w:val="center"/>
          </w:tcPr>
          <w:p w14:paraId="055A63FC">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检测方法</w:t>
            </w:r>
          </w:p>
        </w:tc>
        <w:tc>
          <w:tcPr>
            <w:tcW w:w="2190" w:type="dxa"/>
            <w:tcBorders>
              <w:tl2br w:val="nil"/>
              <w:tr2bl w:val="nil"/>
            </w:tcBorders>
            <w:shd w:val="clear" w:color="auto" w:fill="auto"/>
          </w:tcPr>
          <w:p w14:paraId="77BA651A">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检测抗体</w:t>
            </w:r>
          </w:p>
        </w:tc>
        <w:tc>
          <w:tcPr>
            <w:tcW w:w="3693" w:type="dxa"/>
            <w:tcBorders>
              <w:tl2br w:val="nil"/>
              <w:tr2bl w:val="nil"/>
            </w:tcBorders>
            <w:shd w:val="clear" w:color="auto" w:fill="auto"/>
            <w:vAlign w:val="center"/>
          </w:tcPr>
          <w:p w14:paraId="44C59D3E">
            <w:pPr>
              <w:jc w:val="center"/>
              <w:rPr>
                <w:rFonts w:ascii="Times New Roman" w:hAnsi="Times New Roman" w:eastAsia="微软雅黑" w:cs="Times New Roman"/>
                <w:b/>
                <w:bCs/>
                <w:color w:val="244061"/>
                <w:sz w:val="21"/>
                <w:szCs w:val="21"/>
                <w:lang w:eastAsia="en-US"/>
              </w:rPr>
            </w:pPr>
            <w:r>
              <w:rPr>
                <w:rFonts w:hint="eastAsia" w:ascii="Times New Roman" w:hAnsi="Times New Roman" w:eastAsia="微软雅黑" w:cs="Times New Roman"/>
                <w:b/>
                <w:bCs/>
                <w:color w:val="244061"/>
                <w:sz w:val="21"/>
                <w:szCs w:val="21"/>
                <w:lang w:eastAsia="en-US"/>
              </w:rPr>
              <w:t>检测结果</w:t>
            </w:r>
          </w:p>
        </w:tc>
      </w:tr>
      <w:tr w14:paraId="17E48F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141A97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0F0ED8B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479D2EA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7412FF99">
            <w:pPr>
              <w:pStyle w:val="59"/>
              <w:rPr>
                <w:rFonts w:hint="eastAsia"/>
              </w:rPr>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850A3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365CA326">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1AEBC3C5">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61C223AC">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6FDF65C8">
            <w:pPr>
              <w:pStyle w:val="59"/>
              <w:rPr>
                <w:rFonts w:hint="eastAsia"/>
              </w:rPr>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AB3903">
      <w:pPr>
        <w:spacing w:line="276" w:lineRule="auto"/>
        <w:ind w:right="449" w:rightChars="204"/>
        <w:rPr>
          <w:rFonts w:hint="eastAsia" w:ascii="微软雅黑" w:hAnsi="微软雅黑" w:eastAsia="微软雅黑" w:cs="微软雅黑"/>
          <w:b/>
          <w:color w:val="000000"/>
          <w:sz w:val="18"/>
          <w:szCs w:val="18"/>
        </w:rPr>
      </w:pPr>
    </w:p>
    <w:p w14:paraId="5BB71F39">
      <w:pPr>
        <w:pStyle w:val="3"/>
        <w:numPr>
          <w:ilvl w:val="1"/>
          <w:numId w:val="0"/>
        </w:numPr>
        <w:ind w:left="1113" w:hanging="673"/>
        <w:jc w:val="both"/>
        <w:rPr>
          <w:rFonts w:hint="eastAsia" w:ascii="微软雅黑" w:hAnsi="微软雅黑" w:eastAsia="微软雅黑" w:cs="微软雅黑"/>
          <w:bCs/>
          <w:color w:val="244061"/>
          <w:sz w:val="28"/>
          <w:szCs w:val="28"/>
        </w:rPr>
      </w:pPr>
      <w:r>
        <w:rPr>
          <w:rFonts w:hint="eastAsia" w:ascii="微软雅黑" w:hAnsi="微软雅黑" w:eastAsia="微软雅黑" w:cs="微软雅黑"/>
          <w:bCs/>
          <w:color w:val="244061"/>
          <w:sz w:val="28"/>
          <w:szCs w:val="28"/>
        </w:rPr>
        <w:t>5.3</w:t>
      </w:r>
      <w:r>
        <w:rPr>
          <w:rFonts w:hint="eastAsia" w:ascii="微软雅黑" w:hAnsi="微软雅黑" w:eastAsia="微软雅黑" w:cs="微软雅黑"/>
          <w:bCs/>
          <w:color w:val="244061"/>
          <w:sz w:val="28"/>
          <w:szCs w:val="28"/>
        </w:rPr>
        <w:tab/>
      </w:r>
      <w:r>
        <w:rPr>
          <w:rFonts w:hint="eastAsia" w:ascii="微软雅黑" w:hAnsi="微软雅黑" w:eastAsia="微软雅黑" w:cs="微软雅黑"/>
          <w:color w:val="254061" w:themeColor="accent1" w:themeShade="80"/>
          <w:sz w:val="28"/>
          <w:szCs w:val="28"/>
        </w:rPr>
        <w:t>检测图谱：</w:t>
      </w:r>
      <w:r>
        <w:rPr>
          <w:rFonts w:hint="eastAsia" w:ascii="微软雅黑" w:hAnsi="微软雅黑" w:eastAsia="微软雅黑" w:cs="微软雅黑"/>
          <w:bCs/>
          <w:color w:val="244061"/>
          <w:sz w:val="28"/>
          <w:szCs w:val="28"/>
        </w:rPr>
        <w:t xml:space="preserve"> </w:t>
      </w:r>
    </w:p>
    <w:p w14:paraId="1B35C6B8">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A6C4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91541BA">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pdi(131,94.4) }}{% endif %}</w:t>
            </w:r>
          </w:p>
        </w:tc>
        <w:tc>
          <w:tcPr>
            <w:tcW w:w="3118" w:type="dxa"/>
            <w:vAlign w:val="center"/>
          </w:tcPr>
          <w:p w14:paraId="3F878850">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pdi(131,94.4) }}{% endif %}</w:t>
            </w:r>
          </w:p>
        </w:tc>
        <w:tc>
          <w:tcPr>
            <w:tcW w:w="3118" w:type="dxa"/>
            <w:vAlign w:val="center"/>
          </w:tcPr>
          <w:p w14:paraId="4D8535C3">
            <w:pPr>
              <w:jc w:val="center"/>
              <w:rPr>
                <w:rFonts w:hint="eastAsia"/>
              </w:rP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pdi(131,94.4) }}{% endif %}</w:t>
            </w:r>
          </w:p>
        </w:tc>
      </w:tr>
      <w:tr w14:paraId="6334B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6AE049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CF2B56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24F76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79E1DBD">
      <w:pPr>
        <w:spacing w:line="276" w:lineRule="auto"/>
        <w:ind w:left="1252" w:leftChars="78" w:right="449" w:rightChars="204" w:hanging="1080" w:hangingChars="600"/>
        <w:rPr>
          <w:rFonts w:ascii="Times New Roman" w:hAnsi="Times New Roman" w:eastAsia="微软雅黑" w:cs="Times New Roman"/>
          <w:sz w:val="18"/>
          <w:szCs w:val="18"/>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64D87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7E7D725">
            <w:pPr>
              <w:wordWrap w:val="0"/>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TPS（Tumor Proportion Score）=</w:t>
            </w:r>
          </w:p>
        </w:tc>
        <w:tc>
          <w:tcPr>
            <w:tcW w:w="4318" w:type="dxa"/>
            <w:tcBorders>
              <w:bottom w:val="single" w:color="auto" w:sz="4" w:space="0"/>
            </w:tcBorders>
            <w:vAlign w:val="center"/>
          </w:tcPr>
          <w:p w14:paraId="6435671A">
            <w:pPr>
              <w:spacing w:line="276" w:lineRule="auto"/>
              <w:jc w:val="center"/>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P</w:t>
            </w:r>
            <w:r>
              <w:rPr>
                <w:rFonts w:hint="eastAsia" w:ascii="Times New Roman" w:hAnsi="Times New Roman" w:eastAsia="微软雅黑" w:cs="Times New Roman"/>
                <w:sz w:val="18"/>
                <w:szCs w:val="18"/>
                <w:shd w:val="clear" w:color="auto" w:fill="FFFFFF"/>
              </w:rPr>
              <w:t>D-L1染色细胞(肿瘤细胞)数量</w:t>
            </w:r>
          </w:p>
        </w:tc>
        <w:tc>
          <w:tcPr>
            <w:tcW w:w="2168" w:type="dxa"/>
            <w:gridSpan w:val="2"/>
            <w:vMerge w:val="restart"/>
            <w:vAlign w:val="center"/>
          </w:tcPr>
          <w:p w14:paraId="6FC14747">
            <w:pPr>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×100%</w:t>
            </w:r>
          </w:p>
        </w:tc>
      </w:tr>
      <w:tr w14:paraId="6ABF2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E9FB8F3">
            <w:pPr>
              <w:spacing w:line="276" w:lineRule="auto"/>
              <w:jc w:val="both"/>
              <w:rPr>
                <w:rFonts w:ascii="Times New Roman" w:hAnsi="Times New Roman" w:eastAsia="微软雅黑" w:cs="Times New Roman"/>
                <w:sz w:val="18"/>
                <w:szCs w:val="18"/>
                <w:shd w:val="clear" w:color="auto" w:fill="FFFFFF"/>
              </w:rPr>
            </w:pPr>
          </w:p>
        </w:tc>
        <w:tc>
          <w:tcPr>
            <w:tcW w:w="4318" w:type="dxa"/>
            <w:tcBorders>
              <w:top w:val="single" w:color="auto" w:sz="4" w:space="0"/>
            </w:tcBorders>
            <w:vAlign w:val="center"/>
          </w:tcPr>
          <w:p w14:paraId="3087355E">
            <w:pPr>
              <w:spacing w:line="276" w:lineRule="auto"/>
              <w:jc w:val="center"/>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活的肿瘤细胞总数</w:t>
            </w:r>
          </w:p>
        </w:tc>
        <w:tc>
          <w:tcPr>
            <w:tcW w:w="2168" w:type="dxa"/>
            <w:gridSpan w:val="2"/>
            <w:vMerge w:val="continue"/>
          </w:tcPr>
          <w:p w14:paraId="4E1730FD">
            <w:pPr>
              <w:spacing w:line="276" w:lineRule="auto"/>
              <w:jc w:val="left"/>
              <w:rPr>
                <w:rFonts w:ascii="Times New Roman" w:hAnsi="Times New Roman" w:eastAsia="微软雅黑" w:cs="Times New Roman"/>
                <w:sz w:val="18"/>
                <w:szCs w:val="18"/>
                <w:shd w:val="clear" w:color="auto" w:fill="FFFFFF"/>
              </w:rPr>
            </w:pPr>
          </w:p>
        </w:tc>
      </w:tr>
      <w:tr w14:paraId="39C41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2F7CC85">
            <w:pPr>
              <w:wordWrap w:val="0"/>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CPS（Combined Positive Score）=</w:t>
            </w:r>
          </w:p>
        </w:tc>
        <w:tc>
          <w:tcPr>
            <w:tcW w:w="5710" w:type="dxa"/>
            <w:gridSpan w:val="2"/>
            <w:tcBorders>
              <w:bottom w:val="single" w:color="auto" w:sz="4" w:space="0"/>
            </w:tcBorders>
            <w:vAlign w:val="center"/>
          </w:tcPr>
          <w:p w14:paraId="376DD88B">
            <w:pPr>
              <w:spacing w:line="276" w:lineRule="auto"/>
              <w:jc w:val="cente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PD-L1染色细胞(肿瘤细胞+淋巴细胞+巨噬细胞)数量</w:t>
            </w:r>
          </w:p>
        </w:tc>
        <w:tc>
          <w:tcPr>
            <w:tcW w:w="776" w:type="dxa"/>
            <w:vMerge w:val="restart"/>
            <w:vAlign w:val="center"/>
          </w:tcPr>
          <w:p w14:paraId="0C191841">
            <w:pPr>
              <w:spacing w:line="276" w:lineRule="auto"/>
              <w:jc w:val="both"/>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×100</w:t>
            </w:r>
          </w:p>
        </w:tc>
      </w:tr>
      <w:tr w14:paraId="42267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35560F4">
            <w:pPr>
              <w:spacing w:line="276" w:lineRule="auto"/>
              <w:jc w:val="left"/>
              <w:rPr>
                <w:rFonts w:ascii="Times New Roman" w:hAnsi="Times New Roman" w:eastAsia="微软雅黑" w:cs="Times New Roman"/>
                <w:sz w:val="18"/>
                <w:szCs w:val="18"/>
                <w:shd w:val="clear" w:color="auto" w:fill="FFFFFF"/>
              </w:rPr>
            </w:pPr>
          </w:p>
        </w:tc>
        <w:tc>
          <w:tcPr>
            <w:tcW w:w="5710" w:type="dxa"/>
            <w:gridSpan w:val="2"/>
            <w:tcBorders>
              <w:top w:val="single" w:color="auto" w:sz="4" w:space="0"/>
            </w:tcBorders>
            <w:vAlign w:val="center"/>
          </w:tcPr>
          <w:p w14:paraId="6D754528">
            <w:pPr>
              <w:spacing w:line="276" w:lineRule="auto"/>
              <w:jc w:val="cente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活的肿瘤细胞总数</w:t>
            </w:r>
          </w:p>
        </w:tc>
        <w:tc>
          <w:tcPr>
            <w:tcW w:w="776" w:type="dxa"/>
            <w:vMerge w:val="continue"/>
          </w:tcPr>
          <w:p w14:paraId="46EB0B8A">
            <w:pPr>
              <w:spacing w:line="276" w:lineRule="auto"/>
              <w:jc w:val="left"/>
              <w:rPr>
                <w:rFonts w:ascii="Times New Roman" w:hAnsi="Times New Roman" w:eastAsia="微软雅黑" w:cs="Times New Roman"/>
                <w:sz w:val="18"/>
                <w:szCs w:val="18"/>
                <w:shd w:val="clear" w:color="auto" w:fill="FFFFFF"/>
              </w:rPr>
            </w:pPr>
          </w:p>
        </w:tc>
      </w:tr>
    </w:tbl>
    <w:p w14:paraId="58E1697A">
      <w:pPr>
        <w:spacing w:line="276" w:lineRule="auto"/>
        <w:ind w:firstLine="360" w:firstLineChars="200"/>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ab/>
      </w:r>
      <w:r>
        <w:rPr>
          <w:rFonts w:hint="eastAsia" w:ascii="Times New Roman" w:hAnsi="Times New Roman" w:eastAsia="微软雅黑" w:cs="Times New Roman"/>
          <w:sz w:val="18"/>
          <w:szCs w:val="18"/>
          <w:shd w:val="clear" w:color="auto" w:fill="FFFFFF"/>
        </w:rPr>
        <w:t>CPS</w:t>
      </w:r>
      <w:r>
        <w:rPr>
          <w:rFonts w:ascii="Times New Roman" w:hAnsi="Times New Roman" w:eastAsia="微软雅黑" w:cs="Times New Roman"/>
          <w:sz w:val="18"/>
          <w:szCs w:val="18"/>
          <w:shd w:val="clear" w:color="auto" w:fill="FFFFFF"/>
        </w:rPr>
        <w:t>结果采用0~100数值来表示</w:t>
      </w:r>
      <w:r>
        <w:rPr>
          <w:rFonts w:hint="eastAsia" w:ascii="Times New Roman" w:hAnsi="Times New Roman" w:eastAsia="微软雅黑" w:cs="Times New Roman"/>
          <w:sz w:val="18"/>
          <w:szCs w:val="18"/>
          <w:shd w:val="clear" w:color="auto" w:fill="FFFFFF"/>
        </w:rPr>
        <w:t>，</w:t>
      </w:r>
      <w:r>
        <w:rPr>
          <w:rFonts w:ascii="Times New Roman" w:hAnsi="Times New Roman" w:eastAsia="微软雅黑" w:cs="Times New Roman"/>
          <w:sz w:val="18"/>
          <w:szCs w:val="18"/>
          <w:shd w:val="clear" w:color="auto" w:fill="FFFFFF"/>
        </w:rPr>
        <w:t>当计算结果超过100时，最终结果按照100来计算。</w:t>
      </w:r>
    </w:p>
    <w:p w14:paraId="5A9848CE">
      <w:pPr>
        <w:spacing w:line="276" w:lineRule="auto"/>
        <w:ind w:left="172" w:leftChars="78" w:right="449" w:rightChars="204" w:firstLine="248"/>
        <w:rPr>
          <w:rFonts w:ascii="Times New Roman" w:hAnsi="Times New Roman" w:eastAsia="微软雅黑" w:cs="Times New Roman"/>
          <w:sz w:val="18"/>
          <w:szCs w:val="18"/>
          <w:shd w:val="clear" w:color="auto" w:fill="FFFFFF"/>
        </w:rPr>
      </w:pPr>
      <w:r>
        <w:rPr>
          <w:rFonts w:ascii="Times New Roman" w:hAnsi="Times New Roman" w:eastAsia="微软雅黑" w:cs="Times New Roman"/>
          <w:sz w:val="18"/>
          <w:szCs w:val="18"/>
          <w:shd w:val="clear" w:color="auto" w:fill="FFFFFF"/>
        </w:rPr>
        <w:t>程序性死亡</w:t>
      </w:r>
      <w:r>
        <w:rPr>
          <w:rFonts w:hint="eastAsia" w:ascii="Times New Roman" w:hAnsi="Times New Roman" w:eastAsia="微软雅黑" w:cs="Times New Roman"/>
          <w:sz w:val="18"/>
          <w:szCs w:val="18"/>
          <w:shd w:val="clear" w:color="auto" w:fill="FFFFFF"/>
        </w:rPr>
        <w:t>受体</w:t>
      </w:r>
      <w:r>
        <w:rPr>
          <w:rFonts w:ascii="Times New Roman" w:hAnsi="Times New Roman" w:eastAsia="微软雅黑" w:cs="Times New Roman"/>
          <w:sz w:val="18"/>
          <w:szCs w:val="18"/>
          <w:shd w:val="clear" w:color="auto" w:fill="FFFFFF"/>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rPr>
        <w:t>,其中</w:t>
      </w:r>
      <w:r>
        <w:rPr>
          <w:rFonts w:ascii="Times New Roman" w:hAnsi="Times New Roman" w:eastAsia="微软雅黑" w:cs="Times New Roman"/>
          <w:sz w:val="18"/>
          <w:szCs w:val="18"/>
          <w:shd w:val="clear" w:color="auto" w:fill="FFFFFF"/>
        </w:rPr>
        <w:t>肿瘤组织中PD-L1的表达水平对预测PD-1和PD-L1抑制剂疗效具有重要意义</w:t>
      </w:r>
      <w:r>
        <w:rPr>
          <w:rFonts w:hint="eastAsia" w:ascii="Times New Roman" w:hAnsi="Times New Roman" w:eastAsia="微软雅黑" w:cs="Times New Roman"/>
          <w:sz w:val="18"/>
          <w:szCs w:val="18"/>
          <w:shd w:val="clear" w:color="auto" w:fill="FFFFFF"/>
        </w:rPr>
        <w:t>。</w:t>
      </w:r>
    </w:p>
    <w:p w14:paraId="1F2DFEB9">
      <w:pPr>
        <w:rPr>
          <w:rFonts w:ascii="Times New Roman" w:hAnsi="Times New Roman" w:eastAsia="微软雅黑" w:cs="Times New Roman"/>
          <w:b/>
          <w:bCs/>
        </w:rPr>
      </w:pPr>
      <w:r>
        <w:rPr>
          <w:rFonts w:ascii="Times New Roman" w:hAnsi="Times New Roman" w:eastAsia="微软雅黑" w:cs="Times New Roman"/>
          <w:b/>
          <w:bCs/>
        </w:rPr>
        <w:br w:type="page"/>
      </w:r>
    </w:p>
    <w:p w14:paraId="4291CAA9">
      <w:pPr>
        <w:rPr>
          <w:rFonts w:ascii="Times New Roman" w:hAnsi="Times New Roman" w:eastAsia="微软雅黑" w:cs="Times New Roman"/>
          <w:sz w:val="24"/>
          <w:szCs w:val="24"/>
        </w:rPr>
      </w:pPr>
      <w:r>
        <w:rPr>
          <w:rFonts w:hint="eastAsia" w:ascii="Times New Roman" w:hAnsi="Times New Roman" w:eastAsia="微软雅黑" w:cs="Times New Roman"/>
          <w:sz w:val="24"/>
          <w:szCs w:val="24"/>
        </w:rPr>
        <w:t xml:space="preserve">{%if </w:t>
      </w:r>
      <w:r>
        <w:rPr>
          <w:rFonts w:ascii="Times New Roman" w:hAnsi="Times New Roman" w:eastAsia="微软雅黑" w:cs="Times New Roman"/>
          <w:sz w:val="24"/>
          <w:szCs w:val="24"/>
        </w:rPr>
        <w:t>PDInfo</w:t>
      </w:r>
      <w:r>
        <w:rPr>
          <w:rFonts w:hint="eastAsia" w:ascii="Times New Roman" w:hAnsi="Times New Roman" w:eastAsia="微软雅黑" w:cs="Times New Roman"/>
          <w:sz w:val="24"/>
          <w:szCs w:val="24"/>
        </w:rPr>
        <w:t>.pdInfoTable != [] %}</w:t>
      </w:r>
    </w:p>
    <w:p w14:paraId="6E188BDC">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5.4</w:t>
      </w:r>
      <w:r>
        <w:rPr>
          <w:rFonts w:hint="eastAsia" w:ascii="微软雅黑" w:hAnsi="微软雅黑" w:eastAsia="微软雅黑" w:cs="微软雅黑"/>
          <w:color w:val="254061" w:themeColor="accent1" w:themeShade="80"/>
          <w:sz w:val="28"/>
          <w:szCs w:val="28"/>
        </w:rPr>
        <w:tab/>
      </w:r>
      <w:r>
        <w:rPr>
          <w:rFonts w:hint="eastAsia" w:ascii="微软雅黑" w:hAnsi="微软雅黑" w:eastAsia="微软雅黑" w:cs="微软雅黑"/>
          <w:color w:val="254061" w:themeColor="accent1" w:themeShade="80"/>
          <w:sz w:val="28"/>
          <w:szCs w:val="28"/>
        </w:rPr>
        <w:t>PD-L1表达阳性阈值：</w:t>
      </w:r>
    </w:p>
    <w:p w14:paraId="3EBA684A">
      <w:pPr>
        <w:pStyle w:val="10"/>
        <w:spacing w:before="18"/>
        <w:rPr>
          <w:rFonts w:hint="eastAsia"/>
          <w:b/>
          <w:sz w:val="6"/>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33632D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103FB1FB">
            <w:pPr>
              <w:pStyle w:val="33"/>
              <w:autoSpaceDE w:val="0"/>
              <w:autoSpaceDN w:val="0"/>
              <w:ind w:right="164"/>
              <w:jc w:val="center"/>
              <w:rPr>
                <w:rFonts w:hint="eastAsia" w:ascii="微软雅黑" w:hAnsi="微软雅黑" w:eastAsia="微软雅黑" w:cs="微软雅黑"/>
                <w:b/>
                <w:color w:val="244061"/>
                <w:lang w:val="zh-CN" w:bidi="zh-CN"/>
              </w:rPr>
            </w:pPr>
            <w:r>
              <w:rPr>
                <w:rFonts w:ascii="微软雅黑" w:hAnsi="微软雅黑" w:eastAsia="微软雅黑" w:cs="微软雅黑"/>
                <w:b/>
                <w:color w:val="244061"/>
                <w:lang w:val="zh-CN" w:bidi="zh-CN"/>
              </w:rPr>
              <w:t>癌种</w:t>
            </w:r>
          </w:p>
        </w:tc>
        <w:tc>
          <w:tcPr>
            <w:tcW w:w="2093" w:type="dxa"/>
            <w:shd w:val="clear" w:color="auto" w:fill="auto"/>
            <w:vAlign w:val="center"/>
          </w:tcPr>
          <w:p w14:paraId="769BAE84">
            <w:pPr>
              <w:pStyle w:val="33"/>
              <w:autoSpaceDE w:val="0"/>
              <w:autoSpaceDN w:val="0"/>
              <w:ind w:right="164"/>
              <w:jc w:val="center"/>
              <w:rPr>
                <w:rFonts w:hint="eastAsia" w:ascii="微软雅黑" w:hAnsi="微软雅黑" w:eastAsia="微软雅黑" w:cs="微软雅黑"/>
                <w:b/>
                <w:color w:val="244061"/>
                <w:lang w:val="zh-CN" w:bidi="zh-CN"/>
              </w:rPr>
            </w:pPr>
            <w:r>
              <w:rPr>
                <w:rFonts w:ascii="微软雅黑" w:hAnsi="微软雅黑" w:eastAsia="微软雅黑" w:cs="微软雅黑"/>
                <w:b/>
                <w:color w:val="244061"/>
                <w:lang w:val="zh-CN" w:bidi="zh-CN"/>
              </w:rPr>
              <w:t>判读标准</w:t>
            </w:r>
          </w:p>
        </w:tc>
        <w:tc>
          <w:tcPr>
            <w:tcW w:w="5504" w:type="dxa"/>
            <w:shd w:val="clear" w:color="auto" w:fill="auto"/>
            <w:vAlign w:val="center"/>
          </w:tcPr>
          <w:p w14:paraId="4D82F0F8">
            <w:pPr>
              <w:pStyle w:val="33"/>
              <w:autoSpaceDE w:val="0"/>
              <w:autoSpaceDN w:val="0"/>
              <w:ind w:right="164"/>
              <w:jc w:val="center"/>
              <w:rPr>
                <w:rFonts w:hint="eastAsia" w:ascii="微软雅黑" w:hAnsi="微软雅黑" w:eastAsia="微软雅黑" w:cs="微软雅黑"/>
                <w:b/>
                <w:color w:val="244061"/>
                <w:lang w:val="zh-CN" w:bidi="zh-CN"/>
              </w:rPr>
            </w:pPr>
            <w:r>
              <w:rPr>
                <w:rFonts w:hint="eastAsia" w:ascii="微软雅黑" w:hAnsi="微软雅黑" w:eastAsia="微软雅黑" w:cs="微软雅黑"/>
                <w:b/>
                <w:color w:val="244061"/>
                <w:lang w:val="zh-CN" w:bidi="zh-CN"/>
              </w:rPr>
              <w:t>临床意义</w:t>
            </w:r>
          </w:p>
        </w:tc>
      </w:tr>
      <w:tr w14:paraId="3512B8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7EC3B564">
            <w:pPr>
              <w:pStyle w:val="33"/>
              <w:autoSpaceDE w:val="0"/>
              <w:autoSpaceDN w:val="0"/>
              <w:spacing w:before="1"/>
              <w:ind w:right="115"/>
              <w:jc w:val="center"/>
              <w:rPr>
                <w:rFonts w:hint="eastAsia" w:ascii="微软雅黑" w:hAnsi="微软雅黑" w:eastAsia="微软雅黑" w:cs="微软雅黑"/>
                <w:sz w:val="18"/>
                <w:szCs w:val="18"/>
                <w:lang w:bidi="zh-CN"/>
              </w:rPr>
            </w:pPr>
            <w:r>
              <w:rPr>
                <w:rFonts w:hint="eastAsia" w:ascii="Times New Roman" w:hAnsi="Times New Roman" w:eastAsia="微软雅黑" w:cs="Times New Roman"/>
                <w:bCs/>
                <w:sz w:val="18"/>
                <w:szCs w:val="18"/>
              </w:rPr>
              <w:t>{%tr for pd in PDInfo.pdInfoTable %}</w:t>
            </w:r>
          </w:p>
        </w:tc>
      </w:tr>
      <w:tr w14:paraId="01B78C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jc w:val="center"/>
        </w:trPr>
        <w:tc>
          <w:tcPr>
            <w:tcW w:w="2043" w:type="dxa"/>
            <w:vAlign w:val="center"/>
          </w:tcPr>
          <w:p w14:paraId="2A4024B1">
            <w:pPr>
              <w:pStyle w:val="33"/>
              <w:autoSpaceDE w:val="0"/>
              <w:autoSpaceDN w:val="0"/>
              <w:spacing w:before="24" w:beforeLines="10" w:after="24" w:afterLines="10"/>
              <w:ind w:right="165"/>
              <w:jc w:val="center"/>
              <w:rPr>
                <w:rFonts w:hint="eastAsia" w:ascii="微软雅黑" w:hAnsi="微软雅黑" w:eastAsia="微软雅黑" w:cs="微软雅黑"/>
                <w:sz w:val="18"/>
                <w:szCs w:val="18"/>
                <w:lang w:val="zh-CN" w:bidi="zh-CN"/>
              </w:rPr>
            </w:pPr>
            <w:r>
              <w:rPr>
                <w:rFonts w:hint="eastAsia" w:ascii="微软雅黑" w:hAnsi="微软雅黑" w:eastAsia="微软雅黑" w:cs="微软雅黑"/>
                <w:sz w:val="18"/>
                <w:szCs w:val="18"/>
              </w:rPr>
              <w:t>{{ pd.disease_name }}</w:t>
            </w:r>
          </w:p>
        </w:tc>
        <w:tc>
          <w:tcPr>
            <w:tcW w:w="2093" w:type="dxa"/>
            <w:vAlign w:val="center"/>
          </w:tcPr>
          <w:p w14:paraId="79CC57BD">
            <w:pPr>
              <w:pStyle w:val="33"/>
              <w:autoSpaceDE w:val="0"/>
              <w:autoSpaceDN w:val="0"/>
              <w:spacing w:before="24" w:beforeLines="10" w:after="24" w:afterLines="10"/>
              <w:ind w:right="165"/>
              <w:jc w:val="center"/>
              <w:rPr>
                <w:rFonts w:hint="eastAsia" w:ascii="微软雅黑" w:hAnsi="微软雅黑" w:eastAsia="微软雅黑" w:cs="微软雅黑"/>
                <w:sz w:val="18"/>
                <w:szCs w:val="18"/>
                <w:lang w:val="zh-CN" w:bidi="zh-CN"/>
              </w:rPr>
            </w:pPr>
            <w:r>
              <w:rPr>
                <w:rFonts w:hint="eastAsia" w:ascii="微软雅黑" w:hAnsi="微软雅黑" w:eastAsia="微软雅黑" w:cs="微软雅黑"/>
                <w:sz w:val="18"/>
                <w:szCs w:val="18"/>
              </w:rPr>
              <w:t>{{ pd.interpretive_standard }}</w:t>
            </w:r>
          </w:p>
        </w:tc>
        <w:tc>
          <w:tcPr>
            <w:tcW w:w="5504" w:type="dxa"/>
            <w:vAlign w:val="center"/>
          </w:tcPr>
          <w:p w14:paraId="2F4EEBC4">
            <w:pPr>
              <w:pStyle w:val="33"/>
              <w:autoSpaceDE w:val="0"/>
              <w:autoSpaceDN w:val="0"/>
              <w:spacing w:before="24" w:beforeLines="10" w:after="24" w:afterLines="10"/>
              <w:ind w:left="88" w:leftChars="40" w:right="113"/>
              <w:rPr>
                <w:rFonts w:hint="eastAsia" w:ascii="微软雅黑" w:hAnsi="微软雅黑" w:eastAsia="微软雅黑" w:cs="微软雅黑"/>
                <w:sz w:val="18"/>
                <w:szCs w:val="18"/>
                <w:lang w:bidi="zh-CN"/>
              </w:rPr>
            </w:pPr>
            <w:r>
              <w:rPr>
                <w:rFonts w:hint="eastAsia" w:ascii="微软雅黑" w:hAnsi="微软雅黑" w:eastAsia="微软雅黑" w:cs="微软雅黑"/>
                <w:sz w:val="18"/>
                <w:szCs w:val="18"/>
              </w:rPr>
              <w:t>{{ pd.clinical_significance }}</w:t>
            </w:r>
            <w:r>
              <w:rPr>
                <w:rFonts w:hint="eastAsia" w:ascii="微软雅黑" w:hAnsi="微软雅黑" w:eastAsia="微软雅黑" w:cs="微软雅黑"/>
                <w:sz w:val="18"/>
                <w:szCs w:val="18"/>
                <w:vertAlign w:val="superscript"/>
              </w:rPr>
              <w:t>{{ pd.superscript }}</w:t>
            </w:r>
          </w:p>
        </w:tc>
      </w:tr>
      <w:tr w14:paraId="67A12D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799BC353">
            <w:pPr>
              <w:pStyle w:val="33"/>
              <w:autoSpaceDE w:val="0"/>
              <w:autoSpaceDN w:val="0"/>
              <w:spacing w:before="1"/>
              <w:ind w:right="115"/>
              <w:jc w:val="center"/>
              <w:rPr>
                <w:rFonts w:hint="eastAsia" w:ascii="微软雅黑" w:hAnsi="微软雅黑" w:eastAsia="微软雅黑" w:cs="微软雅黑"/>
                <w:sz w:val="18"/>
                <w:szCs w:val="18"/>
                <w:lang w:bidi="zh-CN"/>
              </w:rPr>
            </w:pPr>
            <w:r>
              <w:rPr>
                <w:rFonts w:hint="eastAsia" w:ascii="Times New Roman" w:hAnsi="Times New Roman" w:eastAsia="微软雅黑" w:cs="Times New Roman"/>
                <w:bCs/>
                <w:sz w:val="18"/>
                <w:szCs w:val="18"/>
              </w:rPr>
              <w:t>{%tr endfor %}</w:t>
            </w:r>
          </w:p>
        </w:tc>
      </w:tr>
    </w:tbl>
    <w:p w14:paraId="2D4D4400">
      <w:pPr>
        <w:widowControl/>
        <w:ind w:firstLine="180" w:firstLineChars="100"/>
        <w:rPr>
          <w:rFonts w:hint="eastAsia" w:ascii="微软雅黑" w:hAnsi="微软雅黑" w:eastAsia="微软雅黑" w:cs="微软雅黑"/>
          <w:sz w:val="18"/>
          <w:szCs w:val="18"/>
          <w:lang w:bidi="zh-CN"/>
        </w:rPr>
      </w:pPr>
      <w:r>
        <w:rPr>
          <w:rFonts w:hint="eastAsia" w:ascii="Times New Roman" w:hAnsi="Times New Roman" w:eastAsia="微软雅黑" w:cs="Times New Roman"/>
          <w:sz w:val="18"/>
          <w:szCs w:val="18"/>
        </w:rPr>
        <w:t xml:space="preserve">{%if </w:t>
      </w:r>
      <w:r>
        <w:rPr>
          <w:rFonts w:hint="eastAsia" w:ascii="Times New Roman" w:hAnsi="Times New Roman" w:eastAsia="微软雅黑" w:cs="Times New Roman"/>
          <w:bCs/>
          <w:sz w:val="18"/>
          <w:szCs w:val="18"/>
        </w:rPr>
        <w:t>PDInfo.superscript_remark == True %</w:t>
      </w:r>
      <w:r>
        <w:rPr>
          <w:rFonts w:hint="eastAsia" w:ascii="Times New Roman" w:hAnsi="Times New Roman" w:eastAsia="微软雅黑" w:cs="Times New Roman"/>
          <w:sz w:val="18"/>
          <w:szCs w:val="18"/>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rPr>
        <w:t>{% endif %}</w:t>
      </w:r>
    </w:p>
    <w:p w14:paraId="083674E4">
      <w:pPr>
        <w:widowControl/>
        <w:rPr>
          <w:rFonts w:ascii="Times New Roman" w:hAnsi="Times New Roman" w:eastAsia="微软雅黑" w:cs="Times New Roman"/>
          <w:b/>
          <w:bCs/>
        </w:rPr>
      </w:pPr>
      <w:r>
        <w:rPr>
          <w:rFonts w:ascii="Times New Roman" w:hAnsi="Times New Roman" w:eastAsia="微软雅黑" w:cs="Times New Roman"/>
          <w:b/>
          <w:bCs/>
        </w:rPr>
        <w:br w:type="page"/>
      </w:r>
      <w:r>
        <w:rPr>
          <w:rFonts w:hint="eastAsia" w:ascii="Times New Roman" w:hAnsi="Times New Roman" w:eastAsia="微软雅黑" w:cs="Times New Roman"/>
          <w:sz w:val="24"/>
          <w:szCs w:val="24"/>
        </w:rPr>
        <w:t>{% endif %}{% endif %}</w:t>
      </w:r>
    </w:p>
    <w:p w14:paraId="2C2F0DD8">
      <w:pPr>
        <w:jc w:val="center"/>
        <w:outlineLvl w:val="0"/>
        <w:rPr>
          <w:rFonts w:hint="eastAsia" w:ascii="微软雅黑" w:hAnsi="微软雅黑" w:eastAsia="微软雅黑" w:cs="微软雅黑"/>
          <w:b/>
          <w:bCs/>
          <w:color w:val="FFFFFF"/>
          <w:sz w:val="36"/>
          <w:szCs w:val="36"/>
          <w:shd w:val="clear" w:color="auto" w:fill="1F3864"/>
        </w:rPr>
      </w:pPr>
      <w:bookmarkStart w:id="35" w:name="_Toc534637498"/>
      <w:bookmarkStart w:id="36" w:name="_Toc25428"/>
      <w:bookmarkStart w:id="37" w:name="_Toc526855037"/>
      <w:bookmarkStart w:id="38" w:name="_Toc527112385"/>
      <w:r>
        <w:rPr>
          <w:rFonts w:hint="eastAsia" w:ascii="微软雅黑" w:hAnsi="微软雅黑" w:eastAsia="微软雅黑" w:cs="微软雅黑"/>
          <w:b/>
          <w:bCs/>
          <w:color w:val="FFFFFF"/>
          <w:sz w:val="36"/>
          <w:szCs w:val="36"/>
          <w:shd w:val="clear" w:color="auto" w:fill="1F3864"/>
        </w:rPr>
        <w:t>检测结果详细解析</w:t>
      </w:r>
    </w:p>
    <w:p w14:paraId="2432E818">
      <w:pPr>
        <w:outlineLvl w:val="1"/>
        <w:rPr>
          <w:rFonts w:ascii="Times New Roman" w:hAnsi="Times New Roman" w:eastAsia="微软雅黑" w:cs="黑体"/>
          <w:b/>
          <w:bCs/>
          <w:color w:val="254061" w:themeColor="accent1" w:themeShade="80"/>
          <w:sz w:val="32"/>
          <w:szCs w:val="32"/>
        </w:rPr>
      </w:pPr>
      <w:r>
        <w:rPr>
          <w:rFonts w:hint="eastAsia" w:ascii="Times New Roman" w:hAnsi="Times New Roman" w:eastAsia="微软雅黑" w:cs="黑体"/>
          <w:b/>
          <w:bCs/>
          <w:color w:val="254061" w:themeColor="accent1" w:themeShade="80"/>
          <w:sz w:val="32"/>
          <w:szCs w:val="32"/>
        </w:rPr>
        <w:t>三 检测结果详细解析</w:t>
      </w:r>
    </w:p>
    <w:p w14:paraId="4FFEA547">
      <w:pPr>
        <w:pStyle w:val="3"/>
        <w:jc w:val="both"/>
        <w:rPr>
          <w:rFonts w:hint="eastAsia" w:ascii="微软雅黑" w:hAnsi="微软雅黑" w:eastAsia="微软雅黑" w:cs="微软雅黑"/>
          <w:color w:val="254061" w:themeColor="accent1" w:themeShade="80"/>
        </w:rPr>
      </w:pPr>
      <w:bookmarkStart w:id="39" w:name="_Toc22255"/>
      <w:bookmarkStart w:id="40" w:name="_Toc6468"/>
      <w:bookmarkStart w:id="41" w:name="_Toc32443_WPSOffice_Level2"/>
      <w:bookmarkStart w:id="42" w:name="_Toc4331_WPSOffice_Level2"/>
      <w:bookmarkStart w:id="43" w:name="_Toc23606"/>
      <w:r>
        <w:rPr>
          <w:rFonts w:hint="eastAsia" w:ascii="微软雅黑" w:hAnsi="微软雅黑" w:eastAsia="微软雅黑" w:cs="微软雅黑"/>
          <w:color w:val="254061" w:themeColor="accent1" w:themeShade="80"/>
        </w:rPr>
        <w:t xml:space="preserve">1 </w:t>
      </w:r>
      <w:bookmarkEnd w:id="39"/>
      <w:bookmarkEnd w:id="40"/>
      <w:bookmarkEnd w:id="41"/>
      <w:bookmarkEnd w:id="42"/>
      <w:bookmarkEnd w:id="43"/>
      <w:r>
        <w:rPr>
          <w:rFonts w:hint="eastAsia" w:ascii="微软雅黑" w:hAnsi="微软雅黑" w:eastAsia="微软雅黑" w:cs="微软雅黑"/>
          <w:color w:val="254061" w:themeColor="accent1" w:themeShade="80"/>
        </w:rPr>
        <w:t>体细胞变异结果解析</w:t>
      </w:r>
    </w:p>
    <w:p w14:paraId="77177659">
      <w:pPr>
        <w:ind w:left="412"/>
        <w:jc w:val="both"/>
        <w:rPr>
          <w:rFonts w:hint="eastAsia"/>
          <w:color w:val="254061" w:themeColor="accent1" w:themeShade="80"/>
        </w:rPr>
      </w:pPr>
      <w:r>
        <w:rPr>
          <w:rFonts w:hint="eastAsia" w:ascii="Times New Roman" w:hAnsi="Times New Roman" w:eastAsia="微软雅黑" w:cs="Times New Roman"/>
          <w:bCs/>
          <w:sz w:val="24"/>
          <w:szCs w:val="24"/>
        </w:rPr>
        <w:t>{% if BodyDrugDrugDetectionStr == [] and unknownVarAnalysisStr == []%}未检出靶向用药相关的体细胞基因突变；未检出未知临床意义体细胞基因突变。{% endif %}</w:t>
      </w:r>
      <w:r>
        <w:rPr>
          <w:rFonts w:hint="eastAsia" w:ascii="Times New Roman" w:hAnsi="Times New Roman" w:eastAsia="微软雅黑" w:cs="Times New Roman"/>
          <w:b/>
          <w:sz w:val="24"/>
          <w:szCs w:val="24"/>
        </w:rPr>
        <w:t>{%if BodyDrugDrugDetectionStr or unknownVarAnalysisStr %}{% for tdd in BodyDrugNoComplexStr %}</w:t>
      </w:r>
    </w:p>
    <w:p w14:paraId="5A242134">
      <w:pPr>
        <w:keepNext/>
        <w:numPr>
          <w:ilvl w:val="0"/>
          <w:numId w:val="8"/>
        </w:numPr>
        <w:spacing w:before="120" w:beforeLines="50" w:after="120" w:afterLines="50"/>
        <w:ind w:firstLine="20"/>
        <w:rPr>
          <w:rFonts w:ascii="Times New Roman" w:hAnsi="Times New Roman" w:eastAsia="微软雅黑" w:cs="Times New Roman"/>
          <w:b/>
          <w:color w:val="000000" w:themeColor="text1"/>
          <w:sz w:val="24"/>
          <w:szCs w:val="24"/>
          <w14:textFill>
            <w14:solidFill>
              <w14:schemeClr w14:val="tx1"/>
            </w14:solidFill>
          </w14:textFill>
        </w:rPr>
      </w:pPr>
      <w:bookmarkStart w:id="44" w:name="_Toc15289_WPSOffice_Level3"/>
      <w:bookmarkStart w:id="45" w:name="_Toc18091_WPSOffice_Level3"/>
      <w:bookmarkStart w:id="46" w:name="_Toc6931_WPSOffice_Level3"/>
      <w:r>
        <w:rPr>
          <w:rFonts w:hint="eastAsia" w:ascii="Times New Roman" w:hAnsi="Times New Roman" w:eastAsia="微软雅黑" w:cs="Times New Roman"/>
          <w:b/>
          <w:sz w:val="24"/>
          <w:szCs w:val="24"/>
        </w:rPr>
        <w:t>{{ tdd.gene }}</w:t>
      </w:r>
    </w:p>
    <w:bookmarkEnd w:id="44"/>
    <w:bookmarkEnd w:id="45"/>
    <w:bookmarkEnd w:id="46"/>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635DF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71A9EE2">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突变形式</w:t>
            </w:r>
          </w:p>
        </w:tc>
        <w:tc>
          <w:tcPr>
            <w:tcW w:w="8247" w:type="dxa"/>
            <w:tcBorders>
              <w:top w:val="single" w:color="244061" w:sz="18" w:space="0"/>
              <w:left w:val="dashed" w:color="244061" w:sz="4" w:space="0"/>
              <w:bottom w:val="dashed" w:color="244061" w:sz="4" w:space="0"/>
              <w:right w:val="nil"/>
            </w:tcBorders>
            <w:vAlign w:val="center"/>
          </w:tcPr>
          <w:p w14:paraId="134E1986">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tdd.ori_variant }}</w:t>
            </w:r>
          </w:p>
        </w:tc>
      </w:tr>
      <w:tr w14:paraId="18B51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BD9948C">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 tdd.mutFreqType }}</w:t>
            </w:r>
          </w:p>
        </w:tc>
        <w:tc>
          <w:tcPr>
            <w:tcW w:w="8247" w:type="dxa"/>
            <w:tcBorders>
              <w:top w:val="dashed" w:color="244061" w:sz="4" w:space="0"/>
              <w:left w:val="dashed" w:color="244061" w:sz="4" w:space="0"/>
              <w:bottom w:val="dashed" w:color="244061" w:sz="4" w:space="0"/>
              <w:right w:val="nil"/>
            </w:tcBorders>
            <w:vAlign w:val="center"/>
          </w:tcPr>
          <w:p w14:paraId="75249D57">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tdd.mutFreq }}</w:t>
            </w:r>
          </w:p>
        </w:tc>
      </w:tr>
      <w:tr w14:paraId="75D4BA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E73DA3">
            <w:pPr>
              <w:spacing w:before="1" w:line="250" w:lineRule="auto"/>
              <w:jc w:val="center"/>
              <w:rPr>
                <w:rFonts w:ascii="Times New Roman" w:hAnsi="Times New Roman" w:eastAsia="微软雅黑" w:cs="Times New Roman"/>
                <w:color w:val="244061"/>
                <w:sz w:val="18"/>
                <w:szCs w:val="18"/>
              </w:rPr>
            </w:pPr>
            <w:r>
              <w:rPr>
                <w:rFonts w:ascii="Times New Roman" w:hAnsi="Times New Roman" w:eastAsia="微软雅黑" w:cs="Times New Roman"/>
                <w:b/>
                <w:color w:val="244061"/>
                <w:sz w:val="18"/>
                <w:szCs w:val="18"/>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3347BAB">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F7926DD">
            <w:pPr>
              <w:spacing w:before="1" w:line="250" w:lineRule="auto"/>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tdd.drugaStr == [] %}无{% else%}{% for d in tdd.drugaStr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AE981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D09BF15">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F472CD">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50B26">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tdd.drugbStr == [] %}无{% else%}{% for d in tdd.drugbStr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0BBCE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B0E7DE9">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6011B33">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37D5F46">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tdd.drugcStr == [] %}无{% else%}{% for d in tdd.drugcStr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88A13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8338D8B">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CA0EE6">
            <w:pPr>
              <w:spacing w:before="1" w:line="250" w:lineRule="auto"/>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AA5BA2">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19FAD1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4215B58">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EB9F8BD">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F884639">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010162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3858DC">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AB5C6C3">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A9714B0">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58E10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2CBC0A">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836A8EC">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3FB2A2E">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2C2A4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62EE68C">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04F4F85">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DAA5FCF">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2A06D4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E0ECD2F">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48E2895F">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for md in tdd.medicationDescription %}{% if md.key == '突变说明</w:t>
            </w:r>
            <w:r>
              <w:rPr>
                <w:rFonts w:ascii="Times New Roman" w:hAnsi="Times New Roman" w:eastAsia="微软雅黑" w:cs="Times New Roman"/>
                <w:sz w:val="18"/>
                <w:szCs w:val="18"/>
              </w:rPr>
              <w:t>:</w:t>
            </w:r>
            <w:r>
              <w:rPr>
                <w:rFonts w:hint="eastAsia" w:ascii="Times New Roman" w:hAnsi="Times New Roman" w:eastAsia="微软雅黑" w:cs="Times New Roman"/>
                <w:sz w:val="18"/>
                <w:szCs w:val="18"/>
              </w:rPr>
              <w:t>' %}</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 elif md.value == '' %}{% else%}</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w:t>
            </w:r>
          </w:p>
          <w:p w14:paraId="35BCE0BF">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endif %}{% endfor %}</w:t>
            </w:r>
          </w:p>
        </w:tc>
      </w:tr>
    </w:tbl>
    <w:p w14:paraId="630200AA">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{%if tdd.drugResearchList != [] %}</w:t>
      </w:r>
    </w:p>
    <w:p w14:paraId="5EE062F5">
      <w:pPr>
        <w:keepNext/>
        <w:spacing w:before="26"/>
        <w:ind w:left="414"/>
        <w:rPr>
          <w:rFonts w:ascii="Times New Roman" w:hAnsi="Times New Roman" w:eastAsia="微软雅黑" w:cs="Times New Roman"/>
          <w:b/>
          <w:sz w:val="24"/>
        </w:rPr>
      </w:pPr>
      <w:r>
        <w:rPr>
          <w:rFonts w:ascii="Times New Roman" w:hAnsi="Times New Roman" w:eastAsia="微软雅黑" w:cs="Times New Roman"/>
          <w:b/>
          <w:sz w:val="24"/>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54F49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61412BBE">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C37F097">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9159F28">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3D879441">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4530B9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DC261DA">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tdd.drugResearchList %}</w:t>
            </w:r>
          </w:p>
        </w:tc>
      </w:tr>
      <w:tr w14:paraId="743FC6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93D743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59FBBD8">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1BF615ED">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95" w:type="dxa"/>
            <w:tcBorders>
              <w:top w:val="dashed" w:color="244061" w:sz="4" w:space="0"/>
              <w:left w:val="dashed" w:color="244061" w:sz="4" w:space="0"/>
              <w:bottom w:val="dashed" w:color="244061" w:sz="4" w:space="0"/>
              <w:right w:val="nil"/>
            </w:tcBorders>
            <w:vAlign w:val="center"/>
          </w:tcPr>
          <w:p w14:paraId="4AB3F160">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75B801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4DA6091A">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2F21BAD9">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%}{%if tdd.potentialDrugList != [] %}</w:t>
      </w:r>
    </w:p>
    <w:p w14:paraId="3C09EB47">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37342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393D177">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38D7B7CB">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61" w:type="dxa"/>
            <w:tcBorders>
              <w:tl2br w:val="nil"/>
              <w:tr2bl w:val="nil"/>
            </w:tcBorders>
            <w:shd w:val="clear" w:color="auto" w:fill="auto"/>
            <w:vAlign w:val="center"/>
          </w:tcPr>
          <w:p w14:paraId="46B2C05C">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66" w:type="dxa"/>
            <w:tcBorders>
              <w:tl2br w:val="nil"/>
              <w:tr2bl w:val="nil"/>
            </w:tcBorders>
            <w:shd w:val="clear" w:color="auto" w:fill="auto"/>
            <w:vAlign w:val="center"/>
          </w:tcPr>
          <w:p w14:paraId="528A6C8D">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1D9D5D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7DD3DED">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w:t>
            </w:r>
            <w:r>
              <w:rPr>
                <w:rFonts w:ascii="Times New Roman" w:hAnsi="Times New Roman" w:eastAsia="微软雅黑" w:cs="Times New Roman"/>
                <w:b/>
                <w:sz w:val="18"/>
                <w:szCs w:val="18"/>
              </w:rPr>
              <w:t>potentialDrugList</w:t>
            </w:r>
            <w:r>
              <w:rPr>
                <w:rFonts w:hint="eastAsia" w:ascii="Times New Roman" w:hAnsi="Times New Roman" w:eastAsia="微软雅黑" w:cs="Times New Roman"/>
                <w:b/>
                <w:sz w:val="18"/>
                <w:szCs w:val="18"/>
              </w:rPr>
              <w:t xml:space="preserve"> %}</w:t>
            </w:r>
          </w:p>
        </w:tc>
      </w:tr>
      <w:tr w14:paraId="0720E85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9079F2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7471766E">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61" w:type="dxa"/>
            <w:tcBorders>
              <w:tl2br w:val="nil"/>
              <w:tr2bl w:val="nil"/>
            </w:tcBorders>
            <w:vAlign w:val="center"/>
          </w:tcPr>
          <w:p w14:paraId="3FD93CF1">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66" w:type="dxa"/>
            <w:tcBorders>
              <w:tl2br w:val="nil"/>
              <w:tr2bl w:val="nil"/>
            </w:tcBorders>
            <w:vAlign w:val="center"/>
          </w:tcPr>
          <w:p w14:paraId="0C03C172">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6892074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47F093C">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452E2FBF">
      <w:pPr>
        <w:ind w:left="412"/>
        <w:jc w:val="both"/>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 endfor %}{% for vus in unknownVarAnalysisStr %}</w:t>
      </w:r>
    </w:p>
    <w:p w14:paraId="17EA7D05">
      <w:pPr>
        <w:keepNext/>
        <w:numPr>
          <w:ilvl w:val="0"/>
          <w:numId w:val="8"/>
        </w:numPr>
        <w:spacing w:before="120" w:beforeLines="50" w:after="120" w:afterLines="50"/>
        <w:ind w:firstLine="20"/>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999A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19CAD8FF">
            <w:pPr>
              <w:keepNext/>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突变形式</w:t>
            </w:r>
          </w:p>
        </w:tc>
        <w:tc>
          <w:tcPr>
            <w:tcW w:w="8027" w:type="dxa"/>
            <w:tcBorders>
              <w:top w:val="single" w:color="244061" w:sz="18" w:space="0"/>
              <w:left w:val="dashed" w:color="244061" w:sz="4" w:space="0"/>
              <w:bottom w:val="dashed" w:color="244061" w:sz="4" w:space="0"/>
              <w:right w:val="nil"/>
            </w:tcBorders>
            <w:vAlign w:val="center"/>
          </w:tcPr>
          <w:p w14:paraId="15F3809C">
            <w:pPr>
              <w:keepNext/>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rPr>
              <w:t>{{ vus.ori_variant }}</w:t>
            </w:r>
          </w:p>
        </w:tc>
      </w:tr>
      <w:tr w14:paraId="0C577A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7F15824">
            <w:pPr>
              <w:keepNext/>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突变说明</w:t>
            </w:r>
          </w:p>
        </w:tc>
        <w:tc>
          <w:tcPr>
            <w:tcW w:w="8027" w:type="dxa"/>
            <w:tcBorders>
              <w:top w:val="dashed" w:color="244061" w:sz="4" w:space="0"/>
              <w:left w:val="dashed" w:color="244061" w:sz="4" w:space="0"/>
              <w:bottom w:val="dashed" w:color="244061" w:sz="4" w:space="0"/>
              <w:right w:val="nil"/>
            </w:tcBorders>
            <w:vAlign w:val="center"/>
          </w:tcPr>
          <w:p w14:paraId="60CF50B1">
            <w:pPr>
              <w:keepNext/>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rPr>
              <w:t>{{ vus.mutDesc }}</w:t>
            </w:r>
          </w:p>
        </w:tc>
      </w:tr>
      <w:tr w14:paraId="4B9A18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30574C7">
            <w:pPr>
              <w:keepNext/>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基因说明</w:t>
            </w:r>
          </w:p>
        </w:tc>
        <w:tc>
          <w:tcPr>
            <w:tcW w:w="8027" w:type="dxa"/>
            <w:tcBorders>
              <w:top w:val="dashed" w:color="244061" w:sz="4" w:space="0"/>
              <w:left w:val="dashed" w:color="244061" w:sz="4" w:space="0"/>
              <w:bottom w:val="dashed" w:color="244061" w:sz="4" w:space="0"/>
              <w:right w:val="nil"/>
            </w:tcBorders>
            <w:vAlign w:val="center"/>
          </w:tcPr>
          <w:p w14:paraId="535DABF1">
            <w:pPr>
              <w:keepNext/>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vus.gene_description_chinese }}</w:t>
            </w:r>
          </w:p>
        </w:tc>
      </w:tr>
    </w:tbl>
    <w:p w14:paraId="71AA4860">
      <w:pP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endfor %}{% for tdd in ComplexDrugStr %}</w:t>
      </w:r>
    </w:p>
    <w:p w14:paraId="2CA78A54">
      <w:pPr>
        <w:keepNext/>
        <w:numPr>
          <w:ilvl w:val="0"/>
          <w:numId w:val="8"/>
        </w:numPr>
        <w:spacing w:before="120" w:beforeLines="50" w:after="120" w:afterLines="50"/>
        <w:ind w:firstLine="20"/>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E1D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272914F">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突变形式</w:t>
            </w:r>
          </w:p>
        </w:tc>
        <w:tc>
          <w:tcPr>
            <w:tcW w:w="8247" w:type="dxa"/>
            <w:tcBorders>
              <w:top w:val="single" w:color="244061" w:sz="18" w:space="0"/>
              <w:left w:val="dashed" w:color="244061" w:sz="4" w:space="0"/>
              <w:bottom w:val="dashed" w:color="244061" w:sz="4" w:space="0"/>
              <w:right w:val="nil"/>
            </w:tcBorders>
            <w:vAlign w:val="center"/>
          </w:tcPr>
          <w:p w14:paraId="703D408A">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w:t>
            </w:r>
          </w:p>
        </w:tc>
      </w:tr>
      <w:tr w14:paraId="4273E8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0B95CC9E">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 tdd.mutFreqType }}</w:t>
            </w:r>
          </w:p>
        </w:tc>
        <w:tc>
          <w:tcPr>
            <w:tcW w:w="8247" w:type="dxa"/>
            <w:tcBorders>
              <w:top w:val="dashed" w:color="244061" w:sz="4" w:space="0"/>
              <w:left w:val="dashed" w:color="244061" w:sz="4" w:space="0"/>
              <w:bottom w:val="dashed" w:color="244061" w:sz="4" w:space="0"/>
              <w:right w:val="nil"/>
            </w:tcBorders>
            <w:vAlign w:val="center"/>
          </w:tcPr>
          <w:p w14:paraId="0CD780C6">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tdd.mutFreq }}</w:t>
            </w:r>
          </w:p>
        </w:tc>
      </w:tr>
      <w:tr w14:paraId="7594A7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3A47B0F">
            <w:pPr>
              <w:spacing w:before="1" w:line="250" w:lineRule="auto"/>
              <w:jc w:val="center"/>
              <w:rPr>
                <w:rFonts w:ascii="Times New Roman" w:hAnsi="Times New Roman" w:eastAsia="微软雅黑" w:cs="Times New Roman"/>
                <w:color w:val="244061"/>
                <w:sz w:val="18"/>
                <w:szCs w:val="18"/>
              </w:rPr>
            </w:pPr>
            <w:r>
              <w:rPr>
                <w:rFonts w:ascii="Times New Roman" w:hAnsi="Times New Roman" w:eastAsia="微软雅黑" w:cs="Times New Roman"/>
                <w:b/>
                <w:color w:val="244061"/>
                <w:sz w:val="18"/>
                <w:szCs w:val="18"/>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11F686">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2B20C3">
            <w:pPr>
              <w:spacing w:before="1" w:line="250" w:lineRule="auto"/>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tdd.drugaStr == [] %}无{% else%}{% for d in tdd.drugaStr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020740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EB4227">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55ABDB">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FAEDAA8">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tdd.drugbStr == [] %}无{% else%}{% for d in tdd.drugbStr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58456C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B48873B">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878DB98">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F8D3C0C">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tdd.drugcStr == [] %}无{% else%}{% for d in tdd.drugcStr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4B7847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A5D8A27">
            <w:pPr>
              <w:spacing w:before="1" w:line="250" w:lineRule="auto"/>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18A0455">
            <w:pPr>
              <w:spacing w:before="1" w:line="250" w:lineRule="auto"/>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6D52EFB">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1D7D57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606EE24B">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EC3D3A">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9F595B7">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E582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C9021E0">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070856F">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7BBE54B">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44B0BC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7AAB584">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B025899">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40DE902">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10637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B33E5BB">
            <w:pPr>
              <w:keepNext/>
              <w:spacing w:before="26"/>
              <w:jc w:val="center"/>
              <w:rPr>
                <w:rFonts w:ascii="Times New Roman" w:hAnsi="Times New Roman" w:eastAsia="微软雅黑" w:cs="Times New Roman"/>
                <w:b/>
                <w:color w:val="244061"/>
                <w:sz w:val="18"/>
                <w:szCs w:val="18"/>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1010D07">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5D9411">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75F03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6979554">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404899E6">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for md in tdd.medicationDescription %}{% if md.key == '突变说明</w:t>
            </w:r>
            <w:r>
              <w:rPr>
                <w:rFonts w:ascii="Times New Roman" w:hAnsi="Times New Roman" w:eastAsia="微软雅黑" w:cs="Times New Roman"/>
                <w:sz w:val="18"/>
                <w:szCs w:val="18"/>
              </w:rPr>
              <w:t>:</w:t>
            </w:r>
            <w:r>
              <w:rPr>
                <w:rFonts w:hint="eastAsia" w:ascii="Times New Roman" w:hAnsi="Times New Roman" w:eastAsia="微软雅黑" w:cs="Times New Roman"/>
                <w:sz w:val="18"/>
                <w:szCs w:val="18"/>
              </w:rPr>
              <w:t>' %}</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 elif md.value == '' %}{% else%}</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w:t>
            </w:r>
          </w:p>
          <w:p w14:paraId="3C44D2FD">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endif %}{% endfor %}</w:t>
            </w:r>
          </w:p>
        </w:tc>
      </w:tr>
    </w:tbl>
    <w:p w14:paraId="5323E17E">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{%if tdd.drugResearchList != [] %}</w:t>
      </w:r>
    </w:p>
    <w:p w14:paraId="228E7F0F">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5E564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FAD2596">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4087BBBE">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32" w:type="dxa"/>
            <w:tcBorders>
              <w:tl2br w:val="nil"/>
              <w:tr2bl w:val="nil"/>
            </w:tcBorders>
            <w:shd w:val="clear" w:color="auto" w:fill="auto"/>
            <w:vAlign w:val="center"/>
          </w:tcPr>
          <w:p w14:paraId="323A301B">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95" w:type="dxa"/>
            <w:tcBorders>
              <w:tl2br w:val="nil"/>
              <w:tr2bl w:val="nil"/>
            </w:tcBorders>
            <w:shd w:val="clear" w:color="auto" w:fill="auto"/>
            <w:vAlign w:val="center"/>
          </w:tcPr>
          <w:p w14:paraId="7D544B9B">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519C9CA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C45ECDC">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tdd.drugResearchList %}</w:t>
            </w:r>
          </w:p>
        </w:tc>
      </w:tr>
      <w:tr w14:paraId="17D7FE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03349E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4AA7E1F6">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32" w:type="dxa"/>
            <w:tcBorders>
              <w:tl2br w:val="nil"/>
              <w:tr2bl w:val="nil"/>
            </w:tcBorders>
            <w:vAlign w:val="center"/>
          </w:tcPr>
          <w:p w14:paraId="2594848B">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95" w:type="dxa"/>
            <w:tcBorders>
              <w:tl2br w:val="nil"/>
              <w:tr2bl w:val="nil"/>
            </w:tcBorders>
            <w:vAlign w:val="center"/>
          </w:tcPr>
          <w:p w14:paraId="4DAD991E">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409C0E5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4579FD8">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3DDEF68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%}{%if tdd.potentialDrugList != [] %}</w:t>
      </w:r>
    </w:p>
    <w:p w14:paraId="2DA44122">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1156BE6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1636FA6">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2EBEF2EC">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61" w:type="dxa"/>
            <w:tcBorders>
              <w:tl2br w:val="nil"/>
              <w:tr2bl w:val="nil"/>
            </w:tcBorders>
            <w:shd w:val="clear" w:color="auto" w:fill="auto"/>
            <w:vAlign w:val="center"/>
          </w:tcPr>
          <w:p w14:paraId="6E7A0360">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66" w:type="dxa"/>
            <w:tcBorders>
              <w:tl2br w:val="nil"/>
              <w:tr2bl w:val="nil"/>
            </w:tcBorders>
            <w:shd w:val="clear" w:color="auto" w:fill="auto"/>
            <w:vAlign w:val="center"/>
          </w:tcPr>
          <w:p w14:paraId="59E06A31">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387F3C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7D459A0">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w:t>
            </w:r>
            <w:r>
              <w:rPr>
                <w:rFonts w:ascii="Times New Roman" w:hAnsi="Times New Roman" w:eastAsia="微软雅黑" w:cs="Times New Roman"/>
                <w:b/>
                <w:sz w:val="18"/>
                <w:szCs w:val="18"/>
              </w:rPr>
              <w:t>potentialDrugList</w:t>
            </w:r>
            <w:r>
              <w:rPr>
                <w:rFonts w:hint="eastAsia" w:ascii="Times New Roman" w:hAnsi="Times New Roman" w:eastAsia="微软雅黑" w:cs="Times New Roman"/>
                <w:b/>
                <w:sz w:val="18"/>
                <w:szCs w:val="18"/>
              </w:rPr>
              <w:t xml:space="preserve"> %}</w:t>
            </w:r>
          </w:p>
        </w:tc>
      </w:tr>
      <w:tr w14:paraId="564DCAC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44FFB0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0B5D18BA">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61" w:type="dxa"/>
            <w:tcBorders>
              <w:tl2br w:val="nil"/>
              <w:tr2bl w:val="nil"/>
            </w:tcBorders>
            <w:vAlign w:val="center"/>
          </w:tcPr>
          <w:p w14:paraId="0D8A565D">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66" w:type="dxa"/>
            <w:tcBorders>
              <w:tl2br w:val="nil"/>
              <w:tr2bl w:val="nil"/>
            </w:tcBorders>
            <w:vAlign w:val="center"/>
          </w:tcPr>
          <w:p w14:paraId="0F1FE982">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42CC703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1696175">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37F9B5FD">
      <w:pPr>
        <w:ind w:left="412"/>
        <w:jc w:val="both"/>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 endfor %}{% endif %}</w:t>
      </w:r>
      <w:r>
        <w:rPr>
          <w:rFonts w:hint="eastAsia" w:ascii="Times New Roman" w:hAnsi="Times New Roman" w:eastAsia="微软雅黑" w:cs="Times New Roman"/>
          <w:b/>
          <w:sz w:val="24"/>
          <w:szCs w:val="24"/>
        </w:rPr>
        <w:br w:type="page"/>
      </w:r>
    </w:p>
    <w:p w14:paraId="01C77F35">
      <w:pPr>
        <w:pStyle w:val="3"/>
        <w:jc w:val="both"/>
        <w:rPr>
          <w:rFonts w:hint="eastAsia" w:ascii="微软雅黑" w:hAnsi="微软雅黑" w:eastAsia="微软雅黑" w:cs="微软雅黑"/>
          <w:color w:val="254061" w:themeColor="accent1" w:themeShade="80"/>
          <w:sz w:val="28"/>
          <w:szCs w:val="28"/>
        </w:rPr>
      </w:pPr>
      <w:bookmarkStart w:id="47" w:name="_Toc9494"/>
      <w:bookmarkStart w:id="48" w:name="_Toc9080"/>
      <w:bookmarkStart w:id="49" w:name="_Toc11393"/>
      <w:r>
        <w:rPr>
          <w:rFonts w:hint="eastAsia" w:ascii="微软雅黑" w:hAnsi="微软雅黑" w:eastAsia="微软雅黑" w:cs="微软雅黑"/>
          <w:color w:val="254061" w:themeColor="accent1" w:themeShade="80"/>
          <w:sz w:val="28"/>
          <w:szCs w:val="28"/>
        </w:rPr>
        <w:t>2 胚系变异结果解析</w:t>
      </w:r>
    </w:p>
    <w:p w14:paraId="5D67D4FE">
      <w:pPr>
        <w:pStyle w:val="55"/>
        <w:ind w:firstLine="439" w:firstLineChars="183"/>
        <w:rPr>
          <w:color w:val="244061"/>
        </w:rPr>
      </w:pPr>
      <w:r>
        <w:rPr>
          <w:rFonts w:hint="eastAsia"/>
          <w:color w:val="244061"/>
        </w:rPr>
        <w:t>{%if geneticCancerRiskInfo %}{% for tdd in geneticCancerRiskInfo %}</w:t>
      </w:r>
    </w:p>
    <w:p w14:paraId="7362EBB7">
      <w:pPr>
        <w:keepNext/>
        <w:numPr>
          <w:ilvl w:val="0"/>
          <w:numId w:val="8"/>
        </w:numPr>
        <w:spacing w:before="120" w:beforeLines="50" w:after="120" w:afterLines="50"/>
        <w:ind w:firstLine="20"/>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53F35F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34F9BB59">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突变形式</w:t>
            </w:r>
          </w:p>
        </w:tc>
        <w:tc>
          <w:tcPr>
            <w:tcW w:w="8247" w:type="dxa"/>
            <w:tcBorders>
              <w:tl2br w:val="nil"/>
              <w:tr2bl w:val="nil"/>
            </w:tcBorders>
            <w:vAlign w:val="center"/>
          </w:tcPr>
          <w:p w14:paraId="6B952683">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tdd.ori_variant }}</w:t>
            </w:r>
          </w:p>
        </w:tc>
      </w:tr>
      <w:tr w14:paraId="19AFE7C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3AB60BB5">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 tdd.mutFreqType }}</w:t>
            </w:r>
          </w:p>
        </w:tc>
        <w:tc>
          <w:tcPr>
            <w:tcW w:w="8247" w:type="dxa"/>
            <w:tcBorders>
              <w:tl2br w:val="nil"/>
              <w:tr2bl w:val="nil"/>
            </w:tcBorders>
            <w:vAlign w:val="center"/>
          </w:tcPr>
          <w:p w14:paraId="74EBEB54">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tdd.mutFreq }}</w:t>
            </w:r>
          </w:p>
        </w:tc>
      </w:tr>
      <w:tr w14:paraId="6A48C7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0C5BBDA6">
            <w:pPr>
              <w:spacing w:before="1" w:line="250" w:lineRule="auto"/>
              <w:jc w:val="center"/>
              <w:rPr>
                <w:rFonts w:ascii="Times New Roman" w:hAnsi="Times New Roman" w:eastAsia="微软雅黑" w:cs="Times New Roman"/>
                <w:color w:val="244061"/>
                <w:sz w:val="18"/>
                <w:szCs w:val="18"/>
              </w:rPr>
            </w:pPr>
            <w:r>
              <w:rPr>
                <w:rFonts w:ascii="Times New Roman" w:hAnsi="Times New Roman" w:eastAsia="微软雅黑" w:cs="Times New Roman"/>
                <w:b/>
                <w:color w:val="244061"/>
                <w:sz w:val="18"/>
                <w:szCs w:val="18"/>
              </w:rPr>
              <w:t>潜在获益药物</w:t>
            </w:r>
          </w:p>
        </w:tc>
        <w:tc>
          <w:tcPr>
            <w:tcW w:w="1191" w:type="dxa"/>
            <w:tcBorders>
              <w:tl2br w:val="nil"/>
              <w:tr2bl w:val="nil"/>
            </w:tcBorders>
            <w:shd w:val="clear" w:color="auto" w:fill="auto"/>
            <w:vAlign w:val="center"/>
          </w:tcPr>
          <w:p w14:paraId="3687428D">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l2br w:val="nil"/>
              <w:tr2bl w:val="nil"/>
            </w:tcBorders>
            <w:shd w:val="clear" w:color="auto" w:fill="auto"/>
            <w:vAlign w:val="center"/>
          </w:tcPr>
          <w:p w14:paraId="7E10EC5E">
            <w:pPr>
              <w:spacing w:before="1" w:line="250" w:lineRule="auto"/>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tdd.drugaStr == [] %}无{% else%}{% for d in tdd.drugaStr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028E4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519CB46">
            <w:pPr>
              <w:spacing w:before="1" w:line="250" w:lineRule="auto"/>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4997ED22">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l2br w:val="nil"/>
              <w:tr2bl w:val="nil"/>
            </w:tcBorders>
            <w:shd w:val="clear" w:color="auto" w:fill="auto"/>
            <w:vAlign w:val="center"/>
          </w:tcPr>
          <w:p w14:paraId="64710DBC">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tdd.drugbStr == [] %}无{% else%}{% for d in tdd.drugbStr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081E30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BC293A2">
            <w:pPr>
              <w:spacing w:before="1" w:line="250" w:lineRule="auto"/>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12A66274">
            <w:pPr>
              <w:spacing w:before="1" w:line="250" w:lineRule="auto"/>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l2br w:val="nil"/>
              <w:tr2bl w:val="nil"/>
            </w:tcBorders>
            <w:shd w:val="clear" w:color="auto" w:fill="auto"/>
            <w:vAlign w:val="center"/>
          </w:tcPr>
          <w:p w14:paraId="141BC340">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tdd.drugcStr == [] %}无{% else%}{% for d in tdd.drugcStr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64020BC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92B7549">
            <w:pPr>
              <w:spacing w:before="1" w:line="250" w:lineRule="auto"/>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633F2ECF">
            <w:pPr>
              <w:spacing w:before="1" w:line="250" w:lineRule="auto"/>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l2br w:val="nil"/>
              <w:tr2bl w:val="nil"/>
            </w:tcBorders>
            <w:shd w:val="clear" w:color="auto" w:fill="auto"/>
            <w:vAlign w:val="center"/>
          </w:tcPr>
          <w:p w14:paraId="09F3AB5F">
            <w:pPr>
              <w:keepNext/>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sz w:val="18"/>
                <w:szCs w:val="18"/>
              </w:rPr>
              <w:t>{% if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tdd.drug</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132629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3D8A3725">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潜在耐药信息</w:t>
            </w:r>
          </w:p>
        </w:tc>
        <w:tc>
          <w:tcPr>
            <w:tcW w:w="1191" w:type="dxa"/>
            <w:tcBorders>
              <w:tl2br w:val="nil"/>
              <w:tr2bl w:val="nil"/>
            </w:tcBorders>
            <w:shd w:val="clear" w:color="auto" w:fill="auto"/>
            <w:vAlign w:val="center"/>
          </w:tcPr>
          <w:p w14:paraId="7A725137">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A级</w:t>
            </w:r>
          </w:p>
        </w:tc>
        <w:tc>
          <w:tcPr>
            <w:tcW w:w="8247" w:type="dxa"/>
            <w:tcBorders>
              <w:tl2br w:val="nil"/>
              <w:tr2bl w:val="nil"/>
            </w:tcBorders>
            <w:shd w:val="clear" w:color="auto" w:fill="auto"/>
            <w:vAlign w:val="center"/>
          </w:tcPr>
          <w:p w14:paraId="0EA2B5D3">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a</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57F6E79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A11441F">
            <w:pPr>
              <w:keepNext/>
              <w:spacing w:before="26"/>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436F3234">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B级</w:t>
            </w:r>
          </w:p>
        </w:tc>
        <w:tc>
          <w:tcPr>
            <w:tcW w:w="8247" w:type="dxa"/>
            <w:tcBorders>
              <w:tl2br w:val="nil"/>
              <w:tr2bl w:val="nil"/>
            </w:tcBorders>
            <w:shd w:val="clear" w:color="auto" w:fill="auto"/>
            <w:vAlign w:val="center"/>
          </w:tcPr>
          <w:p w14:paraId="1BE5BFAC">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b</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1ABD24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361FC8AD">
            <w:pPr>
              <w:keepNext/>
              <w:spacing w:before="26"/>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7C62647E">
            <w:pPr>
              <w:keepNext/>
              <w:spacing w:before="26"/>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C级</w:t>
            </w:r>
          </w:p>
        </w:tc>
        <w:tc>
          <w:tcPr>
            <w:tcW w:w="8247" w:type="dxa"/>
            <w:tcBorders>
              <w:tl2br w:val="nil"/>
              <w:tr2bl w:val="nil"/>
            </w:tcBorders>
            <w:shd w:val="clear" w:color="auto" w:fill="auto"/>
            <w:vAlign w:val="center"/>
          </w:tcPr>
          <w:p w14:paraId="65B63932">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c</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70A71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51E0933">
            <w:pPr>
              <w:keepNext/>
              <w:spacing w:before="26"/>
              <w:jc w:val="center"/>
              <w:rPr>
                <w:rFonts w:ascii="Times New Roman" w:hAnsi="Times New Roman" w:eastAsia="微软雅黑" w:cs="Times New Roman"/>
                <w:b/>
                <w:color w:val="244061"/>
                <w:sz w:val="18"/>
                <w:szCs w:val="18"/>
              </w:rPr>
            </w:pPr>
          </w:p>
        </w:tc>
        <w:tc>
          <w:tcPr>
            <w:tcW w:w="1191" w:type="dxa"/>
            <w:tcBorders>
              <w:tl2br w:val="nil"/>
              <w:tr2bl w:val="nil"/>
            </w:tcBorders>
            <w:shd w:val="clear" w:color="auto" w:fill="auto"/>
            <w:vAlign w:val="center"/>
          </w:tcPr>
          <w:p w14:paraId="4C53E5FC">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D</w:t>
            </w:r>
            <w:r>
              <w:rPr>
                <w:rFonts w:ascii="Times New Roman" w:hAnsi="Times New Roman" w:eastAsia="微软雅黑" w:cs="Times New Roman"/>
                <w:b/>
                <w:color w:val="244061"/>
                <w:sz w:val="18"/>
                <w:szCs w:val="18"/>
              </w:rPr>
              <w:t>级</w:t>
            </w:r>
          </w:p>
        </w:tc>
        <w:tc>
          <w:tcPr>
            <w:tcW w:w="8247" w:type="dxa"/>
            <w:tcBorders>
              <w:tl2br w:val="nil"/>
              <w:tr2bl w:val="nil"/>
            </w:tcBorders>
            <w:shd w:val="clear" w:color="auto" w:fill="auto"/>
            <w:vAlign w:val="center"/>
          </w:tcPr>
          <w:p w14:paraId="49AAC312">
            <w:pPr>
              <w:keepNext/>
              <w:spacing w:before="26"/>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 if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 [] %}无{% else%}{% for d in tdd.resistant</w:t>
            </w:r>
            <w:r>
              <w:rPr>
                <w:rFonts w:hint="eastAsia" w:ascii="Times New Roman" w:hAnsi="Times New Roman" w:eastAsia="微软雅黑" w:cs="Times New Roman"/>
                <w:sz w:val="18"/>
                <w:szCs w:val="18"/>
              </w:rPr>
              <w:t>d</w:t>
            </w:r>
            <w:r>
              <w:rPr>
                <w:rFonts w:ascii="Times New Roman" w:hAnsi="Times New Roman" w:eastAsia="微软雅黑" w:cs="Times New Roman"/>
                <w:sz w:val="18"/>
                <w:szCs w:val="18"/>
              </w:rPr>
              <w:t>Str %}{%if loop.last%}</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{%else%}</w:t>
            </w:r>
            <w:r>
              <w:rPr>
                <w:rFonts w:hint="eastAsia" w:ascii="Times New Roman" w:hAnsi="Times New Roman" w:eastAsia="微软雅黑" w:cs="Times New Roman"/>
                <w:sz w:val="18"/>
                <w:szCs w:val="18"/>
              </w:rPr>
              <w:t>{{ d.nameLevel }}</w:t>
            </w:r>
            <w:r>
              <w:rPr>
                <w:rFonts w:ascii="Times New Roman" w:hAnsi="Times New Roman" w:eastAsia="微软雅黑" w:cs="Times New Roman"/>
                <w:sz w:val="18"/>
                <w:szCs w:val="18"/>
              </w:rPr>
              <w:t>，{%endif%}{% endfor %}{% endif%}</w:t>
            </w:r>
          </w:p>
        </w:tc>
      </w:tr>
      <w:tr w14:paraId="360643C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26A43A1E">
            <w:pPr>
              <w:keepNext/>
              <w:spacing w:before="26"/>
              <w:jc w:val="center"/>
              <w:rPr>
                <w:rFonts w:ascii="Times New Roman" w:hAnsi="Times New Roman" w:eastAsia="微软雅黑" w:cs="Times New Roman"/>
                <w:b/>
                <w:color w:val="244061"/>
                <w:sz w:val="18"/>
                <w:szCs w:val="18"/>
              </w:rPr>
            </w:pPr>
            <w:r>
              <w:rPr>
                <w:rFonts w:hint="eastAsia" w:ascii="Times New Roman" w:hAnsi="Times New Roman" w:eastAsia="微软雅黑" w:cs="Times New Roman"/>
                <w:b/>
                <w:color w:val="244061"/>
                <w:sz w:val="18"/>
                <w:szCs w:val="18"/>
              </w:rPr>
              <w:t>基因突变相关说明</w:t>
            </w:r>
          </w:p>
        </w:tc>
        <w:tc>
          <w:tcPr>
            <w:tcW w:w="8247" w:type="dxa"/>
            <w:tcBorders>
              <w:tl2br w:val="nil"/>
              <w:tr2bl w:val="nil"/>
            </w:tcBorders>
            <w:vAlign w:val="center"/>
          </w:tcPr>
          <w:p w14:paraId="05564CEB">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for md in tdd.medicationDescription %}{% if md.key == '变异解析</w:t>
            </w:r>
            <w:r>
              <w:rPr>
                <w:rFonts w:ascii="Times New Roman" w:hAnsi="Times New Roman" w:eastAsia="微软雅黑" w:cs="Times New Roman"/>
                <w:sz w:val="18"/>
                <w:szCs w:val="18"/>
              </w:rPr>
              <w:t>:</w:t>
            </w:r>
            <w:r>
              <w:rPr>
                <w:rFonts w:hint="eastAsia" w:ascii="Times New Roman" w:hAnsi="Times New Roman" w:eastAsia="微软雅黑" w:cs="Times New Roman"/>
                <w:sz w:val="18"/>
                <w:szCs w:val="18"/>
              </w:rPr>
              <w:t>' %}</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 elif md.value == '' %}{% else%}</w:t>
            </w:r>
            <w:r>
              <w:rPr>
                <w:rFonts w:hint="eastAsia" w:ascii="Times New Roman" w:hAnsi="Times New Roman" w:eastAsia="微软雅黑" w:cs="Times New Roman"/>
                <w:b/>
                <w:bCs/>
                <w:sz w:val="18"/>
                <w:szCs w:val="18"/>
              </w:rPr>
              <w:t>{{md.key}}</w:t>
            </w:r>
            <w:r>
              <w:rPr>
                <w:rFonts w:hint="eastAsia" w:ascii="Times New Roman" w:hAnsi="Times New Roman" w:eastAsia="微软雅黑" w:cs="Times New Roman"/>
                <w:sz w:val="18"/>
                <w:szCs w:val="18"/>
              </w:rPr>
              <w:t>{{md.value}}</w:t>
            </w:r>
          </w:p>
          <w:p w14:paraId="5AD199CD">
            <w:pPr>
              <w:keepNext/>
              <w:spacing w:before="26"/>
              <w:rPr>
                <w:rFonts w:ascii="Times New Roman" w:hAnsi="Times New Roman" w:eastAsia="微软雅黑" w:cs="Times New Roman"/>
                <w:sz w:val="18"/>
                <w:szCs w:val="18"/>
              </w:rPr>
            </w:pPr>
            <w:r>
              <w:rPr>
                <w:rFonts w:hint="eastAsia" w:ascii="Times New Roman" w:hAnsi="Times New Roman" w:eastAsia="微软雅黑" w:cs="Times New Roman"/>
                <w:sz w:val="18"/>
                <w:szCs w:val="18"/>
              </w:rPr>
              <w:t>{% endif %}{% endfor %}</w:t>
            </w:r>
          </w:p>
        </w:tc>
      </w:tr>
    </w:tbl>
    <w:p w14:paraId="29634898">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{%if tdd.drugResearchList != [] %}</w:t>
      </w:r>
    </w:p>
    <w:p w14:paraId="60E4A923">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11D7C5C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F398D37">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1DEB473B">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32" w:type="dxa"/>
            <w:tcBorders>
              <w:tl2br w:val="nil"/>
              <w:tr2bl w:val="nil"/>
            </w:tcBorders>
            <w:shd w:val="clear" w:color="auto" w:fill="auto"/>
            <w:vAlign w:val="center"/>
          </w:tcPr>
          <w:p w14:paraId="66186A83">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95" w:type="dxa"/>
            <w:tcBorders>
              <w:tl2br w:val="nil"/>
              <w:tr2bl w:val="nil"/>
            </w:tcBorders>
            <w:shd w:val="clear" w:color="auto" w:fill="auto"/>
            <w:vAlign w:val="center"/>
          </w:tcPr>
          <w:p w14:paraId="51BB19C0">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6D2A8B6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DCA18EA">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tdd.drugResearchList %}</w:t>
            </w:r>
          </w:p>
        </w:tc>
      </w:tr>
      <w:tr w14:paraId="042E966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43278F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6F58268C">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32" w:type="dxa"/>
            <w:tcBorders>
              <w:tl2br w:val="nil"/>
              <w:tr2bl w:val="nil"/>
            </w:tcBorders>
            <w:vAlign w:val="center"/>
          </w:tcPr>
          <w:p w14:paraId="23CBC23F">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95" w:type="dxa"/>
            <w:tcBorders>
              <w:tl2br w:val="nil"/>
              <w:tr2bl w:val="nil"/>
            </w:tcBorders>
            <w:vAlign w:val="center"/>
          </w:tcPr>
          <w:p w14:paraId="5AE7A840">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266C56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A4C2677">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25331055">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 endif %}{%if tdd.potentialDrugList != [] %}</w:t>
      </w:r>
    </w:p>
    <w:p w14:paraId="33065CC1">
      <w:pPr>
        <w:keepNext/>
        <w:spacing w:before="26"/>
        <w:ind w:left="414"/>
        <w:rPr>
          <w:rFonts w:ascii="Times New Roman" w:hAnsi="Times New Roman" w:eastAsia="微软雅黑" w:cs="Times New Roman"/>
          <w:b/>
          <w:sz w:val="24"/>
        </w:rPr>
      </w:pPr>
      <w:r>
        <w:rPr>
          <w:rFonts w:hint="eastAsia" w:ascii="Times New Roman" w:hAnsi="Times New Roman" w:eastAsia="微软雅黑" w:cs="Times New Roman"/>
          <w:b/>
          <w:sz w:val="24"/>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39A76A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62123B8">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药物名称</w:t>
            </w:r>
          </w:p>
        </w:tc>
        <w:tc>
          <w:tcPr>
            <w:tcW w:w="1417" w:type="dxa"/>
            <w:tcBorders>
              <w:tl2br w:val="nil"/>
              <w:tr2bl w:val="nil"/>
            </w:tcBorders>
            <w:shd w:val="clear" w:color="auto" w:fill="auto"/>
            <w:vAlign w:val="center"/>
          </w:tcPr>
          <w:p w14:paraId="106407E3">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相关疾病</w:t>
            </w:r>
          </w:p>
        </w:tc>
        <w:tc>
          <w:tcPr>
            <w:tcW w:w="1261" w:type="dxa"/>
            <w:tcBorders>
              <w:tl2br w:val="nil"/>
              <w:tr2bl w:val="nil"/>
            </w:tcBorders>
            <w:shd w:val="clear" w:color="auto" w:fill="auto"/>
            <w:vAlign w:val="center"/>
          </w:tcPr>
          <w:p w14:paraId="688F5239">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证据</w:t>
            </w:r>
            <w:r>
              <w:rPr>
                <w:rFonts w:hint="eastAsia" w:ascii="Times New Roman" w:hAnsi="Times New Roman" w:eastAsia="微软雅黑" w:cs="Times New Roman"/>
                <w:b/>
                <w:color w:val="244061"/>
                <w:sz w:val="18"/>
                <w:szCs w:val="18"/>
              </w:rPr>
              <w:t>等级</w:t>
            </w:r>
          </w:p>
        </w:tc>
        <w:tc>
          <w:tcPr>
            <w:tcW w:w="5666" w:type="dxa"/>
            <w:tcBorders>
              <w:tl2br w:val="nil"/>
              <w:tr2bl w:val="nil"/>
            </w:tcBorders>
            <w:shd w:val="clear" w:color="auto" w:fill="auto"/>
            <w:vAlign w:val="center"/>
          </w:tcPr>
          <w:p w14:paraId="5D524ED7">
            <w:pPr>
              <w:keepNext/>
              <w:jc w:val="center"/>
              <w:rPr>
                <w:rFonts w:ascii="Times New Roman" w:hAnsi="Times New Roman" w:eastAsia="微软雅黑" w:cs="Times New Roman"/>
                <w:b/>
                <w:color w:val="244061"/>
                <w:sz w:val="18"/>
                <w:szCs w:val="18"/>
              </w:rPr>
            </w:pPr>
            <w:r>
              <w:rPr>
                <w:rFonts w:ascii="Times New Roman" w:hAnsi="Times New Roman" w:eastAsia="微软雅黑" w:cs="Times New Roman"/>
                <w:b/>
                <w:color w:val="244061"/>
                <w:sz w:val="18"/>
                <w:szCs w:val="18"/>
              </w:rPr>
              <w:t>循证医学信息</w:t>
            </w:r>
          </w:p>
        </w:tc>
      </w:tr>
      <w:tr w14:paraId="58048BB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6B8BBAB">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b/>
                <w:sz w:val="18"/>
                <w:szCs w:val="18"/>
              </w:rPr>
              <w:t>{%tr for dis in tdd.</w:t>
            </w:r>
            <w:r>
              <w:rPr>
                <w:rFonts w:ascii="Times New Roman" w:hAnsi="Times New Roman" w:eastAsia="微软雅黑" w:cs="Times New Roman"/>
                <w:b/>
                <w:sz w:val="18"/>
                <w:szCs w:val="18"/>
              </w:rPr>
              <w:t>potentialDrugList</w:t>
            </w:r>
            <w:r>
              <w:rPr>
                <w:rFonts w:hint="eastAsia" w:ascii="Times New Roman" w:hAnsi="Times New Roman" w:eastAsia="微软雅黑" w:cs="Times New Roman"/>
                <w:b/>
                <w:sz w:val="18"/>
                <w:szCs w:val="18"/>
              </w:rPr>
              <w:t xml:space="preserve"> %}</w:t>
            </w:r>
          </w:p>
        </w:tc>
      </w:tr>
      <w:tr w14:paraId="1D130D5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1713B0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rPr>
              <w:t>{{</w:t>
            </w:r>
            <w:r>
              <w:rPr>
                <w:rFonts w:ascii="Times New Roman" w:hAnsi="Times New Roman" w:eastAsia="微软雅黑" w:cs="Times New Roman"/>
                <w:bCs/>
                <w:sz w:val="18"/>
                <w:szCs w:val="18"/>
              </w:rPr>
              <w:t>dis.drug_name_chinese</w:t>
            </w:r>
            <w:r>
              <w:rPr>
                <w:rFonts w:hint="eastAsia" w:ascii="Times New Roman" w:hAnsi="Times New Roman" w:eastAsia="微软雅黑" w:cs="Times New Roman"/>
                <w:bCs/>
                <w:sz w:val="18"/>
                <w:szCs w:val="18"/>
              </w:rPr>
              <w:t>3</w:t>
            </w:r>
            <w:r>
              <w:rPr>
                <w:rFonts w:ascii="Times New Roman" w:hAnsi="Times New Roman" w:eastAsia="微软雅黑" w:cs="Times New Roman"/>
                <w:sz w:val="18"/>
                <w:szCs w:val="18"/>
              </w:rPr>
              <w:t xml:space="preserve"> }}</w:t>
            </w:r>
          </w:p>
        </w:tc>
        <w:tc>
          <w:tcPr>
            <w:tcW w:w="1417" w:type="dxa"/>
            <w:tcBorders>
              <w:tl2br w:val="nil"/>
              <w:tr2bl w:val="nil"/>
            </w:tcBorders>
            <w:vAlign w:val="center"/>
          </w:tcPr>
          <w:p w14:paraId="2FF2814B">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{{dis.</w:t>
            </w:r>
            <w:r>
              <w:rPr>
                <w:rFonts w:hint="eastAsia" w:ascii="Times New Roman" w:hAnsi="Times New Roman" w:eastAsia="微软雅黑" w:cs="Times New Roman"/>
                <w:bCs/>
                <w:sz w:val="18"/>
                <w:szCs w:val="18"/>
              </w:rPr>
              <w:t>disease_name_chinese</w:t>
            </w:r>
            <w:r>
              <w:rPr>
                <w:rFonts w:hint="eastAsia" w:ascii="Times New Roman" w:hAnsi="Times New Roman" w:eastAsia="微软雅黑" w:cs="Times New Roman"/>
                <w:sz w:val="18"/>
                <w:szCs w:val="18"/>
              </w:rPr>
              <w:t>}}</w:t>
            </w:r>
          </w:p>
        </w:tc>
        <w:tc>
          <w:tcPr>
            <w:tcW w:w="1261" w:type="dxa"/>
            <w:tcBorders>
              <w:tl2br w:val="nil"/>
              <w:tr2bl w:val="nil"/>
            </w:tcBorders>
            <w:vAlign w:val="center"/>
          </w:tcPr>
          <w:p w14:paraId="0556D67E">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dis.evidence_phase_chinese</w:t>
            </w:r>
            <w:r>
              <w:rPr>
                <w:rFonts w:hint="eastAsia" w:ascii="Times New Roman" w:hAnsi="Times New Roman" w:eastAsia="微软雅黑" w:cs="Times New Roman"/>
                <w:sz w:val="18"/>
                <w:szCs w:val="18"/>
              </w:rPr>
              <w:t>}}</w:t>
            </w:r>
          </w:p>
        </w:tc>
        <w:tc>
          <w:tcPr>
            <w:tcW w:w="5666" w:type="dxa"/>
            <w:tcBorders>
              <w:tl2br w:val="nil"/>
              <w:tr2bl w:val="nil"/>
            </w:tcBorders>
            <w:vAlign w:val="center"/>
          </w:tcPr>
          <w:p w14:paraId="6F6F54BF">
            <w:pPr>
              <w:keepNext/>
              <w:spacing w:before="26"/>
              <w:jc w:val="center"/>
              <w:rPr>
                <w:rFonts w:ascii="Times New Roman" w:hAnsi="Times New Roman" w:eastAsia="微软雅黑" w:cs="Times New Roman"/>
                <w:bCs/>
                <w:sz w:val="18"/>
                <w:szCs w:val="18"/>
                <w:highlight w:val="yellow"/>
              </w:rPr>
            </w:pPr>
            <w:r>
              <w:rPr>
                <w:rFonts w:hint="eastAsia" w:ascii="Times New Roman" w:hAnsi="Times New Roman" w:eastAsia="微软雅黑" w:cs="Times New Roman"/>
                <w:sz w:val="18"/>
                <w:szCs w:val="18"/>
              </w:rPr>
              <w:t>{{</w:t>
            </w:r>
            <w:r>
              <w:rPr>
                <w:rFonts w:hint="eastAsia" w:ascii="Times New Roman" w:hAnsi="Times New Roman" w:eastAsia="微软雅黑" w:cs="Times New Roman"/>
                <w:bCs/>
                <w:sz w:val="18"/>
                <w:szCs w:val="18"/>
              </w:rPr>
              <w:t>dis.annotation_chinese</w:t>
            </w:r>
            <w:r>
              <w:rPr>
                <w:rFonts w:hint="eastAsia" w:ascii="Times New Roman" w:hAnsi="Times New Roman" w:eastAsia="微软雅黑" w:cs="Times New Roman"/>
                <w:sz w:val="18"/>
                <w:szCs w:val="18"/>
              </w:rPr>
              <w:t>}}</w:t>
            </w:r>
          </w:p>
        </w:tc>
      </w:tr>
      <w:tr w14:paraId="5C1FDF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EF37015">
            <w:pPr>
              <w:keepNext/>
              <w:spacing w:before="26"/>
              <w:jc w:val="center"/>
              <w:rPr>
                <w:rFonts w:ascii="Times New Roman" w:hAnsi="Times New Roman" w:eastAsia="微软雅黑" w:cs="Times New Roman"/>
                <w:bCs/>
                <w:sz w:val="18"/>
                <w:szCs w:val="18"/>
              </w:rPr>
            </w:pPr>
            <w:r>
              <w:rPr>
                <w:rFonts w:hint="eastAsia" w:ascii="Times New Roman" w:hAnsi="Times New Roman" w:eastAsia="微软雅黑" w:cs="Times New Roman"/>
                <w:b/>
                <w:sz w:val="18"/>
                <w:szCs w:val="18"/>
              </w:rPr>
              <w:t>{%tr endfor %}</w:t>
            </w:r>
          </w:p>
        </w:tc>
      </w:tr>
    </w:tbl>
    <w:p w14:paraId="4DD3AD42">
      <w:pPr>
        <w:pStyle w:val="55"/>
        <w:rPr>
          <w:color w:val="auto"/>
          <w:sz w:val="18"/>
          <w:szCs w:val="18"/>
          <w:lang w:bidi="ar"/>
        </w:rPr>
      </w:pPr>
      <w:r>
        <w:rPr>
          <w:rFonts w:hint="eastAsia"/>
          <w:color w:val="auto"/>
          <w:sz w:val="18"/>
          <w:szCs w:val="18"/>
          <w:lang w:bidi="ar"/>
        </w:rPr>
        <w:t>{% endif %}{% endfor %}{% else%}</w:t>
      </w:r>
    </w:p>
    <w:p w14:paraId="4CAAA188">
      <w:pPr>
        <w:ind w:left="412"/>
        <w:jc w:val="both"/>
        <w:rPr>
          <w:rFonts w:hint="eastAsia"/>
        </w:rPr>
      </w:pPr>
      <w:r>
        <w:rPr>
          <w:rFonts w:hint="eastAsia" w:ascii="Times New Roman" w:hAnsi="Times New Roman" w:eastAsia="微软雅黑" w:cs="Times New Roman"/>
          <w:bCs/>
          <w:sz w:val="24"/>
          <w:szCs w:val="24"/>
        </w:rPr>
        <w:t>未检出致病或可能致病性突变</w:t>
      </w:r>
      <w:r>
        <w:rPr>
          <w:rFonts w:hint="eastAsia" w:ascii="微软雅黑" w:hAnsi="微软雅黑" w:eastAsia="微软雅黑" w:cs="微软雅黑"/>
          <w:bCs/>
          <w:sz w:val="24"/>
          <w:szCs w:val="24"/>
          <w:lang w:bidi="ar"/>
        </w:rPr>
        <w:t>{% endif %}</w:t>
      </w:r>
    </w:p>
    <w:p w14:paraId="4903AF1B">
      <w:pPr>
        <w:rPr>
          <w:rFonts w:hint="eastAsia"/>
          <w:color w:val="254061" w:themeColor="accent1" w:themeShade="80"/>
        </w:rPr>
      </w:pPr>
      <w:r>
        <w:rPr>
          <w:rFonts w:hint="eastAsia"/>
          <w:color w:val="254061" w:themeColor="accent1" w:themeShade="80"/>
        </w:rPr>
        <w:br w:type="page"/>
      </w:r>
    </w:p>
    <w:p w14:paraId="2D616A56">
      <w:pPr>
        <w:pStyle w:val="3"/>
        <w:jc w:val="both"/>
        <w:rPr>
          <w:rFonts w:hint="eastAsia" w:ascii="微软雅黑" w:hAnsi="微软雅黑" w:eastAsia="微软雅黑" w:cs="微软雅黑"/>
          <w:color w:val="254061" w:themeColor="accent1" w:themeShade="80"/>
        </w:rPr>
      </w:pPr>
      <w:r>
        <w:rPr>
          <w:rFonts w:hint="eastAsia" w:ascii="微软雅黑" w:hAnsi="微软雅黑" w:eastAsia="微软雅黑" w:cs="微软雅黑"/>
          <w:color w:val="254061" w:themeColor="accent1" w:themeShade="80"/>
        </w:rPr>
        <w:t>3免疫检测结果解析</w:t>
      </w:r>
      <w:bookmarkEnd w:id="47"/>
      <w:bookmarkEnd w:id="48"/>
      <w:bookmarkEnd w:id="49"/>
    </w:p>
    <w:p w14:paraId="79DF2A89">
      <w:pPr>
        <w:pStyle w:val="3"/>
        <w:numPr>
          <w:ilvl w:val="1"/>
          <w:numId w:val="9"/>
        </w:numPr>
        <w:ind w:left="981"/>
        <w:jc w:val="both"/>
        <w:rPr>
          <w:rFonts w:hint="eastAsia" w:ascii="微软雅黑" w:hAnsi="微软雅黑" w:eastAsia="微软雅黑" w:cs="微软雅黑"/>
          <w:color w:val="254061" w:themeColor="accent1" w:themeShade="80"/>
          <w:sz w:val="28"/>
          <w:szCs w:val="28"/>
          <w:lang w:val="en-US" w:eastAsia="zh-CN"/>
        </w:rPr>
      </w:pPr>
      <w:bookmarkStart w:id="50" w:name="_Toc11562_WPSOffice_Level3"/>
      <w:r>
        <w:rPr>
          <w:rFonts w:hint="eastAsia" w:ascii="微软雅黑" w:hAnsi="微软雅黑" w:eastAsia="微软雅黑" w:cs="微软雅黑"/>
          <w:color w:val="254061" w:themeColor="accent1" w:themeShade="80"/>
          <w:sz w:val="28"/>
          <w:szCs w:val="28"/>
        </w:rPr>
        <w:t>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25FA34BB">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BF8B20D">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32E6C75">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14:paraId="2C1DAB3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00D6F8A8">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1BB1C706">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{{summaryOfRresults.msi_status}}</w:t>
            </w:r>
          </w:p>
        </w:tc>
      </w:tr>
      <w:tr w14:paraId="4DC8794A">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1200515A">
            <w:pPr>
              <w:spacing w:before="26"/>
              <w:jc w:val="center"/>
              <w:rPr>
                <w:rFonts w:ascii="Times New Roman" w:hAnsi="Times New Roman" w:eastAsia="微软雅黑" w:cs="Times New Roman"/>
                <w:b/>
                <w:color w:val="254061" w:themeColor="accent1" w:themeShade="80"/>
                <w:sz w:val="18"/>
                <w:szCs w:val="18"/>
              </w:rPr>
            </w:pPr>
            <w:r>
              <w:rPr>
                <w:rFonts w:hint="eastAsia" w:ascii="Times New Roman" w:hAnsi="Times New Roman" w:eastAsia="微软雅黑" w:cs="Times New Roman"/>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7D682CE9">
            <w:pPr>
              <w:keepNext/>
              <w:spacing w:before="26"/>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1AC14064">
            <w:pPr>
              <w:spacing w:before="26"/>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14:paraId="719BF718">
      <w:pPr>
        <w:spacing w:before="26"/>
        <w:rPr>
          <w:rFonts w:ascii="Times New Roman" w:hAnsi="Times New Roman" w:eastAsia="微软雅黑" w:cs="Times New Roman"/>
          <w:b/>
          <w:color w:val="auto"/>
          <w:sz w:val="24"/>
          <w:szCs w:val="24"/>
        </w:rPr>
      </w:pP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drugResearchList</w:t>
      </w:r>
      <w:r>
        <w:rPr>
          <w:rFonts w:hint="eastAsia" w:ascii="Times New Roman" w:hAnsi="Times New Roman" w:eastAsia="微软雅黑" w:cs="Times New Roman"/>
          <w:b/>
          <w:color w:val="auto"/>
          <w:sz w:val="24"/>
          <w:szCs w:val="24"/>
          <w:lang w:eastAsia="zh-CN"/>
        </w:rPr>
        <w:t xml:space="preserve"> != [] %}</w:t>
      </w:r>
    </w:p>
    <w:p w14:paraId="16652CD8">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rPr>
      </w:pPr>
      <w:r>
        <w:rPr>
          <w:rFonts w:ascii="Times New Roman" w:hAnsi="Times New Roman" w:eastAsia="微软雅黑" w:cs="Times New Roman"/>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5D8058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0014945">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0C84F9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BD0189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2ED0EE3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6AAFA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1D2F4AD">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msianalysisOfImmuneTestResults.drugResearchList %}</w:t>
            </w:r>
          </w:p>
        </w:tc>
      </w:tr>
      <w:tr w14:paraId="6904C8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7767F3FE">
            <w:pPr>
              <w:spacing w:before="1" w:line="249" w:lineRule="auto"/>
              <w:ind w:right="131"/>
              <w:jc w:val="center"/>
              <w:rPr>
                <w:rFonts w:hint="default" w:ascii="Times New Roman" w:hAnsi="Times New Roman" w:eastAsia="微软雅黑" w:cs="Times New Roman"/>
                <w:b/>
                <w:color w:val="auto"/>
                <w:sz w:val="18"/>
                <w:szCs w:val="18"/>
                <w:highlight w:val="yellow"/>
                <w:lang w:val="en-US"/>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FDF23F6">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5CFBD63E">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444EC3D4">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C2441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92AF91">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E54CDA4">
      <w:pPr>
        <w:spacing w:before="26"/>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potentialDrugList</w:t>
      </w:r>
      <w:r>
        <w:rPr>
          <w:rFonts w:hint="eastAsia" w:ascii="Times New Roman" w:hAnsi="Times New Roman" w:eastAsia="微软雅黑" w:cs="Times New Roman"/>
          <w:b/>
          <w:color w:val="auto"/>
          <w:sz w:val="24"/>
          <w:szCs w:val="24"/>
          <w:lang w:eastAsia="zh-CN"/>
        </w:rPr>
        <w:t xml:space="preserve"> != [] %}</w:t>
      </w:r>
    </w:p>
    <w:p w14:paraId="02DDA8C9">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02DAF7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6BE71D6">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4EFD166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A891DA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6F4ACDE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E413F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B8B562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785EA6C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2200F453">
            <w:pPr>
              <w:spacing w:before="1" w:line="249" w:lineRule="auto"/>
              <w:ind w:right="131"/>
              <w:jc w:val="center"/>
              <w:rPr>
                <w:rFonts w:ascii="Times New Roman" w:hAnsi="Times New Roman" w:eastAsia="微软雅黑" w:cs="Times New Roman"/>
                <w:b/>
                <w:color w:val="auto"/>
                <w:sz w:val="18"/>
                <w:szCs w:val="18"/>
                <w:highlight w:val="yellow"/>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1EBE0B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4CA50C9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193AA10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29240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F508FF0">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4FD1FA7">
      <w:pPr>
        <w:spacing w:before="26"/>
        <w:rPr>
          <w:rFonts w:hint="eastAsia"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p>
    <w:bookmarkEnd w:id="50"/>
    <w:p w14:paraId="54D4290D">
      <w:pPr>
        <w:rPr>
          <w:rFonts w:ascii="Times New Roman" w:hAnsi="Times New Roman" w:eastAsia="微软雅黑" w:cs="Times New Roman"/>
          <w:b/>
          <w:sz w:val="18"/>
          <w:szCs w:val="18"/>
          <w:lang w:bidi="ar"/>
        </w:rPr>
      </w:pPr>
      <w:r>
        <w:rPr>
          <w:rFonts w:hint="eastAsia" w:ascii="Times New Roman" w:hAnsi="Times New Roman" w:eastAsia="微软雅黑" w:cs="Times New Roman"/>
          <w:b/>
          <w:sz w:val="18"/>
          <w:szCs w:val="18"/>
          <w:lang w:bidi="ar"/>
        </w:rPr>
        <w:br w:type="page"/>
      </w:r>
    </w:p>
    <w:p w14:paraId="6A37CB8F">
      <w:pPr>
        <w:pStyle w:val="3"/>
        <w:numPr>
          <w:ilvl w:val="1"/>
          <w:numId w:val="9"/>
        </w:numPr>
        <w:ind w:left="981"/>
        <w:jc w:val="both"/>
        <w:rPr>
          <w:rFonts w:hint="eastAsia" w:ascii="微软雅黑" w:hAnsi="微软雅黑" w:eastAsia="微软雅黑" w:cs="微软雅黑"/>
          <w:color w:val="254061" w:themeColor="accent1" w:themeShade="80"/>
          <w:sz w:val="28"/>
          <w:szCs w:val="28"/>
        </w:rPr>
      </w:pPr>
      <w:bookmarkStart w:id="51" w:name="_Toc7307_WPSOffice_Level3"/>
      <w:r>
        <w:rPr>
          <w:rFonts w:hint="eastAsia" w:ascii="微软雅黑" w:hAnsi="微软雅黑" w:eastAsia="微软雅黑" w:cs="微软雅黑"/>
          <w:color w:val="254061" w:themeColor="accent1" w:themeShade="80"/>
          <w:sz w:val="28"/>
          <w:szCs w:val="28"/>
        </w:rPr>
        <w:t>错配修复（MMR）相关基因检测结果</w:t>
      </w:r>
    </w:p>
    <w:bookmarkEnd w:id="51"/>
    <w:tbl>
      <w:tblPr>
        <w:tblStyle w:val="19"/>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7BCDC8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single" w:color="244061" w:sz="18" w:space="0"/>
              <w:bottom w:val="dashed" w:color="244061" w:sz="4" w:space="0"/>
              <w:right w:val="dashed" w:color="244061" w:sz="4" w:space="0"/>
            </w:tcBorders>
            <w:shd w:val="clear" w:color="auto" w:fill="auto"/>
            <w:vAlign w:val="center"/>
          </w:tcPr>
          <w:p w14:paraId="7989261B">
            <w:pPr>
              <w:spacing w:before="13" w:line="252" w:lineRule="auto"/>
              <w:ind w:right="174"/>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基因名称</w:t>
            </w:r>
          </w:p>
        </w:tc>
        <w:tc>
          <w:tcPr>
            <w:tcW w:w="31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D87CF00">
            <w:pPr>
              <w:spacing w:before="13" w:line="252" w:lineRule="auto"/>
              <w:ind w:right="174"/>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1849"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7E1CE9C5">
            <w:pPr>
              <w:spacing w:before="13" w:line="252" w:lineRule="auto"/>
              <w:ind w:right="174"/>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变异丰度</w:t>
            </w:r>
          </w:p>
        </w:tc>
        <w:tc>
          <w:tcPr>
            <w:tcW w:w="2631" w:type="dxa"/>
            <w:tcBorders>
              <w:top w:val="single" w:color="244061" w:sz="18" w:space="0"/>
              <w:left w:val="dashed" w:color="244061" w:sz="4" w:space="0"/>
              <w:bottom w:val="dashed" w:color="244061" w:sz="4" w:space="0"/>
            </w:tcBorders>
            <w:shd w:val="clear" w:color="auto" w:fill="auto"/>
            <w:vAlign w:val="center"/>
          </w:tcPr>
          <w:p w14:paraId="3641224E">
            <w:pPr>
              <w:spacing w:before="13" w:line="252" w:lineRule="auto"/>
              <w:ind w:right="174"/>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突变类型</w:t>
            </w:r>
          </w:p>
        </w:tc>
      </w:tr>
      <w:tr w14:paraId="331966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207E94A6">
            <w:pPr>
              <w:spacing w:before="13" w:line="252" w:lineRule="auto"/>
              <w:ind w:right="174"/>
              <w:jc w:val="center"/>
              <w:rPr>
                <w:rFonts w:hint="eastAsia"/>
                <w:highlight w:val="yellow"/>
              </w:rPr>
            </w:pPr>
            <w:r>
              <w:rPr>
                <w:rFonts w:hint="eastAsia" w:ascii="Times New Roman" w:hAnsi="Times New Roman" w:eastAsia="微软雅黑" w:cs="Times New Roman"/>
                <w:sz w:val="21"/>
                <w:szCs w:val="21"/>
              </w:rPr>
              <w:t>{%tr for dmmr in dMMRinfo %}</w:t>
            </w:r>
          </w:p>
        </w:tc>
      </w:tr>
      <w:tr w14:paraId="16CD9C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dashed" w:color="244061" w:sz="4" w:space="0"/>
              <w:bottom w:val="dashed" w:color="244061" w:sz="4" w:space="0"/>
              <w:right w:val="dashed" w:color="244061" w:sz="4" w:space="0"/>
            </w:tcBorders>
            <w:shd w:val="clear" w:color="auto" w:fill="auto"/>
            <w:vAlign w:val="center"/>
          </w:tcPr>
          <w:p w14:paraId="707CCBFA">
            <w:pPr>
              <w:spacing w:before="13" w:line="252" w:lineRule="auto"/>
              <w:ind w:right="174"/>
              <w:jc w:val="center"/>
              <w:rPr>
                <w:rFonts w:hint="eastAsia"/>
                <w:b/>
                <w:bCs/>
              </w:rPr>
            </w:pPr>
            <w:r>
              <w:rPr>
                <w:rFonts w:hint="eastAsia" w:ascii="Times New Roman" w:hAnsi="Times New Roman" w:eastAsia="微软雅黑" w:cs="Times New Roman"/>
                <w:b/>
                <w:bCs/>
                <w:sz w:val="21"/>
                <w:szCs w:val="21"/>
              </w:rPr>
              <w:t>{{ dmmr.gene }}</w:t>
            </w:r>
          </w:p>
        </w:tc>
        <w:tc>
          <w:tcPr>
            <w:tcW w:w="311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EAA3379">
            <w:pPr>
              <w:spacing w:before="13" w:line="252" w:lineRule="auto"/>
              <w:ind w:right="174"/>
              <w:jc w:val="center"/>
              <w:rPr>
                <w:rFonts w:hint="eastAsia"/>
              </w:rPr>
            </w:pPr>
            <w:r>
              <w:rPr>
                <w:rFonts w:hint="eastAsia" w:ascii="Times New Roman" w:hAnsi="Times New Roman" w:eastAsia="微软雅黑" w:cs="Times New Roman"/>
                <w:sz w:val="21"/>
                <w:szCs w:val="21"/>
              </w:rPr>
              <w:t>{{ dmmr.ori_variant}}</w:t>
            </w:r>
          </w:p>
        </w:tc>
        <w:tc>
          <w:tcPr>
            <w:tcW w:w="1849"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2859A52">
            <w:pPr>
              <w:spacing w:before="13" w:line="252" w:lineRule="auto"/>
              <w:ind w:right="174"/>
              <w:jc w:val="center"/>
              <w:rPr>
                <w:rFonts w:hint="eastAsia"/>
                <w:highlight w:val="yellow"/>
              </w:rPr>
            </w:pPr>
            <w:r>
              <w:rPr>
                <w:rFonts w:hint="eastAsia" w:ascii="Times New Roman" w:hAnsi="Times New Roman" w:eastAsia="微软雅黑" w:cs="Times New Roman"/>
                <w:sz w:val="21"/>
                <w:szCs w:val="21"/>
              </w:rPr>
              <w:t>{{ dmmr.mutFreq}}</w:t>
            </w:r>
          </w:p>
        </w:tc>
        <w:tc>
          <w:tcPr>
            <w:tcW w:w="2631" w:type="dxa"/>
            <w:tcBorders>
              <w:top w:val="dashed" w:color="244061" w:sz="4" w:space="0"/>
              <w:left w:val="dashed" w:color="244061" w:sz="4" w:space="0"/>
              <w:bottom w:val="dashed" w:color="244061" w:sz="4" w:space="0"/>
            </w:tcBorders>
            <w:shd w:val="clear" w:color="auto" w:fill="auto"/>
            <w:vAlign w:val="center"/>
          </w:tcPr>
          <w:p w14:paraId="3A7E3540">
            <w:pPr>
              <w:spacing w:before="13" w:line="252" w:lineRule="auto"/>
              <w:ind w:right="174"/>
              <w:jc w:val="center"/>
              <w:rPr>
                <w:rFonts w:hint="eastAsia"/>
                <w:highlight w:val="yellow"/>
              </w:rPr>
            </w:pPr>
            <w:r>
              <w:rPr>
                <w:rFonts w:hint="eastAsia" w:ascii="Times New Roman" w:hAnsi="Times New Roman" w:eastAsia="微软雅黑" w:cs="Times New Roman"/>
                <w:sz w:val="21"/>
                <w:szCs w:val="21"/>
              </w:rPr>
              <w:t>{{ dmmr.mut_type}}</w:t>
            </w:r>
          </w:p>
        </w:tc>
      </w:tr>
      <w:tr w14:paraId="4B08A5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dashed" w:color="244061" w:sz="4" w:space="0"/>
              <w:bottom w:val="dashed" w:color="244061" w:sz="4" w:space="0"/>
            </w:tcBorders>
            <w:shd w:val="clear" w:color="auto" w:fill="auto"/>
            <w:vAlign w:val="center"/>
          </w:tcPr>
          <w:p w14:paraId="68FCF324">
            <w:pPr>
              <w:spacing w:before="13" w:line="252" w:lineRule="auto"/>
              <w:ind w:right="174"/>
              <w:jc w:val="center"/>
              <w:rPr>
                <w:rFonts w:hint="eastAsia"/>
                <w:highlight w:val="yellow"/>
              </w:rPr>
            </w:pPr>
            <w:r>
              <w:rPr>
                <w:rFonts w:hint="eastAsia" w:ascii="Times New Roman" w:hAnsi="Times New Roman" w:eastAsia="微软雅黑" w:cs="Times New Roman"/>
                <w:sz w:val="21"/>
                <w:szCs w:val="21"/>
              </w:rPr>
              <w:t>{%tr endfor %}</w:t>
            </w:r>
          </w:p>
        </w:tc>
      </w:tr>
      <w:tr w14:paraId="46B205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dashed" w:color="244061" w:sz="4" w:space="0"/>
              <w:left w:val="nil"/>
              <w:bottom w:val="nil"/>
              <w:right w:val="nil"/>
            </w:tcBorders>
            <w:shd w:val="clear" w:color="auto" w:fill="auto"/>
            <w:vAlign w:val="center"/>
          </w:tcPr>
          <w:p w14:paraId="25BAC3DB">
            <w:pPr>
              <w:spacing w:before="13" w:line="252" w:lineRule="auto"/>
              <w:ind w:right="174"/>
              <w:jc w:val="center"/>
              <w:rPr>
                <w:rFonts w:ascii="Times New Roman" w:hAnsi="Times New Roman" w:eastAsia="微软雅黑" w:cs="Times New Roman"/>
                <w:b/>
                <w:bCs/>
                <w:sz w:val="21"/>
                <w:szCs w:val="21"/>
              </w:rPr>
            </w:pPr>
          </w:p>
        </w:tc>
        <w:tc>
          <w:tcPr>
            <w:tcW w:w="3117" w:type="dxa"/>
            <w:tcBorders>
              <w:top w:val="dashed" w:color="244061" w:sz="4" w:space="0"/>
              <w:left w:val="nil"/>
              <w:bottom w:val="nil"/>
              <w:right w:val="nil"/>
            </w:tcBorders>
            <w:shd w:val="clear" w:color="auto" w:fill="auto"/>
            <w:vAlign w:val="center"/>
          </w:tcPr>
          <w:p w14:paraId="08F88194">
            <w:pPr>
              <w:spacing w:before="13" w:line="252" w:lineRule="auto"/>
              <w:ind w:right="174"/>
              <w:jc w:val="center"/>
              <w:rPr>
                <w:rFonts w:ascii="Times New Roman" w:hAnsi="Times New Roman" w:eastAsia="微软雅黑" w:cs="Times New Roman"/>
                <w:b/>
                <w:bCs/>
                <w:sz w:val="21"/>
                <w:szCs w:val="21"/>
              </w:rPr>
            </w:pPr>
          </w:p>
        </w:tc>
        <w:tc>
          <w:tcPr>
            <w:tcW w:w="1849" w:type="dxa"/>
            <w:tcBorders>
              <w:top w:val="dashed" w:color="244061" w:sz="4" w:space="0"/>
              <w:left w:val="nil"/>
              <w:bottom w:val="nil"/>
              <w:right w:val="nil"/>
            </w:tcBorders>
            <w:shd w:val="clear" w:color="auto" w:fill="auto"/>
            <w:vAlign w:val="center"/>
          </w:tcPr>
          <w:p w14:paraId="408FB626">
            <w:pPr>
              <w:spacing w:before="13" w:line="252" w:lineRule="auto"/>
              <w:ind w:right="174"/>
              <w:jc w:val="center"/>
              <w:rPr>
                <w:rFonts w:ascii="Times New Roman" w:hAnsi="Times New Roman" w:eastAsia="微软雅黑" w:cs="Times New Roman"/>
                <w:b/>
                <w:bCs/>
                <w:sz w:val="21"/>
                <w:szCs w:val="21"/>
              </w:rPr>
            </w:pPr>
          </w:p>
        </w:tc>
        <w:tc>
          <w:tcPr>
            <w:tcW w:w="2631" w:type="dxa"/>
            <w:tcBorders>
              <w:top w:val="dashed" w:color="244061" w:sz="4" w:space="0"/>
              <w:left w:val="nil"/>
              <w:bottom w:val="nil"/>
              <w:right w:val="nil"/>
            </w:tcBorders>
            <w:shd w:val="clear" w:color="auto" w:fill="auto"/>
            <w:vAlign w:val="center"/>
          </w:tcPr>
          <w:p w14:paraId="644BB029">
            <w:pPr>
              <w:spacing w:before="13" w:line="252" w:lineRule="auto"/>
              <w:ind w:right="174"/>
              <w:jc w:val="center"/>
              <w:rPr>
                <w:rFonts w:ascii="Times New Roman" w:hAnsi="Times New Roman" w:eastAsia="微软雅黑" w:cs="Times New Roman"/>
                <w:b/>
                <w:bCs/>
                <w:sz w:val="21"/>
                <w:szCs w:val="21"/>
              </w:rPr>
            </w:pPr>
          </w:p>
        </w:tc>
      </w:tr>
      <w:tr w14:paraId="4F522B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36848CEA">
            <w:pPr>
              <w:rPr>
                <w:rFonts w:ascii="Times New Roman" w:hAnsi="Times New Roman" w:eastAsia="微软雅黑" w:cs="Times New Roman"/>
                <w:b/>
                <w:sz w:val="18"/>
                <w:shd w:val="clear" w:color="auto" w:fill="FFFFFF"/>
              </w:rPr>
            </w:pPr>
            <w:r>
              <w:rPr>
                <w:rFonts w:hint="eastAsia" w:ascii="Times New Roman" w:hAnsi="Times New Roman" w:eastAsia="微软雅黑" w:cs="Times New Roman"/>
                <w:b/>
                <w:sz w:val="18"/>
                <w:shd w:val="clear" w:color="auto" w:fill="FFFFFF"/>
              </w:rPr>
              <w:t>指标解析：</w:t>
            </w:r>
          </w:p>
          <w:p w14:paraId="161EB577">
            <w:pPr>
              <w:ind w:firstLine="360" w:firstLineChars="200"/>
              <w:rPr>
                <w:rFonts w:ascii="Times New Roman" w:hAnsi="Times New Roman" w:eastAsia="微软雅黑" w:cs="Times New Roman"/>
                <w:sz w:val="18"/>
                <w:shd w:val="clear" w:color="auto" w:fill="FFFFFF"/>
              </w:rPr>
            </w:pPr>
            <w:r>
              <w:rPr>
                <w:rFonts w:hint="eastAsia" w:ascii="Times New Roman" w:hAnsi="Times New Roman" w:eastAsia="微软雅黑" w:cs="Times New Roman"/>
                <w:sz w:val="18"/>
                <w:shd w:val="clear" w:color="auto" w:fill="FFFFFF"/>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3246282">
            <w:pPr>
              <w:ind w:firstLine="360" w:firstLineChars="200"/>
              <w:rPr>
                <w:rFonts w:ascii="Times New Roman" w:hAnsi="Times New Roman" w:eastAsia="微软雅黑" w:cs="Times New Roman"/>
                <w:sz w:val="18"/>
                <w:shd w:val="clear" w:color="auto" w:fill="FFFFFF"/>
              </w:rPr>
            </w:pPr>
          </w:p>
          <w:p w14:paraId="15E3EB9F">
            <w:pPr>
              <w:rPr>
                <w:rFonts w:ascii="Times New Roman" w:hAnsi="Times New Roman" w:eastAsia="微软雅黑" w:cs="Times New Roman"/>
                <w:b/>
                <w:sz w:val="18"/>
                <w:shd w:val="clear" w:color="auto" w:fill="FFFFFF"/>
              </w:rPr>
            </w:pPr>
            <w:r>
              <w:rPr>
                <w:rFonts w:hint="eastAsia" w:ascii="Times New Roman" w:hAnsi="Times New Roman" w:eastAsia="微软雅黑" w:cs="Times New Roman"/>
                <w:b/>
                <w:sz w:val="18"/>
                <w:shd w:val="clear" w:color="auto" w:fill="FFFFFF"/>
              </w:rPr>
              <w:t>临床意义：</w:t>
            </w:r>
          </w:p>
          <w:p w14:paraId="63D2F6CB">
            <w:pPr>
              <w:ind w:firstLine="360" w:firstLineChars="200"/>
              <w:rPr>
                <w:rFonts w:ascii="Times New Roman" w:hAnsi="Times New Roman" w:eastAsia="微软雅黑" w:cs="Times New Roman"/>
                <w:sz w:val="18"/>
                <w:shd w:val="clear" w:color="auto" w:fill="FFFFFF"/>
              </w:rPr>
            </w:pPr>
            <w:r>
              <w:rPr>
                <w:rFonts w:hint="eastAsia" w:ascii="Times New Roman" w:hAnsi="Times New Roman" w:eastAsia="微软雅黑" w:cs="Times New Roman"/>
                <w:sz w:val="18"/>
                <w:shd w:val="clear" w:color="auto" w:fill="FFFFFF"/>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F52C741">
            <w:pPr>
              <w:ind w:firstLine="360" w:firstLineChars="200"/>
              <w:rPr>
                <w:rFonts w:ascii="Times New Roman" w:hAnsi="Times New Roman" w:eastAsia="微软雅黑" w:cs="Times New Roman"/>
                <w:sz w:val="18"/>
                <w:shd w:val="clear" w:color="auto" w:fill="FFFFFF"/>
              </w:rPr>
            </w:pPr>
          </w:p>
          <w:p w14:paraId="15B2C59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6539F9B">
            <w:pPr>
              <w:numPr>
                <w:ilvl w:val="0"/>
                <w:numId w:val="10"/>
              </w:num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错配修复（MMR）基因突变会导致错配修复缺陷（dMMR）；如果没有发生基因突变，则为正常（pMMR）。</w:t>
            </w:r>
          </w:p>
          <w:p w14:paraId="511EBE0C">
            <w:pPr>
              <w:numPr>
                <w:ilvl w:val="0"/>
                <w:numId w:val="10"/>
              </w:num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本次检测仅限于基因水平突变检测，未进行IHC表达检测，仅供参考。</w:t>
            </w:r>
          </w:p>
          <w:p w14:paraId="236DA9CE">
            <w:pPr>
              <w:numPr>
                <w:ilvl w:val="0"/>
                <w:numId w:val="10"/>
              </w:numPr>
              <w:rPr>
                <w:rFonts w:ascii="Times New Roman" w:hAnsi="Times New Roman" w:eastAsia="微软雅黑" w:cs="Times New Roman"/>
                <w:sz w:val="18"/>
                <w:szCs w:val="18"/>
                <w:shd w:val="clear" w:color="auto" w:fill="FFFFFF"/>
              </w:rPr>
            </w:pPr>
            <w:r>
              <w:rPr>
                <w:rFonts w:hint="eastAsia" w:ascii="Times New Roman" w:hAnsi="Times New Roman" w:eastAsia="微软雅黑" w:cs="Times New Roman"/>
                <w:sz w:val="18"/>
                <w:szCs w:val="18"/>
                <w:shd w:val="clear" w:color="auto" w:fill="FFFFFF"/>
              </w:rPr>
              <w:t>MMR基因检测体系/胚系突变。</w:t>
            </w:r>
          </w:p>
          <w:p w14:paraId="4117F656">
            <w:pPr>
              <w:numPr>
                <w:ilvl w:val="0"/>
                <w:numId w:val="10"/>
              </w:numPr>
              <w:rPr>
                <w:rFonts w:ascii="Times New Roman" w:hAnsi="Times New Roman" w:eastAsia="微软雅黑" w:cs="Times New Roman"/>
                <w:sz w:val="21"/>
                <w:szCs w:val="21"/>
              </w:rPr>
            </w:pPr>
            <w:r>
              <w:rPr>
                <w:rFonts w:hint="eastAsia" w:ascii="Times New Roman" w:hAnsi="Times New Roman" w:eastAsia="微软雅黑" w:cs="Times New Roman"/>
                <w:sz w:val="18"/>
                <w:szCs w:val="18"/>
                <w:shd w:val="clear" w:color="auto" w:fill="FFFFFF"/>
              </w:rPr>
              <w:t>“-”表示本次检测未发现相关变异。</w:t>
            </w:r>
          </w:p>
        </w:tc>
      </w:tr>
    </w:tbl>
    <w:p w14:paraId="1E586A1C">
      <w:pPr>
        <w:rPr>
          <w:rFonts w:hint="eastAsia" w:ascii="微软雅黑" w:hAnsi="微软雅黑" w:eastAsia="微软雅黑" w:cs="微软雅黑"/>
          <w:sz w:val="18"/>
          <w:szCs w:val="18"/>
          <w:shd w:val="clear" w:color="auto" w:fill="FFFFFF"/>
          <w:lang w:bidi="ar"/>
        </w:rPr>
      </w:pPr>
      <w:r>
        <w:rPr>
          <w:rFonts w:ascii="微软雅黑" w:hAnsi="微软雅黑" w:eastAsia="微软雅黑" w:cs="微软雅黑"/>
          <w:sz w:val="18"/>
          <w:szCs w:val="18"/>
          <w:shd w:val="clear" w:color="auto" w:fill="FFFFFF"/>
          <w:lang w:bidi="ar"/>
        </w:rPr>
        <w:br w:type="page"/>
      </w:r>
    </w:p>
    <w:p w14:paraId="40EB7D87">
      <w:pPr>
        <w:pStyle w:val="3"/>
        <w:jc w:val="both"/>
        <w:rPr>
          <w:rFonts w:hint="eastAsia" w:ascii="微软雅黑" w:hAnsi="微软雅黑" w:eastAsia="微软雅黑" w:cs="微软雅黑"/>
          <w:color w:val="254061" w:themeColor="accent1" w:themeShade="80"/>
        </w:rPr>
      </w:pPr>
      <w:r>
        <w:rPr>
          <w:rFonts w:hint="eastAsia" w:ascii="微软雅黑" w:hAnsi="微软雅黑" w:eastAsia="微软雅黑" w:cs="微软雅黑"/>
          <w:color w:val="254061" w:themeColor="accent1" w:themeShade="80"/>
        </w:rPr>
        <w:t>4 化疗药物检测解析</w:t>
      </w:r>
    </w:p>
    <w:p w14:paraId="253B7737">
      <w:pPr>
        <w:pStyle w:val="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4.1化疗药物用药提示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E6D5EF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339" w:type="dxa"/>
            <w:vMerge w:val="restart"/>
            <w:shd w:val="clear" w:color="auto" w:fill="auto"/>
            <w:vAlign w:val="center"/>
          </w:tcPr>
          <w:p w14:paraId="75594448">
            <w:pPr>
              <w:widowControl/>
              <w:jc w:val="center"/>
              <w:rPr>
                <w:rFonts w:ascii="Times New Roman" w:hAnsi="Times New Roman" w:eastAsia="微软雅黑" w:cs="Times New Roman"/>
                <w:b/>
                <w:bCs/>
                <w:color w:val="244061"/>
                <w:sz w:val="18"/>
                <w:szCs w:val="18"/>
                <w:lang w:bidi="ar"/>
              </w:rPr>
            </w:pPr>
            <w:r>
              <w:rPr>
                <w:rFonts w:ascii="Times New Roman" w:hAnsi="Times New Roman" w:eastAsia="微软雅黑" w:cs="Times New Roman"/>
                <w:b/>
                <w:bCs/>
                <w:color w:val="244061"/>
                <w:sz w:val="18"/>
                <w:szCs w:val="18"/>
                <w:lang w:bidi="ar"/>
              </w:rPr>
              <w:t>本癌种</w:t>
            </w:r>
          </w:p>
        </w:tc>
        <w:tc>
          <w:tcPr>
            <w:tcW w:w="7480" w:type="dxa"/>
            <w:tcBorders>
              <w:tl2br w:val="nil"/>
              <w:tr2bl w:val="nil"/>
            </w:tcBorders>
            <w:vAlign w:val="center"/>
          </w:tcPr>
          <w:p w14:paraId="7C9D6D0C">
            <w:pPr>
              <w:widowControl/>
              <w:jc w:val="both"/>
              <w:rPr>
                <w:rFonts w:ascii="Times New Roman" w:hAnsi="Times New Roman" w:eastAsia="微软雅黑" w:cs="Times New Roman"/>
                <w:color w:val="4F4F4F"/>
                <w:sz w:val="18"/>
                <w:szCs w:val="18"/>
                <w:lang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7638F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339" w:type="dxa"/>
            <w:vMerge w:val="continue"/>
            <w:shd w:val="clear" w:color="auto" w:fill="auto"/>
            <w:vAlign w:val="center"/>
          </w:tcPr>
          <w:p w14:paraId="04E12272">
            <w:pPr>
              <w:widowControl/>
              <w:jc w:val="center"/>
              <w:rPr>
                <w:rFonts w:ascii="Times New Roman" w:hAnsi="Times New Roman" w:eastAsia="微软雅黑" w:cs="Times New Roman"/>
                <w:b/>
                <w:bCs/>
                <w:color w:val="244061"/>
                <w:sz w:val="18"/>
                <w:szCs w:val="18"/>
                <w:lang w:bidi="ar"/>
              </w:rPr>
            </w:pPr>
          </w:p>
        </w:tc>
        <w:tc>
          <w:tcPr>
            <w:tcW w:w="7480" w:type="dxa"/>
            <w:tcBorders>
              <w:tl2br w:val="nil"/>
              <w:tr2bl w:val="nil"/>
            </w:tcBorders>
            <w:vAlign w:val="center"/>
          </w:tcPr>
          <w:p w14:paraId="4BF3146E">
            <w:pPr>
              <w:widowControl/>
              <w:jc w:val="both"/>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41B28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339" w:type="dxa"/>
            <w:vMerge w:val="restart"/>
            <w:shd w:val="clear" w:color="auto" w:fill="auto"/>
            <w:vAlign w:val="center"/>
          </w:tcPr>
          <w:p w14:paraId="518370FE">
            <w:pPr>
              <w:widowControl/>
              <w:jc w:val="center"/>
              <w:rPr>
                <w:rFonts w:ascii="Times New Roman" w:hAnsi="Times New Roman" w:eastAsia="微软雅黑" w:cs="Times New Roman"/>
                <w:b/>
                <w:bCs/>
                <w:color w:val="244061"/>
                <w:sz w:val="18"/>
                <w:szCs w:val="18"/>
                <w:lang w:bidi="ar"/>
              </w:rPr>
            </w:pPr>
            <w:r>
              <w:rPr>
                <w:rFonts w:ascii="Times New Roman" w:hAnsi="Times New Roman" w:eastAsia="微软雅黑" w:cs="Times New Roman"/>
                <w:b/>
                <w:bCs/>
                <w:color w:val="244061"/>
                <w:sz w:val="18"/>
                <w:szCs w:val="18"/>
                <w:lang w:bidi="ar"/>
              </w:rPr>
              <w:t>其他癌种</w:t>
            </w:r>
          </w:p>
        </w:tc>
        <w:tc>
          <w:tcPr>
            <w:tcW w:w="7480" w:type="dxa"/>
            <w:tcBorders>
              <w:tl2br w:val="nil"/>
              <w:tr2bl w:val="nil"/>
            </w:tcBorders>
            <w:vAlign w:val="center"/>
          </w:tcPr>
          <w:p w14:paraId="3A9292EC">
            <w:pPr>
              <w:widowControl/>
              <w:jc w:val="both"/>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BD507F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339" w:type="dxa"/>
            <w:vMerge w:val="continue"/>
            <w:tcBorders>
              <w:tl2br w:val="nil"/>
              <w:tr2bl w:val="nil"/>
            </w:tcBorders>
            <w:shd w:val="clear" w:color="auto" w:fill="auto"/>
            <w:vAlign w:val="center"/>
          </w:tcPr>
          <w:p w14:paraId="40F24124">
            <w:pPr>
              <w:widowControl/>
              <w:jc w:val="center"/>
              <w:rPr>
                <w:rFonts w:ascii="Times New Roman" w:hAnsi="Times New Roman" w:eastAsia="微软雅黑" w:cs="Times New Roman"/>
                <w:color w:val="4F4F4F"/>
                <w:sz w:val="18"/>
                <w:szCs w:val="18"/>
                <w:lang w:bidi="ar"/>
              </w:rPr>
            </w:pPr>
          </w:p>
        </w:tc>
        <w:tc>
          <w:tcPr>
            <w:tcW w:w="7480" w:type="dxa"/>
            <w:tcBorders>
              <w:tl2br w:val="nil"/>
              <w:tr2bl w:val="nil"/>
            </w:tcBorders>
            <w:vAlign w:val="center"/>
          </w:tcPr>
          <w:p w14:paraId="28B9D2B4">
            <w:pPr>
              <w:widowControl/>
              <w:jc w:val="both"/>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69ED6D6">
      <w:pPr>
        <w:rPr>
          <w:rFonts w:ascii="Times New Roman" w:hAnsi="Times New Roman" w:eastAsia="微软雅黑" w:cs="Times New Roman"/>
        </w:rPr>
      </w:pPr>
      <w:r>
        <w:rPr>
          <w:rFonts w:ascii="Times New Roman" w:hAnsi="Times New Roman" w:eastAsia="微软雅黑" w:cs="Times New Roman"/>
          <w:b/>
          <w:sz w:val="18"/>
          <w:szCs w:val="18"/>
          <w:lang w:bidi="ar"/>
        </w:rPr>
        <w:t>注：</w:t>
      </w:r>
    </w:p>
    <w:p w14:paraId="06A49667">
      <w:pPr>
        <w:numPr>
          <w:ilvl w:val="0"/>
          <w:numId w:val="11"/>
        </w:numPr>
        <w:rPr>
          <w:rFonts w:ascii="Times New Roman" w:hAnsi="Times New Roman" w:eastAsia="微软雅黑" w:cs="Times New Roman"/>
        </w:rPr>
      </w:pPr>
      <w:r>
        <w:rPr>
          <w:rFonts w:ascii="Times New Roman" w:hAnsi="Times New Roman" w:eastAsia="微软雅黑" w:cs="Times New Roman"/>
          <w:sz w:val="18"/>
          <w:szCs w:val="18"/>
          <w:lang w:bidi="ar"/>
        </w:rPr>
        <w:t>本癌种化疗药物的毒副风险和</w:t>
      </w:r>
      <w:r>
        <w:rPr>
          <w:rFonts w:hint="eastAsia" w:ascii="Times New Roman" w:hAnsi="Times New Roman" w:eastAsia="微软雅黑" w:cs="Times New Roman"/>
          <w:sz w:val="18"/>
          <w:szCs w:val="18"/>
          <w:lang w:bidi="ar"/>
        </w:rPr>
        <w:t>敏感</w:t>
      </w:r>
      <w:r>
        <w:rPr>
          <w:rFonts w:ascii="Times New Roman" w:hAnsi="Times New Roman" w:eastAsia="微软雅黑" w:cs="Times New Roman"/>
          <w:sz w:val="18"/>
          <w:szCs w:val="18"/>
          <w:lang w:bidi="ar"/>
        </w:rPr>
        <w:t>性预测参考纳入人群为本癌种患者的研究文献。</w:t>
      </w:r>
    </w:p>
    <w:p w14:paraId="732AABE8">
      <w:pPr>
        <w:numPr>
          <w:ilvl w:val="0"/>
          <w:numId w:val="11"/>
        </w:numPr>
        <w:rPr>
          <w:rFonts w:ascii="Times New Roman" w:hAnsi="Times New Roman" w:eastAsia="微软雅黑" w:cs="Times New Roman"/>
          <w:sz w:val="18"/>
          <w:szCs w:val="18"/>
          <w:lang w:bidi="ar"/>
        </w:rPr>
      </w:pPr>
      <w:r>
        <w:rPr>
          <w:rFonts w:ascii="Times New Roman" w:hAnsi="Times New Roman" w:eastAsia="微软雅黑" w:cs="Times New Roman"/>
          <w:sz w:val="18"/>
          <w:szCs w:val="18"/>
          <w:lang w:bidi="ar"/>
        </w:rPr>
        <w:t>更详细的化疗基因多态性和药物信息参见“</w:t>
      </w:r>
      <w:r>
        <w:rPr>
          <w:rFonts w:hint="eastAsia" w:ascii="Times New Roman" w:hAnsi="Times New Roman" w:eastAsia="微软雅黑" w:cs="Times New Roman"/>
          <w:sz w:val="18"/>
          <w:szCs w:val="18"/>
          <w:lang w:bidi="ar"/>
        </w:rPr>
        <w:t>化疗药物用药解析</w:t>
      </w:r>
      <w:r>
        <w:rPr>
          <w:rFonts w:ascii="Times New Roman" w:hAnsi="Times New Roman" w:eastAsia="微软雅黑" w:cs="Times New Roman"/>
          <w:sz w:val="18"/>
          <w:szCs w:val="18"/>
          <w:lang w:bidi="ar"/>
        </w:rPr>
        <w:t>”。</w:t>
      </w:r>
    </w:p>
    <w:p w14:paraId="4711CFDA">
      <w:pPr>
        <w:rPr>
          <w:rFonts w:ascii="Times New Roman" w:hAnsi="Times New Roman" w:eastAsia="微软雅黑" w:cs="Times New Roman"/>
          <w:b/>
          <w:color w:val="45A3A7"/>
          <w:sz w:val="24"/>
        </w:rPr>
      </w:pPr>
      <w:r>
        <w:rPr>
          <w:rFonts w:ascii="Times New Roman" w:hAnsi="Times New Roman" w:eastAsia="微软雅黑" w:cs="Times New Roman"/>
          <w:b/>
          <w:color w:val="45A3A7"/>
          <w:sz w:val="24"/>
        </w:rPr>
        <w:br w:type="page"/>
      </w:r>
    </w:p>
    <w:p w14:paraId="115FBFAE">
      <w:pPr>
        <w:pStyle w:val="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4.2化疗药物用药解析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7"/>
        <w:gridCol w:w="797"/>
        <w:gridCol w:w="781"/>
        <w:gridCol w:w="834"/>
        <w:gridCol w:w="795"/>
        <w:gridCol w:w="2694"/>
        <w:gridCol w:w="813"/>
        <w:gridCol w:w="750"/>
        <w:gridCol w:w="511"/>
      </w:tblGrid>
      <w:tr w14:paraId="1CF682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214935C1">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药物类别</w:t>
            </w:r>
          </w:p>
        </w:tc>
        <w:tc>
          <w:tcPr>
            <w:tcW w:w="443" w:type="pct"/>
            <w:shd w:val="clear" w:color="auto" w:fill="auto"/>
            <w:vAlign w:val="center"/>
          </w:tcPr>
          <w:p w14:paraId="109FE1CB">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化疗药物</w:t>
            </w:r>
          </w:p>
        </w:tc>
        <w:tc>
          <w:tcPr>
            <w:tcW w:w="434" w:type="pct"/>
            <w:shd w:val="clear" w:color="auto" w:fill="auto"/>
            <w:vAlign w:val="center"/>
          </w:tcPr>
          <w:p w14:paraId="60A5D075">
            <w:pPr>
              <w:spacing w:line="204" w:lineRule="exact"/>
              <w:jc w:val="center"/>
              <w:rPr>
                <w:rFonts w:ascii="Times New Roman" w:hAnsi="Times New Roman" w:eastAsia="微软雅黑" w:cs="Times New Roman"/>
                <w:color w:val="244061"/>
                <w:sz w:val="18"/>
                <w:szCs w:val="18"/>
              </w:rPr>
            </w:pPr>
            <w:r>
              <w:rPr>
                <w:rFonts w:hint="eastAsia" w:ascii="Times New Roman" w:hAnsi="Times New Roman" w:eastAsia="微软雅黑" w:cs="Times New Roman"/>
                <w:b/>
                <w:bCs/>
                <w:color w:val="244061"/>
                <w:sz w:val="18"/>
                <w:szCs w:val="18"/>
              </w:rPr>
              <w:t>检测基因</w:t>
            </w:r>
          </w:p>
        </w:tc>
        <w:tc>
          <w:tcPr>
            <w:tcW w:w="464" w:type="pct"/>
            <w:shd w:val="clear" w:color="auto" w:fill="auto"/>
            <w:vAlign w:val="center"/>
          </w:tcPr>
          <w:p w14:paraId="543AFCAF">
            <w:pPr>
              <w:spacing w:line="204" w:lineRule="exact"/>
              <w:jc w:val="center"/>
              <w:rPr>
                <w:rFonts w:ascii="Times New Roman" w:hAnsi="Times New Roman" w:eastAsia="微软雅黑" w:cs="Times New Roman"/>
                <w:color w:val="244061"/>
                <w:sz w:val="18"/>
                <w:szCs w:val="18"/>
              </w:rPr>
            </w:pPr>
            <w:r>
              <w:rPr>
                <w:rFonts w:hint="eastAsia" w:ascii="Times New Roman" w:hAnsi="Times New Roman" w:eastAsia="微软雅黑" w:cs="Times New Roman"/>
                <w:b/>
                <w:bCs/>
                <w:color w:val="244061"/>
                <w:sz w:val="18"/>
                <w:szCs w:val="18"/>
              </w:rPr>
              <w:t>检测位点</w:t>
            </w:r>
          </w:p>
        </w:tc>
        <w:tc>
          <w:tcPr>
            <w:tcW w:w="442" w:type="pct"/>
            <w:shd w:val="clear" w:color="auto" w:fill="auto"/>
            <w:vAlign w:val="center"/>
          </w:tcPr>
          <w:p w14:paraId="75FC99CA">
            <w:pPr>
              <w:spacing w:line="204" w:lineRule="exact"/>
              <w:jc w:val="center"/>
              <w:rPr>
                <w:rFonts w:ascii="Times New Roman" w:hAnsi="Times New Roman" w:eastAsia="微软雅黑" w:cs="Times New Roman"/>
                <w:color w:val="244061"/>
                <w:sz w:val="18"/>
                <w:szCs w:val="18"/>
              </w:rPr>
            </w:pPr>
            <w:r>
              <w:rPr>
                <w:rFonts w:hint="eastAsia" w:ascii="Times New Roman" w:hAnsi="Times New Roman" w:eastAsia="微软雅黑" w:cs="Times New Roman"/>
                <w:b/>
                <w:bCs/>
                <w:color w:val="244061"/>
                <w:sz w:val="18"/>
                <w:szCs w:val="18"/>
              </w:rPr>
              <w:t>检测结果</w:t>
            </w:r>
          </w:p>
        </w:tc>
        <w:tc>
          <w:tcPr>
            <w:tcW w:w="1498" w:type="pct"/>
            <w:shd w:val="clear" w:color="auto" w:fill="auto"/>
            <w:vAlign w:val="center"/>
          </w:tcPr>
          <w:p w14:paraId="76A4E0E0">
            <w:pPr>
              <w:spacing w:line="204"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用药提示(仅供参考)</w:t>
            </w:r>
          </w:p>
        </w:tc>
        <w:tc>
          <w:tcPr>
            <w:tcW w:w="452" w:type="pct"/>
            <w:shd w:val="clear" w:color="auto" w:fill="auto"/>
            <w:vAlign w:val="center"/>
          </w:tcPr>
          <w:p w14:paraId="2E53F361">
            <w:pPr>
              <w:spacing w:line="204"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毒副作用风险</w:t>
            </w:r>
          </w:p>
        </w:tc>
        <w:tc>
          <w:tcPr>
            <w:tcW w:w="417" w:type="pct"/>
            <w:shd w:val="clear" w:color="auto" w:fill="auto"/>
            <w:vAlign w:val="center"/>
          </w:tcPr>
          <w:p w14:paraId="65AC8968">
            <w:pPr>
              <w:spacing w:line="204"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rPr>
              <w:t>药物敏感性</w:t>
            </w:r>
          </w:p>
        </w:tc>
        <w:tc>
          <w:tcPr>
            <w:tcW w:w="281" w:type="pct"/>
            <w:shd w:val="clear" w:color="auto" w:fill="auto"/>
            <w:vAlign w:val="center"/>
          </w:tcPr>
          <w:p w14:paraId="27204B53">
            <w:pPr>
              <w:spacing w:line="204" w:lineRule="exact"/>
              <w:jc w:val="center"/>
              <w:rPr>
                <w:rFonts w:ascii="Times New Roman" w:hAnsi="Times New Roman" w:eastAsia="微软雅黑" w:cs="Times New Roman"/>
                <w:color w:val="244061"/>
                <w:sz w:val="18"/>
                <w:szCs w:val="18"/>
              </w:rPr>
            </w:pPr>
            <w:r>
              <w:rPr>
                <w:rFonts w:hint="eastAsia" w:ascii="Times New Roman" w:hAnsi="Times New Roman" w:eastAsia="微软雅黑" w:cs="Times New Roman"/>
                <w:b/>
                <w:bCs/>
                <w:color w:val="244061"/>
                <w:sz w:val="18"/>
                <w:szCs w:val="18"/>
              </w:rPr>
              <w:t>等级</w:t>
            </w:r>
          </w:p>
        </w:tc>
      </w:tr>
      <w:tr w14:paraId="7D4A682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7EF9596">
            <w:pPr>
              <w:spacing w:line="206" w:lineRule="exact"/>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{%tr for ca in chemoAnalysis%}</w:t>
            </w:r>
          </w:p>
        </w:tc>
      </w:tr>
      <w:tr w14:paraId="10ECA1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A8A2650">
            <w:pPr>
              <w:spacing w:line="206" w:lineRule="exact"/>
              <w:jc w:val="center"/>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{%tr for c in ca %}</w:t>
            </w:r>
          </w:p>
        </w:tc>
      </w:tr>
      <w:tr w14:paraId="01F6FE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60E98A50">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vm %}{{ c.drug_class }}</w:t>
            </w:r>
          </w:p>
        </w:tc>
        <w:tc>
          <w:tcPr>
            <w:tcW w:w="443" w:type="pct"/>
            <w:shd w:val="clear" w:color="auto" w:fill="auto"/>
            <w:vAlign w:val="center"/>
          </w:tcPr>
          <w:p w14:paraId="7A6C0EED">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c.drug_name_chinese }}</w:t>
            </w:r>
          </w:p>
        </w:tc>
        <w:tc>
          <w:tcPr>
            <w:tcW w:w="434" w:type="pct"/>
            <w:shd w:val="clear" w:color="auto" w:fill="auto"/>
            <w:vAlign w:val="center"/>
          </w:tcPr>
          <w:p w14:paraId="1E85A192">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c.gene }}</w:t>
            </w:r>
          </w:p>
        </w:tc>
        <w:tc>
          <w:tcPr>
            <w:tcW w:w="464" w:type="pct"/>
            <w:shd w:val="clear" w:color="auto" w:fill="auto"/>
            <w:vAlign w:val="center"/>
          </w:tcPr>
          <w:p w14:paraId="0794211B">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c.rs_id }}</w:t>
            </w:r>
          </w:p>
        </w:tc>
        <w:tc>
          <w:tcPr>
            <w:tcW w:w="442" w:type="pct"/>
            <w:shd w:val="clear" w:color="auto" w:fill="auto"/>
            <w:vAlign w:val="center"/>
          </w:tcPr>
          <w:p w14:paraId="58C6ABB9">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c.allele }}</w:t>
            </w:r>
          </w:p>
        </w:tc>
        <w:tc>
          <w:tcPr>
            <w:tcW w:w="1498" w:type="pct"/>
            <w:shd w:val="clear" w:color="auto" w:fill="auto"/>
            <w:vAlign w:val="center"/>
          </w:tcPr>
          <w:p w14:paraId="58B6CAC5">
            <w:pPr>
              <w:spacing w:line="206" w:lineRule="exact"/>
              <w:jc w:val="both"/>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c.trans_PMID }}</w:t>
            </w:r>
          </w:p>
        </w:tc>
        <w:tc>
          <w:tcPr>
            <w:tcW w:w="452" w:type="pct"/>
            <w:shd w:val="clear" w:color="auto" w:fill="auto"/>
            <w:vAlign w:val="center"/>
          </w:tcPr>
          <w:p w14:paraId="778DDD5A">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c.tox }}</w:t>
            </w:r>
          </w:p>
        </w:tc>
        <w:tc>
          <w:tcPr>
            <w:tcW w:w="417" w:type="pct"/>
            <w:shd w:val="clear" w:color="auto" w:fill="auto"/>
            <w:vAlign w:val="center"/>
          </w:tcPr>
          <w:p w14:paraId="1871B438">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c.eff }}</w:t>
            </w:r>
          </w:p>
        </w:tc>
        <w:tc>
          <w:tcPr>
            <w:tcW w:w="281" w:type="pct"/>
            <w:shd w:val="clear" w:color="auto" w:fill="auto"/>
            <w:vAlign w:val="center"/>
          </w:tcPr>
          <w:p w14:paraId="5D1B78D2">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bCs/>
                <w:sz w:val="18"/>
                <w:szCs w:val="18"/>
              </w:rPr>
              <w:t>{{ c.evidence }}</w:t>
            </w:r>
          </w:p>
        </w:tc>
      </w:tr>
      <w:tr w14:paraId="029C2E9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B804320">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sz w:val="18"/>
                <w:szCs w:val="18"/>
              </w:rPr>
              <w:t>{%tr endfor %}</w:t>
            </w:r>
          </w:p>
        </w:tc>
      </w:tr>
      <w:tr w14:paraId="6CF2B2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CB45376">
            <w:pPr>
              <w:spacing w:line="206" w:lineRule="exact"/>
              <w:jc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sz w:val="18"/>
                <w:szCs w:val="18"/>
              </w:rPr>
              <w:t>{%tr endfor %}</w:t>
            </w:r>
          </w:p>
        </w:tc>
      </w:tr>
    </w:tbl>
    <w:p w14:paraId="35B036E7">
      <w:pPr>
        <w:pStyle w:val="32"/>
        <w:tabs>
          <w:tab w:val="left" w:pos="1317"/>
        </w:tabs>
        <w:kinsoku w:val="0"/>
        <w:overflowPunct w:val="0"/>
        <w:spacing w:before="1" w:line="187" w:lineRule="auto"/>
        <w:ind w:left="0" w:right="1131" w:firstLine="0"/>
        <w:rPr>
          <w:rFonts w:hint="eastAsia" w:ascii="微软雅黑" w:hAnsi="微软雅黑" w:eastAsia="微软雅黑" w:cs="宋体"/>
          <w:b/>
          <w:bCs/>
          <w:sz w:val="18"/>
        </w:rPr>
      </w:pPr>
      <w:r>
        <w:rPr>
          <w:rFonts w:hint="eastAsia" w:ascii="微软雅黑" w:hAnsi="微软雅黑" w:eastAsia="微软雅黑" w:cs="宋体"/>
          <w:b/>
          <w:bCs/>
          <w:sz w:val="18"/>
        </w:rPr>
        <w:t>注：</w:t>
      </w:r>
    </w:p>
    <w:p w14:paraId="44371575">
      <w:pPr>
        <w:numPr>
          <w:ilvl w:val="0"/>
          <w:numId w:val="12"/>
        </w:numPr>
        <w:rPr>
          <w:rFonts w:ascii="Times New Roman" w:hAnsi="Times New Roman" w:eastAsia="微软雅黑" w:cs="Times New Roman"/>
          <w:sz w:val="18"/>
        </w:rPr>
      </w:pPr>
      <w:r>
        <w:rPr>
          <w:rFonts w:ascii="Times New Roman" w:hAnsi="Times New Roman" w:eastAsia="微软雅黑" w:cs="Times New Roman"/>
          <w:sz w:val="18"/>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03F05AB">
      <w:pPr>
        <w:numPr>
          <w:ilvl w:val="0"/>
          <w:numId w:val="12"/>
        </w:numPr>
        <w:rPr>
          <w:rFonts w:ascii="Times New Roman" w:hAnsi="Times New Roman" w:eastAsia="微软雅黑" w:cs="Times New Roman"/>
          <w:sz w:val="18"/>
        </w:rPr>
      </w:pPr>
      <w:r>
        <w:rPr>
          <w:rFonts w:ascii="Times New Roman" w:hAnsi="Times New Roman" w:eastAsia="微软雅黑" w:cs="Times New Roman"/>
          <w:sz w:val="18"/>
        </w:rPr>
        <w:t>PharmGKB是美国国立卫生研究院资助的提供人类基因变异与药物反应相关关系的知识库。</w:t>
      </w:r>
    </w:p>
    <w:p w14:paraId="5CC934A1">
      <w:pPr>
        <w:numPr>
          <w:ilvl w:val="0"/>
          <w:numId w:val="12"/>
        </w:numPr>
        <w:rPr>
          <w:rFonts w:ascii="Times New Roman" w:hAnsi="Times New Roman" w:eastAsia="微软雅黑" w:cs="Times New Roman"/>
          <w:sz w:val="18"/>
        </w:rPr>
      </w:pPr>
      <w:r>
        <w:rPr>
          <w:rFonts w:ascii="Times New Roman" w:hAnsi="Times New Roman" w:eastAsia="微软雅黑" w:cs="Times New Roman"/>
          <w:sz w:val="18"/>
        </w:rPr>
        <w:t>临床证据等级来源于临床证据等级来源于PharmGKB Clinical Annotation Levels of Evidence (https://www.pharmgkb.org/page/clinAnnLevels)，证据等级 1A、1B、2A、2B、3 、4分别代表证据支持程度依次降低：</w:t>
      </w:r>
    </w:p>
    <w:p w14:paraId="2DF4F794">
      <w:pPr>
        <w:ind w:left="420"/>
        <w:rPr>
          <w:rFonts w:ascii="Times New Roman" w:hAnsi="Times New Roman" w:eastAsia="微软雅黑" w:cs="Times New Roman"/>
          <w:sz w:val="18"/>
        </w:rPr>
      </w:pPr>
      <w:r>
        <w:rPr>
          <w:rFonts w:ascii="Times New Roman" w:hAnsi="Times New Roman" w:eastAsia="微软雅黑" w:cs="Times New Roman"/>
          <w:sz w:val="18"/>
        </w:rPr>
        <w:t>1A：由临床药物基因组学实施联盟 (CPIC) 或遗传药理学指南认可，或在遗传药理学研究网络 (PGRN) 或某些重大卫生系统认可。</w:t>
      </w:r>
    </w:p>
    <w:p w14:paraId="29CAC29B">
      <w:pPr>
        <w:ind w:left="420"/>
        <w:rPr>
          <w:rFonts w:ascii="Times New Roman" w:hAnsi="Times New Roman" w:eastAsia="微软雅黑" w:cs="Times New Roman"/>
          <w:sz w:val="18"/>
        </w:rPr>
      </w:pPr>
      <w:r>
        <w:rPr>
          <w:rFonts w:ascii="Times New Roman" w:hAnsi="Times New Roman" w:eastAsia="微软雅黑" w:cs="Times New Roman"/>
          <w:sz w:val="18"/>
        </w:rPr>
        <w:t>1B：相关性基于多项有统计显著性的研究，此相关性必须在多于一个群体的研究中被重复，且显著性较强。</w:t>
      </w:r>
    </w:p>
    <w:p w14:paraId="629885FB">
      <w:pPr>
        <w:ind w:left="420"/>
        <w:rPr>
          <w:rFonts w:ascii="Times New Roman" w:hAnsi="Times New Roman" w:eastAsia="微软雅黑" w:cs="Times New Roman"/>
          <w:sz w:val="18"/>
        </w:rPr>
      </w:pPr>
      <w:r>
        <w:rPr>
          <w:rFonts w:ascii="Times New Roman" w:hAnsi="Times New Roman" w:eastAsia="微软雅黑" w:cs="Times New Roman"/>
          <w:sz w:val="18"/>
        </w:rPr>
        <w:t>2A：PharmGKB 定义的 2B 级之上的有 VIP（Very Important Pharmacogene，非常重要的用药相关基因）的变异。2A 级变异为已知用药相关基因，与 2B 级相比功能相关性更显著。</w:t>
      </w:r>
    </w:p>
    <w:p w14:paraId="1058C794">
      <w:pPr>
        <w:ind w:left="420"/>
        <w:rPr>
          <w:rFonts w:ascii="Times New Roman" w:hAnsi="Times New Roman" w:eastAsia="微软雅黑" w:cs="Times New Roman"/>
          <w:sz w:val="18"/>
        </w:rPr>
      </w:pPr>
      <w:r>
        <w:rPr>
          <w:rFonts w:ascii="Times New Roman" w:hAnsi="Times New Roman" w:eastAsia="微软雅黑" w:cs="Times New Roman"/>
          <w:sz w:val="18"/>
        </w:rPr>
        <w:t>2B：相关性基于多项重复性研究所得的中等程度证据，但其中某些研究可能缺乏统计学显著性或规模效应较小。</w:t>
      </w:r>
    </w:p>
    <w:p w14:paraId="38ED20A1">
      <w:pPr>
        <w:ind w:left="420"/>
        <w:rPr>
          <w:rFonts w:ascii="Times New Roman" w:hAnsi="Times New Roman" w:eastAsia="微软雅黑" w:cs="Times New Roman"/>
          <w:sz w:val="18"/>
        </w:rPr>
      </w:pPr>
      <w:r>
        <w:rPr>
          <w:rFonts w:ascii="Times New Roman" w:hAnsi="Times New Roman" w:eastAsia="微软雅黑" w:cs="Times New Roman"/>
          <w:sz w:val="18"/>
        </w:rPr>
        <w:t>3 ：相关性基于单一显著性（尚无重复性）研究或多项缺乏明确证据的研究。</w:t>
      </w:r>
    </w:p>
    <w:p w14:paraId="7C098C3D">
      <w:pPr>
        <w:ind w:left="420"/>
        <w:rPr>
          <w:rFonts w:ascii="Times New Roman" w:hAnsi="Times New Roman" w:eastAsia="微软雅黑" w:cs="Times New Roman"/>
          <w:sz w:val="18"/>
        </w:rPr>
      </w:pPr>
      <w:r>
        <w:rPr>
          <w:rFonts w:ascii="Times New Roman" w:hAnsi="Times New Roman" w:eastAsia="微软雅黑" w:cs="Times New Roman"/>
          <w:sz w:val="18"/>
        </w:rPr>
        <w:t>4</w:t>
      </w:r>
      <w:r>
        <w:rPr>
          <w:rFonts w:hint="eastAsia" w:ascii="Times New Roman" w:hAnsi="Times New Roman" w:eastAsia="微软雅黑" w:cs="Times New Roman"/>
          <w:sz w:val="18"/>
        </w:rPr>
        <w:t xml:space="preserve"> </w:t>
      </w:r>
      <w:r>
        <w:rPr>
          <w:rFonts w:ascii="Times New Roman" w:hAnsi="Times New Roman" w:eastAsia="微软雅黑" w:cs="Times New Roman"/>
          <w:sz w:val="18"/>
        </w:rPr>
        <w:t>：注释仅基于少量病例、非权威研究或体外的分子功能研究。</w:t>
      </w:r>
    </w:p>
    <w:p w14:paraId="1555F281">
      <w:pPr>
        <w:numPr>
          <w:ilvl w:val="0"/>
          <w:numId w:val="12"/>
        </w:numPr>
        <w:rPr>
          <w:rFonts w:ascii="Times New Roman" w:hAnsi="Times New Roman" w:eastAsia="微软雅黑" w:cs="Times New Roman"/>
          <w:sz w:val="18"/>
        </w:rPr>
      </w:pPr>
      <w:r>
        <w:rPr>
          <w:rFonts w:ascii="Times New Roman" w:hAnsi="Times New Roman" w:eastAsia="微软雅黑" w:cs="Times New Roman"/>
          <w:sz w:val="18"/>
        </w:rPr>
        <w:t>本报告中参考药物并非按照疗效排序。</w:t>
      </w:r>
    </w:p>
    <w:p w14:paraId="1D44F989">
      <w:pPr>
        <w:numPr>
          <w:ilvl w:val="0"/>
          <w:numId w:val="12"/>
        </w:numPr>
        <w:rPr>
          <w:rFonts w:ascii="Times New Roman" w:hAnsi="Times New Roman" w:eastAsia="微软雅黑" w:cs="Times New Roman"/>
          <w:sz w:val="18"/>
        </w:rPr>
      </w:pPr>
      <w:r>
        <w:rPr>
          <w:rFonts w:ascii="Times New Roman" w:hAnsi="Times New Roman" w:eastAsia="微软雅黑" w:cs="Times New Roman"/>
          <w:sz w:val="18"/>
        </w:rPr>
        <w:t>此处检测结果仅从基因角度进行分析，化疗药物的药效及毒副作用还会受到多种临床因素影响，用药上会存在个体差异，所以实际临床用药方案需临床医生综合判断。</w:t>
      </w:r>
    </w:p>
    <w:p w14:paraId="7A25B8DC">
      <w:pPr>
        <w:numPr>
          <w:ilvl w:val="0"/>
          <w:numId w:val="12"/>
        </w:numPr>
        <w:rPr>
          <w:rFonts w:ascii="Times New Roman" w:hAnsi="Times New Roman" w:eastAsia="微软雅黑" w:cs="Times New Roman"/>
          <w:sz w:val="18"/>
        </w:rPr>
      </w:pPr>
      <w:r>
        <w:rPr>
          <w:rFonts w:ascii="Times New Roman" w:hAnsi="Times New Roman" w:eastAsia="微软雅黑" w:cs="Times New Roman"/>
          <w:sz w:val="18"/>
        </w:rPr>
        <w:t>“/” 未有研究报道或现有研究结论不一致。</w:t>
      </w:r>
    </w:p>
    <w:p w14:paraId="1431C3B0">
      <w:pPr>
        <w:rPr>
          <w:rFonts w:ascii="Times New Roman" w:hAnsi="Times New Roman" w:eastAsia="微软雅黑" w:cs="Times New Roman"/>
          <w:sz w:val="18"/>
        </w:rPr>
      </w:pPr>
      <w:r>
        <w:rPr>
          <w:rFonts w:ascii="Times New Roman" w:hAnsi="Times New Roman" w:eastAsia="微软雅黑" w:cs="Times New Roman"/>
          <w:sz w:val="18"/>
        </w:rPr>
        <w:br w:type="page"/>
      </w:r>
    </w:p>
    <w:p w14:paraId="542D02D7">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35"/>
      <w:bookmarkEnd w:id="36"/>
      <w:bookmarkEnd w:id="37"/>
      <w:bookmarkEnd w:id="38"/>
    </w:p>
    <w:p w14:paraId="5DD2CC05">
      <w:pPr>
        <w:pStyle w:val="3"/>
        <w:numPr>
          <w:ilvl w:val="0"/>
          <w:numId w:val="13"/>
        </w:numPr>
        <w:jc w:val="both"/>
        <w:rPr>
          <w:rFonts w:hint="eastAsia" w:ascii="微软雅黑" w:hAnsi="微软雅黑" w:eastAsia="微软雅黑" w:cs="微软雅黑"/>
          <w:color w:val="254061" w:themeColor="accent1" w:themeShade="80"/>
        </w:rPr>
      </w:pPr>
      <w:bookmarkStart w:id="52" w:name="_Toc534637499"/>
      <w:bookmarkStart w:id="53" w:name="_Toc527112386"/>
      <w:bookmarkStart w:id="54" w:name="_Toc526855038"/>
      <w:r>
        <w:rPr>
          <w:rFonts w:hint="eastAsia" w:ascii="微软雅黑" w:hAnsi="微软雅黑" w:eastAsia="微软雅黑" w:cs="微软雅黑"/>
          <w:color w:val="254061" w:themeColor="accent1" w:themeShade="80"/>
        </w:rPr>
        <w:t>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CBA729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7AE9B474">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72BCC1C5">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4E6297AE">
            <w:pPr>
              <w:ind w:left="119"/>
              <w:jc w:val="center"/>
              <w:rPr>
                <w:rFonts w:ascii="Times New Roman" w:hAnsi="Times New Roman" w:eastAsia="微软雅黑" w:cs="Times New Roman"/>
                <w:b/>
                <w:color w:val="244061"/>
                <w:sz w:val="21"/>
              </w:rPr>
            </w:pPr>
            <w:r>
              <w:rPr>
                <w:rFonts w:hint="eastAsia" w:ascii="Times New Roman" w:hAnsi="Times New Roman" w:eastAsia="微软雅黑" w:cs="Times New Roman"/>
                <w:b/>
                <w:color w:val="244061"/>
                <w:sz w:val="21"/>
              </w:rPr>
              <w:t>质控数值</w:t>
            </w:r>
          </w:p>
        </w:tc>
        <w:tc>
          <w:tcPr>
            <w:tcW w:w="2721" w:type="dxa"/>
            <w:tcBorders>
              <w:top w:val="single" w:color="244061" w:sz="18" w:space="0"/>
            </w:tcBorders>
            <w:shd w:val="clear" w:color="auto" w:fill="auto"/>
            <w:vAlign w:val="center"/>
          </w:tcPr>
          <w:p w14:paraId="3761C474">
            <w:pPr>
              <w:ind w:left="119"/>
              <w:jc w:val="center"/>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3DC71A1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57CB5D54">
            <w:pPr>
              <w:ind w:left="119"/>
              <w:jc w:val="center"/>
              <w:rPr>
                <w:rFonts w:ascii="Times New Roman" w:hAnsi="Times New Roman" w:eastAsia="微软雅黑" w:cs="Times New Roman"/>
                <w:b/>
                <w:sz w:val="21"/>
              </w:rPr>
            </w:pPr>
            <w:r>
              <w:rPr>
                <w:rFonts w:ascii="Times New Roman" w:hAnsi="Times New Roman" w:eastAsia="微软雅黑" w:cs="Times New Roman"/>
                <w:b/>
                <w:sz w:val="21"/>
              </w:rPr>
              <w:t>病理</w:t>
            </w:r>
            <w:r>
              <w:rPr>
                <w:rFonts w:hint="eastAsia" w:ascii="Times New Roman" w:hAnsi="Times New Roman" w:eastAsia="微软雅黑" w:cs="Times New Roman"/>
                <w:b/>
                <w:sz w:val="21"/>
              </w:rPr>
              <w:t>评估</w:t>
            </w:r>
          </w:p>
        </w:tc>
        <w:tc>
          <w:tcPr>
            <w:tcW w:w="2721" w:type="dxa"/>
            <w:vAlign w:val="center"/>
          </w:tcPr>
          <w:p w14:paraId="2FC8421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肿瘤细胞含量</w:t>
            </w:r>
          </w:p>
        </w:tc>
        <w:tc>
          <w:tcPr>
            <w:tcW w:w="2381" w:type="dxa"/>
            <w:vAlign w:val="center"/>
          </w:tcPr>
          <w:p w14:paraId="309D7A9A">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tumorcellcontent</w:t>
            </w:r>
            <w:r>
              <w:rPr>
                <w:rFonts w:hint="eastAsia" w:ascii="Times New Roman" w:hAnsi="Times New Roman" w:eastAsia="微软雅黑" w:cs="Times New Roman"/>
                <w:sz w:val="21"/>
              </w:rPr>
              <w:t xml:space="preserve"> }}</w:t>
            </w:r>
          </w:p>
        </w:tc>
        <w:tc>
          <w:tcPr>
            <w:tcW w:w="2721" w:type="dxa"/>
            <w:vAlign w:val="center"/>
          </w:tcPr>
          <w:p w14:paraId="2475298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hint="eastAsia" w:ascii="Times New Roman" w:hAnsi="Times New Roman" w:eastAsia="微软雅黑" w:cs="Times New Roman"/>
                <w:sz w:val="21"/>
                <w:szCs w:val="21"/>
                <w:lang w:bidi="ar"/>
              </w:rPr>
              <w:t>1</w:t>
            </w:r>
            <w:r>
              <w:rPr>
                <w:rFonts w:ascii="Times New Roman" w:hAnsi="Times New Roman" w:eastAsia="微软雅黑" w:cs="Times New Roman"/>
                <w:sz w:val="21"/>
                <w:szCs w:val="21"/>
                <w:lang w:bidi="ar"/>
              </w:rPr>
              <w:t>0%</w:t>
            </w:r>
          </w:p>
        </w:tc>
      </w:tr>
      <w:tr w14:paraId="0373A50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A412D2A">
            <w:pPr>
              <w:ind w:left="119"/>
              <w:jc w:val="center"/>
              <w:rPr>
                <w:rFonts w:ascii="Times New Roman" w:hAnsi="Times New Roman" w:eastAsia="微软雅黑" w:cs="Times New Roman"/>
                <w:b/>
                <w:sz w:val="21"/>
              </w:rPr>
            </w:pPr>
            <w:r>
              <w:rPr>
                <w:rFonts w:hint="eastAsia" w:ascii="Times New Roman" w:hAnsi="Times New Roman" w:eastAsia="微软雅黑" w:cs="Times New Roman"/>
                <w:b/>
                <w:sz w:val="21"/>
              </w:rPr>
              <w:t>核酸质量评估</w:t>
            </w:r>
          </w:p>
        </w:tc>
        <w:tc>
          <w:tcPr>
            <w:tcW w:w="2721" w:type="dxa"/>
            <w:vAlign w:val="center"/>
          </w:tcPr>
          <w:p w14:paraId="516E764E">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bidi="ar"/>
              </w:rPr>
              <w:t>DNA</w:t>
            </w:r>
            <w:r>
              <w:rPr>
                <w:rFonts w:hint="eastAsia" w:ascii="Times New Roman" w:hAnsi="Times New Roman" w:eastAsia="微软雅黑" w:cs="微软雅黑"/>
                <w:sz w:val="21"/>
                <w:szCs w:val="21"/>
                <w:lang w:bidi="ar"/>
              </w:rPr>
              <w:t>总量（</w:t>
            </w:r>
            <w:r>
              <w:rPr>
                <w:rFonts w:ascii="Times New Roman" w:hAnsi="Times New Roman" w:eastAsia="微软雅黑" w:cs="Times New Roman"/>
                <w:sz w:val="21"/>
                <w:szCs w:val="21"/>
                <w:lang w:bidi="ar"/>
              </w:rPr>
              <w:t>ng</w:t>
            </w:r>
            <w:r>
              <w:rPr>
                <w:rFonts w:hint="eastAsia" w:ascii="Times New Roman" w:hAnsi="Times New Roman" w:eastAsia="微软雅黑" w:cs="微软雅黑"/>
                <w:sz w:val="21"/>
                <w:szCs w:val="21"/>
                <w:lang w:bidi="ar"/>
              </w:rPr>
              <w:t>）</w:t>
            </w:r>
          </w:p>
        </w:tc>
        <w:tc>
          <w:tcPr>
            <w:tcW w:w="2381" w:type="dxa"/>
            <w:vAlign w:val="center"/>
          </w:tcPr>
          <w:p w14:paraId="15BD6435">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DNA_total</w:t>
            </w:r>
            <w:r>
              <w:rPr>
                <w:rFonts w:hint="eastAsia" w:ascii="Times New Roman" w:hAnsi="Times New Roman" w:eastAsia="微软雅黑" w:cs="Times New Roman"/>
                <w:sz w:val="21"/>
              </w:rPr>
              <w:t xml:space="preserve"> }}</w:t>
            </w:r>
          </w:p>
        </w:tc>
        <w:tc>
          <w:tcPr>
            <w:tcW w:w="2721" w:type="dxa"/>
            <w:vAlign w:val="center"/>
          </w:tcPr>
          <w:p w14:paraId="1DB9FEE0">
            <w:pPr>
              <w:jc w:val="center"/>
              <w:rPr>
                <w:rFonts w:ascii="Times New Roman" w:hAnsi="Times New Roman" w:eastAsia="微软雅黑" w:cs="Times New Roman"/>
                <w:bCs/>
                <w:sz w:val="21"/>
              </w:rPr>
            </w:pPr>
            <w:r>
              <w:rPr>
                <w:rFonts w:hint="eastAsia" w:ascii="Times New Roman" w:hAnsi="Times New Roman" w:eastAsia="微软雅黑" w:cs="黑体"/>
                <w:sz w:val="21"/>
              </w:rPr>
              <w:t xml:space="preserve">{% if summaryOfRresults.type == </w:t>
            </w:r>
            <w:r>
              <w:rPr>
                <w:rFonts w:ascii="Times New Roman" w:hAnsi="Times New Roman" w:eastAsia="微软雅黑" w:cs="黑体"/>
                <w:sz w:val="21"/>
              </w:rPr>
              <w:t>“tissue”</w:t>
            </w:r>
            <w:r>
              <w:rPr>
                <w:rFonts w:hint="eastAsia" w:ascii="Times New Roman" w:hAnsi="Times New Roman" w:eastAsia="微软雅黑" w:cs="黑体"/>
                <w:sz w:val="21"/>
              </w:rPr>
              <w:t xml:space="preserve"> %}</w:t>
            </w: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100</w:t>
            </w:r>
            <w:r>
              <w:rPr>
                <w:rFonts w:hint="eastAsia" w:ascii="Times New Roman" w:hAnsi="Times New Roman" w:eastAsia="微软雅黑" w:cs="黑体"/>
                <w:sz w:val="21"/>
              </w:rPr>
              <w:t>{% else %}</w:t>
            </w:r>
            <w:r>
              <w:rPr>
                <w:rFonts w:hint="eastAsia" w:ascii="微软雅黑" w:hAnsi="微软雅黑" w:eastAsia="微软雅黑" w:cs="微软雅黑"/>
                <w:sz w:val="21"/>
                <w:szCs w:val="21"/>
                <w:lang w:bidi="ar"/>
              </w:rPr>
              <w:t>≥</w:t>
            </w:r>
            <w:r>
              <w:rPr>
                <w:rFonts w:hint="eastAsia" w:ascii="Times New Roman" w:hAnsi="Times New Roman" w:eastAsia="微软雅黑" w:cs="Times New Roman"/>
                <w:sz w:val="21"/>
                <w:szCs w:val="21"/>
                <w:lang w:bidi="ar"/>
              </w:rPr>
              <w:t>2</w:t>
            </w:r>
            <w:r>
              <w:rPr>
                <w:rFonts w:ascii="Times New Roman" w:hAnsi="Times New Roman" w:eastAsia="微软雅黑" w:cs="Times New Roman"/>
                <w:sz w:val="21"/>
                <w:szCs w:val="21"/>
                <w:lang w:bidi="ar"/>
              </w:rPr>
              <w:t>0</w:t>
            </w:r>
            <w:r>
              <w:rPr>
                <w:rFonts w:hint="eastAsia" w:ascii="Times New Roman" w:hAnsi="Times New Roman" w:eastAsia="微软雅黑" w:cs="黑体"/>
                <w:sz w:val="21"/>
              </w:rPr>
              <w:t>{% endif %}</w:t>
            </w:r>
          </w:p>
        </w:tc>
      </w:tr>
      <w:tr w14:paraId="56E0CF2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68DD1BC">
            <w:pPr>
              <w:ind w:left="119"/>
              <w:jc w:val="center"/>
              <w:rPr>
                <w:rFonts w:ascii="Times New Roman" w:hAnsi="Times New Roman" w:eastAsia="微软雅黑" w:cs="Times New Roman"/>
                <w:b/>
                <w:sz w:val="21"/>
              </w:rPr>
            </w:pPr>
          </w:p>
        </w:tc>
        <w:tc>
          <w:tcPr>
            <w:tcW w:w="2721" w:type="dxa"/>
            <w:vAlign w:val="center"/>
          </w:tcPr>
          <w:p w14:paraId="09B3DFE2">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bidi="ar"/>
              </w:rPr>
              <w:t>DNA</w:t>
            </w:r>
            <w:r>
              <w:rPr>
                <w:rFonts w:hint="eastAsia" w:ascii="Times New Roman" w:hAnsi="Times New Roman" w:eastAsia="微软雅黑" w:cs="微软雅黑"/>
                <w:sz w:val="21"/>
                <w:szCs w:val="21"/>
                <w:lang w:bidi="ar"/>
              </w:rPr>
              <w:t>降解程度</w:t>
            </w:r>
          </w:p>
        </w:tc>
        <w:tc>
          <w:tcPr>
            <w:tcW w:w="2381" w:type="dxa"/>
            <w:vAlign w:val="center"/>
          </w:tcPr>
          <w:p w14:paraId="54A0989F">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DNA_degradation</w:t>
            </w:r>
            <w:r>
              <w:rPr>
                <w:rFonts w:hint="eastAsia" w:ascii="Times New Roman" w:hAnsi="Times New Roman" w:eastAsia="微软雅黑" w:cs="Times New Roman"/>
                <w:sz w:val="21"/>
              </w:rPr>
              <w:t xml:space="preserve"> }}</w:t>
            </w:r>
          </w:p>
        </w:tc>
        <w:tc>
          <w:tcPr>
            <w:tcW w:w="2721" w:type="dxa"/>
            <w:vAlign w:val="center"/>
          </w:tcPr>
          <w:p w14:paraId="300BFC75">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bidi="ar"/>
              </w:rPr>
              <w:t>A/B/C</w:t>
            </w:r>
            <w:r>
              <w:rPr>
                <w:rFonts w:hint="eastAsia" w:ascii="微软雅黑" w:hAnsi="微软雅黑" w:eastAsia="微软雅黑" w:cs="微软雅黑"/>
                <w:sz w:val="21"/>
                <w:szCs w:val="21"/>
                <w:lang w:bidi="ar"/>
              </w:rPr>
              <w:t>级</w:t>
            </w:r>
          </w:p>
        </w:tc>
      </w:tr>
      <w:tr w14:paraId="2C44837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978AD72">
            <w:pPr>
              <w:ind w:left="119"/>
              <w:jc w:val="center"/>
              <w:rPr>
                <w:rFonts w:ascii="Times New Roman" w:hAnsi="Times New Roman" w:eastAsia="微软雅黑" w:cs="Times New Roman"/>
                <w:b/>
                <w:sz w:val="21"/>
              </w:rPr>
            </w:pPr>
          </w:p>
        </w:tc>
        <w:tc>
          <w:tcPr>
            <w:tcW w:w="2721" w:type="dxa"/>
            <w:vAlign w:val="center"/>
          </w:tcPr>
          <w:p w14:paraId="75A2957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预文库总量（</w:t>
            </w:r>
            <w:r>
              <w:rPr>
                <w:rFonts w:ascii="Times New Roman" w:hAnsi="Times New Roman" w:eastAsia="微软雅黑" w:cs="Times New Roman"/>
                <w:sz w:val="21"/>
                <w:szCs w:val="21"/>
                <w:lang w:bidi="ar"/>
              </w:rPr>
              <w:t>ng</w:t>
            </w:r>
            <w:r>
              <w:rPr>
                <w:rFonts w:hint="eastAsia" w:ascii="Times New Roman" w:hAnsi="Times New Roman" w:eastAsia="微软雅黑" w:cs="微软雅黑"/>
                <w:sz w:val="21"/>
                <w:szCs w:val="21"/>
                <w:lang w:bidi="ar"/>
              </w:rPr>
              <w:t>）</w:t>
            </w:r>
          </w:p>
        </w:tc>
        <w:tc>
          <w:tcPr>
            <w:tcW w:w="2381" w:type="dxa"/>
            <w:vAlign w:val="center"/>
          </w:tcPr>
          <w:p w14:paraId="794C4EF7">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outbound_quantity</w:t>
            </w:r>
            <w:r>
              <w:rPr>
                <w:rFonts w:hint="eastAsia" w:ascii="Times New Roman" w:hAnsi="Times New Roman" w:eastAsia="微软雅黑" w:cs="Times New Roman"/>
                <w:sz w:val="21"/>
              </w:rPr>
              <w:t xml:space="preserve"> }}</w:t>
            </w:r>
          </w:p>
        </w:tc>
        <w:tc>
          <w:tcPr>
            <w:tcW w:w="2721" w:type="dxa"/>
            <w:vAlign w:val="center"/>
          </w:tcPr>
          <w:p w14:paraId="7F7E5309">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500</w:t>
            </w:r>
          </w:p>
        </w:tc>
      </w:tr>
      <w:tr w14:paraId="08F90CA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5B746E88">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测序</w:t>
            </w:r>
            <w:r>
              <w:rPr>
                <w:rFonts w:hint="eastAsia" w:ascii="Times New Roman" w:hAnsi="Times New Roman" w:eastAsia="微软雅黑" w:cs="Times New Roman"/>
                <w:b/>
                <w:sz w:val="21"/>
              </w:rPr>
              <w:t>质量评估</w:t>
            </w:r>
          </w:p>
        </w:tc>
        <w:tc>
          <w:tcPr>
            <w:tcW w:w="2721" w:type="dxa"/>
            <w:vAlign w:val="center"/>
          </w:tcPr>
          <w:p w14:paraId="1CC12C6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平均测序深度</w:t>
            </w:r>
          </w:p>
        </w:tc>
        <w:tc>
          <w:tcPr>
            <w:tcW w:w="2381" w:type="dxa"/>
            <w:vAlign w:val="center"/>
          </w:tcPr>
          <w:p w14:paraId="39D037F7">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rPr>
              <w:t xml:space="preserve">{{ </w:t>
            </w:r>
            <w:r>
              <w:rPr>
                <w:rFonts w:ascii="Times New Roman" w:hAnsi="Times New Roman" w:eastAsia="微软雅黑" w:cs="Times New Roman"/>
                <w:sz w:val="21"/>
              </w:rPr>
              <w:t>sequencing_depth</w:t>
            </w:r>
            <w:r>
              <w:rPr>
                <w:rFonts w:hint="eastAsia" w:ascii="Times New Roman" w:hAnsi="Times New Roman" w:eastAsia="微软雅黑" w:cs="Times New Roman"/>
                <w:sz w:val="21"/>
              </w:rPr>
              <w:t xml:space="preserve"> }}</w:t>
            </w:r>
          </w:p>
        </w:tc>
        <w:tc>
          <w:tcPr>
            <w:tcW w:w="2721" w:type="dxa"/>
            <w:vAlign w:val="center"/>
          </w:tcPr>
          <w:p w14:paraId="03FFD77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黑体"/>
                <w:sz w:val="21"/>
              </w:rPr>
              <w:t xml:space="preserve">{% if summaryOfRresults.type == </w:t>
            </w:r>
            <w:r>
              <w:rPr>
                <w:rFonts w:ascii="Times New Roman" w:hAnsi="Times New Roman" w:eastAsia="微软雅黑" w:cs="黑体"/>
                <w:sz w:val="21"/>
              </w:rPr>
              <w:t>“tissue”</w:t>
            </w:r>
            <w:r>
              <w:rPr>
                <w:rFonts w:hint="eastAsia" w:ascii="Times New Roman" w:hAnsi="Times New Roman" w:eastAsia="微软雅黑" w:cs="黑体"/>
                <w:sz w:val="21"/>
              </w:rPr>
              <w:t xml:space="preserve"> %}</w:t>
            </w: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500</w:t>
            </w:r>
            <w:r>
              <w:rPr>
                <w:rFonts w:hint="eastAsia" w:ascii="Times New Roman" w:hAnsi="Times New Roman" w:eastAsia="微软雅黑" w:cs="黑体"/>
                <w:sz w:val="21"/>
              </w:rPr>
              <w:t>{% else %}</w:t>
            </w:r>
            <w:r>
              <w:rPr>
                <w:rFonts w:hint="eastAsia" w:ascii="微软雅黑" w:hAnsi="微软雅黑" w:eastAsia="微软雅黑" w:cs="微软雅黑"/>
                <w:sz w:val="21"/>
                <w:szCs w:val="21"/>
                <w:lang w:bidi="ar"/>
              </w:rPr>
              <w:t>≥</w:t>
            </w:r>
            <w:r>
              <w:rPr>
                <w:rFonts w:hint="eastAsia" w:ascii="Times New Roman" w:hAnsi="Times New Roman" w:cs="Times New Roman"/>
                <w:color w:val="000000"/>
                <w:sz w:val="21"/>
                <w:szCs w:val="21"/>
              </w:rPr>
              <w:t>15</w:t>
            </w:r>
            <w:r>
              <w:rPr>
                <w:rFonts w:ascii="Times New Roman" w:hAnsi="Times New Roman" w:cs="Times New Roman"/>
                <w:color w:val="000000"/>
                <w:sz w:val="21"/>
                <w:szCs w:val="21"/>
              </w:rPr>
              <w:t>00</w:t>
            </w:r>
            <w:r>
              <w:rPr>
                <w:rFonts w:hint="eastAsia" w:ascii="Times New Roman" w:hAnsi="Times New Roman" w:eastAsia="微软雅黑" w:cs="黑体"/>
                <w:sz w:val="21"/>
              </w:rPr>
              <w:t>{% endif %}</w:t>
            </w:r>
          </w:p>
        </w:tc>
      </w:tr>
      <w:tr w14:paraId="15688C4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5672D25">
            <w:pPr>
              <w:ind w:left="119"/>
              <w:jc w:val="center"/>
              <w:rPr>
                <w:rFonts w:ascii="Times New Roman" w:hAnsi="Times New Roman" w:eastAsia="微软雅黑" w:cs="Times New Roman"/>
                <w:b/>
                <w:sz w:val="21"/>
              </w:rPr>
            </w:pPr>
          </w:p>
        </w:tc>
        <w:tc>
          <w:tcPr>
            <w:tcW w:w="2721" w:type="dxa"/>
            <w:vAlign w:val="center"/>
          </w:tcPr>
          <w:p w14:paraId="723BD36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覆盖均一性</w:t>
            </w:r>
          </w:p>
        </w:tc>
        <w:tc>
          <w:tcPr>
            <w:tcW w:w="2381" w:type="dxa"/>
            <w:vAlign w:val="center"/>
          </w:tcPr>
          <w:p w14:paraId="7C2A3D5B">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coverage_uniformity }}</w:t>
            </w:r>
          </w:p>
        </w:tc>
        <w:tc>
          <w:tcPr>
            <w:tcW w:w="2721" w:type="dxa"/>
            <w:vAlign w:val="center"/>
          </w:tcPr>
          <w:p w14:paraId="7B80C092">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90%</w:t>
            </w:r>
          </w:p>
        </w:tc>
      </w:tr>
      <w:tr w14:paraId="328E6CF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6D9BD7B">
            <w:pPr>
              <w:ind w:left="119"/>
              <w:jc w:val="center"/>
              <w:rPr>
                <w:rFonts w:ascii="Times New Roman" w:hAnsi="Times New Roman" w:eastAsia="微软雅黑" w:cs="Times New Roman"/>
                <w:b/>
                <w:sz w:val="21"/>
              </w:rPr>
            </w:pPr>
          </w:p>
        </w:tc>
        <w:tc>
          <w:tcPr>
            <w:tcW w:w="2721" w:type="dxa"/>
            <w:vAlign w:val="center"/>
          </w:tcPr>
          <w:p w14:paraId="4A46FB0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基因组比对率</w:t>
            </w:r>
          </w:p>
        </w:tc>
        <w:tc>
          <w:tcPr>
            <w:tcW w:w="2381" w:type="dxa"/>
            <w:vAlign w:val="center"/>
          </w:tcPr>
          <w:p w14:paraId="201982EE">
            <w:pPr>
              <w:ind w:left="119"/>
              <w:jc w:val="center"/>
              <w:rPr>
                <w:rFonts w:ascii="Times New Roman" w:hAnsi="Times New Roman" w:eastAsia="微软雅黑" w:cs="Times New Roman"/>
                <w:sz w:val="21"/>
              </w:rPr>
            </w:pPr>
            <w:r>
              <w:rPr>
                <w:rFonts w:hint="eastAsia" w:ascii="Times New Roman" w:hAnsi="Times New Roman" w:eastAsia="微软雅黑" w:cs="Times New Roman"/>
                <w:sz w:val="21"/>
              </w:rPr>
              <w:t>{{ genome_alignment }}</w:t>
            </w:r>
          </w:p>
        </w:tc>
        <w:tc>
          <w:tcPr>
            <w:tcW w:w="2721" w:type="dxa"/>
            <w:vAlign w:val="center"/>
          </w:tcPr>
          <w:p w14:paraId="0DC0A534">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95%</w:t>
            </w:r>
          </w:p>
        </w:tc>
      </w:tr>
      <w:tr w14:paraId="481DBA0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CF73EF6">
            <w:pPr>
              <w:ind w:left="119"/>
              <w:jc w:val="center"/>
              <w:rPr>
                <w:rFonts w:ascii="Times New Roman" w:hAnsi="Times New Roman" w:eastAsia="微软雅黑" w:cs="Times New Roman"/>
                <w:b/>
                <w:sz w:val="21"/>
              </w:rPr>
            </w:pPr>
          </w:p>
        </w:tc>
        <w:tc>
          <w:tcPr>
            <w:tcW w:w="2721" w:type="dxa"/>
            <w:vAlign w:val="center"/>
          </w:tcPr>
          <w:p w14:paraId="5437272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bidi="ar"/>
              </w:rPr>
              <w:t>碱基质量</w:t>
            </w:r>
            <w:r>
              <w:rPr>
                <w:rFonts w:ascii="Times New Roman" w:hAnsi="Times New Roman" w:eastAsia="微软雅黑" w:cs="Times New Roman"/>
                <w:sz w:val="21"/>
                <w:szCs w:val="21"/>
                <w:lang w:bidi="ar"/>
              </w:rPr>
              <w:t>Q30</w:t>
            </w:r>
            <w:r>
              <w:rPr>
                <w:rFonts w:hint="eastAsia" w:ascii="Times New Roman" w:hAnsi="Times New Roman" w:eastAsia="微软雅黑" w:cs="微软雅黑"/>
                <w:sz w:val="21"/>
                <w:szCs w:val="21"/>
                <w:lang w:bidi="ar"/>
              </w:rPr>
              <w:t>占比</w:t>
            </w:r>
          </w:p>
        </w:tc>
        <w:tc>
          <w:tcPr>
            <w:tcW w:w="2381" w:type="dxa"/>
            <w:vAlign w:val="center"/>
          </w:tcPr>
          <w:p w14:paraId="62E6D1F2">
            <w:pPr>
              <w:autoSpaceDE w:val="0"/>
              <w:ind w:left="110" w:leftChars="50"/>
              <w:jc w:val="center"/>
              <w:rPr>
                <w:rFonts w:ascii="Times New Roman" w:hAnsi="Times New Roman" w:eastAsia="微软雅黑" w:cs="Times New Roman"/>
                <w:sz w:val="21"/>
              </w:rPr>
            </w:pPr>
            <w:r>
              <w:rPr>
                <w:rFonts w:hint="eastAsia" w:ascii="Times New Roman" w:hAnsi="Times New Roman" w:eastAsia="微软雅黑" w:cs="Times New Roman"/>
                <w:sz w:val="21"/>
              </w:rPr>
              <w:t>{{ base_quality }}</w:t>
            </w:r>
          </w:p>
        </w:tc>
        <w:tc>
          <w:tcPr>
            <w:tcW w:w="2721" w:type="dxa"/>
            <w:vAlign w:val="center"/>
          </w:tcPr>
          <w:p w14:paraId="4C1120A2">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bidi="ar"/>
              </w:rPr>
              <w:t>≥</w:t>
            </w:r>
            <w:r>
              <w:rPr>
                <w:rFonts w:ascii="Times New Roman" w:hAnsi="Times New Roman" w:eastAsia="微软雅黑" w:cs="Times New Roman"/>
                <w:sz w:val="21"/>
                <w:szCs w:val="21"/>
                <w:lang w:bidi="ar"/>
              </w:rPr>
              <w:t>80%</w:t>
            </w:r>
          </w:p>
        </w:tc>
      </w:tr>
      <w:tr w14:paraId="75A7650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776437C">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shd w:val="clear" w:color="auto" w:fill="F1F1F1"/>
            <w:vAlign w:val="center"/>
          </w:tcPr>
          <w:p w14:paraId="4F07B494">
            <w:pPr>
              <w:ind w:left="119"/>
              <w:jc w:val="center"/>
              <w:rPr>
                <w:rFonts w:ascii="Times New Roman" w:hAnsi="Times New Roman" w:eastAsia="微软雅黑" w:cs="Times New Roman"/>
                <w:bCs/>
                <w:sz w:val="21"/>
              </w:rPr>
            </w:pPr>
            <w:r>
              <w:rPr>
                <w:rFonts w:hint="eastAsia" w:ascii="微软雅黑" w:hAnsi="微软雅黑" w:eastAsia="微软雅黑"/>
                <w:color w:val="000000"/>
                <w:sz w:val="21"/>
                <w:szCs w:val="21"/>
              </w:rPr>
              <w:t xml:space="preserve">{{ </w:t>
            </w:r>
            <w:r>
              <w:rPr>
                <w:rFonts w:ascii="微软雅黑" w:hAnsi="微软雅黑" w:eastAsia="微软雅黑"/>
                <w:color w:val="000000"/>
                <w:sz w:val="21"/>
                <w:szCs w:val="21"/>
              </w:rPr>
              <w:t>overall_quality_assessment</w:t>
            </w:r>
            <w:r>
              <w:rPr>
                <w:rFonts w:hint="eastAsia" w:ascii="微软雅黑" w:hAnsi="微软雅黑" w:eastAsia="微软雅黑"/>
                <w:color w:val="000000"/>
                <w:sz w:val="21"/>
                <w:szCs w:val="21"/>
              </w:rPr>
              <w:t xml:space="preserve"> }}</w:t>
            </w:r>
          </w:p>
        </w:tc>
      </w:tr>
    </w:tbl>
    <w:p w14:paraId="31DAF65D">
      <w:pPr>
        <w:spacing w:before="53" w:line="301" w:lineRule="exact"/>
        <w:rPr>
          <w:rFonts w:ascii="Times New Roman" w:hAnsi="Times New Roman" w:eastAsia="微软雅黑" w:cs="Times New Roman"/>
          <w:bCs/>
          <w:sz w:val="18"/>
        </w:rPr>
      </w:pPr>
      <w:r>
        <w:rPr>
          <w:rFonts w:hint="eastAsia" w:ascii="Times New Roman" w:hAnsi="Times New Roman" w:eastAsia="微软雅黑" w:cs="Times New Roman"/>
          <w:bCs/>
          <w:sz w:val="18"/>
        </w:rPr>
        <w:t>注：</w:t>
      </w:r>
    </w:p>
    <w:p w14:paraId="382A1258">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肿瘤细胞含量：送检样本经HE染色评估的肿瘤细胞含量。如送检样本不满足病理评估所需条件，则不进行此项评估。血浆cfDNA样本不做此项评估。</w:t>
      </w:r>
    </w:p>
    <w:p w14:paraId="410E9B87">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DNA总量：送检样本的DNA提取总量。</w:t>
      </w:r>
    </w:p>
    <w:p w14:paraId="6871508C">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DNA降解程度：cfDNA样本不适用于此项评估。</w:t>
      </w:r>
    </w:p>
    <w:p w14:paraId="5E2C0823">
      <w:pPr>
        <w:numPr>
          <w:ilvl w:val="0"/>
          <w:numId w:val="15"/>
        </w:numPr>
        <w:spacing w:line="270" w:lineRule="exact"/>
        <w:ind w:left="613" w:leftChars="150" w:hanging="283"/>
        <w:rPr>
          <w:rFonts w:ascii="Times New Roman" w:hAnsi="Times New Roman" w:eastAsia="微软雅黑" w:cs="Times New Roman"/>
          <w:bCs/>
          <w:sz w:val="18"/>
          <w:szCs w:val="18"/>
        </w:rPr>
      </w:pPr>
      <w:r>
        <w:rPr>
          <w:rFonts w:ascii="Times New Roman" w:hAnsi="Times New Roman" w:eastAsia="微软雅黑" w:cs="Times New Roman"/>
          <w:bCs/>
          <w:sz w:val="18"/>
          <w:szCs w:val="18"/>
        </w:rPr>
        <w:t>A级：有主带，或降解均匀且降解区域主要集中在5000bp以上</w:t>
      </w:r>
      <w:r>
        <w:rPr>
          <w:rFonts w:hint="eastAsia" w:ascii="Times New Roman" w:hAnsi="Times New Roman" w:eastAsia="微软雅黑" w:cs="Times New Roman"/>
          <w:bCs/>
          <w:sz w:val="18"/>
          <w:szCs w:val="18"/>
        </w:rPr>
        <w:t>；</w:t>
      </w:r>
    </w:p>
    <w:p w14:paraId="5A411B87">
      <w:pPr>
        <w:numPr>
          <w:ilvl w:val="0"/>
          <w:numId w:val="15"/>
        </w:numPr>
        <w:spacing w:line="270" w:lineRule="exact"/>
        <w:ind w:left="613" w:leftChars="150" w:hanging="283"/>
        <w:rPr>
          <w:rFonts w:ascii="Times New Roman" w:hAnsi="Times New Roman" w:eastAsia="微软雅黑" w:cs="Times New Roman"/>
          <w:bCs/>
          <w:sz w:val="18"/>
          <w:szCs w:val="18"/>
        </w:rPr>
      </w:pPr>
      <w:r>
        <w:rPr>
          <w:rFonts w:ascii="Times New Roman" w:hAnsi="Times New Roman" w:eastAsia="微软雅黑" w:cs="Times New Roman"/>
          <w:bCs/>
          <w:sz w:val="18"/>
          <w:szCs w:val="18"/>
        </w:rPr>
        <w:t>B级：无主带，降解均匀且降解区域主要集中在1500-5000bp之间</w:t>
      </w:r>
      <w:r>
        <w:rPr>
          <w:rFonts w:hint="eastAsia" w:ascii="Times New Roman" w:hAnsi="Times New Roman" w:eastAsia="微软雅黑" w:cs="Times New Roman"/>
          <w:bCs/>
          <w:sz w:val="18"/>
          <w:szCs w:val="18"/>
        </w:rPr>
        <w:t>；</w:t>
      </w:r>
    </w:p>
    <w:p w14:paraId="0EC9EAB4">
      <w:pPr>
        <w:numPr>
          <w:ilvl w:val="0"/>
          <w:numId w:val="15"/>
        </w:numPr>
        <w:spacing w:line="270" w:lineRule="exact"/>
        <w:ind w:left="613" w:leftChars="150" w:hanging="283"/>
        <w:rPr>
          <w:rFonts w:ascii="Times New Roman" w:hAnsi="Times New Roman" w:eastAsia="微软雅黑" w:cs="Times New Roman"/>
          <w:bCs/>
          <w:sz w:val="18"/>
          <w:szCs w:val="18"/>
        </w:rPr>
      </w:pPr>
      <w:r>
        <w:rPr>
          <w:rFonts w:ascii="Times New Roman" w:hAnsi="Times New Roman" w:eastAsia="微软雅黑" w:cs="Times New Roman"/>
          <w:bCs/>
          <w:sz w:val="18"/>
          <w:szCs w:val="18"/>
        </w:rPr>
        <w:t>C级：无主带，降解均匀且降解区域主要集中在500-1500bp之间</w:t>
      </w:r>
      <w:r>
        <w:rPr>
          <w:rFonts w:hint="eastAsia" w:ascii="Times New Roman" w:hAnsi="Times New Roman" w:eastAsia="微软雅黑" w:cs="Times New Roman"/>
          <w:bCs/>
          <w:sz w:val="18"/>
          <w:szCs w:val="18"/>
        </w:rPr>
        <w:t>；</w:t>
      </w:r>
    </w:p>
    <w:p w14:paraId="733DBB00">
      <w:pPr>
        <w:numPr>
          <w:ilvl w:val="0"/>
          <w:numId w:val="15"/>
        </w:numPr>
        <w:spacing w:line="270" w:lineRule="exact"/>
        <w:ind w:left="613" w:leftChars="150" w:hanging="283"/>
        <w:rPr>
          <w:rFonts w:ascii="Times New Roman" w:hAnsi="Times New Roman" w:eastAsia="微软雅黑" w:cs="Times New Roman"/>
          <w:bCs/>
          <w:sz w:val="18"/>
          <w:szCs w:val="18"/>
        </w:rPr>
      </w:pPr>
      <w:r>
        <w:rPr>
          <w:rFonts w:ascii="Times New Roman" w:hAnsi="Times New Roman" w:eastAsia="微软雅黑" w:cs="Times New Roman"/>
          <w:bCs/>
          <w:spacing w:val="3"/>
          <w:sz w:val="18"/>
          <w:szCs w:val="18"/>
        </w:rPr>
        <w:t>D级</w:t>
      </w:r>
      <w:r>
        <w:rPr>
          <w:rFonts w:ascii="Times New Roman" w:hAnsi="Times New Roman" w:eastAsia="微软雅黑" w:cs="Times New Roman"/>
          <w:bCs/>
          <w:sz w:val="18"/>
          <w:szCs w:val="18"/>
        </w:rPr>
        <w:t>（</w:t>
      </w:r>
      <w:r>
        <w:rPr>
          <w:rFonts w:ascii="Times New Roman" w:hAnsi="Times New Roman" w:eastAsia="微软雅黑" w:cs="Times New Roman"/>
          <w:bCs/>
          <w:spacing w:val="1"/>
          <w:sz w:val="18"/>
          <w:szCs w:val="18"/>
        </w:rPr>
        <w:t>不合格</w:t>
      </w:r>
      <w:r>
        <w:rPr>
          <w:rFonts w:ascii="Times New Roman" w:hAnsi="Times New Roman" w:eastAsia="微软雅黑" w:cs="Times New Roman"/>
          <w:bCs/>
          <w:spacing w:val="-90"/>
          <w:sz w:val="18"/>
          <w:szCs w:val="18"/>
        </w:rPr>
        <w:t>）</w:t>
      </w:r>
      <w:r>
        <w:rPr>
          <w:rFonts w:ascii="Times New Roman" w:hAnsi="Times New Roman" w:eastAsia="微软雅黑" w:cs="Times New Roman"/>
          <w:bCs/>
          <w:sz w:val="18"/>
          <w:szCs w:val="18"/>
        </w:rPr>
        <w:t>）：无主带，降解均匀且降解区域主要集中在500-1500bp</w:t>
      </w:r>
      <w:r>
        <w:rPr>
          <w:rFonts w:ascii="Times New Roman" w:hAnsi="Times New Roman" w:eastAsia="微软雅黑" w:cs="Times New Roman"/>
          <w:bCs/>
          <w:spacing w:val="-1"/>
          <w:sz w:val="18"/>
          <w:szCs w:val="18"/>
        </w:rPr>
        <w:t>之间，但总量介于</w:t>
      </w:r>
      <w:r>
        <w:rPr>
          <w:rFonts w:ascii="Times New Roman" w:hAnsi="Times New Roman" w:eastAsia="微软雅黑" w:cs="Times New Roman"/>
          <w:bCs/>
          <w:sz w:val="18"/>
          <w:szCs w:val="18"/>
        </w:rPr>
        <w:t>100ng</w:t>
      </w:r>
      <w:r>
        <w:rPr>
          <w:rFonts w:ascii="Times New Roman" w:hAnsi="Times New Roman" w:eastAsia="微软雅黑" w:cs="Times New Roman"/>
          <w:bCs/>
          <w:spacing w:val="-3"/>
          <w:sz w:val="18"/>
          <w:szCs w:val="18"/>
        </w:rPr>
        <w:t>到</w:t>
      </w:r>
      <w:r>
        <w:rPr>
          <w:rFonts w:ascii="Times New Roman" w:hAnsi="Times New Roman" w:eastAsia="微软雅黑" w:cs="Times New Roman"/>
          <w:bCs/>
          <w:sz w:val="18"/>
          <w:szCs w:val="18"/>
        </w:rPr>
        <w:t>300ng之间；或降解区</w:t>
      </w:r>
      <w:r>
        <w:rPr>
          <w:rFonts w:ascii="Times New Roman" w:hAnsi="Times New Roman" w:eastAsia="微软雅黑" w:cs="Times New Roman"/>
          <w:bCs/>
          <w:spacing w:val="-2"/>
          <w:sz w:val="18"/>
          <w:szCs w:val="18"/>
        </w:rPr>
        <w:t>域弥散在</w:t>
      </w:r>
      <w:r>
        <w:rPr>
          <w:rFonts w:ascii="Times New Roman" w:hAnsi="Times New Roman" w:eastAsia="微软雅黑" w:cs="Times New Roman"/>
          <w:bCs/>
          <w:sz w:val="18"/>
          <w:szCs w:val="18"/>
        </w:rPr>
        <w:t>150-1000bp</w:t>
      </w:r>
      <w:r>
        <w:rPr>
          <w:rFonts w:ascii="Times New Roman" w:hAnsi="Times New Roman" w:eastAsia="微软雅黑" w:cs="Times New Roman"/>
          <w:bCs/>
          <w:spacing w:val="-2"/>
          <w:sz w:val="18"/>
          <w:szCs w:val="18"/>
        </w:rPr>
        <w:t>，或集中在</w:t>
      </w:r>
      <w:r>
        <w:rPr>
          <w:rFonts w:ascii="Times New Roman" w:hAnsi="Times New Roman" w:eastAsia="微软雅黑" w:cs="Times New Roman"/>
          <w:bCs/>
          <w:sz w:val="18"/>
          <w:szCs w:val="18"/>
        </w:rPr>
        <w:t>500bp以下。</w:t>
      </w:r>
    </w:p>
    <w:p w14:paraId="223BF75F">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预文库总量：核酸片段经过接头连接和扩增纯化后中间产物的总量。</w:t>
      </w:r>
    </w:p>
    <w:p w14:paraId="718DC177">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平均测序深度：目标区域每个碱基被测到的平均次数。</w:t>
      </w:r>
    </w:p>
    <w:p w14:paraId="6643D6C8">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覆盖均一性：测序深度达到平均测序深度20%的碱基占比。</w:t>
      </w:r>
    </w:p>
    <w:p w14:paraId="5393ADDE">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基因组比对率：比对到参考基因组上的reads数目占比。</w:t>
      </w:r>
    </w:p>
    <w:p w14:paraId="6381F71C">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碱基质量Q30占比：测序数据中碱基质量在Q30以上（即碱基识别错误率在千分之一以下）的占比。</w:t>
      </w:r>
    </w:p>
    <w:p w14:paraId="0BF1E8BB">
      <w:pPr>
        <w:numPr>
          <w:ilvl w:val="0"/>
          <w:numId w:val="14"/>
        </w:numPr>
        <w:spacing w:before="53" w:line="301" w:lineRule="exact"/>
        <w:ind w:left="133"/>
        <w:rPr>
          <w:rFonts w:ascii="Times New Roman" w:hAnsi="Times New Roman" w:eastAsia="微软雅黑" w:cs="Times New Roman"/>
          <w:bCs/>
          <w:sz w:val="18"/>
          <w:szCs w:val="18"/>
        </w:rPr>
      </w:pPr>
      <w:r>
        <w:rPr>
          <w:rFonts w:hint="eastAsia" w:ascii="Times New Roman" w:hAnsi="Times New Roman" w:eastAsia="微软雅黑" w:cs="Times New Roman"/>
          <w:bCs/>
          <w:sz w:val="18"/>
          <w:szCs w:val="18"/>
        </w:rPr>
        <w:t xml:space="preserve">总体质量评估：根据 </w:t>
      </w:r>
      <w:r>
        <w:rPr>
          <w:rFonts w:ascii="Times New Roman" w:hAnsi="Times New Roman" w:eastAsia="微软雅黑" w:cs="Times New Roman"/>
          <w:bCs/>
          <w:sz w:val="18"/>
          <w:szCs w:val="18"/>
        </w:rPr>
        <w:t xml:space="preserve">DNA </w:t>
      </w:r>
      <w:r>
        <w:rPr>
          <w:rFonts w:hint="eastAsia" w:ascii="Times New Roman" w:hAnsi="Times New Roman" w:eastAsia="微软雅黑" w:cs="Times New Roman"/>
          <w:bCs/>
          <w:sz w:val="18"/>
          <w:szCs w:val="18"/>
        </w:rPr>
        <w:t>平均测序深度进行评估，分为“合格”、“警戒”、“不合格”三个等级。总体质量评估为“警戒”或者“不合格”时，均会影响检测的准确性和敏感性。</w:t>
      </w:r>
    </w:p>
    <w:p w14:paraId="5A7A1590">
      <w:pPr>
        <w:rPr>
          <w:rFonts w:ascii="Times New Roman" w:hAnsi="Times New Roman"/>
          <w:sz w:val="30"/>
        </w:rPr>
      </w:pPr>
      <w:r>
        <w:rPr>
          <w:rFonts w:hint="eastAsia"/>
        </w:rPr>
        <w:br w:type="page"/>
      </w:r>
    </w:p>
    <w:p w14:paraId="7C0CC14D">
      <w:pPr>
        <w:pStyle w:val="3"/>
        <w:numPr>
          <w:ilvl w:val="0"/>
          <w:numId w:val="13"/>
        </w:numPr>
        <w:jc w:val="both"/>
        <w:rPr>
          <w:rFonts w:hint="eastAsia" w:ascii="微软雅黑" w:hAnsi="微软雅黑" w:eastAsia="微软雅黑" w:cs="微软雅黑"/>
          <w:color w:val="254061" w:themeColor="accent1" w:themeShade="80"/>
        </w:rPr>
      </w:pPr>
      <w:bookmarkStart w:id="55" w:name="_Toc30533"/>
      <w:bookmarkStart w:id="56" w:name="_Toc19099"/>
      <w:bookmarkStart w:id="57" w:name="_Toc7549"/>
      <w:bookmarkStart w:id="58" w:name="_Toc16368_WPSOffice_Level1"/>
      <w:bookmarkStart w:id="59" w:name="_Toc22458"/>
      <w:bookmarkStart w:id="60" w:name="_Toc28910_WPSOffice_Level1"/>
      <w:bookmarkStart w:id="61" w:name="_Toc22484_WPSOffice_Level1"/>
      <w:r>
        <w:rPr>
          <w:rFonts w:hint="eastAsia" w:ascii="微软雅黑" w:hAnsi="微软雅黑" w:eastAsia="微软雅黑" w:cs="微软雅黑"/>
          <w:color w:val="254061" w:themeColor="accent1" w:themeShade="80"/>
        </w:rPr>
        <w:t>检测基因列表</w:t>
      </w:r>
      <w:bookmarkEnd w:id="52"/>
      <w:bookmarkEnd w:id="53"/>
      <w:bookmarkEnd w:id="54"/>
      <w:bookmarkEnd w:id="55"/>
      <w:bookmarkEnd w:id="56"/>
      <w:bookmarkEnd w:id="57"/>
      <w:bookmarkEnd w:id="58"/>
      <w:bookmarkEnd w:id="59"/>
      <w:bookmarkEnd w:id="60"/>
      <w:bookmarkEnd w:id="6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92BFC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60A47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rPr>
              <w:t xml:space="preserve">{%tr for Gene in </w:t>
            </w:r>
            <w:r>
              <w:rPr>
                <w:rFonts w:hint="eastAsia" w:ascii="Times New Roman" w:hAnsi="Times New Roman" w:eastAsia="微软雅黑" w:cs="Times New Roman"/>
                <w:sz w:val="18"/>
                <w:szCs w:val="18"/>
                <w:lang w:bidi="ar"/>
              </w:rPr>
              <w:t>gene.genes</w:t>
            </w:r>
            <w:r>
              <w:rPr>
                <w:rFonts w:hint="eastAsia" w:ascii="Times New Roman" w:hAnsi="Times New Roman" w:eastAsia="微软雅黑" w:cs="Times New Roman"/>
                <w:sz w:val="18"/>
                <w:szCs w:val="18"/>
              </w:rPr>
              <w:t xml:space="preserve"> | red(7,18,</w:t>
            </w:r>
            <w:r>
              <w:rPr>
                <w:rFonts w:ascii="Times New Roman" w:hAnsi="Times New Roman" w:eastAsia="微软雅黑" w:cs="Times New Roman"/>
                <w:sz w:val="18"/>
                <w:szCs w:val="18"/>
              </w:rPr>
              <w:t>T</w:t>
            </w:r>
            <w:r>
              <w:rPr>
                <w:rFonts w:hint="eastAsia" w:ascii="Times New Roman" w:hAnsi="Times New Roman" w:eastAsia="微软雅黑" w:cs="Times New Roman"/>
                <w:sz w:val="18"/>
                <w:szCs w:val="18"/>
              </w:rPr>
              <w:t>ure)%}</w:t>
            </w:r>
          </w:p>
        </w:tc>
      </w:tr>
      <w:tr w14:paraId="33B8B234">
        <w:tblPrEx>
          <w:tblCellMar>
            <w:top w:w="0" w:type="dxa"/>
            <w:left w:w="0" w:type="dxa"/>
            <w:bottom w:w="0" w:type="dxa"/>
            <w:right w:w="0" w:type="dxa"/>
          </w:tblCellMar>
        </w:tblPrEx>
        <w:trPr>
          <w:trHeight w:val="340"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D30404">
            <w:pPr>
              <w:widowControl/>
              <w:jc w:val="center"/>
              <w:rPr>
                <w:rFonts w:ascii="Times New Roman" w:hAnsi="Times New Roman" w:eastAsia="微软雅黑" w:cs="Times New Roman"/>
                <w:i/>
                <w:iCs/>
                <w:color w:val="000000"/>
                <w:sz w:val="18"/>
                <w:szCs w:val="18"/>
                <w:lang w:bidi="ar"/>
              </w:rPr>
            </w:pPr>
            <w:r>
              <w:rPr>
                <w:rFonts w:hint="eastAsia" w:ascii="Times New Roman" w:hAnsi="Times New Roman" w:eastAsia="微软雅黑" w:cs="Times New Roman"/>
                <w:i/>
                <w:iCs/>
                <w:sz w:val="18"/>
                <w:szCs w:val="18"/>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DCA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DEC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7134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428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D53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863C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rPr>
              <w:t>{{r Gene[6] }}</w:t>
            </w:r>
          </w:p>
        </w:tc>
      </w:tr>
      <w:tr w14:paraId="4609BDA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9945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rPr>
              <w:t>{%tr endfor%}</w:t>
            </w:r>
          </w:p>
        </w:tc>
      </w:tr>
    </w:tbl>
    <w:p w14:paraId="7EBD2241">
      <w:pPr>
        <w:rPr>
          <w:rFonts w:hint="eastAsia"/>
        </w:rPr>
      </w:pPr>
      <w:r>
        <w:rPr>
          <w:rFonts w:ascii="Times New Roman" w:hAnsi="Times New Roman" w:eastAsia="微软雅黑" w:cs="Times New Roman"/>
          <w:b/>
          <w:bCs/>
          <w:sz w:val="18"/>
          <w:szCs w:val="18"/>
        </w:rPr>
        <w:t>注：</w:t>
      </w:r>
      <w:r>
        <w:rPr>
          <w:rFonts w:hint="eastAsia" w:ascii="Times New Roman" w:hAnsi="Times New Roman" w:eastAsia="微软雅黑" w:cs="Times New Roman"/>
          <w:sz w:val="18"/>
          <w:szCs w:val="18"/>
        </w:rPr>
        <w:t>红色标注基因表示本次检出结果阳性，无红色标注基因表示本次检出结果阴性。</w:t>
      </w:r>
    </w:p>
    <w:p w14:paraId="38D8041C">
      <w:pPr>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6F956A18">
      <w:pPr>
        <w:pStyle w:val="3"/>
        <w:keepNext w:val="0"/>
        <w:keepLines w:val="0"/>
        <w:pageBreakBefore w:val="0"/>
        <w:widowControl w:val="0"/>
        <w:numPr>
          <w:ilvl w:val="0"/>
          <w:numId w:val="13"/>
        </w:numPr>
        <w:kinsoku/>
        <w:wordWrap/>
        <w:overflowPunct/>
        <w:topLinePunct w:val="0"/>
        <w:autoSpaceDE/>
        <w:autoSpaceDN/>
        <w:bidi w:val="0"/>
        <w:adjustRightInd/>
        <w:snapToGrid/>
        <w:spacing w:after="0" w:afterLines="100"/>
        <w:ind w:firstLine="42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检测局限性</w:t>
      </w:r>
    </w:p>
    <w:p w14:paraId="03EB0484">
      <w:pPr>
        <w:numPr>
          <w:ilvl w:val="0"/>
          <w:numId w:val="1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6578F8EB">
      <w:pPr>
        <w:numPr>
          <w:ilvl w:val="0"/>
          <w:numId w:val="16"/>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40435">
    <w:pPr>
      <w:pStyle w:val="13"/>
      <w:tabs>
        <w:tab w:val="center" w:pos="4153"/>
        <w:tab w:val="center" w:pos="4965"/>
        <w:tab w:val="left" w:pos="7875"/>
        <w:tab w:val="right"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F1824">
    <w:pPr>
      <w:pStyle w:val="13"/>
      <w:tabs>
        <w:tab w:val="center" w:pos="4153"/>
        <w:tab w:val="center" w:pos="4965"/>
        <w:tab w:val="left" w:pos="7875"/>
        <w:tab w:val="right" w:pos="8306"/>
      </w:tabs>
      <w:rPr>
        <w:rFonts w:hint="eastAsia"/>
      </w:rPr>
    </w:pPr>
    <w:r>
      <mc:AlternateContent>
        <mc:Choice Requires="wps">
          <w:drawing>
            <wp:anchor distT="0" distB="0" distL="114300" distR="114300" simplePos="0" relativeHeight="251659264" behindDoc="0" locked="0" layoutInCell="1" allowOverlap="1">
              <wp:simplePos x="0" y="0"/>
              <wp:positionH relativeFrom="margin">
                <wp:posOffset>2383155</wp:posOffset>
              </wp:positionH>
              <wp:positionV relativeFrom="paragraph">
                <wp:posOffset>-27940</wp:posOffset>
              </wp:positionV>
              <wp:extent cx="939165" cy="1917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39165" cy="191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6819D">
                          <w:pPr>
                            <w:pStyle w:val="13"/>
                            <w:jc w:val="center"/>
                            <w:rPr>
                              <w:rFonts w:hint="eastAsia"/>
                            </w:rP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7.65pt;margin-top:-2.2pt;height:15.1pt;width:73.95pt;mso-position-horizontal-relative:margin;z-index:251659264;mso-width-relative:page;mso-height-relative:page;" filled="f" stroked="f" coordsize="21600,21600" o:gfxdata="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OgkjfZAAAACQEAAA8AAAAAAAAAAQAgAAAAIgAAAGRycy9kb3ducmV2Lnht&#10;bFBLAQIUABQAAAAIAIdO4kAucq+HMQIAAFUEAAAOAAAAAAAAAAEAIAAAACgBAABkcnMvZTJvRG9j&#10;LnhtbFBLBQYAAAAABgAGAFkBAADLBQAAAAA=&#10;">
              <v:fill on="f" focussize="0,0"/>
              <v:stroke on="f" weight="0.5pt"/>
              <v:imagedata o:title=""/>
              <o:lock v:ext="edit" aspectratio="f"/>
              <v:textbox inset="0mm,0mm,0mm,0mm">
                <w:txbxContent>
                  <w:p w14:paraId="72E6819D">
                    <w:pPr>
                      <w:pStyle w:val="13"/>
                      <w:jc w:val="center"/>
                      <w:rPr>
                        <w:rFonts w:hint="eastAsia"/>
                      </w:rP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A7EA4">
    <w:pPr>
      <w:pStyle w:val="14"/>
      <w:pBdr>
        <w:bottom w:val="none" w:color="auto" w:sz="0" w:space="0"/>
      </w:pBdr>
      <w:tabs>
        <w:tab w:val="center" w:pos="4153"/>
        <w:tab w:val="right" w:pos="8306"/>
      </w:tabs>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3DE59">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13FB4"/>
    <w:multiLevelType w:val="singleLevel"/>
    <w:tmpl w:val="8C513FB4"/>
    <w:lvl w:ilvl="0" w:tentative="0">
      <w:start w:val="1"/>
      <w:numFmt w:val="chineseCounting"/>
      <w:suff w:val="nothing"/>
      <w:lvlText w:val="%1、"/>
      <w:lvlJc w:val="left"/>
      <w:pPr>
        <w:ind w:left="0" w:firstLine="420"/>
      </w:pPr>
      <w:rPr>
        <w:rFonts w:hint="eastAsia"/>
      </w:rPr>
    </w:lvl>
  </w:abstractNum>
  <w:abstractNum w:abstractNumId="1">
    <w:nsid w:val="9DEA8520"/>
    <w:multiLevelType w:val="singleLevel"/>
    <w:tmpl w:val="9DEA8520"/>
    <w:lvl w:ilvl="0" w:tentative="0">
      <w:start w:val="1"/>
      <w:numFmt w:val="decimal"/>
      <w:lvlText w:val="%1."/>
      <w:lvlJc w:val="left"/>
      <w:pPr>
        <w:tabs>
          <w:tab w:val="left" w:pos="295"/>
        </w:tabs>
        <w:ind w:left="295" w:hanging="295"/>
      </w:pPr>
      <w:rPr>
        <w:rFonts w:hint="default"/>
      </w:rPr>
    </w:lvl>
  </w:abstractNum>
  <w:abstractNum w:abstractNumId="2">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B573E4EF"/>
    <w:multiLevelType w:val="multilevel"/>
    <w:tmpl w:val="B573E4EF"/>
    <w:lvl w:ilvl="0" w:tentative="0">
      <w:start w:val="3"/>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微软雅黑" w:hAnsi="微软雅黑" w:eastAsia="微软雅黑" w:cs="微软雅黑"/>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5">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DA1C343"/>
    <w:multiLevelType w:val="singleLevel"/>
    <w:tmpl w:val="2DA1C343"/>
    <w:lvl w:ilvl="0" w:tentative="0">
      <w:start w:val="1"/>
      <w:numFmt w:val="decimal"/>
      <w:lvlText w:val="%1."/>
      <w:lvlJc w:val="left"/>
      <w:pPr>
        <w:ind w:left="425" w:hanging="425"/>
      </w:pPr>
      <w:rPr>
        <w:rFonts w:hint="default"/>
      </w:rPr>
    </w:lvl>
  </w:abstractNum>
  <w:abstractNum w:abstractNumId="9">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3FD2A38E"/>
    <w:multiLevelType w:val="singleLevel"/>
    <w:tmpl w:val="3FD2A38E"/>
    <w:lvl w:ilvl="0" w:tentative="0">
      <w:start w:val="1"/>
      <w:numFmt w:val="decimal"/>
      <w:lvlText w:val="%1."/>
      <w:lvlJc w:val="left"/>
      <w:pPr>
        <w:ind w:left="425" w:hanging="42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5">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5"/>
  </w:num>
  <w:num w:numId="3">
    <w:abstractNumId w:val="1"/>
  </w:num>
  <w:num w:numId="4">
    <w:abstractNumId w:val="10"/>
  </w:num>
  <w:num w:numId="5">
    <w:abstractNumId w:val="15"/>
  </w:num>
  <w:num w:numId="6">
    <w:abstractNumId w:val="12"/>
  </w:num>
  <w:num w:numId="7">
    <w:abstractNumId w:val="11"/>
  </w:num>
  <w:num w:numId="8">
    <w:abstractNumId w:val="9"/>
  </w:num>
  <w:num w:numId="9">
    <w:abstractNumId w:val="3"/>
  </w:num>
  <w:num w:numId="10">
    <w:abstractNumId w:val="6"/>
  </w:num>
  <w:num w:numId="11">
    <w:abstractNumId w:val="4"/>
  </w:num>
  <w:num w:numId="12">
    <w:abstractNumId w:val="13"/>
  </w:num>
  <w:num w:numId="13">
    <w:abstractNumId w:val="0"/>
  </w:num>
  <w:num w:numId="14">
    <w:abstractNumId w:val="7"/>
  </w:num>
  <w:num w:numId="15">
    <w:abstractNumId w:val="1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0"/>
  <w:displayVerticalDrawingGridEvery w:val="2"/>
  <w:characterSpacingControl w:val="doNotCompress"/>
  <w:compat>
    <w:balanceSingleByteDoubleByteWidth/>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060F"/>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E44D2"/>
    <w:rsid w:val="00AF5201"/>
    <w:rsid w:val="00B22BE3"/>
    <w:rsid w:val="00B26578"/>
    <w:rsid w:val="00B60F8C"/>
    <w:rsid w:val="00B720E9"/>
    <w:rsid w:val="00B970D4"/>
    <w:rsid w:val="00BA0AFE"/>
    <w:rsid w:val="00BB2660"/>
    <w:rsid w:val="00BB4B87"/>
    <w:rsid w:val="00BB4BB9"/>
    <w:rsid w:val="00BD2FFA"/>
    <w:rsid w:val="00BD3A5B"/>
    <w:rsid w:val="00BE1879"/>
    <w:rsid w:val="00C1426D"/>
    <w:rsid w:val="00C17074"/>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75018D"/>
    <w:rsid w:val="019705A5"/>
    <w:rsid w:val="01D8321C"/>
    <w:rsid w:val="01EE084F"/>
    <w:rsid w:val="02B16749"/>
    <w:rsid w:val="02DA0B1E"/>
    <w:rsid w:val="030A1074"/>
    <w:rsid w:val="032B1BE2"/>
    <w:rsid w:val="035A176A"/>
    <w:rsid w:val="035C523B"/>
    <w:rsid w:val="03643579"/>
    <w:rsid w:val="039F085D"/>
    <w:rsid w:val="03BD5429"/>
    <w:rsid w:val="045F1F7F"/>
    <w:rsid w:val="04C72E3B"/>
    <w:rsid w:val="0645558F"/>
    <w:rsid w:val="06DD5923"/>
    <w:rsid w:val="07DF4045"/>
    <w:rsid w:val="080C0FCE"/>
    <w:rsid w:val="085444F7"/>
    <w:rsid w:val="090E6DE2"/>
    <w:rsid w:val="0A0502D0"/>
    <w:rsid w:val="0A4800D1"/>
    <w:rsid w:val="0ACD30F7"/>
    <w:rsid w:val="0B1D461D"/>
    <w:rsid w:val="0B697485"/>
    <w:rsid w:val="0B7C40A9"/>
    <w:rsid w:val="0BB05BB6"/>
    <w:rsid w:val="0BB717D7"/>
    <w:rsid w:val="0C65019C"/>
    <w:rsid w:val="0C813E69"/>
    <w:rsid w:val="0CB91E9E"/>
    <w:rsid w:val="0DAD02D3"/>
    <w:rsid w:val="0DC976BC"/>
    <w:rsid w:val="0E4E398F"/>
    <w:rsid w:val="0E7E40C2"/>
    <w:rsid w:val="0E9D4EE3"/>
    <w:rsid w:val="0F6A208A"/>
    <w:rsid w:val="0F820661"/>
    <w:rsid w:val="101A0FDC"/>
    <w:rsid w:val="10286214"/>
    <w:rsid w:val="103461AE"/>
    <w:rsid w:val="107E075E"/>
    <w:rsid w:val="10952DF6"/>
    <w:rsid w:val="10E76A0D"/>
    <w:rsid w:val="116D7726"/>
    <w:rsid w:val="11AC6707"/>
    <w:rsid w:val="120D6845"/>
    <w:rsid w:val="133040B2"/>
    <w:rsid w:val="133A1527"/>
    <w:rsid w:val="134645CE"/>
    <w:rsid w:val="138E5E4D"/>
    <w:rsid w:val="14F416DE"/>
    <w:rsid w:val="15442DF3"/>
    <w:rsid w:val="166167A3"/>
    <w:rsid w:val="16986E38"/>
    <w:rsid w:val="16CC5916"/>
    <w:rsid w:val="16E157FE"/>
    <w:rsid w:val="16EF30D8"/>
    <w:rsid w:val="172D4F6E"/>
    <w:rsid w:val="172E1EC1"/>
    <w:rsid w:val="175A7638"/>
    <w:rsid w:val="1836136A"/>
    <w:rsid w:val="18504D21"/>
    <w:rsid w:val="1863573C"/>
    <w:rsid w:val="197113F3"/>
    <w:rsid w:val="19B06471"/>
    <w:rsid w:val="1A491A28"/>
    <w:rsid w:val="1A556FE9"/>
    <w:rsid w:val="1A627D5C"/>
    <w:rsid w:val="1AFA1FF1"/>
    <w:rsid w:val="1B125754"/>
    <w:rsid w:val="1BE4783E"/>
    <w:rsid w:val="1BE5687C"/>
    <w:rsid w:val="1C35254A"/>
    <w:rsid w:val="1C46724D"/>
    <w:rsid w:val="1C6B037B"/>
    <w:rsid w:val="1CCA0FFC"/>
    <w:rsid w:val="1D741D7F"/>
    <w:rsid w:val="1ED9132E"/>
    <w:rsid w:val="1EDA2B4A"/>
    <w:rsid w:val="1F1E171F"/>
    <w:rsid w:val="1FA77E9F"/>
    <w:rsid w:val="1FEB71C0"/>
    <w:rsid w:val="203945B9"/>
    <w:rsid w:val="207D13AB"/>
    <w:rsid w:val="20A0049E"/>
    <w:rsid w:val="20B147CB"/>
    <w:rsid w:val="2112792C"/>
    <w:rsid w:val="21390525"/>
    <w:rsid w:val="21742B65"/>
    <w:rsid w:val="21E4370A"/>
    <w:rsid w:val="222B0335"/>
    <w:rsid w:val="22D00B25"/>
    <w:rsid w:val="22E73BCC"/>
    <w:rsid w:val="233740CD"/>
    <w:rsid w:val="23396F85"/>
    <w:rsid w:val="23A75A11"/>
    <w:rsid w:val="24735323"/>
    <w:rsid w:val="24737443"/>
    <w:rsid w:val="24E370FD"/>
    <w:rsid w:val="250971A1"/>
    <w:rsid w:val="261C6242"/>
    <w:rsid w:val="268D2393"/>
    <w:rsid w:val="271D2C97"/>
    <w:rsid w:val="288406F2"/>
    <w:rsid w:val="28CE392E"/>
    <w:rsid w:val="293140D5"/>
    <w:rsid w:val="295C627B"/>
    <w:rsid w:val="29CF0D5E"/>
    <w:rsid w:val="2A27612F"/>
    <w:rsid w:val="2A283292"/>
    <w:rsid w:val="2B4E6910"/>
    <w:rsid w:val="2C1F4808"/>
    <w:rsid w:val="2C200BD1"/>
    <w:rsid w:val="2CAB7CC5"/>
    <w:rsid w:val="2CCD1101"/>
    <w:rsid w:val="2CD47D9D"/>
    <w:rsid w:val="2D4762FC"/>
    <w:rsid w:val="2D536CB5"/>
    <w:rsid w:val="2D542FB4"/>
    <w:rsid w:val="2DFE24A0"/>
    <w:rsid w:val="2F2B0C86"/>
    <w:rsid w:val="2F6767FD"/>
    <w:rsid w:val="2FC503D3"/>
    <w:rsid w:val="304D0D09"/>
    <w:rsid w:val="306F3BE1"/>
    <w:rsid w:val="31472B92"/>
    <w:rsid w:val="316628E9"/>
    <w:rsid w:val="319121DA"/>
    <w:rsid w:val="31EE517C"/>
    <w:rsid w:val="32215F9F"/>
    <w:rsid w:val="327A7BD3"/>
    <w:rsid w:val="329B4993"/>
    <w:rsid w:val="32A777DC"/>
    <w:rsid w:val="3309069A"/>
    <w:rsid w:val="33A23374"/>
    <w:rsid w:val="33CA1AD8"/>
    <w:rsid w:val="33F64577"/>
    <w:rsid w:val="340C0A8D"/>
    <w:rsid w:val="343949EB"/>
    <w:rsid w:val="34ED312A"/>
    <w:rsid w:val="35095EA0"/>
    <w:rsid w:val="37204A50"/>
    <w:rsid w:val="374B6987"/>
    <w:rsid w:val="37D030C6"/>
    <w:rsid w:val="382331AB"/>
    <w:rsid w:val="385555E4"/>
    <w:rsid w:val="387A7805"/>
    <w:rsid w:val="39A10BCE"/>
    <w:rsid w:val="3A0504C9"/>
    <w:rsid w:val="3A5F2230"/>
    <w:rsid w:val="3A670D93"/>
    <w:rsid w:val="3A8C29FB"/>
    <w:rsid w:val="3B361E49"/>
    <w:rsid w:val="3BEE2461"/>
    <w:rsid w:val="3C0F571D"/>
    <w:rsid w:val="3C4E0A85"/>
    <w:rsid w:val="3C573483"/>
    <w:rsid w:val="3C8D3911"/>
    <w:rsid w:val="3E79229B"/>
    <w:rsid w:val="3E8F39DA"/>
    <w:rsid w:val="3ED529B9"/>
    <w:rsid w:val="3F2D78C6"/>
    <w:rsid w:val="3F632CDC"/>
    <w:rsid w:val="3FAE2946"/>
    <w:rsid w:val="3FAF13AE"/>
    <w:rsid w:val="40130E29"/>
    <w:rsid w:val="40AC684C"/>
    <w:rsid w:val="40DE07F5"/>
    <w:rsid w:val="41146FE8"/>
    <w:rsid w:val="415617C0"/>
    <w:rsid w:val="417702E7"/>
    <w:rsid w:val="41D23E46"/>
    <w:rsid w:val="42323D75"/>
    <w:rsid w:val="426C0A6E"/>
    <w:rsid w:val="42A11566"/>
    <w:rsid w:val="42AB2BD6"/>
    <w:rsid w:val="436069EE"/>
    <w:rsid w:val="43C2164A"/>
    <w:rsid w:val="43E31A09"/>
    <w:rsid w:val="44432484"/>
    <w:rsid w:val="444628E2"/>
    <w:rsid w:val="444E69CA"/>
    <w:rsid w:val="4467501D"/>
    <w:rsid w:val="449030E7"/>
    <w:rsid w:val="449470E1"/>
    <w:rsid w:val="44A44E84"/>
    <w:rsid w:val="44D12FF3"/>
    <w:rsid w:val="451832ED"/>
    <w:rsid w:val="454D259D"/>
    <w:rsid w:val="45723C79"/>
    <w:rsid w:val="45761F2E"/>
    <w:rsid w:val="45F316C1"/>
    <w:rsid w:val="4699195A"/>
    <w:rsid w:val="46C567B5"/>
    <w:rsid w:val="46DE7698"/>
    <w:rsid w:val="48AC3B9E"/>
    <w:rsid w:val="48D14A7C"/>
    <w:rsid w:val="495A2347"/>
    <w:rsid w:val="49A319ED"/>
    <w:rsid w:val="49C10D2B"/>
    <w:rsid w:val="4ACE6BD0"/>
    <w:rsid w:val="4B0E2F39"/>
    <w:rsid w:val="4B8247F5"/>
    <w:rsid w:val="4BAD2017"/>
    <w:rsid w:val="4C4F39D5"/>
    <w:rsid w:val="4C7D29CB"/>
    <w:rsid w:val="4CA4180F"/>
    <w:rsid w:val="4D1F7D6E"/>
    <w:rsid w:val="4D300C08"/>
    <w:rsid w:val="4D5036AB"/>
    <w:rsid w:val="4DD70392"/>
    <w:rsid w:val="4E1526AE"/>
    <w:rsid w:val="4E8E2795"/>
    <w:rsid w:val="4E941BA3"/>
    <w:rsid w:val="4EA55F05"/>
    <w:rsid w:val="4F1700B8"/>
    <w:rsid w:val="4FA730A5"/>
    <w:rsid w:val="4FC374CC"/>
    <w:rsid w:val="4FE5146F"/>
    <w:rsid w:val="5081012C"/>
    <w:rsid w:val="50E342C3"/>
    <w:rsid w:val="510117B1"/>
    <w:rsid w:val="5136083B"/>
    <w:rsid w:val="51646B6C"/>
    <w:rsid w:val="51B07017"/>
    <w:rsid w:val="51BF613B"/>
    <w:rsid w:val="5226439F"/>
    <w:rsid w:val="525D71C4"/>
    <w:rsid w:val="528147CF"/>
    <w:rsid w:val="52D6395C"/>
    <w:rsid w:val="538057B3"/>
    <w:rsid w:val="53BF6310"/>
    <w:rsid w:val="542D76E9"/>
    <w:rsid w:val="5459613F"/>
    <w:rsid w:val="552863E9"/>
    <w:rsid w:val="565F7902"/>
    <w:rsid w:val="568922AB"/>
    <w:rsid w:val="56D35F07"/>
    <w:rsid w:val="570B25AE"/>
    <w:rsid w:val="57117FB5"/>
    <w:rsid w:val="57323268"/>
    <w:rsid w:val="57974C8E"/>
    <w:rsid w:val="57CC7219"/>
    <w:rsid w:val="58162B65"/>
    <w:rsid w:val="587D548B"/>
    <w:rsid w:val="589870FB"/>
    <w:rsid w:val="58E35061"/>
    <w:rsid w:val="58FC26D7"/>
    <w:rsid w:val="59623892"/>
    <w:rsid w:val="5A33044A"/>
    <w:rsid w:val="5B356BDD"/>
    <w:rsid w:val="5B976FC1"/>
    <w:rsid w:val="5BEA6B3E"/>
    <w:rsid w:val="5BF94292"/>
    <w:rsid w:val="5C0E1B80"/>
    <w:rsid w:val="5C247125"/>
    <w:rsid w:val="5C5C54BA"/>
    <w:rsid w:val="5CAA6024"/>
    <w:rsid w:val="5CD63135"/>
    <w:rsid w:val="5D6513C2"/>
    <w:rsid w:val="5D6D5411"/>
    <w:rsid w:val="5DBC6F48"/>
    <w:rsid w:val="5DF53F95"/>
    <w:rsid w:val="5E0448E8"/>
    <w:rsid w:val="5E1155DC"/>
    <w:rsid w:val="5E3877B6"/>
    <w:rsid w:val="5E4B2925"/>
    <w:rsid w:val="5E59788A"/>
    <w:rsid w:val="5E5D50D2"/>
    <w:rsid w:val="5E8A398A"/>
    <w:rsid w:val="5EF0750C"/>
    <w:rsid w:val="5F1A0523"/>
    <w:rsid w:val="5F8C08EA"/>
    <w:rsid w:val="60095BA6"/>
    <w:rsid w:val="60256D04"/>
    <w:rsid w:val="60654544"/>
    <w:rsid w:val="60AC26EF"/>
    <w:rsid w:val="617C0DC9"/>
    <w:rsid w:val="627E55B4"/>
    <w:rsid w:val="62C531E2"/>
    <w:rsid w:val="63191049"/>
    <w:rsid w:val="635147E4"/>
    <w:rsid w:val="63595768"/>
    <w:rsid w:val="63894210"/>
    <w:rsid w:val="641E158C"/>
    <w:rsid w:val="6450167E"/>
    <w:rsid w:val="64516B62"/>
    <w:rsid w:val="648C0434"/>
    <w:rsid w:val="65452B0E"/>
    <w:rsid w:val="654F43C0"/>
    <w:rsid w:val="65501D46"/>
    <w:rsid w:val="65B53A3E"/>
    <w:rsid w:val="65C178C7"/>
    <w:rsid w:val="65DF0ECB"/>
    <w:rsid w:val="663E7162"/>
    <w:rsid w:val="66432D9C"/>
    <w:rsid w:val="66710920"/>
    <w:rsid w:val="67242BCD"/>
    <w:rsid w:val="67DF62C5"/>
    <w:rsid w:val="6822110B"/>
    <w:rsid w:val="68896BF3"/>
    <w:rsid w:val="69182419"/>
    <w:rsid w:val="692963D7"/>
    <w:rsid w:val="693D1C6D"/>
    <w:rsid w:val="696B2299"/>
    <w:rsid w:val="696B3FA3"/>
    <w:rsid w:val="698044F4"/>
    <w:rsid w:val="69DB74AC"/>
    <w:rsid w:val="6A211646"/>
    <w:rsid w:val="6A32564C"/>
    <w:rsid w:val="6A6E3115"/>
    <w:rsid w:val="6B2520C6"/>
    <w:rsid w:val="6B6E6F24"/>
    <w:rsid w:val="6BE61A0D"/>
    <w:rsid w:val="6BFA5082"/>
    <w:rsid w:val="6C7D7C32"/>
    <w:rsid w:val="6D1F799B"/>
    <w:rsid w:val="6D361187"/>
    <w:rsid w:val="6E481A15"/>
    <w:rsid w:val="6E75472D"/>
    <w:rsid w:val="6E8E3022"/>
    <w:rsid w:val="6F415570"/>
    <w:rsid w:val="6F4C2AA5"/>
    <w:rsid w:val="6FDC735D"/>
    <w:rsid w:val="6FE27182"/>
    <w:rsid w:val="702C664F"/>
    <w:rsid w:val="70330545"/>
    <w:rsid w:val="70B36E1F"/>
    <w:rsid w:val="70CF12BD"/>
    <w:rsid w:val="70E00F21"/>
    <w:rsid w:val="71082014"/>
    <w:rsid w:val="71AF459D"/>
    <w:rsid w:val="71B05423"/>
    <w:rsid w:val="71BA61B5"/>
    <w:rsid w:val="71DF3A36"/>
    <w:rsid w:val="71F44ACA"/>
    <w:rsid w:val="724D20AF"/>
    <w:rsid w:val="72653CB7"/>
    <w:rsid w:val="72A042BA"/>
    <w:rsid w:val="72D81E1F"/>
    <w:rsid w:val="732C6966"/>
    <w:rsid w:val="73A330CC"/>
    <w:rsid w:val="73BB2205"/>
    <w:rsid w:val="73EA7F5B"/>
    <w:rsid w:val="73F9408B"/>
    <w:rsid w:val="743306B3"/>
    <w:rsid w:val="74367A9C"/>
    <w:rsid w:val="74372486"/>
    <w:rsid w:val="74692B38"/>
    <w:rsid w:val="74975E44"/>
    <w:rsid w:val="74C13EDD"/>
    <w:rsid w:val="74C23FF5"/>
    <w:rsid w:val="7523578E"/>
    <w:rsid w:val="75516763"/>
    <w:rsid w:val="760426CC"/>
    <w:rsid w:val="76051E1C"/>
    <w:rsid w:val="76441BDB"/>
    <w:rsid w:val="765B0A6B"/>
    <w:rsid w:val="76CD26D9"/>
    <w:rsid w:val="77CB2E7D"/>
    <w:rsid w:val="77F424C6"/>
    <w:rsid w:val="782878D8"/>
    <w:rsid w:val="78697EA9"/>
    <w:rsid w:val="789A3C5D"/>
    <w:rsid w:val="78BA0E7B"/>
    <w:rsid w:val="78C91C63"/>
    <w:rsid w:val="792A3948"/>
    <w:rsid w:val="79355B9E"/>
    <w:rsid w:val="79D31CC7"/>
    <w:rsid w:val="7A360C00"/>
    <w:rsid w:val="7AFE6E3A"/>
    <w:rsid w:val="7B382FB9"/>
    <w:rsid w:val="7B3E7DA0"/>
    <w:rsid w:val="7BA16014"/>
    <w:rsid w:val="7C192247"/>
    <w:rsid w:val="7C4E1817"/>
    <w:rsid w:val="7C735456"/>
    <w:rsid w:val="7CA705C1"/>
    <w:rsid w:val="7CA70E63"/>
    <w:rsid w:val="7D1A4255"/>
    <w:rsid w:val="7DBA2FBF"/>
    <w:rsid w:val="7DC37B21"/>
    <w:rsid w:val="7DDA3D59"/>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字符"/>
    <w:basedOn w:val="21"/>
    <w:link w:val="4"/>
    <w:qFormat/>
    <w:uiPriority w:val="0"/>
    <w:rPr>
      <w:rFonts w:ascii="宋体" w:hAnsi="宋体" w:cs="宋体"/>
      <w:sz w:val="30"/>
      <w:szCs w:val="30"/>
    </w:rPr>
  </w:style>
  <w:style w:type="character" w:customStyle="1" w:styleId="26">
    <w:name w:val="批注文字 字符"/>
    <w:basedOn w:val="21"/>
    <w:link w:val="9"/>
    <w:qFormat/>
    <w:uiPriority w:val="0"/>
    <w:rPr>
      <w:rFonts w:ascii="宋体" w:hAnsi="宋体" w:cs="宋体"/>
      <w:sz w:val="22"/>
      <w:szCs w:val="22"/>
    </w:rPr>
  </w:style>
  <w:style w:type="character" w:customStyle="1" w:styleId="27">
    <w:name w:val="批注框文本 字符"/>
    <w:link w:val="12"/>
    <w:qFormat/>
    <w:uiPriority w:val="0"/>
    <w:rPr>
      <w:rFonts w:hint="default" w:ascii="宋体" w:hAnsi="宋体" w:cs="宋体"/>
      <w:sz w:val="18"/>
      <w:szCs w:val="18"/>
      <w:lang w:eastAsia="en-US"/>
    </w:rPr>
  </w:style>
  <w:style w:type="character" w:customStyle="1" w:styleId="28">
    <w:name w:val="页脚 字符"/>
    <w:link w:val="13"/>
    <w:qFormat/>
    <w:uiPriority w:val="0"/>
    <w:rPr>
      <w:rFonts w:hint="default" w:ascii="宋体" w:hAnsi="宋体" w:eastAsia="宋体" w:cs="宋体"/>
      <w:sz w:val="18"/>
      <w:szCs w:val="18"/>
    </w:rPr>
  </w:style>
  <w:style w:type="character" w:customStyle="1" w:styleId="29">
    <w:name w:val="页眉 字符"/>
    <w:link w:val="14"/>
    <w:qFormat/>
    <w:uiPriority w:val="0"/>
    <w:rPr>
      <w:rFonts w:hint="default" w:ascii="宋体" w:hAnsi="宋体" w:eastAsia="宋体" w:cs="宋体"/>
      <w:sz w:val="18"/>
      <w:szCs w:val="18"/>
    </w:rPr>
  </w:style>
  <w:style w:type="character" w:customStyle="1" w:styleId="30">
    <w:name w:val="批注主题 字符"/>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网格表 4 - 着色 12"/>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spacing w:before="12" w:line="380" w:lineRule="exact"/>
      <w:ind w:left="0"/>
    </w:pPr>
    <w:rPr>
      <w:rFonts w:cs="Times New Roman"/>
      <w:color w:val="416AAB"/>
      <w:szCs w:val="24"/>
    </w:rPr>
  </w:style>
  <w:style w:type="paragraph" w:customStyle="1" w:styleId="54">
    <w:name w:val="msolistparagraph"/>
    <w:basedOn w:val="1"/>
    <w:qFormat/>
    <w:uiPriority w:val="0"/>
    <w:pPr>
      <w:ind w:firstLine="420" w:firstLineChars="200"/>
    </w:pPr>
    <w:rPr>
      <w:rFonts w:hint="eastAsia" w:cs="Times New Roma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27</Pages>
  <Words>6256</Words>
  <Characters>11813</Characters>
  <Lines>1</Lines>
  <Paragraphs>1</Paragraphs>
  <TotalTime>0</TotalTime>
  <ScaleCrop>false</ScaleCrop>
  <LinksUpToDate>false</LinksUpToDate>
  <CharactersWithSpaces>12638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2025-03-28T07:54:07Z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