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66792C">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32437A4F">
      <w:pPr>
        <w:rPr>
          <w:rFonts w:ascii="Times New Roman" w:hAnsi="Times New Roman" w:eastAsia="微软雅黑" w:cs="Times New Roman"/>
        </w:rPr>
      </w:pPr>
    </w:p>
    <w:p w14:paraId="61B7E850">
      <w:pPr>
        <w:rPr>
          <w:rFonts w:ascii="Times New Roman" w:hAnsi="Times New Roman" w:eastAsia="微软雅黑" w:cs="Times New Roman"/>
        </w:rPr>
      </w:pPr>
    </w:p>
    <w:p w14:paraId="67582711">
      <w:pPr>
        <w:rPr>
          <w:rFonts w:ascii="Times New Roman" w:hAnsi="Times New Roman" w:eastAsia="微软雅黑" w:cs="Times New Roman"/>
        </w:rPr>
      </w:pPr>
    </w:p>
    <w:p w14:paraId="3BDFA77E">
      <w:pPr>
        <w:rPr>
          <w:rFonts w:ascii="Times New Roman" w:hAnsi="Times New Roman" w:eastAsia="微软雅黑" w:cs="Times New Roman"/>
        </w:rPr>
      </w:pPr>
    </w:p>
    <w:p w14:paraId="0E297155">
      <w:pPr>
        <w:rPr>
          <w:rFonts w:ascii="Times New Roman" w:hAnsi="Times New Roman" w:eastAsia="微软雅黑" w:cs="Times New Roman"/>
        </w:rPr>
      </w:pPr>
    </w:p>
    <w:p w14:paraId="66ED7436">
      <w:pPr>
        <w:rPr>
          <w:rFonts w:ascii="Times New Roman" w:hAnsi="Times New Roman" w:eastAsia="微软雅黑" w:cs="Times New Roman"/>
        </w:rPr>
      </w:pPr>
    </w:p>
    <w:p w14:paraId="3E902D82">
      <w:pPr>
        <w:rPr>
          <w:rFonts w:ascii="Times New Roman" w:hAnsi="Times New Roman" w:eastAsia="微软雅黑" w:cs="Times New Roman"/>
        </w:rPr>
      </w:pPr>
    </w:p>
    <w:p w14:paraId="3C2EB1AA">
      <w:pPr>
        <w:rPr>
          <w:rFonts w:ascii="Times New Roman" w:hAnsi="Times New Roman" w:eastAsia="微软雅黑" w:cs="Times New Roman"/>
        </w:rPr>
      </w:pPr>
    </w:p>
    <w:p w14:paraId="66628DA3">
      <w:pPr>
        <w:rPr>
          <w:rFonts w:ascii="Times New Roman" w:hAnsi="Times New Roman" w:eastAsia="微软雅黑" w:cs="Times New Roman"/>
        </w:rPr>
      </w:pPr>
    </w:p>
    <w:p w14:paraId="6DE09FF9">
      <w:pPr>
        <w:rPr>
          <w:rFonts w:ascii="Times New Roman" w:hAnsi="Times New Roman" w:eastAsia="微软雅黑" w:cs="Times New Roman"/>
        </w:rPr>
      </w:pPr>
    </w:p>
    <w:p w14:paraId="5D65F3AA">
      <w:pPr>
        <w:jc w:val="center"/>
        <w:rPr>
          <w:rFonts w:ascii="Times New Roman" w:hAnsi="Times New Roman" w:eastAsia="微软雅黑" w:cs="Times New Roman"/>
        </w:rPr>
      </w:pPr>
    </w:p>
    <w:p w14:paraId="2B41A34A">
      <w:pPr>
        <w:rPr>
          <w:rFonts w:ascii="Times New Roman" w:hAnsi="Times New Roman" w:eastAsia="微软雅黑" w:cs="Times New Roman"/>
        </w:rPr>
      </w:pPr>
    </w:p>
    <w:p w14:paraId="10222241">
      <w:pPr>
        <w:rPr>
          <w:rFonts w:ascii="Times New Roman" w:hAnsi="Times New Roman" w:eastAsia="微软雅黑" w:cs="Times New Roman"/>
        </w:rPr>
      </w:pPr>
    </w:p>
    <w:p w14:paraId="0888DF53">
      <w:pPr>
        <w:rPr>
          <w:rFonts w:ascii="Times New Roman" w:hAnsi="Times New Roman" w:eastAsia="微软雅黑" w:cs="Times New Roman"/>
        </w:rPr>
      </w:pPr>
    </w:p>
    <w:p w14:paraId="05EC201D">
      <w:pPr>
        <w:rPr>
          <w:rFonts w:ascii="Times New Roman" w:hAnsi="Times New Roman" w:eastAsia="微软雅黑" w:cs="Times New Roman"/>
        </w:rPr>
      </w:pPr>
    </w:p>
    <w:p w14:paraId="4E98AB69">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51F4C1CC">
      <w:pPr>
        <w:jc w:val="center"/>
        <w:rPr>
          <w:rFonts w:ascii="Times New Roman" w:hAnsi="Times New Roman" w:eastAsia="微软雅黑" w:cs="Times New Roman"/>
          <w:b/>
          <w:sz w:val="48"/>
          <w:szCs w:val="48"/>
        </w:rPr>
      </w:pPr>
    </w:p>
    <w:p w14:paraId="35BB831B">
      <w:pPr>
        <w:jc w:val="center"/>
        <w:rPr>
          <w:rFonts w:ascii="Times New Roman" w:hAnsi="Times New Roman" w:eastAsia="微软雅黑" w:cs="Times New Roman"/>
          <w:b/>
          <w:sz w:val="48"/>
          <w:szCs w:val="48"/>
        </w:rPr>
      </w:pPr>
    </w:p>
    <w:p w14:paraId="75A16E09">
      <w:pPr>
        <w:jc w:val="center"/>
        <w:rPr>
          <w:rFonts w:ascii="Times New Roman" w:hAnsi="Times New Roman" w:eastAsia="微软雅黑" w:cs="Times New Roman"/>
          <w:b/>
          <w:sz w:val="48"/>
          <w:szCs w:val="48"/>
        </w:rPr>
      </w:pPr>
    </w:p>
    <w:p w14:paraId="4D073732">
      <w:pPr>
        <w:jc w:val="center"/>
        <w:rPr>
          <w:rFonts w:ascii="Times New Roman" w:hAnsi="Times New Roman" w:eastAsia="微软雅黑" w:cs="Times New Roman"/>
          <w:b/>
          <w:sz w:val="48"/>
          <w:szCs w:val="48"/>
        </w:rPr>
      </w:pPr>
    </w:p>
    <w:p w14:paraId="28DD509B">
      <w:pPr>
        <w:jc w:val="center"/>
        <w:rPr>
          <w:rFonts w:ascii="Times New Roman" w:hAnsi="Times New Roman" w:eastAsia="微软雅黑" w:cs="Times New Roman"/>
          <w:b/>
          <w:color w:val="1F497D"/>
          <w:sz w:val="36"/>
          <w:szCs w:val="36"/>
        </w:rPr>
      </w:pPr>
    </w:p>
    <w:p w14:paraId="4D6A232C">
      <w:pPr>
        <w:jc w:val="center"/>
        <w:rPr>
          <w:rFonts w:ascii="Times New Roman" w:hAnsi="Times New Roman" w:eastAsia="微软雅黑" w:cs="Times New Roman"/>
          <w:b/>
          <w:bCs/>
          <w:color w:val="1F497D"/>
          <w:sz w:val="36"/>
          <w:szCs w:val="36"/>
        </w:rPr>
      </w:pPr>
    </w:p>
    <w:p w14:paraId="7BD43928">
      <w:pPr>
        <w:jc w:val="center"/>
        <w:rPr>
          <w:rFonts w:ascii="Times New Roman" w:hAnsi="Times New Roman" w:eastAsia="微软雅黑" w:cs="Times New Roman"/>
          <w:b/>
          <w:bCs/>
          <w:color w:val="1F497D"/>
          <w:sz w:val="36"/>
          <w:szCs w:val="36"/>
        </w:rPr>
      </w:pPr>
    </w:p>
    <w:p w14:paraId="17A19C22">
      <w:pPr>
        <w:jc w:val="center"/>
        <w:rPr>
          <w:rFonts w:ascii="Times New Roman" w:hAnsi="Times New Roman" w:eastAsia="微软雅黑" w:cs="Times New Roman"/>
          <w:b/>
          <w:bCs/>
          <w:color w:val="1F497D"/>
          <w:sz w:val="36"/>
          <w:szCs w:val="36"/>
        </w:rPr>
      </w:pPr>
    </w:p>
    <w:p w14:paraId="2DEF8DB5">
      <w:pPr>
        <w:jc w:val="center"/>
        <w:rPr>
          <w:rFonts w:ascii="Times New Roman" w:hAnsi="Times New Roman" w:eastAsia="微软雅黑" w:cs="Times New Roman"/>
          <w:b/>
          <w:bCs/>
          <w:color w:val="1F497D"/>
          <w:sz w:val="36"/>
          <w:szCs w:val="36"/>
        </w:rPr>
      </w:pPr>
    </w:p>
    <w:p w14:paraId="5A1C2BEC">
      <w:pPr>
        <w:jc w:val="center"/>
        <w:rPr>
          <w:rFonts w:ascii="Times New Roman" w:hAnsi="Times New Roman" w:eastAsia="微软雅黑" w:cs="Times New Roman"/>
          <w:b/>
          <w:bCs/>
          <w:color w:val="1F497D"/>
          <w:sz w:val="36"/>
          <w:szCs w:val="36"/>
        </w:rPr>
      </w:pPr>
    </w:p>
    <w:p w14:paraId="05CDEE68">
      <w:pPr>
        <w:jc w:val="center"/>
        <w:rPr>
          <w:rFonts w:ascii="Times New Roman" w:hAnsi="Times New Roman" w:eastAsia="微软雅黑" w:cs="Times New Roman"/>
          <w:b/>
          <w:bCs/>
          <w:color w:val="1F497D"/>
          <w:sz w:val="36"/>
          <w:szCs w:val="36"/>
        </w:rPr>
      </w:pPr>
    </w:p>
    <w:p w14:paraId="483FADF3">
      <w:pPr>
        <w:jc w:val="center"/>
        <w:rPr>
          <w:rFonts w:ascii="Times New Roman" w:hAnsi="Times New Roman" w:eastAsia="微软雅黑" w:cs="Times New Roman"/>
          <w:b/>
          <w:bCs/>
          <w:color w:val="1F497D"/>
          <w:sz w:val="36"/>
          <w:szCs w:val="36"/>
        </w:rPr>
      </w:pPr>
    </w:p>
    <w:p w14:paraId="4E011686">
      <w:pPr>
        <w:jc w:val="center"/>
        <w:rPr>
          <w:rFonts w:ascii="黑体" w:hAnsi="黑体" w:eastAsia="黑体" w:cs="黑体"/>
          <w:b/>
          <w:bCs/>
          <w:color w:val="1F497D"/>
          <w:sz w:val="36"/>
          <w:szCs w:val="36"/>
        </w:rPr>
      </w:pPr>
      <w:r>
        <w:rPr>
          <w:rFonts w:hint="eastAsia" w:ascii="黑体" w:hAnsi="黑体" w:eastAsia="黑体" w:cs="黑体"/>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ascii="黑体" w:hAnsi="黑体" w:eastAsia="黑体" w:cs="黑体"/>
          <w:b/>
          <w:bCs/>
          <w:color w:val="1F497D"/>
          <w:sz w:val="36"/>
          <w:szCs w:val="36"/>
        </w:rPr>
        <w:t>重庆大学附属肿瘤医院 重庆市肿瘤医院 病理科</w:t>
      </w:r>
    </w:p>
    <w:p w14:paraId="1AC9E4F4">
      <w:pPr>
        <w:ind w:firstLine="1265" w:firstLineChars="350"/>
        <w:jc w:val="both"/>
        <w:rPr>
          <w:rFonts w:ascii="Times New Roman" w:hAnsi="Times New Roman" w:eastAsia="微软雅黑" w:cs="Times New Roman"/>
          <w:b/>
          <w:color w:val="1F497D"/>
          <w:sz w:val="36"/>
          <w:szCs w:val="36"/>
        </w:rPr>
      </w:pPr>
      <w:r>
        <w:rPr>
          <w:rFonts w:ascii="黑体" w:hAnsi="黑体" w:eastAsia="黑体" w:cs="黑体"/>
          <w:b/>
          <w:bCs/>
          <w:color w:val="1F497D"/>
          <w:sz w:val="36"/>
          <w:szCs w:val="36"/>
        </w:rPr>
        <w:t>肺癌13驱动基因检测报告</w:t>
      </w:r>
    </w:p>
    <w:p w14:paraId="4E61290D">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271ED5EF">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070AB59">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6A1DB7">
            <w:pPr>
              <w:widowControl/>
              <w:jc w:val="center"/>
              <w:textAlignment w:val="center"/>
              <w:rPr>
                <w:b/>
                <w:color w:val="000000"/>
                <w:sz w:val="21"/>
                <w:szCs w:val="21"/>
                <w:lang w:bidi="ar"/>
              </w:rPr>
            </w:pPr>
            <w:r>
              <w:rPr>
                <w:rFonts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2F203">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B3E1F">
            <w:pPr>
              <w:widowControl/>
              <w:jc w:val="center"/>
              <w:textAlignment w:val="center"/>
              <w:rPr>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95B0DC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52CF931">
            <w:pPr>
              <w:widowControl/>
              <w:jc w:val="center"/>
              <w:textAlignment w:val="center"/>
              <w:rPr>
                <w:b/>
                <w:color w:val="000000"/>
                <w:sz w:val="21"/>
                <w:szCs w:val="21"/>
                <w:lang w:bidi="ar"/>
              </w:rPr>
            </w:pPr>
            <w:r>
              <w:rPr>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609B7A">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1A396686">
            <w:pPr>
              <w:widowControl/>
              <w:jc w:val="center"/>
              <w:textAlignment w:val="center"/>
              <w:rPr>
                <w:rFonts w:ascii="Times New Roman" w:hAnsi="Times New Roman" w:cs="Times New Roman"/>
                <w:b/>
                <w:bCs/>
                <w:kern w:val="2"/>
              </w:rPr>
            </w:pPr>
          </w:p>
        </w:tc>
      </w:tr>
      <w:tr w14:paraId="2E61EFCA">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501EE9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62AFC9C">
            <w:pPr>
              <w:widowControl/>
              <w:jc w:val="center"/>
              <w:textAlignment w:val="center"/>
              <w:rPr>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A29B9C7">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DC8B73E">
            <w:pPr>
              <w:jc w:val="center"/>
              <w:rPr>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82ACF52">
            <w:pPr>
              <w:widowControl/>
              <w:jc w:val="center"/>
              <w:textAlignment w:val="center"/>
              <w:rPr>
                <w:b/>
                <w:color w:val="000000"/>
                <w:sz w:val="21"/>
                <w:szCs w:val="21"/>
                <w:lang w:bidi="ar"/>
              </w:rPr>
            </w:pPr>
            <w:r>
              <w:rPr>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3D6031C4">
            <w:pPr>
              <w:widowControl/>
              <w:jc w:val="center"/>
              <w:textAlignment w:val="center"/>
              <w:rPr>
                <w:b/>
                <w:color w:val="000000"/>
                <w:sz w:val="21"/>
                <w:szCs w:val="21"/>
                <w:lang w:bidi="ar"/>
              </w:rPr>
            </w:pPr>
          </w:p>
        </w:tc>
      </w:tr>
      <w:tr w14:paraId="77B546E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E38EC13">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C590FB">
            <w:pPr>
              <w:widowControl/>
              <w:jc w:val="center"/>
              <w:textAlignment w:val="center"/>
              <w:rPr>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E57E597">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D0FCE17">
            <w:pPr>
              <w:widowControl/>
              <w:jc w:val="center"/>
              <w:textAlignment w:val="center"/>
              <w:rPr>
                <w:rFonts w:ascii="Times New Roman" w:hAnsi="Times New Roman" w:cs="Times New Roman"/>
                <w:b/>
                <w:bCs/>
              </w:rPr>
            </w:pPr>
            <w:r>
              <w:rPr>
                <w:rFonts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620220">
            <w:pPr>
              <w:widowControl/>
              <w:jc w:val="center"/>
              <w:textAlignment w:val="center"/>
              <w:rPr>
                <w:b/>
                <w:color w:val="000000"/>
                <w:sz w:val="21"/>
                <w:szCs w:val="21"/>
                <w:lang w:bidi="ar"/>
              </w:rPr>
            </w:pPr>
            <w:r>
              <w:rPr>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74F8612F">
            <w:pPr>
              <w:widowControl/>
              <w:jc w:val="center"/>
              <w:textAlignment w:val="center"/>
              <w:rPr>
                <w:rFonts w:ascii="Times New Roman" w:hAnsi="Times New Roman" w:cs="Times New Roman"/>
                <w:b/>
                <w:bCs/>
                <w:kern w:val="2"/>
              </w:rPr>
            </w:pPr>
            <w:r>
              <w:rPr>
                <w:rFonts w:ascii="Times New Roman" w:hAnsi="Times New Roman" w:cs="Times New Roman"/>
                <w:b/>
                <w:bCs/>
                <w:kern w:val="2"/>
              </w:rPr>
              <w:t>{{ commission_date }}</w:t>
            </w:r>
          </w:p>
        </w:tc>
      </w:tr>
    </w:tbl>
    <w:p w14:paraId="006EDFDF">
      <w:pPr>
        <w:rPr>
          <w:rFonts w:ascii="Times New Roman" w:hAnsi="Times New Roman" w:eastAsia="微软雅黑" w:cs="Times New Roman"/>
        </w:rPr>
      </w:pPr>
    </w:p>
    <w:p w14:paraId="70925229">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6CFA423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669FC319">
            <w:pPr>
              <w:pStyle w:val="17"/>
              <w:rPr>
                <w:rFonts w:asciiTheme="minorEastAsia" w:hAnsiTheme="minorEastAsia" w:eastAsiaTheme="minorEastAsia"/>
                <w:b/>
                <w:sz w:val="21"/>
                <w:szCs w:val="21"/>
              </w:rPr>
            </w:pPr>
            <w:bookmarkStart w:id="0" w:name="_Toc527112379"/>
            <w:bookmarkStart w:id="1" w:name="_Toc526855031"/>
            <w:r>
              <w:rPr>
                <w:rFonts w:hint="eastAsia" w:asciiTheme="minorEastAsia" w:hAnsiTheme="minorEastAsia" w:eastAsiaTheme="minorEastAsia"/>
                <w:b/>
                <w:sz w:val="21"/>
                <w:szCs w:val="21"/>
              </w:rPr>
              <w:t>检测方法</w:t>
            </w:r>
          </w:p>
        </w:tc>
        <w:tc>
          <w:tcPr>
            <w:tcW w:w="8549" w:type="dxa"/>
            <w:vAlign w:val="center"/>
          </w:tcPr>
          <w:p w14:paraId="1A0C8295">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脱氧核糖核酸(DNA)测序</w:t>
            </w:r>
          </w:p>
        </w:tc>
      </w:tr>
      <w:tr w14:paraId="6B7ADCF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57CAA7F2">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549" w:type="dxa"/>
            <w:vAlign w:val="center"/>
          </w:tcPr>
          <w:p w14:paraId="1499CDDA">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组织学样本,肿瘤细胞比例&gt;20%</w:t>
            </w:r>
          </w:p>
        </w:tc>
      </w:tr>
      <w:tr w14:paraId="2502F03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637CC9F9">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检测平台</w:t>
            </w:r>
          </w:p>
        </w:tc>
        <w:tc>
          <w:tcPr>
            <w:tcW w:w="8549" w:type="dxa"/>
            <w:vAlign w:val="center"/>
          </w:tcPr>
          <w:p w14:paraId="455D3D3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Life ion torrent DA8600</w:t>
            </w:r>
          </w:p>
        </w:tc>
      </w:tr>
      <w:tr w14:paraId="1479B7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7CC6BB35">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549" w:type="dxa"/>
          </w:tcPr>
          <w:p w14:paraId="6F08CDC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基于DNA，RNA水平，用二代测序平台检测肺癌个体化用药相关的16个基因以及附加的44个治疗相关基因的特定变异。</w:t>
            </w:r>
          </w:p>
          <w:p w14:paraId="3FCBFA87">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可检测ALK, EGFR, KRAS, BRAF, ERBB2/3/4, RET, MET, ROS1, NRAS, HRAS, PIK3CA, PTEN, TP53, UGT1A1, IDH1/2, JAK1/2/3, FGFR2/3, PDGFRA 等43基因的全外显子或热点区域，提供基因的点突变（SNV）和插入缺失（INDEL）两种变异类型的检出情况。</w:t>
            </w:r>
          </w:p>
          <w:p w14:paraId="0F56EAC8">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同时，还能检测ALK、MET、BRAF、CCND1、KRAS、MYC等19个基因的拷贝数变异（CNV）。并包括ALK, ROS1, RET, NTRK1/2/3, FGFR1/2/3, MET, BRAF, RAF1, ERG, ETV1/4/5, ABL1, AKT3, AXL, EGFR, PPARG, ERBB2, PDGFRA共23个基因的融合检测（RNA水平）。</w:t>
            </w:r>
          </w:p>
        </w:tc>
      </w:tr>
      <w:tr w14:paraId="73177A6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1C7030A3">
            <w:pPr>
              <w:pStyle w:val="17"/>
              <w:rPr>
                <w:rFonts w:asciiTheme="minorEastAsia" w:hAnsiTheme="minorEastAsia" w:eastAsiaTheme="minorEastAsia"/>
                <w:b/>
                <w:sz w:val="21"/>
                <w:szCs w:val="21"/>
              </w:rPr>
            </w:pPr>
            <w:r>
              <w:rPr>
                <w:rFonts w:hint="eastAsia"/>
                <w:b/>
                <w:color w:val="000000"/>
                <w:sz w:val="21"/>
                <w:szCs w:val="21"/>
                <w:lang w:bidi="ar"/>
              </w:rPr>
              <w:t>病理诊断</w:t>
            </w:r>
          </w:p>
        </w:tc>
        <w:tc>
          <w:tcPr>
            <w:tcW w:w="8549" w:type="dxa"/>
            <w:vAlign w:val="center"/>
          </w:tcPr>
          <w:p w14:paraId="17069890">
            <w:pPr>
              <w:pStyle w:val="17"/>
              <w:tabs>
                <w:tab w:val="left" w:pos="1114"/>
              </w:tabs>
              <w:spacing w:before="0" w:beforeAutospacing="0" w:after="0" w:afterAutospacing="0"/>
              <w:jc w:val="both"/>
              <w:rPr>
                <w:rFonts w:asciiTheme="minorEastAsia" w:hAnsiTheme="minorEastAsia" w:eastAsiaTheme="minorEastAsia"/>
                <w:color w:val="000000" w:themeColor="text1"/>
                <w:sz w:val="21"/>
                <w:szCs w:val="21"/>
                <w14:textFill>
                  <w14:solidFill>
                    <w14:schemeClr w14:val="tx1"/>
                  </w14:solidFill>
                </w14:textFill>
              </w:rPr>
            </w:pPr>
          </w:p>
        </w:tc>
      </w:tr>
    </w:tbl>
    <w:p w14:paraId="66BF435D">
      <w:pPr>
        <w:rPr>
          <w:rFonts w:ascii="Times New Roman" w:hAnsi="Times New Roman" w:eastAsia="微软雅黑" w:cs="Times New Roman"/>
          <w:b/>
          <w:bCs/>
          <w:sz w:val="28"/>
          <w:szCs w:val="28"/>
        </w:rPr>
      </w:pPr>
    </w:p>
    <w:p w14:paraId="52883C7F">
      <w:pPr>
        <w:rPr>
          <w:b/>
          <w:bCs/>
          <w:sz w:val="28"/>
          <w:szCs w:val="28"/>
        </w:rPr>
      </w:pPr>
      <w:r>
        <w:rPr>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4C50469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4F85BBB0">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587E29D3">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7B176A27">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质控标准</w:t>
            </w:r>
          </w:p>
        </w:tc>
      </w:tr>
      <w:tr w14:paraId="531886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3EB0E267">
            <w:pPr>
              <w:jc w:val="center"/>
              <w:rPr>
                <w:rFonts w:asciiTheme="minorEastAsia" w:hAnsiTheme="minorEastAsia" w:eastAsiaTheme="minorEastAsia"/>
                <w:b w:val="0"/>
                <w:bCs w:val="0"/>
              </w:rPr>
            </w:pPr>
            <w:r>
              <w:rPr>
                <w:rFonts w:asciiTheme="minorEastAsia" w:hAnsiTheme="minorEastAsia" w:eastAsiaTheme="minorEastAsia"/>
                <w:b/>
                <w:bCs/>
              </w:rPr>
              <w:t>目标区域平均测序深度</w:t>
            </w:r>
            <w:r>
              <w:rPr>
                <w:rFonts w:hint="eastAsia" w:asciiTheme="minorEastAsia" w:hAnsiTheme="minorEastAsia" w:eastAsiaTheme="minorEastAsia"/>
                <w:b/>
                <w:bCs/>
              </w:rPr>
              <w:t>*</w:t>
            </w:r>
          </w:p>
        </w:tc>
        <w:tc>
          <w:tcPr>
            <w:tcW w:w="3197" w:type="dxa"/>
            <w:shd w:val="clear" w:color="auto" w:fill="auto"/>
            <w:vAlign w:val="center"/>
          </w:tcPr>
          <w:p w14:paraId="22EA5134">
            <w:pPr>
              <w:jc w:val="center"/>
              <w:rPr>
                <w:rFonts w:ascii="Times New Roman" w:hAnsi="Times New Roman" w:eastAsia="微软雅黑" w:cs="Times New Roman"/>
              </w:rPr>
            </w:pPr>
            <w:r>
              <w:rPr>
                <w:rFonts w:ascii="Times New Roman" w:hAnsi="Times New Roman" w:eastAsia="微软雅黑" w:cs="Times New Roman"/>
                <w:kern w:val="2"/>
                <w:sz w:val="24"/>
                <w:szCs w:val="24"/>
              </w:rPr>
              <w:t>{{ meanSequencingDepth }}</w:t>
            </w:r>
            <w:r>
              <w:rPr>
                <w:rFonts w:ascii="Times New Roman" w:hAnsi="Times New Roman" w:eastAsia="微软雅黑" w:cs="Times New Roman"/>
                <w:color w:val="000000"/>
                <w:kern w:val="2"/>
                <w:sz w:val="24"/>
                <w:szCs w:val="24"/>
              </w:rPr>
              <w:t>X</w:t>
            </w:r>
          </w:p>
        </w:tc>
        <w:tc>
          <w:tcPr>
            <w:tcW w:w="1276" w:type="dxa"/>
            <w:shd w:val="clear" w:color="auto" w:fill="auto"/>
            <w:vAlign w:val="center"/>
          </w:tcPr>
          <w:p w14:paraId="1239EBD2">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≥3000X</w:t>
            </w:r>
          </w:p>
        </w:tc>
      </w:tr>
      <w:tr w14:paraId="5023344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6EDB3B05">
            <w:pPr>
              <w:jc w:val="center"/>
              <w:rPr>
                <w:rFonts w:asciiTheme="minorEastAsia" w:hAnsiTheme="minorEastAsia" w:eastAsiaTheme="minorEastAsia"/>
                <w:b w:val="0"/>
                <w:bCs w:val="0"/>
              </w:rPr>
            </w:pPr>
            <w:r>
              <w:rPr>
                <w:rFonts w:asciiTheme="minorEastAsia" w:hAnsiTheme="minorEastAsia" w:eastAsiaTheme="minorEastAsia"/>
                <w:b/>
                <w:bCs/>
              </w:rPr>
              <w:t>覆盖度</w:t>
            </w:r>
          </w:p>
        </w:tc>
        <w:tc>
          <w:tcPr>
            <w:tcW w:w="3197" w:type="dxa"/>
            <w:vAlign w:val="center"/>
          </w:tcPr>
          <w:p w14:paraId="6B7425A6">
            <w:pPr>
              <w:jc w:val="center"/>
              <w:rPr>
                <w:rFonts w:ascii="Times New Roman" w:hAnsi="Times New Roman" w:eastAsia="微软雅黑" w:cs="Times New Roman"/>
              </w:rPr>
            </w:pPr>
            <w:r>
              <w:rPr>
                <w:rFonts w:ascii="Times New Roman" w:hAnsi="Times New Roman" w:eastAsia="微软雅黑" w:cs="Times New Roman"/>
                <w:kern w:val="2"/>
                <w:sz w:val="24"/>
                <w:szCs w:val="24"/>
              </w:rPr>
              <w:t>{{ targetAreaCoverage }}</w:t>
            </w:r>
            <w:r>
              <w:rPr>
                <w:rFonts w:ascii="Times New Roman" w:hAnsi="Times New Roman" w:eastAsia="微软雅黑" w:cs="Times New Roman"/>
                <w:color w:val="000000"/>
                <w:kern w:val="2"/>
                <w:sz w:val="24"/>
                <w:szCs w:val="24"/>
              </w:rPr>
              <w:t>%</w:t>
            </w:r>
          </w:p>
        </w:tc>
        <w:tc>
          <w:tcPr>
            <w:tcW w:w="1276" w:type="dxa"/>
            <w:vAlign w:val="center"/>
          </w:tcPr>
          <w:p w14:paraId="61D554CD">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≥95%</w:t>
            </w:r>
          </w:p>
        </w:tc>
      </w:tr>
    </w:tbl>
    <w:p w14:paraId="71999900">
      <w:pPr>
        <w:pStyle w:val="2"/>
        <w:ind w:firstLine="900" w:firstLineChars="500"/>
        <w:jc w:val="left"/>
        <w:rPr>
          <w:rFonts w:ascii="Times New Roman" w:hAnsi="Times New Roman" w:eastAsia="微软雅黑" w:cs="Times New Roman"/>
          <w:b w:val="0"/>
          <w:sz w:val="22"/>
          <w:szCs w:val="22"/>
        </w:rPr>
      </w:pPr>
      <w:bookmarkStart w:id="2" w:name="_Toc534637492"/>
      <w:r>
        <w:rPr>
          <w:rFonts w:hint="eastAsia" w:ascii="宋体" w:hAnsi="宋体" w:eastAsia="宋体" w:cs="Times New Roman"/>
          <w:b w:val="0"/>
          <w:sz w:val="18"/>
          <w:szCs w:val="18"/>
        </w:rPr>
        <w:t>注：结合本平台试剂扩增效率和生物信息学统计结果，建议平均测序深度质控标准不低于</w:t>
      </w:r>
      <w:r>
        <w:rPr>
          <w:rFonts w:hint="eastAsia" w:ascii="Times New Roman" w:hAnsi="Times New Roman" w:eastAsia="微软雅黑" w:cs="Times New Roman"/>
          <w:b w:val="0"/>
          <w:sz w:val="18"/>
          <w:szCs w:val="18"/>
        </w:rPr>
        <w:t>3000X</w:t>
      </w:r>
    </w:p>
    <w:p w14:paraId="2C8F95F4">
      <w:pPr>
        <w:jc w:val="center"/>
        <w:rPr>
          <w:rFonts w:ascii="Times New Roman" w:hAnsi="Times New Roman" w:eastAsia="微软雅黑" w:cs="Times New Roman"/>
          <w:b/>
          <w:color w:val="FFFFFF"/>
          <w:sz w:val="36"/>
          <w:szCs w:val="30"/>
          <w:shd w:val="clear" w:color="auto" w:fill="17365D"/>
        </w:rPr>
      </w:pPr>
    </w:p>
    <w:p w14:paraId="1B787C59">
      <w:pPr>
        <w:pStyle w:val="2"/>
        <w:rPr>
          <w:rFonts w:ascii="Times New Roman" w:hAnsi="Times New Roman" w:eastAsia="微软雅黑" w:cs="Times New Roman"/>
          <w:color w:val="FFFFFF"/>
          <w:szCs w:val="30"/>
          <w:shd w:val="clear" w:color="auto" w:fill="17365D"/>
        </w:rPr>
      </w:pPr>
      <w:r>
        <w:rPr>
          <w:rFonts w:ascii="Times New Roman" w:hAnsi="Times New Roman" w:eastAsia="宋体" w:cs="Times New Roman"/>
          <w:color w:val="FFFFFF"/>
          <w:szCs w:val="30"/>
          <w:shd w:val="clear" w:color="auto" w:fill="17365D"/>
        </w:rPr>
        <w:t>检测结果</w:t>
      </w:r>
      <w:bookmarkEnd w:id="0"/>
      <w:bookmarkEnd w:id="1"/>
      <w:bookmarkEnd w:id="2"/>
    </w:p>
    <w:p w14:paraId="7847197A">
      <w:pPr>
        <w:rPr>
          <w:rFonts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2"/>
        <w:gridCol w:w="1493"/>
        <w:gridCol w:w="1493"/>
        <w:gridCol w:w="1493"/>
        <w:gridCol w:w="1497"/>
        <w:gridCol w:w="1738"/>
      </w:tblGrid>
      <w:tr w14:paraId="28930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5AA95188">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2CA9C41F">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w:t>
            </w:r>
          </w:p>
        </w:tc>
        <w:tc>
          <w:tcPr>
            <w:tcW w:w="3378" w:type="pct"/>
            <w:gridSpan w:val="4"/>
            <w:tcBorders>
              <w:tl2br w:val="nil"/>
              <w:tr2bl w:val="nil"/>
            </w:tcBorders>
            <w:vAlign w:val="center"/>
          </w:tcPr>
          <w:p w14:paraId="07D59A74">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有重要的临床意义</w:t>
            </w:r>
          </w:p>
        </w:tc>
      </w:tr>
      <w:tr w14:paraId="45350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2BC04843">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0AA0F867">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5C663486">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57F9DFDB">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280DB2F8">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3" w:type="pct"/>
            <w:tcBorders>
              <w:tl2br w:val="nil"/>
              <w:tr2bl w:val="nil"/>
            </w:tcBorders>
            <w:shd w:val="clear" w:color="auto" w:fill="1F497D" w:themeFill="text2"/>
            <w:vAlign w:val="center"/>
          </w:tcPr>
          <w:p w14:paraId="3097A8D7">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78BE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DF26FF7">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variationGrading.variationGrading1</w:t>
            </w:r>
            <w:r>
              <w:rPr>
                <w:rFonts w:ascii="Times New Roman" w:hAnsi="Times New Roman"/>
                <w:kern w:val="2"/>
                <w:sz w:val="18"/>
                <w:szCs w:val="18"/>
              </w:rPr>
              <w:t xml:space="preserve"> != [] %}</w:t>
            </w:r>
          </w:p>
        </w:tc>
      </w:tr>
      <w:tr w14:paraId="69CBB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DCB42BB">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variationGrading.variationGrading1</w:t>
            </w:r>
            <w:r>
              <w:rPr>
                <w:rFonts w:ascii="Times New Roman" w:hAnsi="Times New Roman"/>
                <w:kern w:val="2"/>
                <w:sz w:val="18"/>
                <w:szCs w:val="18"/>
              </w:rPr>
              <w:t xml:space="preserve"> %}</w:t>
            </w:r>
          </w:p>
        </w:tc>
      </w:tr>
      <w:tr w14:paraId="61AAA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7A009F4">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391E3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6BE715A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811" w:type="pct"/>
            <w:tcBorders>
              <w:tl2br w:val="nil"/>
              <w:tr2bl w:val="nil"/>
            </w:tcBorders>
            <w:vAlign w:val="center"/>
          </w:tcPr>
          <w:p w14:paraId="1B37B16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811" w:type="pct"/>
            <w:tcBorders>
              <w:tl2br w:val="nil"/>
              <w:tr2bl w:val="nil"/>
            </w:tcBorders>
            <w:vAlign w:val="center"/>
          </w:tcPr>
          <w:p w14:paraId="429E1D6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811" w:type="pct"/>
            <w:tcBorders>
              <w:tl2br w:val="nil"/>
              <w:tr2bl w:val="nil"/>
            </w:tcBorders>
            <w:vAlign w:val="center"/>
          </w:tcPr>
          <w:p w14:paraId="46DBCA58">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811" w:type="pct"/>
            <w:tcBorders>
              <w:tl2br w:val="nil"/>
              <w:tr2bl w:val="nil"/>
            </w:tcBorders>
            <w:vAlign w:val="center"/>
          </w:tcPr>
          <w:p w14:paraId="78EE737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943" w:type="pct"/>
            <w:tcBorders>
              <w:tl2br w:val="nil"/>
              <w:tr2bl w:val="nil"/>
            </w:tcBorders>
            <w:vAlign w:val="center"/>
          </w:tcPr>
          <w:p w14:paraId="6ECFE8A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35D34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57140366">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05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F8D9F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3246" w:type="pct"/>
            <w:gridSpan w:val="4"/>
            <w:tcBorders>
              <w:tl2br w:val="nil"/>
              <w:tr2bl w:val="nil"/>
            </w:tcBorders>
            <w:vAlign w:val="center"/>
          </w:tcPr>
          <w:p w14:paraId="36CF9F6B">
            <w:pPr>
              <w:pStyle w:val="49"/>
              <w:keepNext w:val="0"/>
              <w:keepLines w:val="0"/>
              <w:widowControl/>
              <w:suppressLineNumbers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default" w:ascii="Times New Roman" w:hAnsi="Times New Roman"/>
                <w:kern w:val="2"/>
                <w:sz w:val="18"/>
                <w:szCs w:val="18"/>
                <w:lang w:val="en-US" w:eastAsia="en-US"/>
              </w:rPr>
              <w:t xml:space="preserve">{% if </w:t>
            </w:r>
            <w:r>
              <w:rPr>
                <w:rFonts w:hint="eastAsia" w:ascii="Times New Roman" w:hAnsi="Times New Roman"/>
                <w:kern w:val="2"/>
                <w:sz w:val="18"/>
                <w:szCs w:val="18"/>
                <w:lang w:val="en-US" w:eastAsia="zh-CN"/>
              </w:rPr>
              <w:t>vg.ori_variant</w:t>
            </w:r>
            <w:r>
              <w:rPr>
                <w:rFonts w:hint="default" w:ascii="Times New Roman" w:hAnsi="Times New Roman"/>
                <w:kern w:val="2"/>
                <w:sz w:val="18"/>
                <w:szCs w:val="18"/>
                <w:lang w:val="en-US" w:eastAsia="zh-CN"/>
              </w:rPr>
              <w:t xml:space="preserve"> == ‘</w:t>
            </w:r>
            <w:r>
              <w:rPr>
                <w:rFonts w:hint="eastAsia" w:ascii="Times New Roman" w:hAnsi="Times New Roman"/>
                <w:kern w:val="2"/>
                <w:sz w:val="18"/>
                <w:szCs w:val="18"/>
                <w:lang w:val="en-US" w:eastAsia="zh-CN"/>
              </w:rPr>
              <w:t>MET-MET Fusion M13:M15</w:t>
            </w:r>
            <w:r>
              <w:rPr>
                <w:rFonts w:hint="default" w:ascii="Times New Roman" w:hAnsi="Times New Roman"/>
                <w:kern w:val="2"/>
                <w:sz w:val="18"/>
                <w:szCs w:val="18"/>
                <w:lang w:val="en-US" w:eastAsia="zh-CN"/>
              </w:rPr>
              <w:t>’ %</w:t>
            </w:r>
            <w:r>
              <w:rPr>
                <w:rFonts w:hint="default" w:ascii="Times New Roman" w:hAnsi="Times New Roman"/>
                <w:kern w:val="2"/>
                <w:sz w:val="18"/>
                <w:szCs w:val="18"/>
                <w:lang w:val="en-US" w:eastAsia="en-US"/>
              </w:rPr>
              <w:t>}14号外显子跳跃突变{% else %}</w:t>
            </w:r>
            <w:r>
              <w:rPr>
                <w:rFonts w:hint="eastAsia" w:ascii="Times New Roman" w:hAnsi="Times New Roman"/>
                <w:kern w:val="2"/>
                <w:sz w:val="18"/>
                <w:szCs w:val="18"/>
                <w:lang w:val="en-US" w:eastAsia="zh-CN"/>
              </w:rPr>
              <w:t>{{ vg.ori_variant }}</w:t>
            </w:r>
            <w:r>
              <w:rPr>
                <w:rFonts w:hint="default" w:ascii="Times New Roman" w:hAnsi="Times New Roman"/>
                <w:kern w:val="2"/>
                <w:sz w:val="18"/>
                <w:szCs w:val="18"/>
                <w:lang w:val="en-US" w:eastAsia="zh-CN"/>
              </w:rPr>
              <w:t>{% endif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943" w:type="pct"/>
            <w:tcBorders>
              <w:tl2br w:val="nil"/>
              <w:tr2bl w:val="nil"/>
            </w:tcBorders>
            <w:vAlign w:val="center"/>
          </w:tcPr>
          <w:p w14:paraId="5623A3E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C302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23591966">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582BC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4DC6A16D">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6287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218E1350">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F9DC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BD800B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8A12321">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58CDAC56">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6559491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D56D0A0">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3" w:type="pct"/>
            <w:tcBorders>
              <w:tl2br w:val="nil"/>
              <w:tr2bl w:val="nil"/>
            </w:tcBorders>
            <w:vAlign w:val="center"/>
          </w:tcPr>
          <w:p w14:paraId="768E63F6">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5DA8E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73B764F4">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33B92048">
      <w:pPr>
        <w:rPr>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4F3A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601844D1">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1E14FDE3">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II</w:t>
            </w:r>
          </w:p>
        </w:tc>
        <w:tc>
          <w:tcPr>
            <w:tcW w:w="3378" w:type="pct"/>
            <w:gridSpan w:val="4"/>
            <w:tcBorders>
              <w:tl2br w:val="nil"/>
              <w:tr2bl w:val="nil"/>
            </w:tcBorders>
            <w:vAlign w:val="center"/>
          </w:tcPr>
          <w:p w14:paraId="265CBFE3">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有潜在的临床意义</w:t>
            </w:r>
          </w:p>
        </w:tc>
      </w:tr>
      <w:tr w14:paraId="26BF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07C8ABF2">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38790C0D">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16D01DDA">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4915E07A">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67518F92">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2" w:type="pct"/>
            <w:tcBorders>
              <w:tl2br w:val="nil"/>
              <w:tr2bl w:val="nil"/>
            </w:tcBorders>
            <w:shd w:val="clear" w:color="auto" w:fill="1F497D" w:themeFill="text2"/>
            <w:vAlign w:val="center"/>
          </w:tcPr>
          <w:p w14:paraId="3EFDB96B">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1954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0A9BE2B3">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variationGrading.variationGrading2</w:t>
            </w:r>
            <w:r>
              <w:rPr>
                <w:rFonts w:ascii="Times New Roman" w:hAnsi="Times New Roman"/>
                <w:kern w:val="2"/>
                <w:sz w:val="18"/>
                <w:szCs w:val="18"/>
              </w:rPr>
              <w:t xml:space="preserve"> != [] %}</w:t>
            </w:r>
          </w:p>
        </w:tc>
      </w:tr>
      <w:tr w14:paraId="57596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5FC65937">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variationGrading.variationGrading2</w:t>
            </w:r>
            <w:r>
              <w:rPr>
                <w:rFonts w:ascii="Times New Roman" w:hAnsi="Times New Roman"/>
                <w:kern w:val="2"/>
                <w:sz w:val="18"/>
                <w:szCs w:val="18"/>
              </w:rPr>
              <w:t xml:space="preserve"> %}</w:t>
            </w:r>
          </w:p>
        </w:tc>
      </w:tr>
      <w:tr w14:paraId="6E55E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1C406B02">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5278F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06633C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1489" w:type="dxa"/>
            <w:tcBorders>
              <w:tl2br w:val="nil"/>
              <w:tr2bl w:val="nil"/>
            </w:tcBorders>
            <w:vAlign w:val="center"/>
          </w:tcPr>
          <w:p w14:paraId="1BDDD4D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1490" w:type="dxa"/>
            <w:tcBorders>
              <w:tl2br w:val="nil"/>
              <w:tr2bl w:val="nil"/>
            </w:tcBorders>
            <w:vAlign w:val="center"/>
          </w:tcPr>
          <w:p w14:paraId="283A9A0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1490" w:type="dxa"/>
            <w:tcBorders>
              <w:tl2br w:val="nil"/>
              <w:tr2bl w:val="nil"/>
            </w:tcBorders>
            <w:vAlign w:val="center"/>
          </w:tcPr>
          <w:p w14:paraId="6B334C7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1490" w:type="dxa"/>
            <w:tcBorders>
              <w:tl2br w:val="nil"/>
              <w:tr2bl w:val="nil"/>
            </w:tcBorders>
            <w:vAlign w:val="center"/>
          </w:tcPr>
          <w:p w14:paraId="2A0A4ABA">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1733" w:type="dxa"/>
            <w:tcBorders>
              <w:tl2br w:val="nil"/>
              <w:tr2bl w:val="nil"/>
            </w:tcBorders>
            <w:vAlign w:val="center"/>
          </w:tcPr>
          <w:p w14:paraId="67E18A0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5619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063B20AF">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7DB29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2CE840D1">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5959" w:type="dxa"/>
            <w:gridSpan w:val="4"/>
            <w:tcBorders>
              <w:tl2br w:val="nil"/>
              <w:tr2bl w:val="nil"/>
            </w:tcBorders>
            <w:vAlign w:val="center"/>
          </w:tcPr>
          <w:p w14:paraId="650B4EE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tcBorders>
              <w:tl2br w:val="nil"/>
              <w:tr2bl w:val="nil"/>
            </w:tcBorders>
            <w:vAlign w:val="center"/>
          </w:tcPr>
          <w:p w14:paraId="7DDF61A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799F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5ED85D">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52653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6D82EA59">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0FC5D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10E0811D">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4C2B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34D11D8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55676DF5">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BF231A2">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156707B2">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C9EE43F">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2" w:type="pct"/>
            <w:tcBorders>
              <w:tl2br w:val="nil"/>
              <w:tr2bl w:val="nil"/>
            </w:tcBorders>
            <w:vAlign w:val="center"/>
          </w:tcPr>
          <w:p w14:paraId="66A721A5">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7360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2C3B20A6">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52E209F0">
      <w:pPr>
        <w:kinsoku w:val="0"/>
        <w:overflowPunct w:val="0"/>
        <w:spacing w:before="5" w:line="160" w:lineRule="auto"/>
        <w:rPr>
          <w:rFonts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707B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44A430B3">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69ED2E2C">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III&amp;IV</w:t>
            </w:r>
          </w:p>
        </w:tc>
        <w:tc>
          <w:tcPr>
            <w:tcW w:w="3378" w:type="pct"/>
            <w:gridSpan w:val="4"/>
            <w:tcBorders>
              <w:tl2br w:val="nil"/>
              <w:tr2bl w:val="nil"/>
            </w:tcBorders>
            <w:vAlign w:val="center"/>
          </w:tcPr>
          <w:p w14:paraId="4B114472">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临床意义不明或已知无临床意义</w:t>
            </w:r>
          </w:p>
        </w:tc>
      </w:tr>
      <w:tr w14:paraId="25CF0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329AC6">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57688840">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603FF5C9">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10C50780">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71BD670E">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2" w:type="pct"/>
            <w:tcBorders>
              <w:tl2br w:val="nil"/>
              <w:tr2bl w:val="nil"/>
            </w:tcBorders>
            <w:shd w:val="clear" w:color="auto" w:fill="1F497D" w:themeFill="text2"/>
            <w:vAlign w:val="center"/>
          </w:tcPr>
          <w:p w14:paraId="0A276EB6">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21B6D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187CC57">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variationGrading.variationGrading3</w:t>
            </w:r>
            <w:r>
              <w:rPr>
                <w:rFonts w:ascii="Times New Roman" w:hAnsi="Times New Roman"/>
                <w:kern w:val="2"/>
                <w:sz w:val="18"/>
                <w:szCs w:val="18"/>
              </w:rPr>
              <w:t xml:space="preserve"> != [] %}</w:t>
            </w:r>
          </w:p>
        </w:tc>
      </w:tr>
      <w:tr w14:paraId="10F9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7D6B1B0A">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variationGrading.variationGrading3</w:t>
            </w:r>
            <w:r>
              <w:rPr>
                <w:rFonts w:ascii="Times New Roman" w:hAnsi="Times New Roman"/>
                <w:kern w:val="2"/>
                <w:sz w:val="18"/>
                <w:szCs w:val="18"/>
              </w:rPr>
              <w:t xml:space="preserve"> %}</w:t>
            </w:r>
          </w:p>
        </w:tc>
      </w:tr>
      <w:tr w14:paraId="6975F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AB29F8">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0FBFA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6D10F80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1489" w:type="dxa"/>
            <w:tcBorders>
              <w:tl2br w:val="nil"/>
              <w:tr2bl w:val="nil"/>
            </w:tcBorders>
            <w:vAlign w:val="center"/>
          </w:tcPr>
          <w:p w14:paraId="3F0709E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1490" w:type="dxa"/>
            <w:tcBorders>
              <w:tl2br w:val="nil"/>
              <w:tr2bl w:val="nil"/>
            </w:tcBorders>
            <w:vAlign w:val="center"/>
          </w:tcPr>
          <w:p w14:paraId="0C134D4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1490" w:type="dxa"/>
            <w:tcBorders>
              <w:tl2br w:val="nil"/>
              <w:tr2bl w:val="nil"/>
            </w:tcBorders>
            <w:vAlign w:val="center"/>
          </w:tcPr>
          <w:p w14:paraId="5B87F095">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1490" w:type="dxa"/>
            <w:tcBorders>
              <w:tl2br w:val="nil"/>
              <w:tr2bl w:val="nil"/>
            </w:tcBorders>
            <w:vAlign w:val="center"/>
          </w:tcPr>
          <w:p w14:paraId="09257DE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1733" w:type="dxa"/>
            <w:tcBorders>
              <w:tl2br w:val="nil"/>
              <w:tr2bl w:val="nil"/>
            </w:tcBorders>
            <w:vAlign w:val="center"/>
          </w:tcPr>
          <w:p w14:paraId="7E5B4DA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34E1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5B747E6">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C08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04F7D3A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5959" w:type="dxa"/>
            <w:gridSpan w:val="4"/>
            <w:tcBorders>
              <w:tl2br w:val="nil"/>
              <w:tr2bl w:val="nil"/>
            </w:tcBorders>
            <w:vAlign w:val="center"/>
          </w:tcPr>
          <w:p w14:paraId="327EC778">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tcBorders>
              <w:tl2br w:val="nil"/>
              <w:tr2bl w:val="nil"/>
            </w:tcBorders>
            <w:vAlign w:val="center"/>
          </w:tcPr>
          <w:p w14:paraId="44B7035C">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EEB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37A77973">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762B1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097C0727">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3AB6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6E472727">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1EA4B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7361689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AF7742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0230C914">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49EB8F1">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829C3A0">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2" w:type="pct"/>
            <w:tcBorders>
              <w:tl2br w:val="nil"/>
              <w:tr2bl w:val="nil"/>
            </w:tcBorders>
            <w:vAlign w:val="center"/>
          </w:tcPr>
          <w:p w14:paraId="7542CC4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6F4AD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3114353B">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24C80C72">
      <w:pPr>
        <w:pStyle w:val="10"/>
        <w:spacing w:before="7"/>
        <w:rPr>
          <w:rFonts w:ascii="Times New Roman" w:hAnsi="Times New Roman" w:eastAsia="微软雅黑" w:cs="Times New Roman"/>
        </w:rPr>
      </w:pPr>
    </w:p>
    <w:p w14:paraId="29923D51">
      <w:pPr>
        <w:pStyle w:val="8"/>
        <w:spacing w:line="276" w:lineRule="auto"/>
        <w:jc w:val="both"/>
        <w:rPr>
          <w:rFonts w:ascii="Times New Roman" w:hAnsi="Times New Roman" w:cs="Times New Roman"/>
        </w:rPr>
      </w:pPr>
      <w:bookmarkStart w:id="3" w:name="_Toc534637496"/>
      <w:bookmarkStart w:id="4" w:name="_Toc526855035"/>
      <w:bookmarkStart w:id="5" w:name="_Toc527112383"/>
      <w:r>
        <w:rPr>
          <w:rFonts w:ascii="Times New Roman" w:hAnsi="Times New Roman" w:cs="Times New Roman"/>
        </w:rPr>
        <w:t>注：</w:t>
      </w:r>
    </w:p>
    <w:p w14:paraId="6A472656">
      <w:pPr>
        <w:pStyle w:val="41"/>
        <w:numPr>
          <w:ilvl w:val="0"/>
          <w:numId w:val="1"/>
        </w:numPr>
        <w:adjustRightInd w:val="0"/>
        <w:snapToGrid w:val="0"/>
        <w:rPr>
          <w:sz w:val="18"/>
          <w:szCs w:val="18"/>
        </w:rPr>
      </w:pPr>
      <w:r>
        <w:rPr>
          <w:sz w:val="18"/>
          <w:szCs w:val="18"/>
        </w:rPr>
        <w:t>变异丰度：在某位点产生突变的等位基因在该位点全部等位基因中所占比率。本试剂的检测下限为1%变异丰度，对于低于1%丰度的突变位点，验证后报出</w:t>
      </w:r>
      <w:r>
        <w:rPr>
          <w:rFonts w:hint="eastAsia"/>
          <w:sz w:val="18"/>
          <w:szCs w:val="18"/>
          <w:lang w:eastAsia="zh-CN"/>
        </w:rPr>
        <w:t>；</w:t>
      </w:r>
    </w:p>
    <w:p w14:paraId="4696B03F">
      <w:pPr>
        <w:pStyle w:val="41"/>
        <w:numPr>
          <w:ilvl w:val="0"/>
          <w:numId w:val="1"/>
        </w:numPr>
        <w:adjustRightInd w:val="0"/>
        <w:snapToGrid w:val="0"/>
        <w:rPr>
          <w:sz w:val="18"/>
          <w:szCs w:val="18"/>
        </w:rPr>
      </w:pPr>
      <w:r>
        <w:rPr>
          <w:sz w:val="18"/>
          <w:szCs w:val="18"/>
        </w:rPr>
        <w:t>拷贝数：是指某⼀种基因或某⼀段特定的DNA序列在单倍体基因组中出现的数目</w:t>
      </w:r>
      <w:r>
        <w:rPr>
          <w:rFonts w:hint="eastAsia"/>
          <w:sz w:val="18"/>
          <w:szCs w:val="18"/>
        </w:rPr>
        <w:t>；</w:t>
      </w:r>
    </w:p>
    <w:p w14:paraId="401EA5F4">
      <w:pPr>
        <w:pStyle w:val="41"/>
        <w:numPr>
          <w:ilvl w:val="0"/>
          <w:numId w:val="1"/>
        </w:numPr>
        <w:adjustRightInd w:val="0"/>
        <w:snapToGrid w:val="0"/>
        <w:rPr>
          <w:sz w:val="18"/>
          <w:szCs w:val="18"/>
        </w:rPr>
      </w:pPr>
      <w:r>
        <w:rPr>
          <w:rFonts w:hint="eastAsia"/>
          <w:sz w:val="18"/>
          <w:szCs w:val="18"/>
        </w:rPr>
        <w:t>若该基因发生的是融合突变，NDF值指该位点的融合支持Reads数占样本总Reads数的比例的对数值（log 值）</w:t>
      </w:r>
      <w:r>
        <w:rPr>
          <w:rFonts w:hint="eastAsia"/>
          <w:sz w:val="18"/>
          <w:szCs w:val="18"/>
          <w:lang w:eastAsia="zh-CN"/>
        </w:rPr>
        <w:t>；</w:t>
      </w:r>
      <w:bookmarkStart w:id="17" w:name="_GoBack"/>
      <w:bookmarkEnd w:id="17"/>
    </w:p>
    <w:p w14:paraId="1DF43628">
      <w:pPr>
        <w:pStyle w:val="41"/>
        <w:numPr>
          <w:ilvl w:val="0"/>
          <w:numId w:val="1"/>
        </w:numPr>
        <w:adjustRightInd w:val="0"/>
        <w:snapToGrid w:val="0"/>
        <w:rPr>
          <w:sz w:val="18"/>
          <w:szCs w:val="18"/>
        </w:rPr>
      </w:pPr>
      <w:r>
        <w:rPr>
          <w:sz w:val="18"/>
          <w:szCs w:val="18"/>
        </w:rPr>
        <w:t>检测结果与采集的标本病变（靶组织）比例有关，靶组织含量过低可能出现假阴性；</w:t>
      </w:r>
    </w:p>
    <w:p w14:paraId="3CCE6B22">
      <w:pPr>
        <w:pStyle w:val="41"/>
        <w:numPr>
          <w:ilvl w:val="0"/>
          <w:numId w:val="1"/>
        </w:numPr>
        <w:adjustRightInd w:val="0"/>
        <w:snapToGrid w:val="0"/>
        <w:rPr>
          <w:sz w:val="18"/>
          <w:szCs w:val="18"/>
        </w:rPr>
      </w:pPr>
      <w:r>
        <w:rPr>
          <w:sz w:val="18"/>
          <w:szCs w:val="18"/>
        </w:rPr>
        <w:t>本报告仅对所检测标本负责，检测结果的解释及建议基于当前的科学研究水平，仅供临床医师参考，勿作他用；</w:t>
      </w:r>
    </w:p>
    <w:p w14:paraId="55F0BF95">
      <w:pPr>
        <w:pStyle w:val="41"/>
        <w:numPr>
          <w:ilvl w:val="0"/>
          <w:numId w:val="1"/>
        </w:numPr>
        <w:adjustRightInd w:val="0"/>
        <w:snapToGrid w:val="0"/>
        <w:rPr>
          <w:sz w:val="18"/>
          <w:szCs w:val="18"/>
        </w:rPr>
      </w:pPr>
      <w:r>
        <w:rPr>
          <w:sz w:val="18"/>
          <w:szCs w:val="18"/>
        </w:rPr>
        <w:t>本检测只检测60个肺癌个体化基因的特定突变，不排除受检者携带检测列表以外的突变位点；</w:t>
      </w:r>
    </w:p>
    <w:p w14:paraId="0FF294DE">
      <w:pPr>
        <w:pStyle w:val="41"/>
        <w:numPr>
          <w:ilvl w:val="0"/>
          <w:numId w:val="1"/>
        </w:numPr>
        <w:adjustRightInd w:val="0"/>
        <w:snapToGrid w:val="0"/>
        <w:rPr>
          <w:sz w:val="18"/>
          <w:szCs w:val="18"/>
        </w:rPr>
      </w:pPr>
      <w:r>
        <w:rPr>
          <w:sz w:val="18"/>
          <w:szCs w:val="18"/>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6845C50A">
      <w:pPr>
        <w:pStyle w:val="10"/>
        <w:rPr>
          <w:rFonts w:ascii="Times New Roman" w:hAnsi="Times New Roman" w:eastAsia="微软雅黑" w:cs="Times New Roman"/>
          <w:sz w:val="20"/>
        </w:rPr>
      </w:pPr>
    </w:p>
    <w:p w14:paraId="57A4F9E8">
      <w:pPr>
        <w:pStyle w:val="10"/>
        <w:rPr>
          <w:rFonts w:ascii="Times New Roman" w:hAnsi="Times New Roman" w:eastAsia="微软雅黑" w:cs="Times New Roman"/>
          <w:sz w:val="20"/>
        </w:rPr>
      </w:pPr>
    </w:p>
    <w:p w14:paraId="6F141AFC">
      <w:pPr>
        <w:ind w:right="105" w:firstLine="110" w:firstLineChars="50"/>
        <w:jc w:val="center"/>
        <w:rPr>
          <w:rFonts w:ascii="Times New Roman" w:hAnsi="Times New Roman" w:eastAsia="微软雅黑" w:cs="Times New Roman"/>
        </w:rPr>
      </w:pPr>
      <w:r>
        <w:t>检测师：</w:t>
      </w:r>
      <w:r>
        <w:rPr>
          <w:rFonts w:ascii="Times New Roman" w:hAnsi="Times New Roman" w:eastAsia="微软雅黑" w:cs="Times New Roman"/>
        </w:rPr>
        <w:t xml:space="preserve">   </w:t>
      </w:r>
      <w:r>
        <w:rPr>
          <w:rFonts w:ascii="Times New Roman" w:hAnsi="Times New Roman" w:eastAsia="微软雅黑" w:cs="Times New Roman"/>
          <w:sz w:val="24"/>
          <w:szCs w:val="24"/>
        </w:rPr>
        <w:t xml:space="preserve"> </w:t>
      </w:r>
      <w:r>
        <w:rPr>
          <w:rFonts w:ascii="Times New Roman" w:hAnsi="Times New Roman" w:eastAsia="微软雅黑" w:cs="Times New Roman"/>
        </w:rPr>
        <w:t xml:space="preserve">                     </w:t>
      </w:r>
      <w:r>
        <w:t>报告审核医师：</w:t>
      </w:r>
      <w:r>
        <w:rPr>
          <w:rFonts w:ascii="Times New Roman" w:hAnsi="Times New Roman" w:eastAsia="微软雅黑" w:cs="Times New Roman"/>
        </w:rPr>
        <w:t xml:space="preserve"> </w:t>
      </w:r>
    </w:p>
    <w:p w14:paraId="715C305A">
      <w:pPr>
        <w:ind w:right="105" w:firstLine="110" w:firstLineChars="50"/>
        <w:rPr>
          <w:rFonts w:ascii="Times New Roman" w:hAnsi="Times New Roman" w:eastAsia="微软雅黑" w:cs="Times New Roman"/>
        </w:rPr>
      </w:pPr>
      <w:r>
        <w:rPr>
          <w:rFonts w:ascii="Times New Roman" w:hAnsi="Times New Roman" w:eastAsia="微软雅黑" w:cs="Times New Roman"/>
        </w:rPr>
        <w:t xml:space="preserve">   </w:t>
      </w:r>
    </w:p>
    <w:p w14:paraId="78B7E1CE">
      <w:pPr>
        <w:wordWrap w:val="0"/>
        <w:ind w:right="105" w:firstLine="110" w:firstLineChars="50"/>
        <w:jc w:val="center"/>
        <w:rPr>
          <w:rFonts w:ascii="Times New Roman" w:hAnsi="Times New Roman" w:eastAsia="微软雅黑" w:cs="Times New Roman"/>
        </w:rPr>
      </w:pPr>
      <w:r>
        <w:rPr>
          <w:rFonts w:ascii="Times New Roman" w:hAnsi="Times New Roman" w:eastAsia="微软雅黑" w:cs="Times New Roman"/>
        </w:rPr>
        <w:t xml:space="preserve">                                </w:t>
      </w:r>
      <w:r>
        <w:rPr>
          <w:rFonts w:hint="eastAsia" w:ascii="Times New Roman" w:hAnsi="Times New Roman" w:eastAsia="微软雅黑" w:cs="Times New Roman"/>
        </w:rPr>
        <w:t xml:space="preserve">       </w:t>
      </w:r>
      <w:r>
        <w:rPr>
          <w:rFonts w:ascii="Times New Roman" w:hAnsi="Times New Roman" w:eastAsia="微软雅黑" w:cs="Times New Roman"/>
        </w:rPr>
        <w:t xml:space="preserve">          </w:t>
      </w:r>
      <w:r>
        <w:t>报 告 日 期：</w:t>
      </w:r>
      <w:r>
        <w:rPr>
          <w:rFonts w:ascii="Times New Roman" w:hAnsi="Times New Roman" w:cs="Times New Roman"/>
          <w:kern w:val="2"/>
          <w:sz w:val="24"/>
          <w:szCs w:val="24"/>
        </w:rPr>
        <w:t>{{ reportdate }}</w:t>
      </w:r>
    </w:p>
    <w:p w14:paraId="415E9871">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650B0396">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附录1 靶向药物结果解析</w:t>
      </w:r>
    </w:p>
    <w:p w14:paraId="729577D7">
      <w:pPr>
        <w:pStyle w:val="10"/>
        <w:rPr>
          <w:rFonts w:ascii="微软雅黑" w:hAnsi="微软雅黑" w:eastAsia="微软雅黑" w:cs="微软雅黑"/>
          <w:b/>
          <w:bCs/>
          <w:sz w:val="20"/>
          <w:szCs w:val="20"/>
        </w:rPr>
      </w:pPr>
      <w:r>
        <w:rPr>
          <w:rFonts w:hint="eastAsia" w:ascii="微软雅黑" w:hAnsi="微软雅黑" w:eastAsia="微软雅黑" w:cs="微软雅黑"/>
          <w:b/>
          <w:bCs/>
          <w:sz w:val="20"/>
          <w:szCs w:val="20"/>
        </w:rPr>
        <w:t>下述用药信息仅供参考，具体用药方案请遵照临床医生指导</w:t>
      </w:r>
    </w:p>
    <w:bookmarkEnd w:id="3"/>
    <w:bookmarkEnd w:id="4"/>
    <w:bookmarkEnd w:id="5"/>
    <w:p w14:paraId="6B2377F3">
      <w:pPr>
        <w:widowControl/>
        <w:spacing w:after="160" w:line="259" w:lineRule="auto"/>
        <w:rPr>
          <w:rFonts w:ascii="Times New Roman" w:hAnsi="Times New Roman" w:eastAsia="微软雅黑" w:cs="Times New Roman"/>
          <w:bCs/>
          <w:sz w:val="18"/>
          <w:szCs w:val="18"/>
        </w:rPr>
      </w:pPr>
      <w:r>
        <w:rPr>
          <w:rFonts w:ascii="Times New Roman" w:hAnsi="Times New Roman" w:eastAsia="微软雅黑" w:cs="Times New Roman"/>
          <w:bCs/>
          <w:sz w:val="18"/>
          <w:szCs w:val="18"/>
        </w:rPr>
        <w:t>{% if BodyDrugDrugDetectionStr == [] and unknownVarAnalysisStr == []%}</w:t>
      </w:r>
      <w:r>
        <w:rPr>
          <w:color w:val="000000" w:themeColor="text1"/>
          <w:sz w:val="21"/>
          <w:szCs w:val="21"/>
          <w14:textFill>
            <w14:solidFill>
              <w14:schemeClr w14:val="tx1"/>
            </w14:solidFill>
          </w14:textFill>
        </w:rPr>
        <w:t>未检出靶向用药相关的</w:t>
      </w:r>
      <w:r>
        <w:rPr>
          <w:rFonts w:hint="eastAsia"/>
          <w:color w:val="000000" w:themeColor="text1"/>
          <w:sz w:val="21"/>
          <w:szCs w:val="21"/>
          <w14:textFill>
            <w14:solidFill>
              <w14:schemeClr w14:val="tx1"/>
            </w14:solidFill>
          </w14:textFill>
        </w:rPr>
        <w:t>变异位点</w:t>
      </w:r>
      <w:r>
        <w:rPr>
          <w:color w:val="000000" w:themeColor="text1"/>
          <w:sz w:val="21"/>
          <w:szCs w:val="21"/>
          <w14:textFill>
            <w14:solidFill>
              <w14:schemeClr w14:val="tx1"/>
            </w14:solidFill>
          </w14:textFill>
        </w:rPr>
        <w:t>；未检出未知临床意义</w:t>
      </w:r>
      <w:r>
        <w:rPr>
          <w:rFonts w:hint="eastAsia"/>
          <w:color w:val="000000" w:themeColor="text1"/>
          <w:sz w:val="21"/>
          <w:szCs w:val="21"/>
          <w14:textFill>
            <w14:solidFill>
              <w14:schemeClr w14:val="tx1"/>
            </w14:solidFill>
          </w14:textFill>
        </w:rPr>
        <w:t>变异位点</w:t>
      </w:r>
      <w:r>
        <w:rPr>
          <w:color w:val="000000" w:themeColor="text1"/>
          <w:sz w:val="21"/>
          <w:szCs w:val="21"/>
          <w14:textFill>
            <w14:solidFill>
              <w14:schemeClr w14:val="tx1"/>
            </w14:solidFill>
          </w14:textFill>
        </w:rPr>
        <w:t>。</w:t>
      </w:r>
      <w:r>
        <w:rPr>
          <w:rFonts w:ascii="Times New Roman" w:hAnsi="Times New Roman" w:eastAsia="微软雅黑" w:cs="Times New Roman"/>
          <w:bCs/>
          <w:sz w:val="18"/>
          <w:szCs w:val="18"/>
        </w:rPr>
        <w:t>{% endif %}</w:t>
      </w:r>
    </w:p>
    <w:p w14:paraId="4ABDA76D">
      <w:pPr>
        <w:widowControl/>
        <w:spacing w:after="160" w:line="259" w:lineRule="auto"/>
        <w:rPr>
          <w:rFonts w:ascii="Times New Roman" w:hAnsi="Times New Roman" w:eastAsia="微软雅黑" w:cs="Times New Roman"/>
          <w:b/>
          <w:color w:val="1F497D"/>
          <w:sz w:val="24"/>
          <w:szCs w:val="24"/>
        </w:rPr>
      </w:pPr>
      <w:bookmarkStart w:id="6" w:name="_Toc23606"/>
      <w:bookmarkStart w:id="7" w:name="_Toc32443_WPSOffice_Level2"/>
      <w:bookmarkStart w:id="8" w:name="_Toc30582"/>
      <w:bookmarkStart w:id="9" w:name="_Toc4331_WPSOffice_Level2"/>
      <w:r>
        <w:rPr>
          <w:rFonts w:ascii="Times New Roman" w:hAnsi="Times New Roman" w:eastAsia="微软雅黑" w:cs="Times New Roman"/>
          <w:b/>
          <w:color w:val="1F497D"/>
          <w:sz w:val="24"/>
          <w:szCs w:val="24"/>
        </w:rPr>
        <w:t>{%if BodyDrugDrugDetectionStr or unknownVarAnalysisStr %}</w:t>
      </w:r>
      <w:r>
        <w:rPr>
          <w:rFonts w:hint="eastAsia"/>
          <w:b/>
          <w:color w:val="1F497D"/>
          <w:sz w:val="24"/>
          <w:szCs w:val="24"/>
        </w:rPr>
        <w:t>变异位点结果解析</w:t>
      </w:r>
      <w:bookmarkEnd w:id="6"/>
      <w:bookmarkEnd w:id="7"/>
      <w:bookmarkEnd w:id="8"/>
      <w:bookmarkEnd w:id="9"/>
      <w:r>
        <w:rPr>
          <w:rFonts w:ascii="Times New Roman" w:hAnsi="Times New Roman" w:eastAsia="微软雅黑" w:cs="Times New Roman"/>
          <w:b/>
          <w:color w:val="1F497D"/>
          <w:sz w:val="24"/>
          <w:szCs w:val="24"/>
        </w:rPr>
        <w:t xml:space="preserve">{% for tdd in </w:t>
      </w:r>
      <w:r>
        <w:rPr>
          <w:rFonts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ascii="Times New Roman" w:hAnsi="Times New Roman" w:eastAsia="微软雅黑" w:cs="Times New Roman"/>
          <w:b/>
          <w:color w:val="1F497D"/>
          <w:sz w:val="24"/>
          <w:szCs w:val="24"/>
        </w:rPr>
        <w:t>%}</w:t>
      </w:r>
    </w:p>
    <w:p w14:paraId="68CCEE11">
      <w:pPr>
        <w:keepNext/>
        <w:widowControl/>
        <w:spacing w:before="360" w:beforeLines="15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3F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18D5EA7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247" w:type="dxa"/>
            <w:tcBorders>
              <w:top w:val="single" w:color="2666A3" w:sz="18" w:space="0"/>
              <w:left w:val="dotted" w:color="2666A3" w:sz="4" w:space="0"/>
              <w:bottom w:val="dotted" w:color="2666A3" w:sz="4" w:space="0"/>
              <w:right w:val="nil"/>
            </w:tcBorders>
            <w:vAlign w:val="center"/>
          </w:tcPr>
          <w:p w14:paraId="61911E2A">
            <w:pPr>
              <w:keepNext/>
              <w:spacing w:before="26"/>
              <w:jc w:val="center"/>
              <w:rPr>
                <w:rFonts w:ascii="Times New Roman" w:hAnsi="Times New Roman" w:cs="Times New Roman"/>
                <w:bCs/>
                <w:sz w:val="18"/>
                <w:szCs w:val="18"/>
              </w:rPr>
            </w:pPr>
            <w:r>
              <w:rPr>
                <w:rFonts w:hint="eastAsia"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eastAsia" w:ascii="Times New Roman" w:hAnsi="Times New Roman" w:eastAsia="宋体" w:cs="Times New Roman"/>
                <w:bCs/>
                <w:sz w:val="18"/>
                <w:szCs w:val="18"/>
                <w:lang w:val="en-US" w:eastAsia="zh-CN"/>
              </w:rPr>
              <w:t xml:space="preserve"> == </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Amplification</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 xml:space="preserve"> %}扩增</w:t>
            </w:r>
            <w:r>
              <w:rPr>
                <w:rFonts w:hint="eastAsia"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r>
              <w:rPr>
                <w:rFonts w:hint="eastAsia"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eastAsia" w:ascii="Times New Roman" w:hAnsi="Times New Roman" w:eastAsia="宋体" w:cs="Times New Roman"/>
                <w:bCs/>
                <w:sz w:val="18"/>
                <w:szCs w:val="18"/>
                <w:lang w:val="en-US" w:eastAsia="zh-CN"/>
              </w:rPr>
              <w:t>.ori_variant }}</w:t>
            </w:r>
            <w:r>
              <w:rPr>
                <w:rFonts w:hint="eastAsia" w:ascii="Times New Roman" w:hAnsi="Times New Roman" w:eastAsia="宋体" w:cs="Times New Roman"/>
                <w:bCs/>
                <w:sz w:val="18"/>
                <w:szCs w:val="18"/>
                <w:lang w:val="en-US" w:eastAsia="en-US"/>
              </w:rPr>
              <w:t>{% endif</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p>
        </w:tc>
      </w:tr>
      <w:tr w14:paraId="0CBC0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A121EC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变异丰度</w:t>
            </w:r>
          </w:p>
        </w:tc>
        <w:tc>
          <w:tcPr>
            <w:tcW w:w="8247" w:type="dxa"/>
            <w:tcBorders>
              <w:top w:val="dotted" w:color="2666A3" w:sz="4" w:space="0"/>
              <w:left w:val="dotted" w:color="2666A3" w:sz="4" w:space="0"/>
              <w:bottom w:val="dotted" w:color="2666A3" w:sz="4" w:space="0"/>
              <w:right w:val="nil"/>
            </w:tcBorders>
            <w:vAlign w:val="center"/>
          </w:tcPr>
          <w:p w14:paraId="5434E82E">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tdd.mutFreq }}</w:t>
            </w:r>
          </w:p>
        </w:tc>
      </w:tr>
      <w:tr w14:paraId="2D0E4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2431A273">
            <w:pPr>
              <w:spacing w:before="1" w:line="250" w:lineRule="auto"/>
              <w:jc w:val="center"/>
              <w:rPr>
                <w:rFonts w:ascii="Times New Roman" w:hAnsi="Times New Roman" w:cs="Times New Roman"/>
                <w:color w:val="2666A3"/>
                <w:sz w:val="18"/>
                <w:szCs w:val="18"/>
              </w:rPr>
            </w:pPr>
            <w:r>
              <w:rPr>
                <w:rFonts w:ascii="Times New Roman" w:hAnsi="Times New Roman" w:cs="Times New Roman"/>
                <w:b/>
                <w:color w:val="2666A3"/>
                <w:sz w:val="18"/>
                <w:szCs w:val="18"/>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F31D3E5">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59AC1EB">
            <w:pPr>
              <w:spacing w:before="1" w:line="250" w:lineRule="auto"/>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tdd.drugaStr == [] %}无{% else%}{% for d in tdd.drugaStr %}{%if loop.last%}{{ d.nameLevel }}{%else%}{{ d.nameLevel }}，{%endif%}{% endfor %}{% endif%}</w:t>
            </w:r>
          </w:p>
        </w:tc>
      </w:tr>
      <w:tr w14:paraId="4B7C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8486EAA">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2DCA3A2A">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2261EE5">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tdd.drugbStr == [] %}无{% else%}{% for d in tdd.drugbStr %}{%if loop.last%}{{ d.nameLevel }}{%else%}{{ d.nameLevel }}，{%endif%}{% endfor %}{% endif%}</w:t>
            </w:r>
          </w:p>
        </w:tc>
      </w:tr>
      <w:tr w14:paraId="1E2DC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252A9D1">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849A598">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6C629CFF">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tdd.drugcStr == [] %}无{% else%}{% for d in tdd.drugcStr %}{%if loop.last%}{{ d.nameLevel }}{%else%}{{ d.nameLevel }}，{%endif%}{% endfor %}{% endif%}</w:t>
            </w:r>
          </w:p>
        </w:tc>
      </w:tr>
      <w:tr w14:paraId="77645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67B1B0">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E188B7F">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EAC69D1">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tdd.drugdStr == [] %}无{% else%}{% for d in tdd.drugdStr %}{%if loop.last%}{{ d.nameLevel }}{%else%}{{ d.nameLevel }}，{%endif%}{% endfor %}{% endif%}</w:t>
            </w:r>
          </w:p>
        </w:tc>
      </w:tr>
      <w:tr w14:paraId="43D902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FC2F221">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4CFD24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3C3A68B">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tdd.resistantaStr == [] %}无{% else%}{% for d in tdd.resistantaStr %}{%if loop.last%}{{ d.nameLevel }}{%else%}{{ d.nameLevel }}，{%endif%}{% endfor %}{% endif%}</w:t>
            </w:r>
          </w:p>
        </w:tc>
      </w:tr>
      <w:tr w14:paraId="51CC2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74C75CA">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4B4FBCF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D124ACB">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tdd.resistantbStr == [] %}无{% else%}{% for d in tdd.resistantbStr %}{%if loop.last%}{{ d.nameLevel }}{%else%}{{ d.nameLevel }}，{%endif%}{% endfor %}{% endif%}</w:t>
            </w:r>
          </w:p>
        </w:tc>
      </w:tr>
      <w:tr w14:paraId="49EB7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FA19C78">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5FC6A2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F805938">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tdd.resistantcStr == [] %}无{% else%}{% for d in tdd.resistantcStr %}{%if loop.last%}{{ d.nameLevel }}{%else%}{{ d.nameLevel }}，{%endif%}{% endfor %}{% endif%}</w:t>
            </w:r>
          </w:p>
        </w:tc>
      </w:tr>
      <w:tr w14:paraId="271B6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6A020BB5">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B87FF8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B6404DD">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tdd.resistantdStr == [] %}无{% else%}{% for d in tdd.resistantdStr %}{%if loop.last%}{{ d.nameLevel }}{%else%}{{ d.nameLevel }}，{%endif%}{% endfor %}{% endif%}</w:t>
            </w:r>
          </w:p>
        </w:tc>
      </w:tr>
      <w:tr w14:paraId="2A387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20FD94C">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15101200">
            <w:pPr>
              <w:keepNext/>
              <w:spacing w:before="26"/>
              <w:rPr>
                <w:rFonts w:ascii="Times New Roman" w:hAnsi="Times New Roman" w:cs="Times New Roman"/>
                <w:sz w:val="18"/>
                <w:szCs w:val="18"/>
              </w:rPr>
            </w:pPr>
            <w:r>
              <w:rPr>
                <w:rFonts w:ascii="Times New Roman" w:hAnsi="Times New Roman" w:cs="Times New Roman"/>
                <w:sz w:val="18"/>
                <w:szCs w:val="18"/>
              </w:rPr>
              <w:t>{% for md in tdd.medicationDescription %}{% if md.key == '突变说明:' %}</w:t>
            </w:r>
            <w:r>
              <w:rPr>
                <w:rFonts w:ascii="Times New Roman" w:hAnsi="Times New Roman" w:cs="Times New Roman"/>
                <w:b/>
                <w:bCs/>
                <w:sz w:val="18"/>
                <w:szCs w:val="18"/>
              </w:rPr>
              <w:t>{{md.key}}</w:t>
            </w:r>
            <w:r>
              <w:rPr>
                <w:rFonts w:ascii="Times New Roman" w:hAnsi="Times New Roman" w:cs="Times New Roman"/>
                <w:sz w:val="18"/>
                <w:szCs w:val="18"/>
              </w:rPr>
              <w:t>{{md.value}}{% elif md.value == '' %}{% else%}</w:t>
            </w:r>
            <w:r>
              <w:rPr>
                <w:rFonts w:ascii="Times New Roman" w:hAnsi="Times New Roman" w:cs="Times New Roman"/>
                <w:b/>
                <w:bCs/>
                <w:sz w:val="18"/>
                <w:szCs w:val="18"/>
              </w:rPr>
              <w:t>{{md.key}}</w:t>
            </w:r>
            <w:r>
              <w:rPr>
                <w:rFonts w:ascii="Times New Roman" w:hAnsi="Times New Roman" w:cs="Times New Roman"/>
                <w:sz w:val="18"/>
                <w:szCs w:val="18"/>
              </w:rPr>
              <w:t>{{md.value}}</w:t>
            </w:r>
          </w:p>
          <w:p w14:paraId="248F583A">
            <w:pPr>
              <w:keepNext/>
              <w:spacing w:before="26"/>
              <w:rPr>
                <w:rFonts w:ascii="Times New Roman" w:hAnsi="Times New Roman" w:cs="Times New Roman"/>
                <w:sz w:val="18"/>
                <w:szCs w:val="18"/>
              </w:rPr>
            </w:pPr>
            <w:r>
              <w:rPr>
                <w:rFonts w:ascii="Times New Roman" w:hAnsi="Times New Roman" w:cs="Times New Roman"/>
                <w:sz w:val="18"/>
                <w:szCs w:val="18"/>
              </w:rPr>
              <w:t>{% endif %}{% endfor %}</w:t>
            </w:r>
          </w:p>
        </w:tc>
      </w:tr>
    </w:tbl>
    <w:p w14:paraId="52E68EA1">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{%if tdd.drugResearchList != [] %}</w:t>
      </w:r>
    </w:p>
    <w:p w14:paraId="71FA975E">
      <w:pPr>
        <w:keepNext/>
        <w:spacing w:before="26"/>
        <w:rPr>
          <w:rFonts w:ascii="Times New Roman" w:hAnsi="Times New Roman" w:cs="Times New Roman"/>
          <w:b/>
          <w:color w:val="1F497D"/>
          <w:sz w:val="24"/>
        </w:rPr>
      </w:pPr>
      <w:r>
        <w:rPr>
          <w:rFonts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F5D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58DEC08">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0A4C48D">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C15204C">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018503F7">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220FE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FD4CED6">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tdd.drugResearchList %}</w:t>
            </w:r>
          </w:p>
        </w:tc>
      </w:tr>
      <w:tr w14:paraId="62211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56BAE6AA">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B2FE305">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572519CC">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95" w:type="dxa"/>
            <w:tcBorders>
              <w:top w:val="dotted" w:color="2666A3" w:sz="4" w:space="0"/>
              <w:left w:val="dotted" w:color="2666A3" w:sz="4" w:space="0"/>
              <w:bottom w:val="dotted" w:color="2666A3" w:sz="4" w:space="0"/>
              <w:right w:val="nil"/>
            </w:tcBorders>
            <w:vAlign w:val="center"/>
          </w:tcPr>
          <w:p w14:paraId="455B7EED">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00F12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BC0079F">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3DD3A31F">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tdd.potentialDrugList != [] %}</w:t>
      </w:r>
    </w:p>
    <w:p w14:paraId="7B25BB7E">
      <w:pPr>
        <w:keepNext/>
        <w:spacing w:before="26"/>
        <w:rPr>
          <w:rFonts w:ascii="Times New Roman" w:hAnsi="Times New Roman" w:cs="Times New Roman"/>
          <w:b/>
          <w:color w:val="1F497D"/>
          <w:sz w:val="24"/>
        </w:rPr>
      </w:pPr>
      <w:r>
        <w:rPr>
          <w:rFonts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22E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7196D74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2CD4DB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92AD1EC">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5AC43B4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4910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16DA202A">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tdd.potentialDrugList %}</w:t>
            </w:r>
          </w:p>
        </w:tc>
      </w:tr>
      <w:tr w14:paraId="5C50C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216C3884">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4FC0F5BF">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38A07967">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66" w:type="dxa"/>
            <w:tcBorders>
              <w:top w:val="dotted" w:color="2666A3" w:sz="4" w:space="0"/>
              <w:left w:val="dotted" w:color="2666A3" w:sz="4" w:space="0"/>
              <w:bottom w:val="dotted" w:color="2666A3" w:sz="4" w:space="0"/>
              <w:right w:val="nil"/>
            </w:tcBorders>
            <w:vAlign w:val="center"/>
          </w:tcPr>
          <w:p w14:paraId="7F5E3629">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77E1E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2537CA8">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3143A883">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tdd.clinicalTrialInformationStr!= [] %}</w:t>
      </w:r>
    </w:p>
    <w:p w14:paraId="0BA476B2">
      <w:pPr>
        <w:keepNext/>
        <w:spacing w:before="26"/>
        <w:rPr>
          <w:rFonts w:ascii="Times New Roman" w:hAnsi="Times New Roman" w:cs="Times New Roman"/>
          <w:b/>
          <w:color w:val="1F497D"/>
          <w:sz w:val="24"/>
        </w:rPr>
      </w:pPr>
      <w:r>
        <w:rPr>
          <w:rFonts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951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F6A3A9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957A2D3">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20E7A47">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075D8C6">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409FBB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E0BA3B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地点</w:t>
            </w:r>
          </w:p>
        </w:tc>
      </w:tr>
      <w:tr w14:paraId="71C00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4F3A2F9">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for cti in tdd.clinicalTrialInformationStr %}</w:t>
            </w:r>
          </w:p>
        </w:tc>
      </w:tr>
      <w:tr w14:paraId="4C4D0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F1581E8">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27259C64">
            <w:pPr>
              <w:keepNext/>
              <w:jc w:val="center"/>
              <w:rPr>
                <w:rFonts w:ascii="Times New Roman" w:hAnsi="Times New Roman" w:cs="Times New Roman"/>
                <w:bCs/>
                <w:sz w:val="18"/>
                <w:szCs w:val="18"/>
              </w:rPr>
            </w:pPr>
            <w:r>
              <w:rPr>
                <w:rFonts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68ED6C96">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776BA289">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77475F1F">
            <w:pPr>
              <w:spacing w:before="1" w:line="249" w:lineRule="auto"/>
              <w:ind w:right="131"/>
              <w:jc w:val="center"/>
              <w:rPr>
                <w:rFonts w:ascii="Times New Roman" w:hAnsi="Times New Roman" w:cs="Times New Roman"/>
                <w:sz w:val="18"/>
                <w:szCs w:val="18"/>
              </w:rPr>
            </w:pPr>
            <w:r>
              <w:rPr>
                <w:rFonts w:ascii="Times New Roman" w:hAnsi="Times New Roman" w:cs="Times New Roman"/>
                <w:sz w:val="18"/>
                <w:szCs w:val="18"/>
              </w:rPr>
              <w:t xml:space="preserve">{% for d in </w:t>
            </w:r>
            <w:r>
              <w:rPr>
                <w:rFonts w:ascii="Times New Roman" w:hAnsi="Times New Roman" w:cs="Times New Roman"/>
                <w:bCs/>
                <w:sz w:val="18"/>
                <w:szCs w:val="18"/>
              </w:rPr>
              <w:t>cti.drug_name_chinese</w:t>
            </w:r>
            <w:r>
              <w:rPr>
                <w:rFonts w:ascii="Times New Roman" w:hAnsi="Times New Roman" w:cs="Times New Roman"/>
                <w:sz w:val="18"/>
                <w:szCs w:val="18"/>
              </w:rPr>
              <w:t xml:space="preserve"> %}{%if loop.last%}{{ d.name }}{%else%}{{ d.name }}</w:t>
            </w:r>
          </w:p>
          <w:p w14:paraId="0819241F">
            <w:pPr>
              <w:keepNext/>
              <w:jc w:val="center"/>
              <w:rPr>
                <w:rFonts w:ascii="Times New Roman" w:hAnsi="Times New Roman" w:cs="Times New Roman"/>
                <w:sz w:val="18"/>
                <w:szCs w:val="18"/>
              </w:rPr>
            </w:pPr>
            <w:r>
              <w:rPr>
                <w:rFonts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478B767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cti.location_chinese }}</w:t>
            </w:r>
          </w:p>
        </w:tc>
      </w:tr>
      <w:tr w14:paraId="5161B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43593C0E">
            <w:pPr>
              <w:keepNext/>
              <w:spacing w:before="26"/>
              <w:jc w:val="center"/>
              <w:rPr>
                <w:rFonts w:ascii="Times New Roman" w:hAnsi="Times New Roman" w:cs="Times New Roman"/>
                <w:bCs/>
                <w:sz w:val="18"/>
                <w:szCs w:val="18"/>
              </w:rPr>
            </w:pPr>
            <w:r>
              <w:rPr>
                <w:rFonts w:ascii="Times New Roman" w:hAnsi="Times New Roman" w:cs="Times New Roman"/>
                <w:bCs/>
                <w:color w:val="2666A3"/>
                <w:sz w:val="18"/>
                <w:szCs w:val="18"/>
              </w:rPr>
              <w:t>{%tr endfor %}</w:t>
            </w:r>
          </w:p>
        </w:tc>
      </w:tr>
    </w:tbl>
    <w:p w14:paraId="2DB57DF8">
      <w:pPr>
        <w:pStyle w:val="48"/>
        <w:rPr>
          <w:rFonts w:eastAsia="宋体"/>
          <w:color w:val="2666A3"/>
        </w:rPr>
      </w:pPr>
      <w:r>
        <w:rPr>
          <w:rFonts w:eastAsia="宋体"/>
          <w:color w:val="2666A3"/>
        </w:rPr>
        <w:t>{% endif %}{% endfor %}{% for vus in unknownVarAnalysisStr %}</w:t>
      </w:r>
    </w:p>
    <w:p w14:paraId="26AE65D1">
      <w:pPr>
        <w:keepNext/>
        <w:widowControl/>
        <w:spacing w:before="240" w:beforeLines="10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5B5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0B84CAC9">
            <w:pPr>
              <w:keepNext/>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027" w:type="dxa"/>
            <w:tcBorders>
              <w:top w:val="single" w:color="2666A3" w:sz="18" w:space="0"/>
              <w:left w:val="dotted" w:color="2666A3" w:sz="4" w:space="0"/>
              <w:bottom w:val="dotted" w:color="2666A3" w:sz="4" w:space="0"/>
              <w:right w:val="nil"/>
            </w:tcBorders>
            <w:vAlign w:val="center"/>
          </w:tcPr>
          <w:p w14:paraId="00643BEB">
            <w:pPr>
              <w:keepNext/>
              <w:rPr>
                <w:rFonts w:ascii="Times New Roman" w:hAnsi="Times New Roman" w:cs="Times New Roman"/>
                <w:sz w:val="18"/>
                <w:szCs w:val="18"/>
              </w:rPr>
            </w:pPr>
            <w:r>
              <w:rPr>
                <w:rFonts w:hint="eastAsia"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eastAsia" w:ascii="Times New Roman" w:hAnsi="Times New Roman" w:eastAsia="宋体" w:cs="Times New Roman"/>
                <w:color w:val="000000"/>
                <w:sz w:val="18"/>
                <w:szCs w:val="18"/>
                <w:lang w:val="en-US" w:eastAsia="zh-CN"/>
              </w:rPr>
              <w:t xml:space="preserve"> == </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Amplification</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 xml:space="preserve"> %}扩增</w:t>
            </w:r>
            <w:r>
              <w:rPr>
                <w:rFonts w:hint="eastAsia"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r>
              <w:rPr>
                <w:rFonts w:hint="eastAsia"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eastAsia" w:ascii="Times New Roman" w:hAnsi="Times New Roman" w:eastAsia="宋体" w:cs="Times New Roman"/>
                <w:color w:val="000000"/>
                <w:sz w:val="18"/>
                <w:szCs w:val="18"/>
                <w:lang w:val="en-US" w:eastAsia="zh-CN"/>
              </w:rPr>
              <w:t>.ori_variant }}</w:t>
            </w:r>
            <w:r>
              <w:rPr>
                <w:rFonts w:hint="eastAsia" w:ascii="Times New Roman" w:hAnsi="Times New Roman" w:eastAsia="宋体" w:cs="Times New Roman"/>
                <w:color w:val="000000"/>
                <w:sz w:val="18"/>
                <w:szCs w:val="18"/>
                <w:lang w:val="en-US" w:eastAsia="en-US"/>
              </w:rPr>
              <w:t>{% endif</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p>
        </w:tc>
      </w:tr>
      <w:tr w14:paraId="0CFD74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6A3F7AC3">
            <w:pPr>
              <w:keepNext/>
              <w:rPr>
                <w:rFonts w:ascii="Times New Roman" w:hAnsi="Times New Roman" w:cs="Times New Roman"/>
                <w:b/>
                <w:color w:val="2666A3"/>
                <w:sz w:val="18"/>
                <w:szCs w:val="18"/>
              </w:rPr>
            </w:pPr>
            <w:r>
              <w:rPr>
                <w:rFonts w:ascii="Times New Roman" w:hAnsi="Times New Roman" w:cs="Times New Roman"/>
                <w:b/>
                <w:color w:val="2666A3"/>
                <w:sz w:val="18"/>
                <w:szCs w:val="18"/>
              </w:rPr>
              <w:t>突变说明</w:t>
            </w:r>
          </w:p>
        </w:tc>
        <w:tc>
          <w:tcPr>
            <w:tcW w:w="8027" w:type="dxa"/>
            <w:tcBorders>
              <w:top w:val="dotted" w:color="2666A3" w:sz="4" w:space="0"/>
              <w:left w:val="dotted" w:color="2666A3" w:sz="4" w:space="0"/>
              <w:bottom w:val="dotted" w:color="2666A3" w:sz="4" w:space="0"/>
              <w:right w:val="nil"/>
            </w:tcBorders>
            <w:vAlign w:val="center"/>
          </w:tcPr>
          <w:p w14:paraId="20558C8B">
            <w:pPr>
              <w:keepNext/>
              <w:rPr>
                <w:rFonts w:ascii="Times New Roman" w:hAnsi="Times New Roman" w:cs="Times New Roman"/>
                <w:sz w:val="18"/>
                <w:szCs w:val="18"/>
              </w:rPr>
            </w:pPr>
            <w:r>
              <w:rPr>
                <w:rFonts w:ascii="Times New Roman" w:hAnsi="Times New Roman" w:cs="Times New Roman"/>
                <w:color w:val="000000"/>
                <w:sz w:val="18"/>
                <w:szCs w:val="18"/>
              </w:rPr>
              <w:t>{{ vus.mutDesc }}</w:t>
            </w:r>
          </w:p>
        </w:tc>
      </w:tr>
      <w:tr w14:paraId="648D1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725B1D52">
            <w:pPr>
              <w:keepNext/>
              <w:rPr>
                <w:rFonts w:ascii="Times New Roman" w:hAnsi="Times New Roman" w:cs="Times New Roman"/>
                <w:b/>
                <w:color w:val="2666A3"/>
                <w:sz w:val="18"/>
                <w:szCs w:val="18"/>
              </w:rPr>
            </w:pPr>
            <w:r>
              <w:rPr>
                <w:rFonts w:ascii="Times New Roman" w:hAnsi="Times New Roman" w:cs="Times New Roman"/>
                <w:b/>
                <w:color w:val="2666A3"/>
                <w:sz w:val="18"/>
                <w:szCs w:val="18"/>
              </w:rPr>
              <w:t>基因说明</w:t>
            </w:r>
          </w:p>
        </w:tc>
        <w:tc>
          <w:tcPr>
            <w:tcW w:w="8027" w:type="dxa"/>
            <w:tcBorders>
              <w:top w:val="dotted" w:color="2666A3" w:sz="4" w:space="0"/>
              <w:left w:val="dotted" w:color="2666A3" w:sz="4" w:space="0"/>
              <w:bottom w:val="dotted" w:color="2666A3" w:sz="4" w:space="0"/>
              <w:right w:val="nil"/>
            </w:tcBorders>
            <w:vAlign w:val="center"/>
          </w:tcPr>
          <w:p w14:paraId="2C80CEDF">
            <w:pPr>
              <w:keepNext/>
              <w:rPr>
                <w:rFonts w:ascii="Times New Roman" w:hAnsi="Times New Roman" w:cs="Times New Roman"/>
                <w:sz w:val="18"/>
                <w:szCs w:val="18"/>
              </w:rPr>
            </w:pPr>
            <w:r>
              <w:rPr>
                <w:rFonts w:ascii="Times New Roman" w:hAnsi="Times New Roman" w:cs="Times New Roman"/>
                <w:sz w:val="18"/>
                <w:szCs w:val="18"/>
              </w:rPr>
              <w:t>{{ vus.gene_description_chinese }}</w:t>
            </w:r>
          </w:p>
        </w:tc>
      </w:tr>
    </w:tbl>
    <w:p w14:paraId="1320FC52">
      <w:pPr>
        <w:rPr>
          <w:rFonts w:ascii="Times New Roman" w:hAnsi="Times New Roman" w:cs="Times New Roman"/>
          <w:b/>
          <w:color w:val="2666A3"/>
          <w:sz w:val="24"/>
          <w:szCs w:val="24"/>
        </w:rPr>
      </w:pPr>
      <w:r>
        <w:rPr>
          <w:rFonts w:ascii="Times New Roman" w:hAnsi="Times New Roman" w:cs="Times New Roman"/>
          <w:b/>
          <w:color w:val="2666A3"/>
          <w:sz w:val="24"/>
          <w:szCs w:val="24"/>
        </w:rPr>
        <w:t>{% endfor %}{% for tdd in ComplexDrugStr %}</w:t>
      </w:r>
    </w:p>
    <w:p w14:paraId="737C8F68">
      <w:pPr>
        <w:keepNext/>
        <w:widowControl/>
        <w:spacing w:before="240" w:beforeLines="10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tdd.comutation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4456BA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0C967CC6">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247" w:type="dxa"/>
            <w:tcBorders>
              <w:tl2br w:val="nil"/>
              <w:tr2bl w:val="nil"/>
            </w:tcBorders>
            <w:vAlign w:val="center"/>
          </w:tcPr>
          <w:p w14:paraId="043D724E">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w:t>
            </w:r>
          </w:p>
        </w:tc>
      </w:tr>
      <w:tr w14:paraId="0F7D3C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4E3FB778">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变异丰度</w:t>
            </w:r>
          </w:p>
        </w:tc>
        <w:tc>
          <w:tcPr>
            <w:tcW w:w="8247" w:type="dxa"/>
            <w:tcBorders>
              <w:tl2br w:val="nil"/>
              <w:tr2bl w:val="nil"/>
            </w:tcBorders>
            <w:vAlign w:val="center"/>
          </w:tcPr>
          <w:p w14:paraId="7D6E6748">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tdd.mutFreq }}</w:t>
            </w:r>
          </w:p>
        </w:tc>
      </w:tr>
      <w:tr w14:paraId="1F21F6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288CFC1">
            <w:pPr>
              <w:spacing w:before="1" w:line="250" w:lineRule="auto"/>
              <w:jc w:val="center"/>
              <w:rPr>
                <w:rFonts w:ascii="Times New Roman" w:hAnsi="Times New Roman" w:cs="Times New Roman"/>
                <w:color w:val="2666A3"/>
                <w:sz w:val="18"/>
                <w:szCs w:val="18"/>
              </w:rPr>
            </w:pPr>
            <w:r>
              <w:rPr>
                <w:rFonts w:ascii="Times New Roman" w:hAnsi="Times New Roman" w:cs="Times New Roman"/>
                <w:b/>
                <w:color w:val="2666A3"/>
                <w:sz w:val="18"/>
                <w:szCs w:val="18"/>
              </w:rPr>
              <w:t>潜在获益药物</w:t>
            </w:r>
          </w:p>
        </w:tc>
        <w:tc>
          <w:tcPr>
            <w:tcW w:w="1191" w:type="dxa"/>
            <w:tcBorders>
              <w:tl2br w:val="nil"/>
              <w:tr2bl w:val="nil"/>
            </w:tcBorders>
            <w:shd w:val="clear" w:color="auto" w:fill="auto"/>
            <w:vAlign w:val="center"/>
          </w:tcPr>
          <w:p w14:paraId="6596F37B">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6B07A3C0">
            <w:pPr>
              <w:spacing w:before="1" w:line="250" w:lineRule="auto"/>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tdd.drugaStr == [] %}无{% else%}{% for d in tdd.drugaStr %}{%if loop.last%}{{ d.nameLevel }}{%else%}{{ d.nameLevel }}，{%endif%}{% endfor %}{% endif%}</w:t>
            </w:r>
          </w:p>
        </w:tc>
      </w:tr>
      <w:tr w14:paraId="6FB68C8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4F7D990">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3624FF6">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4DA28AE0">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tdd.drugbStr == [] %}无{% else%}{% for d in tdd.drugbStr %}{%if loop.last%}{{ d.nameLevel }}{%else%}{{ d.nameLevel }}，{%endif%}{% endfor %}{% endif%}</w:t>
            </w:r>
          </w:p>
        </w:tc>
      </w:tr>
      <w:tr w14:paraId="642D912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93A69D1">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0FA4F1D">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7DBA03B7">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tdd.drugcStr == [] %}无{% else%}{% for d in tdd.drugcStr %}{%if loop.last%}{{ d.nameLevel }}{%else%}{{ d.nameLevel }}，{%endif%}{% endfor %}{% endif%}</w:t>
            </w:r>
          </w:p>
        </w:tc>
      </w:tr>
      <w:tr w14:paraId="1B3BF832">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3270B0B">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4BDF7877">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571D5468">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tdd.drugdStr == [] %}无{% else%}{% for d in tdd.drugdStr %}{%if loop.last%}{{ d.nameLevel }}{%else%}{{ d.nameLevel }}，{%endif%}{% endfor %}{% endif%}</w:t>
            </w:r>
          </w:p>
        </w:tc>
      </w:tr>
      <w:tr w14:paraId="3AFE7E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6AD448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潜在耐药信息</w:t>
            </w:r>
          </w:p>
        </w:tc>
        <w:tc>
          <w:tcPr>
            <w:tcW w:w="1191" w:type="dxa"/>
            <w:tcBorders>
              <w:tl2br w:val="nil"/>
              <w:tr2bl w:val="nil"/>
            </w:tcBorders>
            <w:shd w:val="clear" w:color="auto" w:fill="auto"/>
            <w:vAlign w:val="center"/>
          </w:tcPr>
          <w:p w14:paraId="202B730C">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3DE95213">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tdd.resistantaStr == [] %}无{% else%}{% for d in tdd.resistantaStr %}{%if loop.last%}{{ d.nameLevel }}{%else%}{{ d.nameLevel }}，{%endif%}{% endfor %}{% endif%}</w:t>
            </w:r>
          </w:p>
        </w:tc>
      </w:tr>
      <w:tr w14:paraId="65B6E516">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35347F">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242BCC3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3F456EC2">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tdd.resistantbStr == [] %}无{% else%}{% for d in tdd.resistantbStr %}{%if loop.last%}{{ d.nameLevel }}{%else%}{{ d.nameLevel }}，{%endif%}{% endfor %}{% endif%}</w:t>
            </w:r>
          </w:p>
        </w:tc>
      </w:tr>
      <w:tr w14:paraId="3F90CA7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7F6A50">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71E596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025986B0">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tdd.resistantcStr == [] %}无{% else%}{% for d in tdd.resistantcStr %}{%if loop.last%}{{ d.nameLevel }}{%else%}{{ d.nameLevel }}，{%endif%}{% endfor %}{% endif%}</w:t>
            </w:r>
          </w:p>
        </w:tc>
      </w:tr>
      <w:tr w14:paraId="760AA4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0B4A189">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CA5CEE0">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1FFE3381">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tdd.resistantdStr == [] %}无{% else%}{% for d in tdd.resistantdStr %}{%if loop.last%}{{ d.nameLevel }}{%else%}{{ d.nameLevel }}，{%endif%}{% endfor %}{% endif%}</w:t>
            </w:r>
          </w:p>
        </w:tc>
      </w:tr>
      <w:tr w14:paraId="1977B8D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114EAA1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基因突变相关说明</w:t>
            </w:r>
          </w:p>
        </w:tc>
        <w:tc>
          <w:tcPr>
            <w:tcW w:w="8247" w:type="dxa"/>
            <w:tcBorders>
              <w:tl2br w:val="nil"/>
              <w:tr2bl w:val="nil"/>
            </w:tcBorders>
            <w:vAlign w:val="center"/>
          </w:tcPr>
          <w:p w14:paraId="11DF24B9">
            <w:pPr>
              <w:keepNext/>
              <w:spacing w:before="26"/>
              <w:rPr>
                <w:rFonts w:ascii="Times New Roman" w:hAnsi="Times New Roman" w:cs="Times New Roman"/>
                <w:sz w:val="18"/>
                <w:szCs w:val="18"/>
              </w:rPr>
            </w:pPr>
            <w:r>
              <w:rPr>
                <w:rFonts w:ascii="Times New Roman" w:hAnsi="Times New Roman" w:cs="Times New Roman"/>
                <w:sz w:val="18"/>
                <w:szCs w:val="18"/>
              </w:rPr>
              <w:t>{% for md in tdd.medicationDescription %}{% if md.key == '突变说明:' %}</w:t>
            </w:r>
            <w:r>
              <w:rPr>
                <w:rFonts w:ascii="Times New Roman" w:hAnsi="Times New Roman" w:cs="Times New Roman"/>
                <w:b/>
                <w:bCs/>
                <w:sz w:val="18"/>
                <w:szCs w:val="18"/>
              </w:rPr>
              <w:t>{{md.key}}</w:t>
            </w:r>
            <w:r>
              <w:rPr>
                <w:rFonts w:ascii="Times New Roman" w:hAnsi="Times New Roman" w:cs="Times New Roman"/>
                <w:sz w:val="18"/>
                <w:szCs w:val="18"/>
              </w:rPr>
              <w:t>{{md.value}}{% elif md.value == '' %}{% else%}</w:t>
            </w:r>
            <w:r>
              <w:rPr>
                <w:rFonts w:ascii="Times New Roman" w:hAnsi="Times New Roman" w:cs="Times New Roman"/>
                <w:b/>
                <w:bCs/>
                <w:sz w:val="18"/>
                <w:szCs w:val="18"/>
              </w:rPr>
              <w:t>{{md.key}}</w:t>
            </w:r>
            <w:r>
              <w:rPr>
                <w:rFonts w:ascii="Times New Roman" w:hAnsi="Times New Roman" w:cs="Times New Roman"/>
                <w:sz w:val="18"/>
                <w:szCs w:val="18"/>
              </w:rPr>
              <w:t>{{md.value}}</w:t>
            </w:r>
          </w:p>
          <w:p w14:paraId="389078D1">
            <w:pPr>
              <w:keepNext/>
              <w:spacing w:before="26"/>
              <w:rPr>
                <w:rFonts w:ascii="Times New Roman" w:hAnsi="Times New Roman" w:cs="Times New Roman"/>
                <w:sz w:val="18"/>
                <w:szCs w:val="18"/>
              </w:rPr>
            </w:pPr>
            <w:r>
              <w:rPr>
                <w:rFonts w:ascii="Times New Roman" w:hAnsi="Times New Roman" w:cs="Times New Roman"/>
                <w:sz w:val="18"/>
                <w:szCs w:val="18"/>
              </w:rPr>
              <w:t>{% endif %}{% endfor %}</w:t>
            </w:r>
          </w:p>
        </w:tc>
      </w:tr>
    </w:tbl>
    <w:p w14:paraId="20FA5AC2">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{%if tdd.drugResearchList != [] %}</w:t>
      </w:r>
    </w:p>
    <w:p w14:paraId="3F7891BA">
      <w:pPr>
        <w:keepNext/>
        <w:spacing w:before="26"/>
        <w:rPr>
          <w:rFonts w:ascii="Times New Roman" w:hAnsi="Times New Roman" w:cs="Times New Roman"/>
          <w:b/>
          <w:color w:val="1F497D"/>
          <w:sz w:val="24"/>
        </w:rPr>
      </w:pPr>
      <w:r>
        <w:rPr>
          <w:rFonts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5D3C19C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F7B70D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0DA429D8">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32" w:type="dxa"/>
            <w:tcBorders>
              <w:tl2br w:val="nil"/>
              <w:tr2bl w:val="nil"/>
            </w:tcBorders>
            <w:shd w:val="clear" w:color="auto" w:fill="auto"/>
            <w:vAlign w:val="center"/>
          </w:tcPr>
          <w:p w14:paraId="6DE5F91D">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95" w:type="dxa"/>
            <w:tcBorders>
              <w:tl2br w:val="nil"/>
              <w:tr2bl w:val="nil"/>
            </w:tcBorders>
            <w:shd w:val="clear" w:color="auto" w:fill="auto"/>
            <w:vAlign w:val="center"/>
          </w:tcPr>
          <w:p w14:paraId="2A92CFD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152D17D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B61413">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tdd.drugResearchList %}</w:t>
            </w:r>
          </w:p>
        </w:tc>
      </w:tr>
      <w:tr w14:paraId="5F29D9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DF92F88">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l2br w:val="nil"/>
              <w:tr2bl w:val="nil"/>
            </w:tcBorders>
            <w:vAlign w:val="center"/>
          </w:tcPr>
          <w:p w14:paraId="5BA161BA">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32" w:type="dxa"/>
            <w:tcBorders>
              <w:tl2br w:val="nil"/>
              <w:tr2bl w:val="nil"/>
            </w:tcBorders>
            <w:vAlign w:val="center"/>
          </w:tcPr>
          <w:p w14:paraId="592EF702">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95" w:type="dxa"/>
            <w:tcBorders>
              <w:tl2br w:val="nil"/>
              <w:tr2bl w:val="nil"/>
            </w:tcBorders>
            <w:vAlign w:val="center"/>
          </w:tcPr>
          <w:p w14:paraId="79C6EAC7">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6379543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879559">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40A1B15B">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tdd.potentialDrugList != [] %}</w:t>
      </w:r>
    </w:p>
    <w:p w14:paraId="161DB9F1">
      <w:pPr>
        <w:keepNext/>
        <w:spacing w:before="26"/>
        <w:rPr>
          <w:rFonts w:ascii="Times New Roman" w:hAnsi="Times New Roman" w:cs="Times New Roman"/>
          <w:b/>
          <w:color w:val="1F497D"/>
          <w:sz w:val="24"/>
        </w:rPr>
      </w:pPr>
      <w:r>
        <w:rPr>
          <w:rFonts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1A731C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D7309C7">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114AC5C0">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61" w:type="dxa"/>
            <w:tcBorders>
              <w:tl2br w:val="nil"/>
              <w:tr2bl w:val="nil"/>
            </w:tcBorders>
            <w:shd w:val="clear" w:color="auto" w:fill="auto"/>
            <w:vAlign w:val="center"/>
          </w:tcPr>
          <w:p w14:paraId="7C9121E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66" w:type="dxa"/>
            <w:tcBorders>
              <w:tl2br w:val="nil"/>
              <w:tr2bl w:val="nil"/>
            </w:tcBorders>
            <w:shd w:val="clear" w:color="auto" w:fill="auto"/>
            <w:vAlign w:val="center"/>
          </w:tcPr>
          <w:p w14:paraId="66CE7BE0">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0D31AA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067E8C">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tdd.potentialDrugList %}</w:t>
            </w:r>
          </w:p>
        </w:tc>
      </w:tr>
      <w:tr w14:paraId="7E70832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5643B8A">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l2br w:val="nil"/>
              <w:tr2bl w:val="nil"/>
            </w:tcBorders>
            <w:vAlign w:val="center"/>
          </w:tcPr>
          <w:p w14:paraId="314D0775">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61" w:type="dxa"/>
            <w:tcBorders>
              <w:tl2br w:val="nil"/>
              <w:tr2bl w:val="nil"/>
            </w:tcBorders>
            <w:vAlign w:val="center"/>
          </w:tcPr>
          <w:p w14:paraId="7323E3AD">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66" w:type="dxa"/>
            <w:tcBorders>
              <w:tl2br w:val="nil"/>
              <w:tr2bl w:val="nil"/>
            </w:tcBorders>
            <w:vAlign w:val="center"/>
          </w:tcPr>
          <w:p w14:paraId="42E24B53">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43615ED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D641408">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097FE8C0">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tdd.clinicalTrialInformationStr!= [] %}</w:t>
      </w:r>
    </w:p>
    <w:p w14:paraId="0B10B949">
      <w:pPr>
        <w:keepNext/>
        <w:spacing w:before="26"/>
        <w:rPr>
          <w:rFonts w:ascii="Times New Roman" w:hAnsi="Times New Roman" w:cs="Times New Roman"/>
          <w:b/>
          <w:color w:val="1F497D"/>
          <w:sz w:val="24"/>
        </w:rPr>
      </w:pPr>
      <w:r>
        <w:rPr>
          <w:rFonts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7353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1BA0ED74">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7C23D0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1AB1C3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C6737E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D9BB9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01FF768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地点</w:t>
            </w:r>
          </w:p>
        </w:tc>
      </w:tr>
      <w:tr w14:paraId="4048F4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2352F335">
            <w:pPr>
              <w:keepNext/>
              <w:spacing w:before="26"/>
              <w:jc w:val="center"/>
              <w:rPr>
                <w:rFonts w:ascii="Times New Roman" w:hAnsi="Times New Roman" w:cs="Times New Roman"/>
                <w:bCs/>
                <w:sz w:val="18"/>
                <w:szCs w:val="18"/>
              </w:rPr>
            </w:pPr>
            <w:r>
              <w:rPr>
                <w:rFonts w:ascii="Times New Roman" w:hAnsi="Times New Roman" w:cs="Times New Roman"/>
                <w:b/>
                <w:sz w:val="18"/>
                <w:szCs w:val="18"/>
              </w:rPr>
              <w:t>{%tr for cti in tdd.clinicalTrialInformationStr %}</w:t>
            </w:r>
          </w:p>
        </w:tc>
      </w:tr>
      <w:tr w14:paraId="1E44D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49D88779">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12D216E9">
            <w:pPr>
              <w:keepNext/>
              <w:jc w:val="center"/>
              <w:rPr>
                <w:rFonts w:ascii="Times New Roman" w:hAnsi="Times New Roman" w:cs="Times New Roman"/>
                <w:bCs/>
                <w:sz w:val="18"/>
                <w:szCs w:val="18"/>
              </w:rPr>
            </w:pPr>
            <w:r>
              <w:rPr>
                <w:rFonts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20C595F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7176D8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38D2192E">
            <w:pPr>
              <w:spacing w:before="1" w:line="249" w:lineRule="auto"/>
              <w:ind w:right="131"/>
              <w:jc w:val="center"/>
              <w:rPr>
                <w:rFonts w:ascii="Times New Roman" w:hAnsi="Times New Roman" w:cs="Times New Roman"/>
                <w:sz w:val="18"/>
                <w:szCs w:val="18"/>
              </w:rPr>
            </w:pPr>
            <w:r>
              <w:rPr>
                <w:rFonts w:ascii="Times New Roman" w:hAnsi="Times New Roman" w:cs="Times New Roman"/>
                <w:sz w:val="18"/>
                <w:szCs w:val="18"/>
              </w:rPr>
              <w:t xml:space="preserve">{% for d in </w:t>
            </w:r>
            <w:r>
              <w:rPr>
                <w:rFonts w:ascii="Times New Roman" w:hAnsi="Times New Roman" w:cs="Times New Roman"/>
                <w:bCs/>
                <w:sz w:val="18"/>
                <w:szCs w:val="18"/>
              </w:rPr>
              <w:t>cti.drug_name_chinese</w:t>
            </w:r>
            <w:r>
              <w:rPr>
                <w:rFonts w:ascii="Times New Roman" w:hAnsi="Times New Roman" w:cs="Times New Roman"/>
                <w:sz w:val="18"/>
                <w:szCs w:val="18"/>
              </w:rPr>
              <w:t xml:space="preserve"> %}{%if loop.last%}{{ d.name }}{%else%}{{ d.name }}</w:t>
            </w:r>
          </w:p>
          <w:p w14:paraId="6F1CCF94">
            <w:pPr>
              <w:keepNext/>
              <w:jc w:val="center"/>
              <w:rPr>
                <w:rFonts w:ascii="Times New Roman" w:hAnsi="Times New Roman" w:cs="Times New Roman"/>
                <w:sz w:val="18"/>
                <w:szCs w:val="18"/>
              </w:rPr>
            </w:pPr>
            <w:r>
              <w:rPr>
                <w:rFonts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3F5440C0">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cti.location_chinese }}</w:t>
            </w:r>
          </w:p>
        </w:tc>
      </w:tr>
      <w:tr w14:paraId="6F149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5170CA7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{%tr endfor %}</w:t>
            </w:r>
          </w:p>
        </w:tc>
      </w:tr>
    </w:tbl>
    <w:p w14:paraId="035DD0B5">
      <w:pPr>
        <w:rPr>
          <w:rFonts w:ascii="Times New Roman" w:hAnsi="Times New Roman" w:cs="Times New Roman"/>
          <w:b/>
          <w:color w:val="2666A3"/>
          <w:sz w:val="24"/>
          <w:szCs w:val="24"/>
        </w:rPr>
      </w:pPr>
      <w:r>
        <w:rPr>
          <w:rFonts w:ascii="Times New Roman" w:hAnsi="Times New Roman" w:cs="Times New Roman"/>
          <w:b/>
          <w:color w:val="2666A3"/>
          <w:sz w:val="24"/>
          <w:szCs w:val="24"/>
        </w:rPr>
        <w:t>{% endif %}{% endfor %}</w:t>
      </w:r>
    </w:p>
    <w:p w14:paraId="411C5059">
      <w:pPr>
        <w:rPr>
          <w:rFonts w:ascii="Times New Roman" w:hAnsi="Times New Roman" w:cs="Times New Roman"/>
          <w:b/>
          <w:sz w:val="18"/>
        </w:rPr>
      </w:pPr>
      <w:r>
        <w:rPr>
          <w:rFonts w:ascii="Times New Roman" w:hAnsi="Times New Roman" w:cs="Times New Roman"/>
          <w:b/>
          <w:sz w:val="18"/>
        </w:rPr>
        <w:t>注：</w:t>
      </w:r>
    </w:p>
    <w:p w14:paraId="764340B1">
      <w:pPr>
        <w:pStyle w:val="41"/>
        <w:numPr>
          <w:ilvl w:val="0"/>
          <w:numId w:val="2"/>
        </w:numPr>
        <w:adjustRightInd w:val="0"/>
        <w:snapToGrid w:val="0"/>
        <w:rPr>
          <w:sz w:val="18"/>
          <w:szCs w:val="18"/>
        </w:rPr>
      </w:pPr>
      <w:r>
        <w:rPr>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0D15C8C1">
      <w:pPr>
        <w:pStyle w:val="41"/>
        <w:numPr>
          <w:ilvl w:val="0"/>
          <w:numId w:val="2"/>
        </w:numPr>
        <w:adjustRightInd w:val="0"/>
        <w:snapToGrid w:val="0"/>
        <w:rPr>
          <w:sz w:val="18"/>
          <w:szCs w:val="18"/>
        </w:rPr>
      </w:pPr>
      <w:r>
        <w:rPr>
          <w:sz w:val="18"/>
          <w:szCs w:val="18"/>
        </w:rPr>
        <w:t>指南推荐指在NCCN\CSCO\ASCO\ESMO指南中有明确的表格或文字说明，有本癌种该位点突变可获益的靶向药。</w:t>
      </w:r>
    </w:p>
    <w:p w14:paraId="17C350BC">
      <w:pPr>
        <w:pStyle w:val="41"/>
        <w:numPr>
          <w:ilvl w:val="0"/>
          <w:numId w:val="2"/>
        </w:numPr>
        <w:adjustRightInd w:val="0"/>
        <w:snapToGrid w:val="0"/>
        <w:rPr>
          <w:sz w:val="18"/>
          <w:szCs w:val="18"/>
        </w:rPr>
      </w:pPr>
      <w:r>
        <w:rPr>
          <w:sz w:val="18"/>
          <w:szCs w:val="18"/>
        </w:rPr>
        <w:t>正在开放招募的临床试验药物信息来自www.clinicaltrials.gov 和www.chinadrugtrials.org.cn。临床试验信息实时更新，使用相关结果时，请务必确认其最新状态。</w:t>
      </w:r>
    </w:p>
    <w:p w14:paraId="3AFCEDC0">
      <w:pPr>
        <w:pStyle w:val="41"/>
        <w:numPr>
          <w:ilvl w:val="0"/>
          <w:numId w:val="2"/>
        </w:numPr>
        <w:adjustRightInd w:val="0"/>
        <w:snapToGrid w:val="0"/>
        <w:rPr>
          <w:sz w:val="18"/>
          <w:szCs w:val="18"/>
        </w:rPr>
      </w:pPr>
      <w:r>
        <w:rPr>
          <w:sz w:val="18"/>
          <w:szCs w:val="18"/>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439B419">
      <w:pPr>
        <w:pStyle w:val="41"/>
        <w:numPr>
          <w:ilvl w:val="0"/>
          <w:numId w:val="2"/>
        </w:numPr>
        <w:adjustRightInd w:val="0"/>
        <w:snapToGrid w:val="0"/>
        <w:rPr>
          <w:sz w:val="18"/>
          <w:szCs w:val="18"/>
        </w:rPr>
      </w:pPr>
      <w:r>
        <w:rPr>
          <w:sz w:val="18"/>
          <w:szCs w:val="18"/>
        </w:rPr>
        <w:t>潜在耐药信息：FDA/NMPA已经批准的、NCCN指南推荐的、临床试验或者临床研究有明确结果的、药物敏感性可能降低或产生耐药的靶向药物。</w:t>
      </w:r>
    </w:p>
    <w:p w14:paraId="04BED24A">
      <w:pPr>
        <w:pStyle w:val="41"/>
        <w:numPr>
          <w:ilvl w:val="0"/>
          <w:numId w:val="2"/>
        </w:numPr>
        <w:adjustRightInd w:val="0"/>
        <w:snapToGrid w:val="0"/>
        <w:rPr>
          <w:sz w:val="18"/>
          <w:szCs w:val="18"/>
        </w:rPr>
      </w:pPr>
      <w:r>
        <w:rPr>
          <w:sz w:val="18"/>
          <w:szCs w:val="18"/>
        </w:rPr>
        <w:t>* 标注的药物：NMPA批准的靶向药物。</w:t>
      </w:r>
    </w:p>
    <w:p w14:paraId="279624FF">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46160262">
      <w:pPr>
        <w:wordWrap w:val="0"/>
        <w:ind w:right="105"/>
        <w:jc w:val="both"/>
        <w:rPr>
          <w:rFonts w:ascii="Times New Roman" w:hAnsi="Times New Roman" w:eastAsia="微软雅黑" w:cs="Times New Roman"/>
          <w:b/>
          <w:color w:val="1F497D"/>
          <w:sz w:val="28"/>
          <w:szCs w:val="28"/>
        </w:rPr>
      </w:pPr>
      <w:bookmarkStart w:id="10" w:name="_Toc534637499"/>
      <w:bookmarkStart w:id="11" w:name="_Toc527112386"/>
      <w:bookmarkStart w:id="12" w:name="_Toc526855038"/>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rPr>
        <w:t>附录2 结果附图</w:t>
      </w:r>
    </w:p>
    <w:p w14:paraId="556648D6">
      <w:pPr>
        <w:jc w:val="center"/>
        <w:rPr>
          <w:rFonts w:ascii="Times New Roman" w:hAnsi="Times New Roman" w:eastAsia="微软雅黑" w:cs="Times New Roman"/>
        </w:rPr>
      </w:pPr>
    </w:p>
    <w:p w14:paraId="50050E69">
      <w:pPr>
        <w:jc w:val="center"/>
        <w:rPr>
          <w:rFonts w:ascii="Times New Roman" w:hAnsi="Times New Roman" w:eastAsia="微软雅黑" w:cs="Times New Roman"/>
        </w:rPr>
      </w:pPr>
    </w:p>
    <w:p w14:paraId="6D06B5B9">
      <w:pPr>
        <w:jc w:val="center"/>
        <w:rPr>
          <w:rFonts w:ascii="Times New Roman" w:hAnsi="Times New Roman" w:eastAsia="微软雅黑" w:cs="Times New Roman"/>
        </w:rPr>
      </w:pPr>
    </w:p>
    <w:p w14:paraId="35766368">
      <w:pPr>
        <w:jc w:val="center"/>
        <w:rPr>
          <w:rFonts w:ascii="Times New Roman" w:hAnsi="Times New Roman" w:eastAsia="微软雅黑" w:cs="Times New Roman"/>
        </w:rPr>
      </w:pPr>
    </w:p>
    <w:p w14:paraId="19D06786">
      <w:pPr>
        <w:jc w:val="center"/>
        <w:rPr>
          <w:rFonts w:ascii="Times New Roman" w:hAnsi="Times New Roman" w:eastAsia="微软雅黑" w:cs="Times New Roman"/>
        </w:rPr>
      </w:pPr>
    </w:p>
    <w:p w14:paraId="6B2031E1">
      <w:pPr>
        <w:jc w:val="center"/>
        <w:rPr>
          <w:rFonts w:ascii="Times New Roman" w:hAnsi="Times New Roman" w:eastAsia="微软雅黑" w:cs="Times New Roman"/>
        </w:rPr>
      </w:pPr>
    </w:p>
    <w:p w14:paraId="4D267967">
      <w:pPr>
        <w:jc w:val="center"/>
        <w:rPr>
          <w:rFonts w:ascii="Times New Roman" w:hAnsi="Times New Roman" w:eastAsia="微软雅黑" w:cs="Times New Roman"/>
        </w:rPr>
      </w:pPr>
    </w:p>
    <w:p w14:paraId="580C3736">
      <w:pPr>
        <w:jc w:val="center"/>
        <w:rPr>
          <w:rFonts w:ascii="Times New Roman" w:hAnsi="Times New Roman" w:eastAsia="微软雅黑" w:cs="Times New Roman"/>
        </w:rPr>
      </w:pPr>
    </w:p>
    <w:p w14:paraId="67AF07CE">
      <w:pPr>
        <w:jc w:val="center"/>
        <w:rPr>
          <w:rFonts w:ascii="Times New Roman" w:hAnsi="Times New Roman" w:eastAsia="微软雅黑" w:cs="Times New Roman"/>
        </w:rPr>
      </w:pPr>
    </w:p>
    <w:p w14:paraId="40CB46F9">
      <w:pPr>
        <w:jc w:val="center"/>
        <w:rPr>
          <w:rFonts w:ascii="Times New Roman" w:hAnsi="Times New Roman" w:eastAsia="微软雅黑" w:cs="Times New Roman"/>
        </w:rPr>
      </w:pPr>
    </w:p>
    <w:p w14:paraId="516E8FD4">
      <w:pPr>
        <w:jc w:val="center"/>
        <w:rPr>
          <w:rFonts w:ascii="Times New Roman" w:hAnsi="Times New Roman" w:eastAsia="微软雅黑" w:cs="Times New Roman"/>
        </w:rPr>
      </w:pPr>
    </w:p>
    <w:p w14:paraId="19909BE6">
      <w:pPr>
        <w:jc w:val="center"/>
        <w:rPr>
          <w:rFonts w:ascii="Times New Roman" w:hAnsi="Times New Roman" w:eastAsia="微软雅黑" w:cs="Times New Roman"/>
        </w:rPr>
      </w:pPr>
    </w:p>
    <w:p w14:paraId="5BB97EE6">
      <w:pPr>
        <w:jc w:val="center"/>
        <w:rPr>
          <w:rFonts w:ascii="Times New Roman" w:hAnsi="Times New Roman" w:eastAsia="微软雅黑" w:cs="Times New Roman"/>
        </w:rPr>
      </w:pPr>
    </w:p>
    <w:p w14:paraId="76462E2B">
      <w:pPr>
        <w:jc w:val="center"/>
        <w:rPr>
          <w:rFonts w:ascii="Times New Roman" w:hAnsi="Times New Roman" w:eastAsia="微软雅黑" w:cs="Times New Roman"/>
        </w:rPr>
      </w:pPr>
    </w:p>
    <w:p w14:paraId="7D66280B">
      <w:pPr>
        <w:jc w:val="center"/>
        <w:rPr>
          <w:rFonts w:ascii="Times New Roman" w:hAnsi="Times New Roman" w:eastAsia="微软雅黑" w:cs="Times New Roman"/>
        </w:rPr>
      </w:pPr>
    </w:p>
    <w:p w14:paraId="531B3B16">
      <w:pPr>
        <w:jc w:val="center"/>
        <w:rPr>
          <w:rFonts w:ascii="Times New Roman" w:hAnsi="Times New Roman" w:eastAsia="微软雅黑" w:cs="Times New Roman"/>
        </w:rPr>
      </w:pPr>
    </w:p>
    <w:p w14:paraId="56B69607">
      <w:pPr>
        <w:jc w:val="center"/>
        <w:rPr>
          <w:rFonts w:ascii="Times New Roman" w:hAnsi="Times New Roman" w:eastAsia="微软雅黑" w:cs="Times New Roman"/>
        </w:rPr>
      </w:pPr>
    </w:p>
    <w:p w14:paraId="35A67EFC">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附录3 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8588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8" w:hRule="atLeast"/>
        </w:trPr>
        <w:tc>
          <w:tcPr>
            <w:tcW w:w="9290" w:type="dxa"/>
            <w:gridSpan w:val="9"/>
          </w:tcPr>
          <w:p w14:paraId="4F62475D">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7C15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4872F97F">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7DDA58B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3C89A38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0752EC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1350530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0B8DAA2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54C6658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A30C19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1B7F420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342A2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B6C489A">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50ABEE12">
      <w:pPr>
        <w:widowControl/>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113968B6">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rPr>
        <w:t>附录4 试剂盒</w:t>
      </w:r>
      <w:r>
        <w:rPr>
          <w:rFonts w:hint="eastAsia" w:ascii="Times New Roman" w:hAnsi="Times New Roman" w:eastAsia="微软雅黑" w:cs="Times New Roman"/>
          <w:b/>
          <w:color w:val="1F497D"/>
          <w:sz w:val="28"/>
          <w:szCs w:val="28"/>
          <w:lang w:val="en-US" w:eastAsia="zh-CN"/>
        </w:rPr>
        <w:t>部分</w:t>
      </w:r>
      <w:r>
        <w:rPr>
          <w:rFonts w:hint="eastAsia" w:ascii="Times New Roman" w:hAnsi="Times New Roman" w:eastAsia="微软雅黑" w:cs="Times New Roman"/>
          <w:b/>
          <w:color w:val="1F497D"/>
          <w:sz w:val="28"/>
          <w:szCs w:val="28"/>
        </w:rPr>
        <w:t>检测</w:t>
      </w:r>
      <w:r>
        <w:rPr>
          <w:rFonts w:hint="eastAsia" w:ascii="Times New Roman" w:hAnsi="Times New Roman" w:eastAsia="微软雅黑" w:cs="Times New Roman"/>
          <w:b/>
          <w:color w:val="1F497D"/>
          <w:sz w:val="28"/>
          <w:szCs w:val="28"/>
          <w:lang w:val="en-US" w:eastAsia="zh-CN"/>
        </w:rPr>
        <w:t>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3BB714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3970BDE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D952C7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F4157C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6B745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3255375">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9A28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3BC0A3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0987647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124610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198BF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D9451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66BC3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255D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18AB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7EA3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F499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120E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4434B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19AD35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8561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FE03F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6DC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8CF5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D3BD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A00D12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64D7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0D284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465A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4466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5CE8E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EAA21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021BD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4D70E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EA3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FBF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8D2A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CB3F3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7D95F0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0A1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eastAsia"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2D16C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1810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5B36C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8A5BE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39EB3F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802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CECE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4941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D981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B858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469B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117E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A33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971F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3B69D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F1D679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89886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343F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4A6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5AD5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6167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326EA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6915B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CF9F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701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418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6FA1E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8BC53E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1C164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EFBE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82B5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A1FC4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00A96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E8866B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FB4D4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F29C6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1633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C0B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05E58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FA45C9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201F1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085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0BEE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E39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1AF4D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65E3D2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655498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7CD63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9987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3C7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2E0C6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F99AD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CC0CB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707C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414F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BC74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152D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21A062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15A2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F29D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9476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5502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2592F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5D4E62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AFAE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DC87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eastAsia"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C9E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756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6F1C6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2469F0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85AEB1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F3B2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60F5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754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00B29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8A3E3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819A69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90C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8CEF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61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20CC5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E93E8F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3A26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1C9D6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DCD74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70DB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07477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E9EB15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07E40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090E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1C2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D42B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05956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0D2D4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94154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C35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5C8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C5AF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2519F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2A9EF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DF6B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072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F2AA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8E2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74C70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0F80E0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CA580D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25B2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B0D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B01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72839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F0218A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42818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B25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13E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E8D7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454A4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52A5D4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97EF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0903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41476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7DCB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348236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BDED90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BEEE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B96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3921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FFE4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4028E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BEB66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6A7A5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95A8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EF2C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508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32463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49022A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63F08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0B0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CD2B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4992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7B77C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A21DE9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8E9C9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77CB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79AC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771B8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944B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A0556E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742CB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CF21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978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113A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57F2D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0B6A77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C00EB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F6D6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82BB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CC9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193C1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F69D7B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27747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621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6E5C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3F8E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3A368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FAE64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17BFA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C4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64255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F057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A6B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FBD4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08FDAD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09BE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DC0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1CA7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24D1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F8D38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775AA5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A00B6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2F95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A2342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C6A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2B43F49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6661B6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397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A1D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75761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DB27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3C10D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D501A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ED637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64C2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1D5AC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6A7D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A8FCB0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B39F1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39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066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7957A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6ED91662">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lang w:val="en-US" w:eastAsia="zh-CN"/>
        </w:rPr>
        <w:t xml:space="preserve">附录5 </w:t>
      </w:r>
      <w:r>
        <w:rPr>
          <w:rFonts w:hint="eastAsia" w:ascii="Times New Roman" w:hAnsi="Times New Roman" w:eastAsia="微软雅黑" w:cs="Times New Roman"/>
          <w:b/>
          <w:color w:val="1F497D"/>
          <w:sz w:val="28"/>
          <w:szCs w:val="28"/>
        </w:rPr>
        <w:t>常见靶向药物相关基因检测列表</w:t>
      </w:r>
    </w:p>
    <w:p w14:paraId="193C9262">
      <w:pPr>
        <w:spacing w:line="276" w:lineRule="auto"/>
        <w:rPr>
          <w:rFonts w:ascii="Times New Roman" w:hAnsi="Times New Roman" w:cs="Times New Roman"/>
        </w:rPr>
      </w:pPr>
    </w:p>
    <w:p w14:paraId="43C878EB">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ALK  </w:t>
      </w:r>
      <w:r>
        <w:rPr>
          <w:rFonts w:ascii="Times New Roman" w:hAnsi="Times New Roman" w:cs="Times New Roman"/>
          <w:b/>
          <w:u w:val="thick" w:color="1F3864"/>
        </w:rPr>
        <w:t xml:space="preserve">                                                                                                                                                                    </w:t>
      </w:r>
    </w:p>
    <w:p w14:paraId="7CD39580">
      <w:pPr>
        <w:spacing w:line="276" w:lineRule="auto"/>
        <w:rPr>
          <w:rFonts w:ascii="Times New Roman" w:hAnsi="Times New Roman" w:cs="Times New Roman"/>
          <w:b/>
          <w:u w:val="thick" w:color="1F3864"/>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EA034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C1B504D">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EE47D1B">
            <w:pPr>
              <w:widowControl/>
              <w:spacing w:before="100" w:beforeAutospacing="1" w:line="273" w:lineRule="auto"/>
              <w:rPr>
                <w:rFonts w:ascii="Times New Roman" w:hAnsi="Times New Roman" w:cs="Times New Roman"/>
                <w:color w:val="000000"/>
                <w:sz w:val="18"/>
                <w:szCs w:val="18"/>
              </w:rPr>
            </w:pPr>
            <w:r>
              <w:rPr>
                <w:rFonts w:ascii="Times New Roman" w:hAnsi="Times New Roman" w:cs="Times New Roman"/>
                <w:color w:val="000000"/>
                <w:sz w:val="18"/>
                <w:szCs w:val="18"/>
              </w:rPr>
              <w:t>ALK位于染色体2p23，是致癌驱动基因，该基因编码的蛋白是受体酪氨酸激酶家族的一部分，该蛋白为一种跨膜受体酪氨酸激酶，是胰岛素受体超家族的一员，受体</w:t>
            </w:r>
            <w:r>
              <w:rPr>
                <w:rFonts w:hint="eastAsia" w:ascii="Times New Roman" w:hAnsi="Times New Roman" w:cs="Times New Roman"/>
                <w:color w:val="000000"/>
                <w:sz w:val="18"/>
                <w:szCs w:val="18"/>
              </w:rPr>
              <w:t>酪</w:t>
            </w:r>
            <w:r>
              <w:rPr>
                <w:rFonts w:ascii="Times New Roman" w:hAnsi="Times New Roman" w:cs="Times New Roman"/>
                <w:color w:val="000000"/>
                <w:sz w:val="18"/>
                <w:szCs w:val="18"/>
              </w:rPr>
              <w:t>氨酸激酶通过信号传导将信号从细胞表面传导到细胞内，并通过激活MAPK和PI3K信号通路促进细胞增殖。ALK基因与EML4或其他基因（TFG，KIF5B 等）的融合是非小细胞肺癌中仅次于EGFR突变的第二个分子亚型，约占 7％，在无吸烟史，年轻，及肺腺癌患者人群中占比更高。ALK激活突变、融合、扩增已经在各种癌症中被报道过，包括非小细胞肺癌、结直肠癌、卵巢癌、横纹肌肉瘤等。</w:t>
            </w:r>
          </w:p>
        </w:tc>
      </w:tr>
      <w:tr w14:paraId="5B57D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2FF55A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884D7CE">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克唑替尼*</w:t>
            </w:r>
            <w:r>
              <w:rPr>
                <w:rFonts w:ascii="Times New Roman" w:hAnsi="Times New Roman" w:cs="Times New Roman"/>
                <w:sz w:val="18"/>
                <w:szCs w:val="18"/>
              </w:rPr>
              <w:t>、</w:t>
            </w:r>
            <w:r>
              <w:rPr>
                <w:rFonts w:ascii="Times New Roman" w:hAnsi="Times New Roman" w:cs="Times New Roman"/>
                <w:b/>
                <w:sz w:val="18"/>
                <w:szCs w:val="18"/>
              </w:rPr>
              <w:t>塞瑞替尼*</w:t>
            </w:r>
            <w:r>
              <w:rPr>
                <w:rFonts w:ascii="Times New Roman" w:hAnsi="Times New Roman" w:cs="Times New Roman"/>
                <w:sz w:val="18"/>
                <w:szCs w:val="18"/>
              </w:rPr>
              <w:t>、</w:t>
            </w:r>
            <w:r>
              <w:rPr>
                <w:rFonts w:ascii="Times New Roman" w:hAnsi="Times New Roman" w:cs="Times New Roman"/>
                <w:b/>
                <w:sz w:val="18"/>
                <w:szCs w:val="18"/>
              </w:rPr>
              <w:t>布吉他滨</w:t>
            </w:r>
            <w:r>
              <w:rPr>
                <w:rFonts w:ascii="Times New Roman" w:hAnsi="Times New Roman" w:cs="Times New Roman"/>
                <w:sz w:val="18"/>
                <w:szCs w:val="18"/>
              </w:rPr>
              <w:t>、</w:t>
            </w:r>
            <w:r>
              <w:rPr>
                <w:rFonts w:ascii="Times New Roman" w:hAnsi="Times New Roman" w:cs="Times New Roman"/>
                <w:b/>
                <w:sz w:val="18"/>
                <w:szCs w:val="18"/>
              </w:rPr>
              <w:t>阿来替尼*</w:t>
            </w:r>
            <w:r>
              <w:rPr>
                <w:rFonts w:ascii="Times New Roman" w:hAnsi="Times New Roman" w:cs="Times New Roman"/>
                <w:sz w:val="18"/>
                <w:szCs w:val="18"/>
              </w:rPr>
              <w:t>、</w:t>
            </w:r>
            <w:r>
              <w:rPr>
                <w:rFonts w:ascii="Times New Roman" w:hAnsi="Times New Roman" w:cs="Times New Roman"/>
                <w:b/>
                <w:sz w:val="18"/>
                <w:szCs w:val="18"/>
              </w:rPr>
              <w:t>劳拉替尼、</w:t>
            </w:r>
            <w:r>
              <w:rPr>
                <w:rFonts w:hint="eastAsia" w:ascii="Times New Roman" w:hAnsi="Times New Roman" w:cs="Times New Roman"/>
                <w:b/>
                <w:sz w:val="18"/>
                <w:szCs w:val="18"/>
              </w:rPr>
              <w:t>恩沙替尼</w:t>
            </w:r>
            <w:r>
              <w:rPr>
                <w:rFonts w:ascii="Times New Roman" w:hAnsi="Times New Roman" w:cs="Times New Roman"/>
                <w:b/>
                <w:sz w:val="18"/>
                <w:szCs w:val="18"/>
              </w:rPr>
              <w:t>*</w:t>
            </w:r>
          </w:p>
        </w:tc>
      </w:tr>
      <w:tr w14:paraId="5DBE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4D054F7">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57586AB6">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6029FEE">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color w:val="000000"/>
                <w:sz w:val="18"/>
                <w:szCs w:val="18"/>
              </w:rPr>
              <w:t>F</w:t>
            </w:r>
            <w:r>
              <w:rPr>
                <w:rFonts w:ascii="Times New Roman" w:hAnsi="Times New Roman" w:cs="Times New Roman"/>
                <w:color w:val="000000"/>
                <w:sz w:val="18"/>
                <w:szCs w:val="18"/>
              </w:rPr>
              <w:t>DA</w:t>
            </w:r>
            <w:r>
              <w:rPr>
                <w:rFonts w:hint="eastAsia" w:ascii="Times New Roman" w:hAnsi="Times New Roman" w:cs="Times New Roman"/>
                <w:color w:val="000000"/>
                <w:sz w:val="18"/>
                <w:szCs w:val="18"/>
              </w:rPr>
              <w:t>批准克唑替尼、塞瑞替尼、阿来替尼、劳拉替尼和布吉他滨用于A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阳性非小细胞肺癌患者的治疗。N</w:t>
            </w:r>
            <w:r>
              <w:rPr>
                <w:rFonts w:ascii="Times New Roman" w:hAnsi="Times New Roman" w:cs="Times New Roman"/>
                <w:color w:val="000000"/>
                <w:sz w:val="18"/>
                <w:szCs w:val="18"/>
              </w:rPr>
              <w:t>MPA</w:t>
            </w:r>
            <w:r>
              <w:rPr>
                <w:rFonts w:hint="eastAsia" w:ascii="Times New Roman" w:hAnsi="Times New Roman" w:cs="Times New Roman"/>
                <w:color w:val="000000"/>
                <w:sz w:val="18"/>
                <w:szCs w:val="18"/>
              </w:rPr>
              <w:t>批准恩沙替尼用于克唑替尼治疗后进展或克唑替尼不耐受的A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阳性非小细胞肺癌患者；批准克唑替尼、阿来替尼和塞瑞替尼用于A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阳性非小细胞肺癌患者的治疗；批准塞瑞替尼用于A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阳性非小细胞肺癌患者的一线治疗或者克唑替尼治疗后进展或克唑替尼不耐受的A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阳性非小细胞肺癌患者的二线治疗。在非小细胞肺癌中，</w:t>
            </w:r>
            <w:r>
              <w:rPr>
                <w:rFonts w:ascii="Times New Roman" w:hAnsi="Times New Roman" w:cs="Times New Roman"/>
                <w:color w:val="000000"/>
                <w:sz w:val="18"/>
                <w:szCs w:val="18"/>
              </w:rPr>
              <w:t>ALK融合对ALK TKIs药物克唑替尼[PMID: 25470694]、塞瑞替尼[PMID: 28126333]、阿来替尼[PMID: 28586279]、布吉他滨[PMID: 30280657]、劳拉替尼[PMID: 33207094]、恩沙替尼敏感[PMID: 29563138]；对EGFR TKIs药物埃克替尼、厄洛替尼、吉非替尼、阿法替尼、奥希替尼、达可替尼产生耐药性[PMID: 19667264]；ALK酪氨酸激酶结构域关键位点（包含1151Tins、L1152R、C1156Y</w:t>
            </w:r>
            <w:r>
              <w:rPr>
                <w:rFonts w:hint="eastAsia" w:ascii="Times New Roman" w:hAnsi="Times New Roman" w:cs="Times New Roman"/>
                <w:color w:val="000000"/>
                <w:sz w:val="18"/>
                <w:szCs w:val="18"/>
              </w:rPr>
              <w:t>、</w:t>
            </w:r>
            <w:r>
              <w:rPr>
                <w:rFonts w:ascii="Times New Roman" w:hAnsi="Times New Roman" w:cs="Times New Roman"/>
                <w:color w:val="000000"/>
                <w:sz w:val="18"/>
                <w:szCs w:val="18"/>
              </w:rPr>
              <w:t>F1174L、L1196M、G1202R、S1206Y、G1269A、F1174V、F1245C）发生突变会导致对一代ALK抑制剂克唑替尼产生耐药性[PMID: 22277784]，L1196M、G1269A、I1171T、S1206Y位点突变对二代ALK抑制剂塞瑞替尼敏感[PMID: 24675041]，L1196M、G1269A、C1156Y、F1174L、1151Tins、L1152R位点突变对二代ALK抑制剂阿来替尼敏感[PMID: 26579422]。ALK拷贝数变异还与结直肠癌的发生及预后有关[PMID: 24129244]。</w:t>
            </w:r>
          </w:p>
        </w:tc>
      </w:tr>
    </w:tbl>
    <w:p w14:paraId="6CD56C43">
      <w:pPr>
        <w:spacing w:line="276" w:lineRule="auto"/>
        <w:rPr>
          <w:rFonts w:ascii="Times New Roman" w:hAnsi="Times New Roman" w:cs="Times New Roman"/>
        </w:rPr>
      </w:pPr>
    </w:p>
    <w:p w14:paraId="52A737C8">
      <w:pPr>
        <w:spacing w:line="276" w:lineRule="auto"/>
        <w:rPr>
          <w:rFonts w:ascii="Times New Roman" w:hAnsi="Times New Roman" w:cs="Times New Roman"/>
          <w:u w:val="thick" w:color="2DB8B5"/>
        </w:rPr>
      </w:pPr>
    </w:p>
    <w:p w14:paraId="7413CDCB">
      <w:pPr>
        <w:spacing w:line="276" w:lineRule="auto"/>
        <w:rPr>
          <w:rFonts w:ascii="Times New Roman" w:hAnsi="Times New Roman" w:cs="Times New Roman"/>
          <w:b/>
        </w:rPr>
      </w:pPr>
      <w:r>
        <w:rPr>
          <w:rFonts w:hint="eastAsia" w:ascii="Times New Roman" w:hAnsi="Times New Roman" w:cs="Times New Roman"/>
          <w:b/>
          <w:u w:val="thick" w:color="1F3864"/>
        </w:rPr>
        <w:t xml:space="preserve">EGFR          </w:t>
      </w:r>
      <w:r>
        <w:rPr>
          <w:rFonts w:ascii="Times New Roman" w:hAnsi="Times New Roman" w:cs="Times New Roman"/>
          <w:b/>
          <w:u w:val="thick" w:color="1F3864"/>
        </w:rPr>
        <w:t xml:space="preserve">                                                                                                                                                          </w:t>
      </w:r>
      <w:r>
        <w:rPr>
          <w:rFonts w:ascii="Times New Roman" w:hAnsi="Times New Roman" w:cs="Times New Roman"/>
          <w:b/>
        </w:rPr>
        <w:t xml:space="preserve">       </w:t>
      </w:r>
    </w:p>
    <w:p w14:paraId="36CAD24B">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2"/>
        <w:gridCol w:w="6627"/>
      </w:tblGrid>
      <w:tr w14:paraId="2A9D5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980"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DF2504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73FF77A1">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EGFR基因位于7p11，是原癌基因c-erbB1的表达产物，表皮生长因子受体（HER）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异常增殖、分化以及血管增生，并能抑制肿瘤细胞的凋亡。数据显示，EGFR突变占西方NSCLC的10-20%，这一比例在东亚、女性、无吸烟史的肺腺癌患者中尤其高，中国肺腺癌患者EGFR突变率高达50%，EGFR热点突变集中于激酶结构域18~21号外显子，与EGFR相关的疾病还包括头颈部实体瘤、鳞状细胞癌、结直肠癌、鼻咽癌等。</w:t>
            </w:r>
          </w:p>
        </w:tc>
      </w:tr>
      <w:tr w14:paraId="3DCBDD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9"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21E23A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094BD8E1">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厄洛替尼*</w:t>
            </w:r>
            <w:r>
              <w:rPr>
                <w:rFonts w:ascii="Times New Roman" w:hAnsi="Times New Roman" w:cs="Times New Roman"/>
                <w:sz w:val="18"/>
                <w:szCs w:val="18"/>
              </w:rPr>
              <w:t>、</w:t>
            </w:r>
            <w:r>
              <w:rPr>
                <w:rFonts w:ascii="Times New Roman" w:hAnsi="Times New Roman" w:cs="Times New Roman"/>
                <w:b/>
                <w:sz w:val="18"/>
                <w:szCs w:val="18"/>
              </w:rPr>
              <w:t>吉非替尼*</w:t>
            </w:r>
            <w:r>
              <w:rPr>
                <w:rFonts w:ascii="Times New Roman" w:hAnsi="Times New Roman" w:cs="Times New Roman"/>
                <w:sz w:val="18"/>
                <w:szCs w:val="18"/>
              </w:rPr>
              <w:t>、</w:t>
            </w:r>
            <w:r>
              <w:rPr>
                <w:rFonts w:ascii="Times New Roman" w:hAnsi="Times New Roman" w:cs="Times New Roman"/>
                <w:b/>
                <w:sz w:val="18"/>
                <w:szCs w:val="18"/>
              </w:rPr>
              <w:t>阿法替尼*</w:t>
            </w:r>
            <w:r>
              <w:rPr>
                <w:rFonts w:ascii="Times New Roman" w:hAnsi="Times New Roman" w:cs="Times New Roman"/>
                <w:sz w:val="18"/>
                <w:szCs w:val="18"/>
              </w:rPr>
              <w:t>、</w:t>
            </w:r>
            <w:r>
              <w:rPr>
                <w:rFonts w:ascii="Times New Roman" w:hAnsi="Times New Roman" w:cs="Times New Roman"/>
                <w:b/>
                <w:sz w:val="18"/>
                <w:szCs w:val="18"/>
              </w:rPr>
              <w:t>达可替尼*</w:t>
            </w:r>
            <w:r>
              <w:rPr>
                <w:rFonts w:ascii="Times New Roman" w:hAnsi="Times New Roman" w:cs="Times New Roman"/>
                <w:sz w:val="18"/>
                <w:szCs w:val="18"/>
              </w:rPr>
              <w:t>、</w:t>
            </w:r>
            <w:r>
              <w:rPr>
                <w:rFonts w:ascii="Times New Roman" w:hAnsi="Times New Roman" w:cs="Times New Roman"/>
                <w:b/>
                <w:sz w:val="18"/>
                <w:szCs w:val="18"/>
              </w:rPr>
              <w:t>奥希替尼*</w:t>
            </w:r>
            <w:r>
              <w:rPr>
                <w:rFonts w:ascii="Times New Roman" w:hAnsi="Times New Roman" w:cs="Times New Roman"/>
                <w:sz w:val="18"/>
                <w:szCs w:val="18"/>
              </w:rPr>
              <w:t>、</w:t>
            </w:r>
            <w:r>
              <w:rPr>
                <w:rFonts w:ascii="Times New Roman" w:hAnsi="Times New Roman" w:cs="Times New Roman"/>
                <w:b/>
                <w:sz w:val="18"/>
                <w:szCs w:val="18"/>
              </w:rPr>
              <w:t>埃克替尼*、阿美替尼*、西妥昔单抗*、帕尼单抗、</w:t>
            </w:r>
            <w:r>
              <w:rPr>
                <w:rFonts w:hint="eastAsia" w:ascii="Times New Roman" w:hAnsi="Times New Roman" w:cs="Times New Roman"/>
                <w:b/>
                <w:sz w:val="18"/>
                <w:szCs w:val="18"/>
              </w:rPr>
              <w:t>伏美替尼</w:t>
            </w:r>
            <w:r>
              <w:rPr>
                <w:rFonts w:ascii="Times New Roman" w:hAnsi="Times New Roman" w:cs="Times New Roman"/>
                <w:b/>
                <w:sz w:val="18"/>
                <w:szCs w:val="18"/>
              </w:rPr>
              <w:t>*</w:t>
            </w:r>
            <w:r>
              <w:rPr>
                <w:rFonts w:hint="eastAsia" w:ascii="Times New Roman" w:hAnsi="Times New Roman" w:cs="Times New Roman"/>
                <w:b/>
                <w:sz w:val="18"/>
                <w:szCs w:val="18"/>
              </w:rPr>
              <w:t>、奈西单抗</w:t>
            </w:r>
            <w:r>
              <w:rPr>
                <w:rFonts w:ascii="Times New Roman" w:hAnsi="Times New Roman" w:cs="Times New Roman"/>
                <w:b/>
                <w:sz w:val="18"/>
                <w:szCs w:val="18"/>
              </w:rPr>
              <w:t>+吉西他滨+顺铂</w:t>
            </w:r>
            <w:r>
              <w:rPr>
                <w:rFonts w:hint="eastAsia" w:ascii="Times New Roman" w:hAnsi="Times New Roman" w:cs="Times New Roman"/>
                <w:b/>
                <w:sz w:val="18"/>
                <w:szCs w:val="18"/>
              </w:rPr>
              <w:t>、厄洛替尼</w:t>
            </w:r>
            <w:r>
              <w:rPr>
                <w:rFonts w:ascii="Times New Roman" w:hAnsi="Times New Roman" w:cs="Times New Roman"/>
                <w:b/>
                <w:sz w:val="18"/>
                <w:szCs w:val="18"/>
              </w:rPr>
              <w:t>+雷莫芦单抗</w:t>
            </w:r>
            <w:r>
              <w:rPr>
                <w:rFonts w:hint="eastAsia" w:ascii="Times New Roman" w:hAnsi="Times New Roman" w:cs="Times New Roman"/>
                <w:b/>
                <w:sz w:val="18"/>
                <w:szCs w:val="18"/>
              </w:rPr>
              <w:t>、</w:t>
            </w:r>
            <w:r>
              <w:rPr>
                <w:rFonts w:hint="eastAsia" w:ascii="Times New Roman" w:hAnsi="Times New Roman" w:cs="Times New Roman"/>
                <w:sz w:val="18"/>
                <w:szCs w:val="18"/>
              </w:rPr>
              <w:t>厄洛替尼</w:t>
            </w:r>
            <w:r>
              <w:rPr>
                <w:rFonts w:ascii="Times New Roman" w:hAnsi="Times New Roman" w:cs="Times New Roman"/>
                <w:sz w:val="18"/>
                <w:szCs w:val="18"/>
              </w:rPr>
              <w:t>+贝伐珠单抗</w:t>
            </w:r>
            <w:r>
              <w:rPr>
                <w:rFonts w:hint="eastAsia" w:ascii="Times New Roman" w:hAnsi="Times New Roman" w:cs="Times New Roman"/>
                <w:sz w:val="18"/>
                <w:szCs w:val="18"/>
              </w:rPr>
              <w:t>、</w:t>
            </w:r>
            <w:r>
              <w:rPr>
                <w:rFonts w:ascii="Times New Roman" w:hAnsi="Times New Roman" w:cs="Times New Roman"/>
                <w:sz w:val="18"/>
                <w:szCs w:val="18"/>
              </w:rPr>
              <w:t>凡德他尼+多西他赛</w:t>
            </w:r>
            <w:r>
              <w:rPr>
                <w:rFonts w:hint="eastAsia" w:ascii="Times New Roman" w:hAnsi="Times New Roman" w:cs="Times New Roman"/>
                <w:sz w:val="18"/>
                <w:szCs w:val="18"/>
              </w:rPr>
              <w:t>、</w:t>
            </w:r>
            <w:r>
              <w:rPr>
                <w:rFonts w:ascii="Times New Roman" w:hAnsi="Times New Roman" w:cs="Times New Roman"/>
                <w:sz w:val="18"/>
                <w:szCs w:val="18"/>
              </w:rPr>
              <w:t>Poziotinib</w:t>
            </w:r>
          </w:p>
        </w:tc>
      </w:tr>
      <w:tr w14:paraId="3450A2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64"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0F290F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4B176C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27279374">
            <w:pPr>
              <w:widowControl/>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EGFR 基因是非小细胞肺癌</w:t>
            </w:r>
            <w:r>
              <w:rPr>
                <w:rFonts w:hint="eastAsia" w:ascii="Times New Roman" w:hAnsi="Times New Roman" w:cs="Times New Roman"/>
                <w:sz w:val="18"/>
                <w:szCs w:val="18"/>
              </w:rPr>
              <w:t>（</w:t>
            </w:r>
            <w:r>
              <w:rPr>
                <w:rFonts w:ascii="Times New Roman" w:hAnsi="Times New Roman" w:cs="Times New Roman"/>
                <w:sz w:val="18"/>
                <w:szCs w:val="18"/>
              </w:rPr>
              <w:t>NSCLC</w:t>
            </w:r>
            <w:r>
              <w:rPr>
                <w:rFonts w:hint="eastAsia" w:ascii="Times New Roman" w:hAnsi="Times New Roman" w:cs="Times New Roman"/>
                <w:sz w:val="18"/>
                <w:szCs w:val="18"/>
              </w:rPr>
              <w:t>）</w:t>
            </w:r>
            <w:r>
              <w:rPr>
                <w:rFonts w:ascii="Times New Roman" w:hAnsi="Times New Roman" w:cs="Times New Roman"/>
                <w:sz w:val="18"/>
                <w:szCs w:val="18"/>
              </w:rPr>
              <w:t>中最常见的驱动基因之一。EGFR基因中exon19 del，exon19 ins，exon21（L858R，L861Q），exon 18（G719X），exon20（S768I） 的突变与EGFR TKI [ PMID: 16531062]</w:t>
            </w:r>
            <w:r>
              <w:rPr>
                <w:rFonts w:hint="eastAsia" w:ascii="Times New Roman" w:hAnsi="Times New Roman" w:cs="Times New Roman"/>
                <w:sz w:val="18"/>
                <w:szCs w:val="18"/>
              </w:rPr>
              <w:t>、</w:t>
            </w:r>
            <w:r>
              <w:rPr>
                <w:rFonts w:ascii="Times New Roman" w:hAnsi="Times New Roman" w:cs="Times New Roman"/>
                <w:sz w:val="18"/>
                <w:szCs w:val="18"/>
              </w:rPr>
              <w:t>厄洛替尼+雷莫芦单抗[PMID: 31591063]的敏感性相关。EGFR exon20的插入突变通常与EGFR TKI的耐药预后相关[PMID: 19418618; PMID: 16299703]。研究发现，EGFR TKI 的原发耐药通常与KRAS 的突变相关；获得性耐药通常与EGFR 基因的次</w:t>
            </w:r>
            <w:r>
              <w:rPr>
                <w:rFonts w:hint="eastAsia" w:ascii="Times New Roman" w:hAnsi="Times New Roman" w:cs="Times New Roman"/>
                <w:sz w:val="18"/>
                <w:szCs w:val="18"/>
              </w:rPr>
              <w:t>级</w:t>
            </w:r>
            <w:r>
              <w:rPr>
                <w:rFonts w:ascii="Times New Roman" w:hAnsi="Times New Roman" w:cs="Times New Roman"/>
                <w:sz w:val="18"/>
                <w:szCs w:val="18"/>
              </w:rPr>
              <w:t>突变（如T790M）、旁路激酶的扩增（如MET 基因）、从非小细胞肺癌向小细胞肺癌的组织学转变以及上皮细胞-间充质转化（EMT）相关。</w:t>
            </w:r>
            <w:r>
              <w:rPr>
                <w:rFonts w:hint="eastAsia" w:ascii="Times New Roman" w:hAnsi="Times New Roman" w:cs="Times New Roman"/>
                <w:sz w:val="18"/>
                <w:szCs w:val="18"/>
              </w:rPr>
              <w:t>在非小细胞肺癌中，</w:t>
            </w:r>
            <w:r>
              <w:rPr>
                <w:rFonts w:ascii="Times New Roman" w:hAnsi="Times New Roman" w:cs="Times New Roman"/>
                <w:sz w:val="18"/>
                <w:szCs w:val="18"/>
              </w:rPr>
              <w:t>EGFR T790M对EGFR TKIs产生耐药性，但EGFR T790M对EGFR TKIs（奥希替尼[PMID: 29151359]、阿美替尼[PMID: 32916310]、伏美替尼[J Clin Oncol. 2020; 38(suppl 15): abstr 9602]）</w:t>
            </w:r>
            <w:r>
              <w:rPr>
                <w:rFonts w:hint="eastAsia" w:ascii="Times New Roman" w:hAnsi="Times New Roman" w:cs="Times New Roman"/>
                <w:sz w:val="18"/>
                <w:szCs w:val="18"/>
              </w:rPr>
              <w:t>敏感，携带</w:t>
            </w:r>
            <w:r>
              <w:rPr>
                <w:rFonts w:ascii="Times New Roman" w:hAnsi="Times New Roman" w:cs="Times New Roman"/>
                <w:sz w:val="18"/>
                <w:szCs w:val="18"/>
              </w:rPr>
              <w:t>EGFR 20号外显子插入突变的患者对Poziotinib敏感[PMID: 29686424; PMID: 29162564]，EGFR扩增的患者对凡德他尼+多西他赛[PMID: 25057173]敏感；在非鳞非小细胞肺癌中，EGFR敏感突变对厄洛替尼+贝伐珠单抗敏感[PMID: 30975627]</w:t>
            </w:r>
            <w:r>
              <w:rPr>
                <w:rFonts w:hint="eastAsia" w:ascii="Times New Roman" w:hAnsi="Times New Roman" w:cs="Times New Roman"/>
                <w:sz w:val="18"/>
                <w:szCs w:val="18"/>
              </w:rPr>
              <w:t>。</w:t>
            </w:r>
            <w:r>
              <w:rPr>
                <w:rFonts w:ascii="Times New Roman" w:hAnsi="Times New Roman" w:cs="Times New Roman"/>
                <w:sz w:val="18"/>
                <w:szCs w:val="18"/>
              </w:rPr>
              <w:t>在肺鳞癌中，EGFR扩增的患者对奈西单抗+吉西他滨+顺铂敏感[PMID: 29158193]。在结肠癌中，EGFR扩增与抗EGFR抗体如西妥昔单抗的疗效正相关，而部分EGFR突变特别是胞外域点突变与抗 EGFR 抗体如西妥昔单抗耐药相关。FDA批准西妥昔单抗用于KRAS突变阴性（野生型），EGFR表达阳性的转移性结直肠癌患者；NMPA批准西妥昔单抗单药用于表皮生长因子受体过度表达的，对以伊立替康为基础的化疗方案耐药的转移性结直肠癌的治疗。在结直肠癌中，EGFR扩增的患者对帕尼单抗敏感[PMID: 17664472]</w:t>
            </w:r>
            <w:r>
              <w:rPr>
                <w:rFonts w:hint="eastAsia" w:ascii="Times New Roman" w:hAnsi="Times New Roman" w:cs="Times New Roman"/>
                <w:sz w:val="18"/>
                <w:szCs w:val="18"/>
              </w:rPr>
              <w:t>。</w:t>
            </w:r>
            <w:r>
              <w:rPr>
                <w:rFonts w:ascii="Times New Roman" w:hAnsi="Times New Roman" w:cs="Times New Roman"/>
                <w:sz w:val="18"/>
                <w:szCs w:val="18"/>
              </w:rPr>
              <w:t>另外，凡德他尼是一种多靶点（EGFR, RET, VEGFR2 等）激酶抑制剂；尼妥珠单抗、西妥昔单抗等EGFR 的单克隆抗体[ PMID: 24493829</w:t>
            </w:r>
            <w:r>
              <w:rPr>
                <w:rFonts w:hint="eastAsia" w:ascii="Times New Roman" w:hAnsi="Times New Roman" w:cs="Times New Roman"/>
                <w:sz w:val="18"/>
                <w:szCs w:val="18"/>
              </w:rPr>
              <w:t>; PMID: 23359171; PMID: 22215752; PMID: 22588155</w:t>
            </w:r>
            <w:r>
              <w:rPr>
                <w:rFonts w:ascii="Times New Roman" w:hAnsi="Times New Roman" w:cs="Times New Roman"/>
                <w:sz w:val="18"/>
                <w:szCs w:val="18"/>
              </w:rPr>
              <w:t>]，联合其他靶向药、单抗以及化疗药用于肺癌的治疗的临床试验正在开展。</w:t>
            </w:r>
          </w:p>
        </w:tc>
      </w:tr>
    </w:tbl>
    <w:p w14:paraId="1466CA69">
      <w:pPr>
        <w:spacing w:line="276" w:lineRule="auto"/>
        <w:rPr>
          <w:rFonts w:ascii="Times New Roman" w:hAnsi="Times New Roman" w:cs="Times New Roman"/>
          <w:u w:val="thick" w:color="2DB8B5"/>
        </w:rPr>
      </w:pPr>
    </w:p>
    <w:p w14:paraId="466FDC43">
      <w:pPr>
        <w:spacing w:line="276" w:lineRule="auto"/>
        <w:rPr>
          <w:rFonts w:ascii="Times New Roman" w:hAnsi="Times New Roman" w:cs="Times New Roman"/>
          <w:u w:val="thick" w:color="2DB8B5"/>
        </w:rPr>
      </w:pPr>
    </w:p>
    <w:p w14:paraId="4C61C012">
      <w:pPr>
        <w:spacing w:line="276" w:lineRule="auto"/>
        <w:rPr>
          <w:rFonts w:ascii="Times New Roman" w:hAnsi="Times New Roman" w:cs="Times New Roman"/>
          <w:b/>
          <w:u w:val="thick" w:color="538135"/>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KRAS </w:t>
      </w:r>
      <w:r>
        <w:rPr>
          <w:rFonts w:ascii="Times New Roman" w:hAnsi="Times New Roman" w:cs="Times New Roman"/>
          <w:b/>
          <w:u w:val="thick" w:color="1F3864"/>
        </w:rPr>
        <w:t xml:space="preserve">                                                                                                                                                         </w:t>
      </w:r>
      <w:r>
        <w:rPr>
          <w:rFonts w:ascii="Times New Roman" w:hAnsi="Times New Roman" w:cs="Times New Roman"/>
          <w:b/>
          <w:sz w:val="24"/>
          <w:u w:val="thick" w:color="538135"/>
        </w:rPr>
        <w:t xml:space="preserve">              </w:t>
      </w:r>
    </w:p>
    <w:p w14:paraId="5D124230">
      <w:pPr>
        <w:spacing w:line="276" w:lineRule="auto"/>
        <w:rPr>
          <w:rFonts w:ascii="Times New Roman" w:hAnsi="Times New Roman" w:cs="Times New Roman"/>
          <w:b/>
          <w:u w:val="single" w:color="2DB8B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29CE5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0820880">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78CE0E8">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sz w:val="18"/>
                <w:szCs w:val="18"/>
              </w:rPr>
              <w:t>KRAS基因位于12p12，是一种原癌基因，编码K-Ras蛋白质，它是信号传导通路中EGFR下游的关键调节因子，发生突变后导致自身的持续活化，进而持续激活下游Ras/Raf/MEK/ERK和PI3K/Akt信号通路。因此KRAS突变后将不受上游EGFR信号的调控，使EGFR靶向药物无效。KRAS突变常发生在密码子12, 13, 61, 117和146。在人类恶性肿瘤中KRAS基因是最常见的突变基因，在胰腺癌、结直肠癌和肺癌中突变频率很高，约6.7%的亚洲肺癌患者有KRAS基因突变。NCCN 指南指出，K</w:t>
            </w:r>
            <w:r>
              <w:rPr>
                <w:rFonts w:ascii="Times New Roman" w:hAnsi="Times New Roman" w:cs="Times New Roman"/>
                <w:sz w:val="18"/>
                <w:szCs w:val="18"/>
              </w:rPr>
              <w:t>RAS</w:t>
            </w:r>
            <w:r>
              <w:rPr>
                <w:rFonts w:hint="eastAsia" w:ascii="Times New Roman" w:hAnsi="Times New Roman" w:cs="Times New Roman"/>
                <w:sz w:val="18"/>
                <w:szCs w:val="18"/>
              </w:rPr>
              <w:t>突变更容易出现在非亚裔、吸烟、和粘液型肺腺癌患者中[PMID:19767090</w:t>
            </w:r>
            <w:r>
              <w:rPr>
                <w:rFonts w:ascii="Times New Roman" w:hAnsi="Times New Roman" w:cs="Times New Roman"/>
                <w:sz w:val="18"/>
                <w:szCs w:val="18"/>
              </w:rPr>
              <w:t xml:space="preserve">; </w:t>
            </w:r>
            <w:r>
              <w:rPr>
                <w:rFonts w:hint="eastAsia" w:ascii="Times New Roman" w:hAnsi="Times New Roman" w:cs="Times New Roman"/>
                <w:sz w:val="18"/>
                <w:szCs w:val="18"/>
              </w:rPr>
              <w:t>PMID:</w:t>
            </w:r>
            <w:r>
              <w:rPr>
                <w:rFonts w:ascii="Times New Roman" w:hAnsi="Times New Roman" w:cs="Times New Roman"/>
                <w:sz w:val="18"/>
                <w:szCs w:val="18"/>
              </w:rPr>
              <w:t xml:space="preserve"> </w:t>
            </w:r>
            <w:r>
              <w:rPr>
                <w:rFonts w:hint="eastAsia" w:ascii="Times New Roman" w:hAnsi="Times New Roman" w:cs="Times New Roman"/>
                <w:sz w:val="18"/>
                <w:szCs w:val="18"/>
              </w:rPr>
              <w:t>2072410]。在结直肠癌中KRAS突变频率约为36-40%。</w:t>
            </w:r>
          </w:p>
        </w:tc>
      </w:tr>
      <w:tr w14:paraId="380A38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82D46B5">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BFE5B88">
            <w:pPr>
              <w:widowControl/>
              <w:spacing w:before="100" w:beforeAutospacing="1" w:line="273" w:lineRule="auto"/>
              <w:rPr>
                <w:rFonts w:ascii="Times New Roman" w:hAnsi="Times New Roman" w:cs="Times New Roman"/>
                <w:sz w:val="18"/>
                <w:szCs w:val="18"/>
              </w:rPr>
            </w:pPr>
            <w:r>
              <w:rPr>
                <w:rFonts w:ascii="Times New Roman" w:hAnsi="Times New Roman" w:cs="Times New Roman"/>
                <w:b/>
                <w:sz w:val="18"/>
                <w:szCs w:val="18"/>
              </w:rPr>
              <w:t>Sotorasib</w:t>
            </w:r>
            <w:r>
              <w:rPr>
                <w:rFonts w:hint="eastAsia" w:ascii="Times New Roman" w:hAnsi="Times New Roman" w:cs="Times New Roman"/>
                <w:b/>
                <w:sz w:val="18"/>
                <w:szCs w:val="18"/>
              </w:rPr>
              <w:t>、</w:t>
            </w:r>
            <w:r>
              <w:rPr>
                <w:rFonts w:ascii="Times New Roman" w:hAnsi="Times New Roman" w:cs="Times New Roman"/>
                <w:sz w:val="18"/>
                <w:szCs w:val="18"/>
              </w:rPr>
              <w:t>Adagrasib</w:t>
            </w:r>
            <w:r>
              <w:rPr>
                <w:rFonts w:hint="eastAsia" w:ascii="Times New Roman" w:hAnsi="Times New Roman" w:cs="Times New Roman"/>
                <w:sz w:val="18"/>
                <w:szCs w:val="18"/>
              </w:rPr>
              <w:t>、</w:t>
            </w:r>
            <w:r>
              <w:rPr>
                <w:rFonts w:ascii="Times New Roman" w:hAnsi="Times New Roman" w:cs="Times New Roman"/>
                <w:sz w:val="18"/>
                <w:szCs w:val="18"/>
              </w:rPr>
              <w:t>Defactinib + RO5126766</w:t>
            </w:r>
            <w:r>
              <w:rPr>
                <w:rFonts w:hint="eastAsia" w:ascii="Times New Roman" w:hAnsi="Times New Roman" w:cs="Times New Roman"/>
                <w:sz w:val="18"/>
                <w:szCs w:val="18"/>
              </w:rPr>
              <w:t>、吉非替尼+依维莫司、Belvarafenib</w:t>
            </w:r>
          </w:p>
        </w:tc>
      </w:tr>
      <w:tr w14:paraId="44F84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B2E82D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425D90EC">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A8D9776">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在结直肠癌患者中，KRAS发生突变将会对西妥昔单抗、帕尼替尼产生耐药。因此NCCN 指南建议，所有转移性结直肠癌患者都该进行肿瘤组织RAS基因（KARS、NRAS）分型，RAS突变状态是EGFR/ERBB2抑制剂疗效的负向预测因素。</w:t>
            </w:r>
            <w:r>
              <w:rPr>
                <w:rFonts w:hint="eastAsia" w:ascii="Times New Roman" w:hAnsi="Times New Roman" w:cs="Times New Roman"/>
                <w:sz w:val="18"/>
                <w:szCs w:val="18"/>
              </w:rPr>
              <w:t>结直肠癌中，</w:t>
            </w:r>
            <w:r>
              <w:rPr>
                <w:rFonts w:ascii="Times New Roman" w:hAnsi="Times New Roman" w:cs="Times New Roman"/>
                <w:sz w:val="18"/>
                <w:szCs w:val="18"/>
              </w:rPr>
              <w:t>KRAS野生型对EGFR抗体类药物西妥昔单抗和帕尼单抗敏感[PMID: 18202412; PMID: 18316791]，12、13、61密码子突变导致KRAS信号通路持续激活，可能无法从EGFR抗体类药物获益</w:t>
            </w:r>
            <w:r>
              <w:rPr>
                <w:rFonts w:hint="eastAsia" w:ascii="Times New Roman" w:hAnsi="Times New Roman" w:cs="Times New Roman"/>
                <w:sz w:val="18"/>
                <w:szCs w:val="18"/>
              </w:rPr>
              <w:t>。</w:t>
            </w:r>
            <w:r>
              <w:rPr>
                <w:rFonts w:ascii="Times New Roman" w:hAnsi="Times New Roman" w:cs="Times New Roman"/>
                <w:sz w:val="18"/>
                <w:szCs w:val="18"/>
              </w:rPr>
              <w:t>肺癌中，12、13、61密码子突变对EGFR TKI（吉非替尼、厄洛替尼、埃克替尼、阿法替尼</w:t>
            </w:r>
            <w:r>
              <w:rPr>
                <w:rFonts w:hint="eastAsia" w:ascii="Times New Roman" w:hAnsi="Times New Roman" w:cs="Times New Roman"/>
                <w:sz w:val="18"/>
                <w:szCs w:val="18"/>
              </w:rPr>
              <w:t>、奥希替尼</w:t>
            </w:r>
            <w:r>
              <w:rPr>
                <w:rFonts w:ascii="Times New Roman" w:hAnsi="Times New Roman" w:cs="Times New Roman"/>
                <w:sz w:val="18"/>
                <w:szCs w:val="18"/>
              </w:rPr>
              <w:t>等）的敏感性降低[PMID: 18349398; PMID: 23401440; PMID: 18024870]</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Sotorasib</w:t>
            </w:r>
            <w:r>
              <w:rPr>
                <w:rFonts w:hint="eastAsia" w:ascii="Times New Roman" w:hAnsi="Times New Roman" w:cs="Times New Roman"/>
                <w:sz w:val="18"/>
                <w:szCs w:val="18"/>
              </w:rPr>
              <w:t>用于K</w:t>
            </w:r>
            <w:r>
              <w:rPr>
                <w:rFonts w:ascii="Times New Roman" w:hAnsi="Times New Roman" w:cs="Times New Roman"/>
                <w:sz w:val="18"/>
                <w:szCs w:val="18"/>
              </w:rPr>
              <w:t>RAS G12C</w:t>
            </w:r>
            <w:r>
              <w:rPr>
                <w:rFonts w:hint="eastAsia" w:ascii="Times New Roman" w:hAnsi="Times New Roman" w:cs="Times New Roman"/>
                <w:sz w:val="18"/>
                <w:szCs w:val="18"/>
              </w:rPr>
              <w:t>突变的至少接受过一种前期全身性治疗的非小细胞肺癌患者的二线治疗。在非小细胞肺癌中，K</w:t>
            </w:r>
            <w:r>
              <w:rPr>
                <w:rFonts w:ascii="Times New Roman" w:hAnsi="Times New Roman" w:cs="Times New Roman"/>
                <w:sz w:val="18"/>
                <w:szCs w:val="18"/>
              </w:rPr>
              <w:t>RAS G12V</w:t>
            </w:r>
            <w:r>
              <w:rPr>
                <w:rFonts w:hint="eastAsia" w:ascii="Times New Roman" w:hAnsi="Times New Roman" w:cs="Times New Roman"/>
                <w:sz w:val="18"/>
                <w:szCs w:val="18"/>
              </w:rPr>
              <w:t>对</w:t>
            </w:r>
            <w:r>
              <w:rPr>
                <w:rFonts w:ascii="Times New Roman" w:hAnsi="Times New Roman" w:cs="Times New Roman"/>
                <w:sz w:val="18"/>
                <w:szCs w:val="18"/>
              </w:rPr>
              <w:t>Defactinib+RO5126766</w:t>
            </w:r>
            <w:r>
              <w:rPr>
                <w:rFonts w:hint="eastAsia" w:ascii="Times New Roman" w:hAnsi="Times New Roman" w:cs="Times New Roman"/>
                <w:sz w:val="18"/>
                <w:szCs w:val="18"/>
              </w:rPr>
              <w:t>敏感</w:t>
            </w:r>
            <w:r>
              <w:rPr>
                <w:rFonts w:ascii="Times New Roman" w:hAnsi="Times New Roman" w:cs="Times New Roman"/>
                <w:sz w:val="18"/>
                <w:szCs w:val="18"/>
              </w:rPr>
              <w:t>[AACR 2020]</w:t>
            </w:r>
            <w:r>
              <w:rPr>
                <w:rFonts w:hint="eastAsia" w:ascii="Times New Roman" w:hAnsi="Times New Roman" w:cs="Times New Roman"/>
                <w:sz w:val="18"/>
                <w:szCs w:val="18"/>
              </w:rPr>
              <w:t>。</w:t>
            </w:r>
            <w:r>
              <w:rPr>
                <w:rFonts w:ascii="Times New Roman" w:hAnsi="Times New Roman" w:cs="Times New Roman"/>
                <w:sz w:val="18"/>
                <w:szCs w:val="18"/>
              </w:rPr>
              <w:t>13%的非小细胞肺癌（NSCLC）患者在接受吉非替尼联合依维莫司治疗后部分缓解，其中2例携带KRAS G12F突变患者有响应[PMID: 20871262]。临床试验表明抑制剂Sotorasib、Adagrasib对KRAS G12C突变的非小细胞肺癌患者有明显的治疗效果，目前还有Belvarafenib</w:t>
            </w:r>
            <w:r>
              <w:rPr>
                <w:rFonts w:hint="eastAsia" w:ascii="Times New Roman" w:hAnsi="Times New Roman" w:cs="Times New Roman"/>
                <w:sz w:val="18"/>
                <w:szCs w:val="18"/>
              </w:rPr>
              <w:t>、</w:t>
            </w:r>
            <w:r>
              <w:rPr>
                <w:rFonts w:ascii="Times New Roman" w:hAnsi="Times New Roman" w:cs="Times New Roman"/>
                <w:sz w:val="18"/>
                <w:szCs w:val="18"/>
              </w:rPr>
              <w:t>司美替尼联合其他用药或治疗方式的临床研究正在进行。</w:t>
            </w:r>
          </w:p>
        </w:tc>
      </w:tr>
    </w:tbl>
    <w:p w14:paraId="0408371E">
      <w:pPr>
        <w:spacing w:line="276" w:lineRule="auto"/>
        <w:rPr>
          <w:rFonts w:ascii="Times New Roman" w:hAnsi="Times New Roman" w:cs="Times New Roman"/>
        </w:rPr>
      </w:pPr>
    </w:p>
    <w:p w14:paraId="4A372475">
      <w:pPr>
        <w:spacing w:line="276" w:lineRule="auto"/>
        <w:rPr>
          <w:rFonts w:ascii="Times New Roman" w:hAnsi="Times New Roman" w:cs="Times New Roman"/>
          <w:u w:val="thick" w:color="2DB8B5"/>
        </w:rPr>
      </w:pPr>
    </w:p>
    <w:p w14:paraId="407E7CF0">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BRAF</w:t>
      </w:r>
      <w:r>
        <w:rPr>
          <w:rFonts w:ascii="Times New Roman" w:hAnsi="Times New Roman" w:cs="Times New Roman"/>
          <w:b/>
          <w:u w:val="thick" w:color="1F3864"/>
        </w:rPr>
        <w:t xml:space="preserve">                                                                                                                                                                </w:t>
      </w:r>
    </w:p>
    <w:p w14:paraId="4F8BD442">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277A5D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83"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25AD659">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1DDDD2A">
            <w:pPr>
              <w:widowControl/>
              <w:spacing w:before="100" w:beforeAutospacing="1" w:line="273" w:lineRule="auto"/>
              <w:rPr>
                <w:sz w:val="18"/>
                <w:szCs w:val="18"/>
              </w:rPr>
            </w:pPr>
            <w:r>
              <w:rPr>
                <w:rFonts w:hint="eastAsia" w:ascii="Times New Roman" w:hAnsi="Times New Roman" w:cs="Times New Roman"/>
                <w:sz w:val="18"/>
                <w:szCs w:val="18"/>
              </w:rPr>
              <w:t>BRAF基因位于染色体7q34，该基因编码的蛋白属于丝氨酸/苏氨酸蛋白激酶RAF家族。该蛋白有助于细胞外的化学信号传递到细胞核，在MAP激酶/ERK信号通路中起调节作用，从而影响细胞的分裂、分化和分泌。BRAF的激活突变或扩增会引起细胞增殖不受控制，进而导致肿瘤发生，在肺癌、胃癌、乳腺癌、结直肠癌等中突变率约5%-10%，其中BRAF 在结直肠癌中突变频率4%-10%，以 V600E为主，还可见G466A、G469E、N581I、D594G、K601E等激酶区致癌性突变。</w:t>
            </w:r>
          </w:p>
        </w:tc>
      </w:tr>
      <w:tr w14:paraId="3C387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8"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4F243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232E246F">
            <w:pPr>
              <w:widowControl/>
              <w:spacing w:before="100" w:beforeAutospacing="1" w:line="273" w:lineRule="auto"/>
              <w:rPr>
                <w:sz w:val="18"/>
                <w:szCs w:val="18"/>
              </w:rPr>
            </w:pPr>
            <w:r>
              <w:rPr>
                <w:rFonts w:hint="eastAsia"/>
                <w:b/>
                <w:sz w:val="18"/>
                <w:szCs w:val="18"/>
              </w:rPr>
              <w:t>达拉非尼</w:t>
            </w:r>
            <w:r>
              <w:rPr>
                <w:b/>
                <w:sz w:val="18"/>
                <w:szCs w:val="18"/>
              </w:rPr>
              <w:t>+</w:t>
            </w:r>
            <w:r>
              <w:rPr>
                <w:rFonts w:hint="eastAsia"/>
                <w:b/>
                <w:sz w:val="18"/>
                <w:szCs w:val="18"/>
              </w:rPr>
              <w:t>曲美替尼*、西妥昔单抗*、帕尼单抗</w:t>
            </w:r>
            <w:r>
              <w:rPr>
                <w:rFonts w:hint="eastAsia"/>
                <w:sz w:val="18"/>
                <w:szCs w:val="18"/>
              </w:rPr>
              <w:t>、</w:t>
            </w:r>
            <w:r>
              <w:rPr>
                <w:rFonts w:hint="eastAsia"/>
                <w:b/>
                <w:sz w:val="18"/>
                <w:szCs w:val="18"/>
              </w:rPr>
              <w:t>康奈非尼</w:t>
            </w:r>
            <w:r>
              <w:rPr>
                <w:b/>
                <w:sz w:val="18"/>
                <w:szCs w:val="18"/>
              </w:rPr>
              <w:t>+西妥昔单抗</w:t>
            </w:r>
            <w:r>
              <w:rPr>
                <w:rFonts w:hint="eastAsia"/>
                <w:sz w:val="18"/>
                <w:szCs w:val="18"/>
              </w:rPr>
              <w:t>、康奈非尼+帕尼单抗、维莫非尼、康奈非尼</w:t>
            </w:r>
            <w:r>
              <w:rPr>
                <w:sz w:val="18"/>
                <w:szCs w:val="18"/>
              </w:rPr>
              <w:t>+</w:t>
            </w:r>
            <w:r>
              <w:rPr>
                <w:rFonts w:hint="eastAsia"/>
                <w:sz w:val="18"/>
                <w:szCs w:val="18"/>
              </w:rPr>
              <w:t>贝美替尼</w:t>
            </w:r>
            <w:r>
              <w:rPr>
                <w:sz w:val="18"/>
                <w:szCs w:val="18"/>
              </w:rPr>
              <w:t>+</w:t>
            </w:r>
            <w:r>
              <w:rPr>
                <w:rFonts w:hint="eastAsia"/>
                <w:sz w:val="18"/>
                <w:szCs w:val="18"/>
              </w:rPr>
              <w:t>西妥昔单抗、维莫非尼+西妥昔单抗、维莫非尼+伊立替康+西妥昔单抗</w:t>
            </w:r>
          </w:p>
        </w:tc>
      </w:tr>
      <w:tr w14:paraId="127EE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65"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DF46FFA">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578A77C">
            <w:pPr>
              <w:widowControl/>
              <w:spacing w:before="100" w:beforeAutospacing="1" w:line="273" w:lineRule="auto"/>
              <w:jc w:val="center"/>
              <w:rPr>
                <w:rFonts w:ascii="Times New Roman" w:hAnsi="Times New Roman" w:cs="Times New Roman"/>
                <w:b/>
                <w:color w:val="000000"/>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0BDF57A">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携带BRAF突变的肿瘤中约一半为BRAF V600E突变。BRAF突变病人具有独特的临床病理特征：以吸烟人群为主，预后欠佳，对含铂化疗方案反应率低。FDA批准达拉</w:t>
            </w:r>
            <w:r>
              <w:rPr>
                <w:rFonts w:hint="eastAsia" w:ascii="Times New Roman" w:hAnsi="Times New Roman" w:cs="Times New Roman"/>
                <w:sz w:val="18"/>
                <w:szCs w:val="18"/>
              </w:rPr>
              <w:t>非</w:t>
            </w:r>
            <w:r>
              <w:rPr>
                <w:rFonts w:ascii="Times New Roman" w:hAnsi="Times New Roman" w:cs="Times New Roman"/>
                <w:sz w:val="18"/>
                <w:szCs w:val="18"/>
              </w:rPr>
              <w:t>尼联合曲美替尼的组合疗法用于BRAF V600E突变的晚期非小细胞肺癌患者。NCCN指南推荐达拉非尼联合曲美替尼可作为具有BRAF V600E突变的非鳞非小细胞肺癌患者的一线治疗方案，联合治疗不耐受的患者建议使用单药达拉非尼或维莫非尼进行治疗，EGFR-TKI不适用于携带BRAF V600E突变的非小细胞肺癌患者[NCCN_Non-Small Cell Lung Cancer_2021_V5]。BRAF V600E突变是结直肠癌患者的不良预后因子，携带BRAF V600E的结直肠癌患者获益于西妥昔单或帕尼单抗</w:t>
            </w:r>
            <w:r>
              <w:rPr>
                <w:rFonts w:hint="eastAsia" w:ascii="Times New Roman" w:hAnsi="Times New Roman" w:cs="Times New Roman"/>
                <w:sz w:val="18"/>
                <w:szCs w:val="18"/>
              </w:rPr>
              <w:t>（</w:t>
            </w:r>
            <w:r>
              <w:rPr>
                <w:rFonts w:ascii="Times New Roman" w:hAnsi="Times New Roman" w:cs="Times New Roman"/>
                <w:sz w:val="18"/>
                <w:szCs w:val="18"/>
              </w:rPr>
              <w:t>单药或者联合化疗</w:t>
            </w:r>
            <w:r>
              <w:rPr>
                <w:rFonts w:hint="eastAsia" w:ascii="Times New Roman" w:hAnsi="Times New Roman" w:cs="Times New Roman"/>
                <w:sz w:val="18"/>
                <w:szCs w:val="18"/>
              </w:rPr>
              <w:t>）</w:t>
            </w:r>
            <w:r>
              <w:rPr>
                <w:rFonts w:ascii="Times New Roman" w:hAnsi="Times New Roman" w:cs="Times New Roman"/>
                <w:sz w:val="18"/>
                <w:szCs w:val="18"/>
              </w:rPr>
              <w:t>的可能性极低</w:t>
            </w:r>
            <w:r>
              <w:rPr>
                <w:rFonts w:hint="eastAsia" w:ascii="Times New Roman" w:hAnsi="Times New Roman" w:cs="Times New Roman"/>
                <w:sz w:val="18"/>
                <w:szCs w:val="18"/>
              </w:rPr>
              <w:t>，</w:t>
            </w:r>
            <w:r>
              <w:rPr>
                <w:rFonts w:ascii="Times New Roman" w:hAnsi="Times New Roman" w:cs="Times New Roman"/>
                <w:sz w:val="18"/>
                <w:szCs w:val="18"/>
              </w:rPr>
              <w:t>对BRAF抑制剂单药治疗也不敏感[PMID: 25673558; PMID: 22608338</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 xml:space="preserve">PMID: </w:t>
            </w:r>
            <w:r>
              <w:rPr>
                <w:rFonts w:ascii="Times New Roman" w:hAnsi="Times New Roman" w:cs="Times New Roman"/>
                <w:sz w:val="18"/>
                <w:szCs w:val="18"/>
              </w:rPr>
              <w:t>26460303]，FDA批准西妥昔单抗和帕尼单抗用于治疗RAS和BRAF野生型的转移性结直肠癌患者</w:t>
            </w:r>
            <w:r>
              <w:rPr>
                <w:rFonts w:hint="eastAsia" w:ascii="Times New Roman" w:hAnsi="Times New Roman" w:cs="Times New Roman"/>
                <w:sz w:val="18"/>
                <w:szCs w:val="18"/>
              </w:rPr>
              <w:t>，批准康奈非尼+西妥昔单抗用于B</w:t>
            </w:r>
            <w:r>
              <w:rPr>
                <w:rFonts w:ascii="Times New Roman" w:hAnsi="Times New Roman" w:cs="Times New Roman"/>
                <w:sz w:val="18"/>
                <w:szCs w:val="18"/>
              </w:rPr>
              <w:t>RAF V600E</w:t>
            </w:r>
            <w:r>
              <w:rPr>
                <w:rFonts w:hint="eastAsia" w:ascii="Times New Roman" w:hAnsi="Times New Roman" w:cs="Times New Roman"/>
                <w:sz w:val="18"/>
                <w:szCs w:val="18"/>
              </w:rPr>
              <w:t>既往治疗进展的结直肠癌患者</w:t>
            </w:r>
            <w:r>
              <w:rPr>
                <w:rFonts w:ascii="Times New Roman" w:hAnsi="Times New Roman" w:cs="Times New Roman"/>
                <w:sz w:val="18"/>
                <w:szCs w:val="18"/>
              </w:rPr>
              <w:t>。</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指南推荐康奈非尼+西妥昔单抗/帕尼单抗治疗携带B</w:t>
            </w:r>
            <w:r>
              <w:rPr>
                <w:rFonts w:ascii="Times New Roman" w:hAnsi="Times New Roman" w:cs="Times New Roman"/>
                <w:sz w:val="18"/>
                <w:szCs w:val="18"/>
              </w:rPr>
              <w:t>RAF V600E</w:t>
            </w:r>
            <w:r>
              <w:rPr>
                <w:rFonts w:hint="eastAsia" w:ascii="Times New Roman" w:hAnsi="Times New Roman" w:cs="Times New Roman"/>
                <w:sz w:val="18"/>
                <w:szCs w:val="18"/>
              </w:rPr>
              <w:t>的不可切除或转移性结直肠癌患者的一线治疗和后续治疗</w:t>
            </w:r>
            <w:r>
              <w:rPr>
                <w:rFonts w:ascii="Times New Roman" w:hAnsi="Times New Roman" w:cs="Times New Roman"/>
                <w:sz w:val="18"/>
                <w:szCs w:val="18"/>
              </w:rPr>
              <w:t>[NCCN_Colon Cancer_2021_V2]</w:t>
            </w:r>
            <w:r>
              <w:rPr>
                <w:rFonts w:hint="eastAsia" w:ascii="Times New Roman" w:hAnsi="Times New Roman" w:cs="Times New Roman"/>
                <w:sz w:val="18"/>
                <w:szCs w:val="18"/>
              </w:rPr>
              <w:t>。</w:t>
            </w:r>
            <w:r>
              <w:rPr>
                <w:rFonts w:ascii="Times New Roman" w:hAnsi="Times New Roman" w:cs="Times New Roman"/>
                <w:sz w:val="18"/>
                <w:szCs w:val="18"/>
              </w:rPr>
              <w:t>在结直肠癌中，BRAF V600E突变的患者对康奈非尼+帕尼单抗、康奈非尼+西妥昔单抗、康奈非尼+贝美替尼+西妥昔单抗敏感[PMID: 30892987; PMID: 31566309; J Clin Oncol. 2020; 38(suppl 4): abstr 8]，携带BRAF V600的患者对维莫非尼+西妥昔单抗敏感[PMID: 26287849]</w:t>
            </w:r>
            <w:r>
              <w:rPr>
                <w:rFonts w:hint="eastAsia" w:ascii="Times New Roman" w:hAnsi="Times New Roman" w:cs="Times New Roman"/>
                <w:sz w:val="18"/>
                <w:szCs w:val="18"/>
              </w:rPr>
              <w:t>。</w:t>
            </w:r>
          </w:p>
        </w:tc>
      </w:tr>
    </w:tbl>
    <w:p w14:paraId="29E3703F">
      <w:pPr>
        <w:spacing w:line="276" w:lineRule="auto"/>
        <w:rPr>
          <w:rFonts w:ascii="Times New Roman" w:hAnsi="Times New Roman" w:cs="Times New Roman"/>
          <w:b/>
          <w:u w:val="thick" w:color="2DB8B5"/>
        </w:rPr>
      </w:pPr>
    </w:p>
    <w:p w14:paraId="1555DDFE">
      <w:pPr>
        <w:spacing w:line="276" w:lineRule="auto"/>
        <w:rPr>
          <w:rFonts w:ascii="Times New Roman" w:hAnsi="Times New Roman" w:cs="Times New Roman"/>
          <w:b/>
          <w:u w:val="thick" w:color="2DB8B5"/>
        </w:rPr>
      </w:pPr>
    </w:p>
    <w:p w14:paraId="1A3224D7">
      <w:pPr>
        <w:spacing w:line="276" w:lineRule="auto"/>
        <w:rPr>
          <w:rFonts w:ascii="Times New Roman" w:hAnsi="Times New Roman" w:cs="Times New Roman"/>
          <w:b/>
          <w:u w:val="thick" w:color="2DB8B5"/>
        </w:rPr>
      </w:pPr>
    </w:p>
    <w:p w14:paraId="10BC19D9">
      <w:pPr>
        <w:spacing w:line="276" w:lineRule="auto"/>
        <w:rPr>
          <w:rFonts w:ascii="Times New Roman" w:hAnsi="Times New Roman" w:cs="Times New Roman"/>
          <w:b/>
          <w:u w:val="thick" w:color="2DB8B5"/>
        </w:rPr>
      </w:pPr>
    </w:p>
    <w:p w14:paraId="1B384B79">
      <w:pPr>
        <w:spacing w:line="276" w:lineRule="auto"/>
        <w:rPr>
          <w:rFonts w:ascii="Times New Roman" w:hAnsi="Times New Roman" w:cs="Times New Roman"/>
          <w:b/>
          <w:sz w:val="24"/>
          <w:szCs w:val="24"/>
          <w:u w:val="thick" w:color="538135"/>
        </w:rPr>
      </w:pPr>
      <w:r>
        <w:rPr>
          <w:rFonts w:ascii="Times New Roman" w:hAnsi="Times New Roman" w:cs="Times New Roman"/>
          <w:b/>
          <w:u w:val="thick" w:color="1F3864"/>
        </w:rPr>
        <w:t xml:space="preserve"> PIK3CA                                                                                                                                                      </w:t>
      </w:r>
      <w:r>
        <w:rPr>
          <w:rFonts w:ascii="Times New Roman" w:hAnsi="Times New Roman" w:cs="Times New Roman"/>
          <w:b/>
          <w:sz w:val="24"/>
          <w:szCs w:val="24"/>
          <w:u w:val="thick" w:color="538135"/>
        </w:rPr>
        <w:t xml:space="preserve">        </w:t>
      </w:r>
    </w:p>
    <w:p w14:paraId="59B4348A">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17630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1507094">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5FBC937">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hint="eastAsia" w:ascii="Times New Roman" w:hAnsi="Times New Roman" w:cs="Times New Roman"/>
                <w:sz w:val="18"/>
                <w:szCs w:val="18"/>
              </w:rPr>
              <w:t>PIK3CA基因位于3q26.32，磷脂酰肌醇 3-激酶由一个 85kDa 的调节亚基和一个 110kDa 的催化亚基组成。PIK3CA编码的p110-alpha蛋白是磷脂酰肌醇3-激酶（PI3K）的催化亚基，以 ATP 依赖的方式磷酸化PtdIns, PtdIns4P 和 PtdIns (4, 5) P2。AKT是PI3K/AKT信号通路中核心因子，异常活化的AKT也会激活相关信号通路—PI3K/Akt/mTOR，可调控细胞的生长、增殖、分化、活力和存活，导致肿瘤发生。PIK3CA基因突变与结肠癌、神经胶质瘤、胃癌、乳腺癌、子宫内膜癌和肺癌等有关。PIK3CA突变主要发生在外显子10和外显子21 内的热点区域。</w:t>
            </w:r>
          </w:p>
        </w:tc>
      </w:tr>
      <w:tr w14:paraId="5ED2E5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D53189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7E45D10">
            <w:pPr>
              <w:widowControl/>
              <w:adjustRightInd w:val="0"/>
              <w:snapToGrid w:val="0"/>
              <w:spacing w:before="100" w:beforeAutospacing="1" w:line="273" w:lineRule="auto"/>
              <w:rPr>
                <w:sz w:val="18"/>
                <w:szCs w:val="18"/>
              </w:rPr>
            </w:pPr>
            <w:bookmarkStart w:id="14" w:name="OLE_LINK6"/>
            <w:r>
              <w:rPr>
                <w:rFonts w:hint="eastAsia"/>
                <w:b/>
                <w:sz w:val="18"/>
                <w:szCs w:val="18"/>
              </w:rPr>
              <w:t>西妥昔单抗*、</w:t>
            </w:r>
            <w:bookmarkEnd w:id="14"/>
            <w:r>
              <w:rPr>
                <w:rFonts w:ascii="Times New Roman" w:hAnsi="Times New Roman" w:cs="Times New Roman"/>
                <w:b/>
                <w:sz w:val="18"/>
                <w:szCs w:val="18"/>
              </w:rPr>
              <w:t>依维莫司</w:t>
            </w:r>
            <w:r>
              <w:rPr>
                <w:rFonts w:hint="eastAsia"/>
                <w:b/>
                <w:sz w:val="18"/>
                <w:szCs w:val="18"/>
              </w:rPr>
              <w:t>*</w:t>
            </w:r>
            <w:r>
              <w:rPr>
                <w:rFonts w:hint="eastAsia"/>
                <w:sz w:val="18"/>
                <w:szCs w:val="18"/>
              </w:rPr>
              <w:t>、</w:t>
            </w:r>
            <w:r>
              <w:rPr>
                <w:rFonts w:ascii="Times New Roman" w:hAnsi="Times New Roman" w:cs="Times New Roman"/>
                <w:b/>
                <w:sz w:val="18"/>
                <w:szCs w:val="18"/>
              </w:rPr>
              <w:t>替西罗莫司</w:t>
            </w:r>
            <w:r>
              <w:rPr>
                <w:rFonts w:hint="eastAsia"/>
                <w:sz w:val="18"/>
                <w:szCs w:val="18"/>
              </w:rPr>
              <w:t>、</w:t>
            </w:r>
            <w:r>
              <w:rPr>
                <w:rFonts w:ascii="Times New Roman" w:hAnsi="Times New Roman" w:cs="Times New Roman"/>
                <w:b/>
                <w:sz w:val="18"/>
                <w:szCs w:val="18"/>
              </w:rPr>
              <w:t>西罗莫司</w:t>
            </w:r>
            <w:r>
              <w:rPr>
                <w:rFonts w:hint="eastAsia"/>
                <w:sz w:val="18"/>
                <w:szCs w:val="18"/>
              </w:rPr>
              <w:t>、</w:t>
            </w:r>
            <w:r>
              <w:rPr>
                <w:rFonts w:hint="eastAsia" w:ascii="Times New Roman" w:hAnsi="Times New Roman" w:cs="Times New Roman"/>
                <w:sz w:val="18"/>
                <w:szCs w:val="18"/>
              </w:rPr>
              <w:t>MK2206</w:t>
            </w:r>
            <w:r>
              <w:rPr>
                <w:rFonts w:hint="eastAsia"/>
                <w:sz w:val="18"/>
                <w:szCs w:val="18"/>
              </w:rPr>
              <w:t>、</w:t>
            </w:r>
            <w:r>
              <w:rPr>
                <w:rFonts w:ascii="Times New Roman" w:hAnsi="Times New Roman" w:cs="Times New Roman"/>
                <w:b/>
                <w:sz w:val="18"/>
                <w:szCs w:val="18"/>
              </w:rPr>
              <w:t>Copanlisib</w:t>
            </w:r>
            <w:r>
              <w:rPr>
                <w:rFonts w:hint="eastAsia" w:ascii="Times New Roman" w:hAnsi="Times New Roman" w:cs="Times New Roman"/>
                <w:sz w:val="18"/>
                <w:szCs w:val="18"/>
              </w:rPr>
              <w:t>、</w:t>
            </w:r>
            <w:r>
              <w:rPr>
                <w:rFonts w:ascii="Times New Roman" w:hAnsi="Times New Roman" w:cs="Times New Roman"/>
                <w:sz w:val="18"/>
                <w:szCs w:val="18"/>
              </w:rPr>
              <w:t>Taselisib</w:t>
            </w:r>
            <w:r>
              <w:rPr>
                <w:rFonts w:hint="eastAsia" w:ascii="Times New Roman" w:hAnsi="Times New Roman" w:cs="Times New Roman"/>
                <w:sz w:val="18"/>
                <w:szCs w:val="18"/>
              </w:rPr>
              <w:t xml:space="preserve"> </w:t>
            </w:r>
          </w:p>
        </w:tc>
      </w:tr>
      <w:tr w14:paraId="518D51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8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BB5DD40">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6AF5D07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34C4F5B">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研究发现PIK3CA突变可以与EGFR突变共存[PMID: 16930767]，有临床前的研究表明，PIK3CA基因位于EGFR信号通路的下游，PIK3CA的激活突变维持PI3K-AKT在细胞内的信号传导，可能影响EGFR TKI</w:t>
            </w:r>
            <w:r>
              <w:rPr>
                <w:rFonts w:hint="eastAsia" w:ascii="Times New Roman" w:hAnsi="Times New Roman" w:cs="Times New Roman"/>
                <w:sz w:val="18"/>
                <w:szCs w:val="18"/>
              </w:rPr>
              <w:t>（</w:t>
            </w:r>
            <w:r>
              <w:rPr>
                <w:rFonts w:ascii="Times New Roman" w:hAnsi="Times New Roman" w:cs="Times New Roman"/>
                <w:sz w:val="18"/>
                <w:szCs w:val="18"/>
              </w:rPr>
              <w:t>吉非替尼与厄洛替尼</w:t>
            </w:r>
            <w:r>
              <w:rPr>
                <w:rFonts w:hint="eastAsia" w:ascii="Times New Roman" w:hAnsi="Times New Roman" w:cs="Times New Roman"/>
                <w:sz w:val="18"/>
                <w:szCs w:val="18"/>
              </w:rPr>
              <w:t>）</w:t>
            </w:r>
            <w:r>
              <w:rPr>
                <w:rFonts w:ascii="Times New Roman" w:hAnsi="Times New Roman" w:cs="Times New Roman"/>
                <w:sz w:val="18"/>
                <w:szCs w:val="18"/>
              </w:rPr>
              <w:t>的疗效[PMID: 20855837]。在一项回顾性研究中，西妥昔单抗治疗携带PIK3CA E542V突变的结直肠癌患者，患者出现6个月的疾病稳定期[PMID: 25714871]。在临床研究中，两个具有PIK3CA E545和KRAS G12共突变的结直肠癌患者在用替西罗莫司治疗后表现出疾病稳定[PMID: 21216929]。</w:t>
            </w:r>
            <w:r>
              <w:rPr>
                <w:rFonts w:hint="eastAsia" w:ascii="Times New Roman" w:hAnsi="Times New Roman" w:cs="Times New Roman"/>
                <w:sz w:val="18"/>
                <w:szCs w:val="18"/>
              </w:rPr>
              <w:t>在一项I期临床研究中，</w:t>
            </w:r>
            <w:r>
              <w:rPr>
                <w:rFonts w:ascii="Times New Roman" w:hAnsi="Times New Roman" w:cs="Times New Roman"/>
                <w:sz w:val="18"/>
                <w:szCs w:val="18"/>
              </w:rPr>
              <w:t>PIK3CA H1047L/Y</w:t>
            </w:r>
            <w:r>
              <w:rPr>
                <w:rFonts w:hint="eastAsia" w:ascii="Times New Roman" w:hAnsi="Times New Roman" w:cs="Times New Roman"/>
                <w:sz w:val="18"/>
                <w:szCs w:val="18"/>
              </w:rPr>
              <w:t>对</w:t>
            </w:r>
            <w:r>
              <w:rPr>
                <w:rFonts w:ascii="Times New Roman" w:hAnsi="Times New Roman" w:cs="Times New Roman"/>
                <w:sz w:val="18"/>
                <w:szCs w:val="18"/>
              </w:rPr>
              <w:t>Taselisib</w:t>
            </w:r>
            <w:r>
              <w:rPr>
                <w:rFonts w:hint="eastAsia" w:ascii="Times New Roman" w:hAnsi="Times New Roman" w:cs="Times New Roman"/>
                <w:sz w:val="18"/>
                <w:szCs w:val="18"/>
              </w:rPr>
              <w:t>敏感</w:t>
            </w:r>
            <w:r>
              <w:rPr>
                <w:rFonts w:ascii="Times New Roman" w:hAnsi="Times New Roman" w:cs="Times New Roman"/>
                <w:sz w:val="18"/>
                <w:szCs w:val="18"/>
              </w:rPr>
              <w:t>[PMID: 28331003]</w:t>
            </w:r>
            <w:r>
              <w:rPr>
                <w:rFonts w:hint="eastAsia" w:ascii="Times New Roman" w:hAnsi="Times New Roman" w:cs="Times New Roman"/>
                <w:sz w:val="18"/>
                <w:szCs w:val="18"/>
              </w:rPr>
              <w:t>。</w:t>
            </w:r>
            <w:r>
              <w:rPr>
                <w:rFonts w:ascii="Times New Roman" w:hAnsi="Times New Roman" w:cs="Times New Roman"/>
                <w:sz w:val="18"/>
                <w:szCs w:val="18"/>
              </w:rPr>
              <w:t>目前PI3K抑制剂对PIK3CA基因突变患者的疗效研究多处于临床前[PMID: 26703889]，如MK2206、依维莫司、替西罗莫司、西罗莫司、Copanlisib等在PIK3CA突变的肺癌或实体肿瘤中正在开展临床试验。</w:t>
            </w:r>
          </w:p>
        </w:tc>
      </w:tr>
    </w:tbl>
    <w:p w14:paraId="357562A0">
      <w:pPr>
        <w:spacing w:line="276" w:lineRule="auto"/>
        <w:rPr>
          <w:rFonts w:ascii="Times New Roman" w:hAnsi="Times New Roman" w:cs="Times New Roman"/>
        </w:rPr>
      </w:pPr>
    </w:p>
    <w:p w14:paraId="73555190">
      <w:pPr>
        <w:spacing w:line="276" w:lineRule="auto"/>
        <w:rPr>
          <w:rFonts w:ascii="Times New Roman" w:hAnsi="Times New Roman" w:cs="Times New Roman"/>
          <w:sz w:val="24"/>
          <w:u w:val="thick" w:color="538135"/>
        </w:rPr>
      </w:pPr>
    </w:p>
    <w:p w14:paraId="2B26FF6B">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ROS1                                                                                                                                                                </w:t>
      </w:r>
    </w:p>
    <w:p w14:paraId="12217A53">
      <w:pPr>
        <w:spacing w:line="276" w:lineRule="auto"/>
        <w:rPr>
          <w:rFonts w:ascii="Times New Roman" w:hAnsi="Times New Roman" w:cs="Times New Roman"/>
          <w:b/>
          <w:u w:val="single" w:color="2DB8B5"/>
        </w:rPr>
      </w:pPr>
    </w:p>
    <w:tbl>
      <w:tblPr>
        <w:tblStyle w:val="19"/>
        <w:tblW w:w="900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8"/>
        <w:gridCol w:w="6700"/>
      </w:tblGrid>
      <w:tr w14:paraId="28FD69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31"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95E7C73">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28D90765">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ROS1基因位于 6q22.1，是一种原癌基因，由该基因编码的蛋白质是I型整合膜蛋白，具有酪氨酸激酶活性，可以充当生长或分化因子受体。ROS1基因的染色体重组最初在胶质母细胞瘤中发现。ROS1融合被认为是非小细胞肺癌和胆管癌的驱动突变。ROS1融合包含一个完整的酪氨酸激酶，其下游信号可激活细胞信号通路，刺激细胞生长和细胞增殖。ROS1是一个潜在的驱动致癌基因，ROS1融合在NSCLC中发生率为1-3%。ROS1基因重排定义了NSCLC的一个特殊分子亚型，目前已经鉴定出9种不同的重排形式，其中以CD74-ROS1最为常见（42%）。</w:t>
            </w:r>
          </w:p>
        </w:tc>
      </w:tr>
      <w:tr w14:paraId="18F8D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BED233">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5F92ACB7">
            <w:pPr>
              <w:spacing w:before="100" w:beforeAutospacing="1" w:line="256" w:lineRule="auto"/>
              <w:rPr>
                <w:rFonts w:ascii="Times New Roman" w:hAnsi="Times New Roman" w:cs="Times New Roman"/>
                <w:sz w:val="18"/>
                <w:szCs w:val="18"/>
              </w:rPr>
            </w:pPr>
            <w:r>
              <w:rPr>
                <w:rFonts w:hint="eastAsia"/>
                <w:b/>
                <w:sz w:val="18"/>
                <w:szCs w:val="18"/>
              </w:rPr>
              <w:t>克唑替尼</w:t>
            </w:r>
            <w:r>
              <w:rPr>
                <w:rFonts w:ascii="Times New Roman" w:hAnsi="Times New Roman" w:cs="Times New Roman"/>
                <w:b/>
                <w:sz w:val="18"/>
                <w:szCs w:val="18"/>
              </w:rPr>
              <w:t>*</w:t>
            </w:r>
            <w:r>
              <w:rPr>
                <w:rFonts w:hint="eastAsia"/>
                <w:sz w:val="18"/>
                <w:szCs w:val="18"/>
              </w:rPr>
              <w:t>、</w:t>
            </w:r>
            <w:r>
              <w:rPr>
                <w:rFonts w:hint="eastAsia"/>
                <w:b/>
                <w:sz w:val="18"/>
                <w:szCs w:val="18"/>
              </w:rPr>
              <w:t>恩曲替尼</w:t>
            </w:r>
            <w:r>
              <w:rPr>
                <w:rFonts w:hint="eastAsia"/>
                <w:sz w:val="18"/>
                <w:szCs w:val="18"/>
              </w:rPr>
              <w:t>、</w:t>
            </w:r>
            <w:r>
              <w:rPr>
                <w:rFonts w:hint="eastAsia"/>
                <w:b/>
                <w:sz w:val="18"/>
                <w:szCs w:val="18"/>
              </w:rPr>
              <w:t>劳拉替尼、塞瑞替尼</w:t>
            </w:r>
            <w:r>
              <w:rPr>
                <w:rFonts w:ascii="Times New Roman" w:hAnsi="Times New Roman" w:cs="Times New Roman"/>
                <w:b/>
                <w:sz w:val="18"/>
                <w:szCs w:val="18"/>
              </w:rPr>
              <w:t>*</w:t>
            </w:r>
          </w:p>
        </w:tc>
      </w:tr>
      <w:tr w14:paraId="55E20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57"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EA4A307">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2D0EFA9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32B14648">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ROS1 基因重排代表一类新的独特的NSCLC分子亚型，一般认为ROS1融合基因阳性的肺癌患者，不伴有EGFR 突变和（或）ALK-EML4 融合基因及KRAS 突变，但随着研究的深入以及实验技术的发展，目前有少量研究发现，ROS1 融合基因可以与其他驱动基因变异共存。肺癌中，ROS1 基因融合对克唑替尼（ALK，MET，ROS1抑制剂）类药物敏感性增加[PMID: 30980071; PMID: 29596029]</w:t>
            </w:r>
            <w:r>
              <w:rPr>
                <w:rFonts w:hint="eastAsia" w:ascii="Times New Roman" w:hAnsi="Times New Roman" w:cs="Times New Roman"/>
                <w:sz w:val="18"/>
                <w:szCs w:val="18"/>
              </w:rPr>
              <w:t>。</w:t>
            </w:r>
            <w:r>
              <w:rPr>
                <w:rFonts w:ascii="Times New Roman" w:hAnsi="Times New Roman" w:cs="Times New Roman"/>
                <w:sz w:val="18"/>
                <w:szCs w:val="18"/>
              </w:rPr>
              <w:t>FDA批准恩曲替尼用于治疗ROS1阳性的转移性非小细胞肺癌（NSCLC）成人患者，克唑替尼可用于ROS1 阳性的晚期非小细胞肺癌（NSCLC）患者的治疗。然而使用克唑替尼治疗后的一段时间，会逐渐出现耐药迹象，进一步活检发现主要耐药位点为G2032R，除此之外，D2033N, L2026M, L1951R 可能也是较为少见的耐药位点[PMID: 25688157]</w:t>
            </w:r>
            <w:r>
              <w:rPr>
                <w:rFonts w:hint="eastAsia" w:ascii="Times New Roman" w:hAnsi="Times New Roman" w:cs="Times New Roman"/>
                <w:sz w:val="18"/>
                <w:szCs w:val="18"/>
              </w:rPr>
              <w:t>，</w:t>
            </w:r>
            <w:r>
              <w:rPr>
                <w:rFonts w:ascii="Times New Roman" w:hAnsi="Times New Roman" w:cs="Times New Roman"/>
                <w:sz w:val="18"/>
                <w:szCs w:val="18"/>
              </w:rPr>
              <w:t>ROS1融合与EGFR TKI的原发性耐药有关[PMID: 30568455; PMID: 31124056]。</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指南推荐克唑替尼、恩曲替尼用于R</w:t>
            </w:r>
            <w:r>
              <w:rPr>
                <w:rFonts w:ascii="Times New Roman" w:hAnsi="Times New Roman" w:cs="Times New Roman"/>
                <w:sz w:val="18"/>
                <w:szCs w:val="18"/>
              </w:rPr>
              <w:t>OS1</w:t>
            </w:r>
            <w:r>
              <w:rPr>
                <w:rFonts w:hint="eastAsia" w:ascii="Times New Roman" w:hAnsi="Times New Roman" w:cs="Times New Roman"/>
                <w:sz w:val="18"/>
                <w:szCs w:val="18"/>
              </w:rPr>
              <w:t>重排阳性的转移性或晚期非小细胞肺癌患者的首先一线治疗，塞瑞替尼用于R</w:t>
            </w:r>
            <w:r>
              <w:rPr>
                <w:rFonts w:ascii="Times New Roman" w:hAnsi="Times New Roman" w:cs="Times New Roman"/>
                <w:sz w:val="18"/>
                <w:szCs w:val="18"/>
              </w:rPr>
              <w:t>OS1</w:t>
            </w:r>
            <w:r>
              <w:rPr>
                <w:rFonts w:hint="eastAsia" w:ascii="Times New Roman" w:hAnsi="Times New Roman" w:cs="Times New Roman"/>
                <w:sz w:val="18"/>
                <w:szCs w:val="18"/>
              </w:rPr>
              <w:t>重排阳性的N</w:t>
            </w:r>
            <w:r>
              <w:rPr>
                <w:rFonts w:ascii="Times New Roman" w:hAnsi="Times New Roman" w:cs="Times New Roman"/>
                <w:sz w:val="18"/>
                <w:szCs w:val="18"/>
              </w:rPr>
              <w:t>SCLC</w:t>
            </w:r>
            <w:r>
              <w:rPr>
                <w:rFonts w:hint="eastAsia" w:ascii="Times New Roman" w:hAnsi="Times New Roman" w:cs="Times New Roman"/>
                <w:sz w:val="18"/>
                <w:szCs w:val="18"/>
              </w:rPr>
              <w:t>患者的一线治疗，劳拉替尼用于经恩曲替尼、克唑替尼或塞瑞替尼治疗后疾病进展的R</w:t>
            </w:r>
            <w:r>
              <w:rPr>
                <w:rFonts w:ascii="Times New Roman" w:hAnsi="Times New Roman" w:cs="Times New Roman"/>
                <w:sz w:val="18"/>
                <w:szCs w:val="18"/>
              </w:rPr>
              <w:t>OS1</w:t>
            </w:r>
            <w:r>
              <w:rPr>
                <w:rFonts w:hint="eastAsia" w:ascii="Times New Roman" w:hAnsi="Times New Roman" w:cs="Times New Roman"/>
                <w:sz w:val="18"/>
                <w:szCs w:val="18"/>
              </w:rPr>
              <w:t>重排的非小细胞肺癌患者的后续治疗。</w:t>
            </w:r>
            <w:r>
              <w:rPr>
                <w:rFonts w:ascii="Times New Roman" w:hAnsi="Times New Roman" w:cs="Times New Roman"/>
                <w:sz w:val="18"/>
                <w:szCs w:val="18"/>
              </w:rPr>
              <w:t>恩曲替尼和克唑替尼治疗ROS1融合的实体瘤患者的临床研究正在开展。</w:t>
            </w:r>
          </w:p>
        </w:tc>
      </w:tr>
    </w:tbl>
    <w:p w14:paraId="5BE2006E">
      <w:pPr>
        <w:spacing w:line="276" w:lineRule="auto"/>
        <w:rPr>
          <w:rFonts w:ascii="Times New Roman" w:hAnsi="Times New Roman" w:cs="Times New Roman"/>
          <w:b/>
          <w:sz w:val="18"/>
          <w:szCs w:val="18"/>
        </w:rPr>
      </w:pPr>
    </w:p>
    <w:p w14:paraId="08375E7F">
      <w:pPr>
        <w:spacing w:line="276" w:lineRule="auto"/>
        <w:rPr>
          <w:rFonts w:ascii="Times New Roman" w:hAnsi="Times New Roman" w:cs="Times New Roman"/>
          <w:b/>
          <w:sz w:val="18"/>
          <w:szCs w:val="18"/>
        </w:rPr>
      </w:pPr>
      <w:r>
        <w:rPr>
          <w:rFonts w:ascii="Times New Roman" w:hAnsi="Times New Roman" w:cs="Times New Roman"/>
          <w:b/>
          <w:sz w:val="18"/>
          <w:szCs w:val="18"/>
        </w:rPr>
        <w:t>注：</w:t>
      </w:r>
    </w:p>
    <w:p w14:paraId="4F30DC24">
      <w:pPr>
        <w:spacing w:line="276" w:lineRule="auto"/>
        <w:rPr>
          <w:rFonts w:ascii="Times New Roman" w:hAnsi="Times New Roman" w:cs="Times New Roman"/>
          <w:sz w:val="18"/>
          <w:szCs w:val="18"/>
        </w:rPr>
      </w:pPr>
      <w:r>
        <w:rPr>
          <w:rFonts w:ascii="Times New Roman" w:hAnsi="Times New Roman" w:cs="Times New Roman"/>
          <w:sz w:val="18"/>
          <w:szCs w:val="18"/>
        </w:rPr>
        <w:t>1.</w:t>
      </w:r>
      <w:r>
        <w:rPr>
          <w:rFonts w:hint="eastAsia" w:ascii="Times New Roman" w:hAnsi="Times New Roman" w:cs="Times New Roman"/>
          <w:sz w:val="18"/>
          <w:szCs w:val="18"/>
        </w:rPr>
        <w:t>加粗</w:t>
      </w:r>
      <w:r>
        <w:rPr>
          <w:rFonts w:ascii="Times New Roman" w:hAnsi="Times New Roman" w:cs="Times New Roman"/>
          <w:sz w:val="18"/>
          <w:szCs w:val="18"/>
        </w:rPr>
        <w:t>药物表示：FDA/NMPA已批准药物，</w:t>
      </w:r>
      <w:r>
        <w:rPr>
          <w:rFonts w:hint="eastAsia" w:ascii="Times New Roman" w:hAnsi="Times New Roman" w:cs="Times New Roman"/>
          <w:sz w:val="18"/>
          <w:szCs w:val="18"/>
        </w:rPr>
        <w:t>未加粗</w:t>
      </w:r>
      <w:r>
        <w:rPr>
          <w:rFonts w:ascii="Times New Roman" w:hAnsi="Times New Roman" w:cs="Times New Roman"/>
          <w:sz w:val="18"/>
          <w:szCs w:val="18"/>
        </w:rPr>
        <w:t>药物为未上市药物。</w:t>
      </w:r>
    </w:p>
    <w:p w14:paraId="207A3F26">
      <w:pPr>
        <w:spacing w:line="276" w:lineRule="auto"/>
        <w:rPr>
          <w:rFonts w:ascii="Times New Roman" w:hAnsi="Times New Roman" w:cs="Times New Roman"/>
          <w:sz w:val="18"/>
          <w:szCs w:val="18"/>
        </w:rPr>
      </w:pPr>
      <w:r>
        <w:rPr>
          <w:rFonts w:ascii="Times New Roman" w:hAnsi="Times New Roman" w:cs="Times New Roman"/>
          <w:sz w:val="18"/>
          <w:szCs w:val="18"/>
        </w:rPr>
        <w:t>2.* 标注的药物表示：NMPA批准的靶向药物。</w:t>
      </w:r>
    </w:p>
    <w:p w14:paraId="0CD56821">
      <w:pPr>
        <w:spacing w:line="276" w:lineRule="auto"/>
        <w:rPr>
          <w:rFonts w:ascii="Times New Roman" w:hAnsi="Times New Roman" w:cs="Times New Roman"/>
          <w:sz w:val="18"/>
          <w:szCs w:val="18"/>
        </w:rPr>
      </w:pPr>
    </w:p>
    <w:p w14:paraId="72086CDD">
      <w:pPr>
        <w:spacing w:line="276" w:lineRule="auto"/>
        <w:rPr>
          <w:rFonts w:ascii="Times New Roman" w:hAnsi="Times New Roman" w:cs="Times New Roman"/>
          <w:sz w:val="18"/>
          <w:szCs w:val="18"/>
        </w:rPr>
      </w:pPr>
    </w:p>
    <w:p w14:paraId="484540F0">
      <w:pPr>
        <w:spacing w:line="276" w:lineRule="auto"/>
        <w:rPr>
          <w:rFonts w:ascii="Times New Roman" w:hAnsi="Times New Roman" w:cs="Times New Roman"/>
          <w:sz w:val="18"/>
          <w:szCs w:val="18"/>
        </w:rPr>
      </w:pPr>
    </w:p>
    <w:p w14:paraId="23D90B56">
      <w:pPr>
        <w:spacing w:line="276" w:lineRule="auto"/>
        <w:rPr>
          <w:rFonts w:ascii="Times New Roman" w:hAnsi="Times New Roman" w:cs="Times New Roman"/>
          <w:sz w:val="18"/>
          <w:szCs w:val="18"/>
        </w:rPr>
      </w:pPr>
    </w:p>
    <w:p w14:paraId="5894950B">
      <w:pPr>
        <w:spacing w:line="276" w:lineRule="auto"/>
        <w:rPr>
          <w:rFonts w:ascii="Times New Roman" w:hAnsi="Times New Roman" w:cs="Times New Roman"/>
          <w:sz w:val="18"/>
          <w:szCs w:val="18"/>
        </w:rPr>
      </w:pPr>
    </w:p>
    <w:p w14:paraId="5726A6AE">
      <w:pPr>
        <w:spacing w:line="276" w:lineRule="auto"/>
        <w:rPr>
          <w:rFonts w:ascii="Times New Roman" w:hAnsi="Times New Roman" w:cs="Times New Roman"/>
          <w:sz w:val="18"/>
          <w:szCs w:val="18"/>
        </w:rPr>
      </w:pPr>
    </w:p>
    <w:p w14:paraId="00D53955">
      <w:pPr>
        <w:spacing w:line="276" w:lineRule="auto"/>
        <w:rPr>
          <w:rFonts w:ascii="Times New Roman" w:hAnsi="Times New Roman" w:cs="Times New Roman"/>
          <w:sz w:val="18"/>
          <w:szCs w:val="18"/>
        </w:rPr>
      </w:pPr>
    </w:p>
    <w:p w14:paraId="0F05165F">
      <w:pPr>
        <w:spacing w:line="276" w:lineRule="auto"/>
        <w:rPr>
          <w:rFonts w:ascii="Times New Roman" w:hAnsi="Times New Roman" w:cs="Times New Roman"/>
          <w:sz w:val="18"/>
          <w:szCs w:val="18"/>
        </w:rPr>
      </w:pPr>
    </w:p>
    <w:p w14:paraId="5137FF99">
      <w:pPr>
        <w:spacing w:line="276" w:lineRule="auto"/>
        <w:rPr>
          <w:rFonts w:ascii="Times New Roman" w:hAnsi="Times New Roman" w:cs="Times New Roman"/>
          <w:sz w:val="18"/>
          <w:szCs w:val="18"/>
        </w:rPr>
      </w:pPr>
    </w:p>
    <w:p w14:paraId="6C5561B1">
      <w:pPr>
        <w:spacing w:line="276" w:lineRule="auto"/>
        <w:rPr>
          <w:rFonts w:ascii="Times New Roman" w:hAnsi="Times New Roman" w:cs="Times New Roman"/>
          <w:sz w:val="18"/>
          <w:szCs w:val="18"/>
        </w:rPr>
      </w:pPr>
    </w:p>
    <w:p w14:paraId="2291A203">
      <w:pPr>
        <w:spacing w:before="26"/>
        <w:rPr>
          <w:rFonts w:ascii="Times New Roman" w:hAnsi="Times New Roman" w:cs="Times New Roman"/>
          <w:sz w:val="15"/>
        </w:rPr>
      </w:pPr>
    </w:p>
    <w:p w14:paraId="48011758">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ascii="Times New Roman" w:hAnsi="Times New Roman" w:cs="Times New Roman"/>
          <w:b/>
        </w:rPr>
        <w:t>ABL1</w:t>
      </w:r>
    </w:p>
    <w:p w14:paraId="6CE96508">
      <w:pPr>
        <w:spacing w:line="300" w:lineRule="auto"/>
        <w:ind w:left="420"/>
        <w:rPr>
          <w:rFonts w:ascii="Times New Roman" w:hAnsi="Times New Roman" w:cs="Times New Roman"/>
          <w:b/>
          <w:szCs w:val="18"/>
          <w:highlight w:val="black"/>
        </w:rPr>
      </w:pPr>
      <w:r>
        <w:rPr>
          <w:rFonts w:ascii="Times New Roman" w:hAnsi="Times New Roman" w:cs="Times New Roman"/>
          <w:b/>
          <w:szCs w:val="18"/>
        </w:rPr>
        <w:t>基因说明：</w:t>
      </w:r>
    </w:p>
    <w:p w14:paraId="50D5CA7B">
      <w:pPr>
        <w:spacing w:line="300" w:lineRule="auto"/>
        <w:ind w:left="420"/>
        <w:rPr>
          <w:rFonts w:ascii="Times New Roman" w:hAnsi="Times New Roman" w:cs="Times New Roman"/>
          <w:sz w:val="18"/>
          <w:szCs w:val="18"/>
        </w:rPr>
      </w:pPr>
      <w:r>
        <w:rPr>
          <w:rFonts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w:t>
      </w:r>
      <w:r>
        <w:rPr>
          <w:rFonts w:hint="eastAsia" w:ascii="Times New Roman" w:hAnsi="Times New Roman" w:cs="Times New Roman"/>
          <w:sz w:val="18"/>
          <w:szCs w:val="18"/>
        </w:rPr>
        <w:t>（</w:t>
      </w:r>
      <w:r>
        <w:rPr>
          <w:rFonts w:ascii="Times New Roman" w:hAnsi="Times New Roman" w:cs="Times New Roman"/>
          <w:sz w:val="18"/>
          <w:szCs w:val="18"/>
        </w:rPr>
        <w:t>MIM: 151410</w:t>
      </w:r>
      <w:r>
        <w:rPr>
          <w:rFonts w:hint="eastAsia" w:ascii="Times New Roman" w:hAnsi="Times New Roman" w:cs="Times New Roman"/>
          <w:sz w:val="18"/>
          <w:szCs w:val="18"/>
        </w:rPr>
        <w:t>）</w:t>
      </w:r>
      <w:r>
        <w:rPr>
          <w:rFonts w:ascii="Times New Roman" w:hAnsi="Times New Roman" w:cs="Times New Roman"/>
          <w:sz w:val="18"/>
          <w:szCs w:val="18"/>
        </w:rPr>
        <w:t>的融合。ABL1的突变常见于肺癌、结肠癌、子宫内膜样腺癌、乳腺浸润性导管癌和皮肤黑色素瘤患者中。</w:t>
      </w:r>
    </w:p>
    <w:p w14:paraId="34C5C42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202BC20">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ABL1在BCR-ABL融合蛋白中的作用与癌症关系最为密切，该融合蛋白已成为慢性</w:t>
      </w:r>
      <w:r>
        <w:rPr>
          <w:rFonts w:hint="eastAsia" w:ascii="Times New Roman" w:hAnsi="Times New Roman" w:cs="Times New Roman"/>
          <w:sz w:val="18"/>
          <w:szCs w:val="18"/>
        </w:rPr>
        <w:t>粒细胞</w:t>
      </w:r>
      <w:r>
        <w:rPr>
          <w:rFonts w:ascii="Times New Roman" w:hAnsi="Times New Roman" w:cs="Times New Roman"/>
          <w:sz w:val="18"/>
          <w:szCs w:val="18"/>
        </w:rPr>
        <w:t>白血病</w:t>
      </w:r>
      <w:r>
        <w:rPr>
          <w:rFonts w:hint="eastAsia" w:ascii="Times New Roman" w:hAnsi="Times New Roman" w:cs="Times New Roman"/>
          <w:sz w:val="18"/>
          <w:szCs w:val="18"/>
        </w:rPr>
        <w:t>（</w:t>
      </w:r>
      <w:r>
        <w:rPr>
          <w:rFonts w:ascii="Times New Roman" w:hAnsi="Times New Roman" w:cs="Times New Roman"/>
          <w:sz w:val="18"/>
          <w:szCs w:val="18"/>
        </w:rPr>
        <w:t>CML</w:t>
      </w:r>
      <w:r>
        <w:rPr>
          <w:rFonts w:hint="eastAsia" w:ascii="Times New Roman" w:hAnsi="Times New Roman" w:cs="Times New Roman"/>
          <w:sz w:val="18"/>
          <w:szCs w:val="18"/>
        </w:rPr>
        <w:t>）</w:t>
      </w:r>
      <w:r>
        <w:rPr>
          <w:rFonts w:ascii="Times New Roman" w:hAnsi="Times New Roman" w:cs="Times New Roman"/>
          <w:sz w:val="18"/>
          <w:szCs w:val="18"/>
        </w:rPr>
        <w:t>的一个特征，含有融合突变的细胞对伊马替尼表现出敏感性，大大改善了疾病的预后。</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指南推荐普纳替尼、尼洛替尼、伊马替尼、达沙替尼、博舒替尼用于</w:t>
      </w:r>
      <w:r>
        <w:rPr>
          <w:rFonts w:ascii="Times New Roman" w:hAnsi="Times New Roman" w:cs="Times New Roman"/>
          <w:sz w:val="18"/>
          <w:szCs w:val="18"/>
        </w:rPr>
        <w:t>ABL1重排的嗜酸性粒细胞增多症的髓系/淋巴系肿瘤患者</w:t>
      </w:r>
      <w:r>
        <w:rPr>
          <w:rFonts w:hint="eastAsia" w:ascii="Times New Roman" w:hAnsi="Times New Roman" w:cs="Times New Roman"/>
          <w:sz w:val="18"/>
          <w:szCs w:val="18"/>
        </w:rPr>
        <w:t>。</w:t>
      </w:r>
      <w:r>
        <w:rPr>
          <w:rFonts w:ascii="Times New Roman" w:hAnsi="Times New Roman" w:cs="Times New Roman"/>
          <w:sz w:val="18"/>
          <w:szCs w:val="18"/>
        </w:rPr>
        <w:t>然而，ABL1中额外的突变已被证明对伊马替尼具有耐药性，含有ABL1 R332W</w:t>
      </w:r>
      <w:r>
        <w:rPr>
          <w:rFonts w:hint="eastAsia" w:ascii="Times New Roman" w:hAnsi="Times New Roman" w:cs="Times New Roman"/>
          <w:sz w:val="18"/>
          <w:szCs w:val="18"/>
        </w:rPr>
        <w:t>（</w:t>
      </w:r>
      <w:r>
        <w:rPr>
          <w:rFonts w:ascii="Times New Roman" w:hAnsi="Times New Roman" w:cs="Times New Roman"/>
          <w:sz w:val="18"/>
          <w:szCs w:val="18"/>
        </w:rPr>
        <w:t>也被报道为R351W</w:t>
      </w:r>
      <w:r>
        <w:rPr>
          <w:rFonts w:hint="eastAsia" w:ascii="Times New Roman" w:hAnsi="Times New Roman" w:cs="Times New Roman"/>
          <w:sz w:val="18"/>
          <w:szCs w:val="18"/>
        </w:rPr>
        <w:t>）</w:t>
      </w:r>
      <w:r>
        <w:rPr>
          <w:rFonts w:ascii="Times New Roman" w:hAnsi="Times New Roman" w:cs="Times New Roman"/>
          <w:sz w:val="18"/>
          <w:szCs w:val="18"/>
        </w:rPr>
        <w:t>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w:t>
      </w:r>
      <w:r>
        <w:rPr>
          <w:rFonts w:hint="eastAsia" w:ascii="Times New Roman" w:hAnsi="Times New Roman" w:cs="Times New Roman"/>
          <w:sz w:val="18"/>
          <w:szCs w:val="18"/>
        </w:rPr>
        <w:t>。</w:t>
      </w:r>
      <w:r>
        <w:rPr>
          <w:rFonts w:ascii="Times New Roman" w:hAnsi="Times New Roman" w:cs="Times New Roman"/>
          <w:sz w:val="18"/>
          <w:szCs w:val="18"/>
        </w:rPr>
        <w:t>评估尼洛替尼</w:t>
      </w:r>
      <w:r>
        <w:rPr>
          <w:rFonts w:hint="eastAsia" w:ascii="Times New Roman" w:hAnsi="Times New Roman" w:cs="Times New Roman"/>
          <w:sz w:val="18"/>
          <w:szCs w:val="18"/>
        </w:rPr>
        <w:t>、依维莫司</w:t>
      </w:r>
      <w:r>
        <w:rPr>
          <w:rFonts w:ascii="Times New Roman" w:hAnsi="Times New Roman" w:cs="Times New Roman"/>
          <w:sz w:val="18"/>
          <w:szCs w:val="18"/>
        </w:rPr>
        <w:t>治疗ABL1</w:t>
      </w:r>
      <w:r>
        <w:rPr>
          <w:rFonts w:hint="eastAsia" w:ascii="Times New Roman" w:hAnsi="Times New Roman" w:cs="Times New Roman"/>
          <w:sz w:val="18"/>
          <w:szCs w:val="18"/>
        </w:rPr>
        <w:t>融合</w:t>
      </w:r>
      <w:r>
        <w:rPr>
          <w:rFonts w:ascii="Times New Roman" w:hAnsi="Times New Roman" w:cs="Times New Roman"/>
          <w:sz w:val="18"/>
          <w:szCs w:val="18"/>
        </w:rPr>
        <w:t>的实体瘤患者疗效的临床试验正在开展。</w:t>
      </w:r>
    </w:p>
    <w:p w14:paraId="5DF7D4B1">
      <w:pPr>
        <w:adjustRightInd w:val="0"/>
        <w:snapToGrid w:val="0"/>
        <w:spacing w:line="300" w:lineRule="auto"/>
        <w:ind w:left="420"/>
        <w:jc w:val="both"/>
        <w:rPr>
          <w:rFonts w:ascii="Times New Roman" w:hAnsi="Times New Roman" w:cs="Times New Roman"/>
          <w:sz w:val="18"/>
          <w:szCs w:val="18"/>
        </w:rPr>
      </w:pPr>
    </w:p>
    <w:p w14:paraId="07A7659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AKT1                                                                          </w:t>
      </w:r>
    </w:p>
    <w:p w14:paraId="3BF0284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7469D11">
      <w:pPr>
        <w:spacing w:line="300" w:lineRule="auto"/>
        <w:ind w:left="420"/>
        <w:rPr>
          <w:rFonts w:ascii="Times New Roman" w:hAnsi="Times New Roman" w:cs="Times New Roman"/>
          <w:sz w:val="18"/>
          <w:szCs w:val="18"/>
        </w:rPr>
      </w:pPr>
      <w:r>
        <w:rPr>
          <w:rFonts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w:t>
      </w:r>
      <w:r>
        <w:rPr>
          <w:rFonts w:hint="eastAsia" w:ascii="Times New Roman" w:hAnsi="Times New Roman" w:cs="Times New Roman"/>
          <w:sz w:val="18"/>
          <w:szCs w:val="18"/>
        </w:rPr>
        <w:t xml:space="preserve">: </w:t>
      </w:r>
      <w:r>
        <w:rPr>
          <w:rFonts w:ascii="Times New Roman" w:hAnsi="Times New Roman" w:cs="Times New Roman"/>
          <w:sz w:val="18"/>
          <w:szCs w:val="18"/>
        </w:rPr>
        <w:t>32305038]。异常活化的AKT会导致肿瘤发生、转移以及耐药性的产生，超过50%的肿瘤中存在Akt过度活化，与AKT1相关的疾病包括乳腺癌、结肠癌和卵巢癌等，在多种癌种中存在低频突变。</w:t>
      </w:r>
    </w:p>
    <w:p w14:paraId="3B04442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B7881A">
      <w:pPr>
        <w:spacing w:line="360" w:lineRule="auto"/>
        <w:ind w:left="420"/>
        <w:rPr>
          <w:rFonts w:ascii="Times New Roman" w:hAnsi="Times New Roman" w:cs="Times New Roman"/>
          <w:sz w:val="18"/>
          <w:szCs w:val="18"/>
        </w:rPr>
      </w:pPr>
      <w:r>
        <w:rPr>
          <w:rFonts w:ascii="Times New Roman" w:hAnsi="Times New Roman" w:cs="Times New Roman"/>
          <w:sz w:val="18"/>
          <w:szCs w:val="18"/>
        </w:rPr>
        <w:t>癌症中的AKT1激活主要是由于PI3K通路的激活或PTEN失活导致[ PMID: 30742888]。目前检测出的AKT1突变主要包括AKT1激活突变[PMID: 17611497</w:t>
      </w:r>
      <w:r>
        <w:rPr>
          <w:rFonts w:hint="eastAsia" w:ascii="Times New Roman" w:hAnsi="Times New Roman" w:cs="Times New Roman"/>
          <w:sz w:val="18"/>
          <w:szCs w:val="18"/>
        </w:rPr>
        <w:t>; PMID: 23134728; PMID: 20440266</w:t>
      </w:r>
      <w:r>
        <w:rPr>
          <w:rFonts w:ascii="Times New Roman" w:hAnsi="Times New Roman" w:cs="Times New Roman"/>
          <w:sz w:val="18"/>
          <w:szCs w:val="18"/>
        </w:rPr>
        <w:t>]，包括磷酸肌醇依赖的AKT1的活化。抑制Akt活性既可避免抑制上游PI3K造成的严重副作用，也可避免抑制下游mTOR引起的负反馈机制影响药效。在一项临床研究中，一名携带AKT1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w:t>
      </w:r>
      <w:r>
        <w:rPr>
          <w:rFonts w:hint="eastAsia" w:ascii="Times New Roman" w:hAnsi="Times New Roman" w:cs="Times New Roman"/>
          <w:sz w:val="18"/>
          <w:szCs w:val="18"/>
        </w:rPr>
        <w:t>；</w:t>
      </w:r>
      <w:r>
        <w:rPr>
          <w:rFonts w:ascii="Times New Roman" w:hAnsi="Times New Roman" w:cs="Times New Roman"/>
          <w:sz w:val="18"/>
          <w:szCs w:val="18"/>
        </w:rPr>
        <w:t>在480mg bid 4/3剂量组中，1例患者维持部分应答2年[PMID: 26931343]。</w:t>
      </w:r>
      <w:r>
        <w:rPr>
          <w:rFonts w:hint="eastAsia" w:ascii="Times New Roman" w:hAnsi="Times New Roman" w:cs="Times New Roman"/>
          <w:sz w:val="18"/>
          <w:szCs w:val="18"/>
        </w:rPr>
        <w:t>评估</w:t>
      </w:r>
      <w:r>
        <w:rPr>
          <w:rFonts w:ascii="Times New Roman" w:hAnsi="Times New Roman" w:cs="Times New Roman"/>
          <w:sz w:val="18"/>
          <w:szCs w:val="18"/>
        </w:rPr>
        <w:t>TAS117</w:t>
      </w:r>
      <w:r>
        <w:rPr>
          <w:rFonts w:hint="eastAsia" w:ascii="Times New Roman" w:hAnsi="Times New Roman" w:cs="Times New Roman"/>
          <w:sz w:val="18"/>
          <w:szCs w:val="18"/>
        </w:rPr>
        <w:t>、替西罗莫司、依维莫司、</w:t>
      </w:r>
      <w:r>
        <w:rPr>
          <w:rFonts w:ascii="Times New Roman" w:hAnsi="Times New Roman" w:cs="Times New Roman"/>
          <w:sz w:val="18"/>
          <w:szCs w:val="18"/>
        </w:rPr>
        <w:t>Ipatasertib</w:t>
      </w:r>
      <w:r>
        <w:rPr>
          <w:rFonts w:hint="eastAsia" w:ascii="Times New Roman" w:hAnsi="Times New Roman" w:cs="Times New Roman"/>
          <w:sz w:val="18"/>
          <w:szCs w:val="18"/>
        </w:rPr>
        <w:t>治疗A</w:t>
      </w:r>
      <w:r>
        <w:rPr>
          <w:rFonts w:ascii="Times New Roman" w:hAnsi="Times New Roman" w:cs="Times New Roman"/>
          <w:sz w:val="18"/>
          <w:szCs w:val="18"/>
        </w:rPr>
        <w:t>KT1</w:t>
      </w:r>
      <w:r>
        <w:rPr>
          <w:rFonts w:hint="eastAsia" w:ascii="Times New Roman" w:hAnsi="Times New Roman" w:cs="Times New Roman"/>
          <w:sz w:val="18"/>
          <w:szCs w:val="18"/>
        </w:rPr>
        <w:t>突变的实体瘤患者疗效的临床试验正在开展</w:t>
      </w:r>
      <w:r>
        <w:rPr>
          <w:rFonts w:ascii="Times New Roman" w:hAnsi="Times New Roman" w:cs="Times New Roman"/>
          <w:sz w:val="18"/>
          <w:szCs w:val="18"/>
        </w:rPr>
        <w:t>。</w:t>
      </w:r>
    </w:p>
    <w:p w14:paraId="74ED118D">
      <w:pPr>
        <w:spacing w:line="360" w:lineRule="auto"/>
        <w:ind w:firstLine="420"/>
        <w:rPr>
          <w:rFonts w:ascii="Times New Roman" w:hAnsi="Times New Roman" w:cs="Times New Roman"/>
          <w:sz w:val="18"/>
          <w:szCs w:val="18"/>
        </w:rPr>
      </w:pPr>
    </w:p>
    <w:p w14:paraId="45C752B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AKT3                                                                          </w:t>
      </w:r>
    </w:p>
    <w:p w14:paraId="0ABC55E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382D38">
      <w:pPr>
        <w:spacing w:line="300" w:lineRule="auto"/>
        <w:ind w:left="420"/>
        <w:rPr>
          <w:rFonts w:ascii="Times New Roman" w:hAnsi="Times New Roman" w:cs="Times New Roman"/>
          <w:sz w:val="18"/>
          <w:szCs w:val="18"/>
        </w:rPr>
      </w:pPr>
      <w:r>
        <w:rPr>
          <w:rFonts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642BC74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E8924CA">
      <w:pPr>
        <w:spacing w:line="300" w:lineRule="auto"/>
        <w:ind w:left="420"/>
        <w:rPr>
          <w:rFonts w:ascii="Times New Roman" w:hAnsi="Times New Roman" w:cs="Times New Roman"/>
          <w:sz w:val="18"/>
          <w:szCs w:val="18"/>
        </w:rPr>
      </w:pPr>
      <w:r>
        <w:rPr>
          <w:rFonts w:ascii="Times New Roman" w:hAnsi="Times New Roman" w:cs="Times New Roman"/>
          <w:sz w:val="18"/>
          <w:szCs w:val="18"/>
        </w:rPr>
        <w:t>许多针对AKT的药物会抑制所有亚型，但非特异性AKT抑制剂对具有较高AKT3水平的低侵袭性胶质母细胞瘤不利[PMID:</w:t>
      </w:r>
      <w:r>
        <w:rPr>
          <w:rFonts w:hint="eastAsia" w:ascii="Times New Roman" w:hAnsi="Times New Roman" w:cs="Times New Roman"/>
          <w:sz w:val="18"/>
          <w:szCs w:val="18"/>
        </w:rPr>
        <w:t xml:space="preserve"> </w:t>
      </w:r>
      <w:r>
        <w:rPr>
          <w:rFonts w:ascii="Times New Roman" w:hAnsi="Times New Roman" w:cs="Times New Roman"/>
          <w:sz w:val="18"/>
          <w:szCs w:val="18"/>
        </w:rPr>
        <w:t>27422127]。在以AKT3突变和扩增为纳入标准的临床试验中，多个靶向方式治疗AKT3异常的肺癌和肠癌患者的临床试验正在开展，比如评估替西罗莫司治疗AKT3扩增的实体瘤患者疗效的临床试验正在开展。</w:t>
      </w:r>
    </w:p>
    <w:p w14:paraId="6E556173">
      <w:pPr>
        <w:spacing w:line="300" w:lineRule="auto"/>
        <w:ind w:left="420"/>
        <w:rPr>
          <w:rFonts w:ascii="Times New Roman" w:hAnsi="Times New Roman" w:cs="Times New Roman"/>
          <w:sz w:val="18"/>
          <w:szCs w:val="18"/>
          <w:highlight w:val="black"/>
        </w:rPr>
      </w:pPr>
    </w:p>
    <w:p w14:paraId="5C88739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AR                                                                         </w:t>
      </w:r>
    </w:p>
    <w:p w14:paraId="79C7103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4C6F0B0">
      <w:pPr>
        <w:spacing w:line="300" w:lineRule="auto"/>
        <w:ind w:left="420"/>
        <w:rPr>
          <w:rFonts w:ascii="Times New Roman" w:hAnsi="Times New Roman" w:cs="Times New Roman"/>
          <w:sz w:val="18"/>
          <w:szCs w:val="18"/>
        </w:rPr>
      </w:pPr>
      <w:r>
        <w:rPr>
          <w:rFonts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3F0C8BF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F618DFE">
      <w:pPr>
        <w:spacing w:line="300" w:lineRule="auto"/>
        <w:ind w:left="420"/>
        <w:rPr>
          <w:rFonts w:ascii="Times New Roman" w:hAnsi="Times New Roman" w:cs="Times New Roman"/>
          <w:sz w:val="18"/>
          <w:szCs w:val="18"/>
        </w:rPr>
      </w:pPr>
      <w:r>
        <w:rPr>
          <w:rFonts w:ascii="Times New Roman" w:hAnsi="Times New Roman" w:cs="Times New Roman"/>
          <w:sz w:val="18"/>
          <w:szCs w:val="18"/>
        </w:rPr>
        <w:t>在前列腺癌对阿比特龙+泼尼松和</w:t>
      </w:r>
      <w:r>
        <w:rPr>
          <w:rFonts w:hint="eastAsia" w:ascii="Times New Roman" w:hAnsi="Times New Roman" w:cs="Times New Roman"/>
          <w:sz w:val="18"/>
          <w:szCs w:val="18"/>
        </w:rPr>
        <w:t>恩扎卢胺</w:t>
      </w:r>
      <w:r>
        <w:rPr>
          <w:rFonts w:ascii="Times New Roman" w:hAnsi="Times New Roman" w:cs="Times New Roman"/>
          <w:sz w:val="18"/>
          <w:szCs w:val="18"/>
        </w:rPr>
        <w:t>的耐药性相关研究中，AR扩增患者的最差应答者大多为AR拷贝数高(&gt;8)的患者[PMID: 29367197]。AR基因扩增的前列腺癌患者对恩</w:t>
      </w:r>
      <w:r>
        <w:rPr>
          <w:rFonts w:hint="eastAsia" w:ascii="Times New Roman" w:hAnsi="Times New Roman" w:cs="Times New Roman"/>
          <w:sz w:val="18"/>
          <w:szCs w:val="18"/>
        </w:rPr>
        <w:t>扎卢</w:t>
      </w:r>
      <w:r>
        <w:rPr>
          <w:rFonts w:ascii="Times New Roman" w:hAnsi="Times New Roman" w:cs="Times New Roman"/>
          <w:sz w:val="18"/>
          <w:szCs w:val="18"/>
        </w:rPr>
        <w:t>胺响应减少，对阿比特龙也耐药[PMID: 27148695]。一个携带AR基因扩增的前列腺癌患者在接受多西他赛化疗后，肝转移得到控制，后续治疗中选择阿比特龙+泼尼松龙治疗无响应[PMID: 25232177]。</w:t>
      </w:r>
    </w:p>
    <w:p w14:paraId="3C912343">
      <w:pPr>
        <w:spacing w:line="300" w:lineRule="auto"/>
        <w:ind w:left="420"/>
        <w:rPr>
          <w:rFonts w:ascii="Times New Roman" w:hAnsi="Times New Roman" w:cs="Times New Roman"/>
          <w:sz w:val="18"/>
          <w:szCs w:val="18"/>
        </w:rPr>
      </w:pPr>
    </w:p>
    <w:p w14:paraId="2702A0F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AXL                                                                         </w:t>
      </w:r>
    </w:p>
    <w:p w14:paraId="2AE55B6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BF13393">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2F54531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10548AA">
      <w:pPr>
        <w:spacing w:line="300" w:lineRule="auto"/>
        <w:ind w:left="420"/>
        <w:rPr>
          <w:rFonts w:ascii="Times New Roman" w:hAnsi="Times New Roman" w:cs="Times New Roman"/>
          <w:sz w:val="18"/>
          <w:szCs w:val="18"/>
        </w:rPr>
      </w:pPr>
      <w:r>
        <w:rPr>
          <w:rFonts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w:t>
      </w:r>
      <w:r>
        <w:rPr>
          <w:rFonts w:hint="eastAsia" w:ascii="Times New Roman" w:hAnsi="Times New Roman" w:cs="Times New Roman"/>
          <w:sz w:val="18"/>
          <w:szCs w:val="18"/>
        </w:rPr>
        <w:t>非小细胞肺癌</w:t>
      </w:r>
      <w:r>
        <w:rPr>
          <w:rFonts w:ascii="Times New Roman" w:hAnsi="Times New Roman" w:cs="Times New Roman"/>
          <w:sz w:val="18"/>
          <w:szCs w:val="18"/>
        </w:rPr>
        <w:t>患者不良预后相关的危险因素[PMID: 28105215]</w:t>
      </w:r>
      <w:r>
        <w:rPr>
          <w:rFonts w:hint="eastAsia" w:ascii="Times New Roman" w:hAnsi="Times New Roman" w:cs="Times New Roman"/>
          <w:sz w:val="18"/>
          <w:szCs w:val="18"/>
        </w:rPr>
        <w:t>。</w:t>
      </w:r>
      <w:r>
        <w:rPr>
          <w:rFonts w:ascii="Times New Roman" w:hAnsi="Times New Roman" w:cs="Times New Roman"/>
          <w:sz w:val="18"/>
          <w:szCs w:val="18"/>
        </w:rPr>
        <w:t>116例食管鳞癌肿瘤的免疫组化分析发现，AXL表达与肿瘤的进展增加相关</w:t>
      </w:r>
      <w:r>
        <w:rPr>
          <w:rFonts w:hint="eastAsia" w:ascii="Times New Roman" w:hAnsi="Times New Roman" w:cs="Times New Roman"/>
          <w:sz w:val="18"/>
          <w:szCs w:val="18"/>
        </w:rPr>
        <w:t>（</w:t>
      </w:r>
      <w:r>
        <w:rPr>
          <w:rFonts w:ascii="Times New Roman" w:hAnsi="Times New Roman" w:cs="Times New Roman"/>
          <w:sz w:val="18"/>
          <w:szCs w:val="18"/>
        </w:rPr>
        <w:t>P &lt; 0.0001</w:t>
      </w:r>
      <w:r>
        <w:rPr>
          <w:rFonts w:hint="eastAsia" w:ascii="Times New Roman" w:hAnsi="Times New Roman" w:cs="Times New Roman"/>
          <w:sz w:val="18"/>
          <w:szCs w:val="18"/>
        </w:rPr>
        <w:t>）</w:t>
      </w:r>
      <w:r>
        <w:rPr>
          <w:rFonts w:ascii="Times New Roman" w:hAnsi="Times New Roman" w:cs="Times New Roman"/>
          <w:sz w:val="18"/>
          <w:szCs w:val="18"/>
        </w:rPr>
        <w:t>，增加了肿瘤患者的远处转移和死亡风险[PMID: 27172793]。评估卡博替尼治疗AXL扩增的非小细胞肺癌患者疗效的临床试验正在开展。</w:t>
      </w:r>
    </w:p>
    <w:p w14:paraId="52C18663">
      <w:pPr>
        <w:spacing w:line="300" w:lineRule="auto"/>
        <w:ind w:left="420"/>
        <w:rPr>
          <w:rFonts w:ascii="Times New Roman" w:hAnsi="Times New Roman" w:cs="Times New Roman"/>
          <w:sz w:val="18"/>
          <w:szCs w:val="18"/>
        </w:rPr>
      </w:pPr>
    </w:p>
    <w:p w14:paraId="654D5BA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CCND1                                                                          </w:t>
      </w:r>
    </w:p>
    <w:p w14:paraId="63C11D4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8C4ACA">
      <w:pPr>
        <w:spacing w:line="300" w:lineRule="auto"/>
        <w:ind w:left="420"/>
        <w:rPr>
          <w:rFonts w:ascii="Times New Roman" w:hAnsi="Times New Roman" w:cs="Times New Roman"/>
          <w:sz w:val="18"/>
          <w:szCs w:val="18"/>
        </w:rPr>
      </w:pPr>
      <w:r>
        <w:rPr>
          <w:rFonts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5B1DEAB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5C3602E">
      <w:pPr>
        <w:spacing w:line="300" w:lineRule="auto"/>
        <w:ind w:left="420"/>
        <w:rPr>
          <w:rFonts w:ascii="Times New Roman" w:hAnsi="Times New Roman" w:cs="Times New Roman"/>
          <w:sz w:val="18"/>
          <w:szCs w:val="18"/>
        </w:rPr>
      </w:pPr>
      <w:r>
        <w:rPr>
          <w:rFonts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w:t>
      </w:r>
      <w:r>
        <w:rPr>
          <w:rFonts w:hint="eastAsia" w:ascii="Times New Roman" w:hAnsi="Times New Roman" w:cs="Times New Roman"/>
          <w:sz w:val="18"/>
          <w:szCs w:val="18"/>
        </w:rPr>
        <w:t>一项使用哌柏西利治疗细胞周期基因改变阳性</w:t>
      </w:r>
      <w:r>
        <w:rPr>
          <w:rFonts w:ascii="Times New Roman" w:hAnsi="Times New Roman" w:cs="Times New Roman"/>
          <w:sz w:val="18"/>
          <w:szCs w:val="18"/>
        </w:rPr>
        <w:t>IV期肺鳞癌患者的II期研究中， 32例患者接受了哌柏西利治疗，有2例部分反应（反应率6％[95％置信区间（CI）：0％-15％]），均为CCND1扩增[PMID: 31302234]。评估哌柏西利治疗CCND1扩增的肺鳞癌和实体瘤患者疗效的临床试验正在开展。</w:t>
      </w:r>
    </w:p>
    <w:p w14:paraId="534D976E">
      <w:pPr>
        <w:spacing w:line="300" w:lineRule="auto"/>
        <w:ind w:left="420"/>
        <w:rPr>
          <w:rFonts w:ascii="Times New Roman" w:hAnsi="Times New Roman" w:cs="Times New Roman"/>
          <w:sz w:val="18"/>
          <w:szCs w:val="18"/>
        </w:rPr>
      </w:pPr>
    </w:p>
    <w:p w14:paraId="62B7452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CDK4                                                                          </w:t>
      </w:r>
    </w:p>
    <w:p w14:paraId="2BE5D6F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B74B918">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7ED8EC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F8A756E">
      <w:pPr>
        <w:spacing w:line="300" w:lineRule="auto"/>
        <w:ind w:left="420"/>
        <w:rPr>
          <w:rFonts w:ascii="Times New Roman" w:hAnsi="Times New Roman" w:cs="Times New Roman"/>
          <w:sz w:val="18"/>
          <w:szCs w:val="18"/>
        </w:rPr>
      </w:pPr>
      <w:r>
        <w:rPr>
          <w:rFonts w:ascii="Times New Roman" w:hAnsi="Times New Roman" w:cs="Times New Roman"/>
          <w:sz w:val="18"/>
          <w:szCs w:val="18"/>
        </w:rPr>
        <w:t>针对CDK抑制的一种靶向治疗是</w:t>
      </w:r>
      <w:r>
        <w:rPr>
          <w:rFonts w:hint="eastAsia" w:ascii="Times New Roman" w:hAnsi="Times New Roman" w:cs="Times New Roman"/>
          <w:sz w:val="18"/>
          <w:szCs w:val="18"/>
        </w:rPr>
        <w:t>哌柏西利</w:t>
      </w:r>
      <w:r>
        <w:rPr>
          <w:rFonts w:ascii="Times New Roman" w:hAnsi="Times New Roman" w:cs="Times New Roman"/>
          <w:sz w:val="18"/>
          <w:szCs w:val="18"/>
        </w:rPr>
        <w:t>，可以减缓晚期乳腺癌的生长。也有小鼠中的研究表明，CDK抑制可能使突变的PIK3CA肿瘤对PI3K抑制剂敏感。</w:t>
      </w:r>
      <w:r>
        <w:rPr>
          <w:rFonts w:hint="eastAsia" w:ascii="Times New Roman" w:hAnsi="Times New Roman" w:cs="Times New Roman"/>
          <w:sz w:val="18"/>
          <w:szCs w:val="18"/>
        </w:rPr>
        <w:t>多项临床研究表明，携带C</w:t>
      </w:r>
      <w:r>
        <w:rPr>
          <w:rFonts w:ascii="Times New Roman" w:hAnsi="Times New Roman" w:cs="Times New Roman"/>
          <w:sz w:val="18"/>
          <w:szCs w:val="18"/>
        </w:rPr>
        <w:t>DK4</w:t>
      </w:r>
      <w:r>
        <w:rPr>
          <w:rFonts w:hint="eastAsia" w:ascii="Times New Roman" w:hAnsi="Times New Roman" w:cs="Times New Roman"/>
          <w:sz w:val="18"/>
          <w:szCs w:val="18"/>
        </w:rPr>
        <w:t>扩增的脂肪肉瘤患者对C</w:t>
      </w:r>
      <w:r>
        <w:rPr>
          <w:rFonts w:ascii="Times New Roman" w:hAnsi="Times New Roman" w:cs="Times New Roman"/>
          <w:sz w:val="18"/>
          <w:szCs w:val="18"/>
        </w:rPr>
        <w:t>DK</w:t>
      </w:r>
      <w:r>
        <w:rPr>
          <w:rFonts w:hint="eastAsia" w:ascii="Times New Roman" w:hAnsi="Times New Roman" w:cs="Times New Roman"/>
          <w:sz w:val="18"/>
          <w:szCs w:val="18"/>
        </w:rPr>
        <w:t>抑制剂哌柏西利敏感</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23569312; PMID: 27124835]</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6DC7C557">
      <w:pPr>
        <w:spacing w:line="300" w:lineRule="auto"/>
        <w:ind w:left="420"/>
        <w:rPr>
          <w:rFonts w:ascii="Times New Roman" w:hAnsi="Times New Roman" w:cs="Times New Roman"/>
          <w:sz w:val="18"/>
          <w:szCs w:val="18"/>
        </w:rPr>
      </w:pPr>
    </w:p>
    <w:p w14:paraId="23EA864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CDK6                                                                         </w:t>
      </w:r>
    </w:p>
    <w:p w14:paraId="772E2C6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169763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05E98BF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BABC7CA">
      <w:pPr>
        <w:spacing w:line="300" w:lineRule="auto"/>
        <w:ind w:left="420"/>
        <w:rPr>
          <w:rFonts w:ascii="Times New Roman" w:hAnsi="Times New Roman" w:cs="Times New Roman"/>
          <w:sz w:val="18"/>
          <w:szCs w:val="18"/>
        </w:rPr>
      </w:pPr>
      <w:r>
        <w:rPr>
          <w:rFonts w:ascii="Times New Roman" w:hAnsi="Times New Roman" w:cs="Times New Roman"/>
          <w:sz w:val="18"/>
          <w:szCs w:val="18"/>
        </w:rPr>
        <w:t>CDK6的扩增导致CDK6表达显著增加，CDK4/6靶点磷酸化rb (pRb)对CDK4/6抑制剂的反应降低。CDK4/6复合物的抑制剂如</w:t>
      </w:r>
      <w:r>
        <w:rPr>
          <w:rFonts w:hint="eastAsia" w:ascii="Times New Roman" w:hAnsi="Times New Roman" w:cs="Times New Roman"/>
          <w:sz w:val="18"/>
          <w:szCs w:val="18"/>
        </w:rPr>
        <w:t>阿贝西利</w:t>
      </w:r>
      <w:r>
        <w:rPr>
          <w:rFonts w:ascii="Times New Roman" w:hAnsi="Times New Roman" w:cs="Times New Roman"/>
          <w:sz w:val="18"/>
          <w:szCs w:val="18"/>
        </w:rPr>
        <w:t>已在临床得到进展，并显示出显著的活性，特别是对由雌激素受体</w:t>
      </w:r>
      <w:r>
        <w:rPr>
          <w:rFonts w:hint="eastAsia" w:ascii="Times New Roman" w:hAnsi="Times New Roman" w:cs="Times New Roman"/>
          <w:sz w:val="18"/>
          <w:szCs w:val="18"/>
        </w:rPr>
        <w:t>（</w:t>
      </w:r>
      <w:r>
        <w:rPr>
          <w:rFonts w:ascii="Times New Roman" w:hAnsi="Times New Roman" w:cs="Times New Roman"/>
          <w:sz w:val="18"/>
          <w:szCs w:val="18"/>
        </w:rPr>
        <w:t>ER</w:t>
      </w:r>
      <w:r>
        <w:rPr>
          <w:rFonts w:hint="eastAsia" w:ascii="Times New Roman" w:hAnsi="Times New Roman" w:cs="Times New Roman"/>
          <w:sz w:val="18"/>
          <w:szCs w:val="18"/>
        </w:rPr>
        <w:t>）</w:t>
      </w:r>
      <w:r>
        <w:rPr>
          <w:rFonts w:ascii="Times New Roman" w:hAnsi="Times New Roman" w:cs="Times New Roman"/>
          <w:sz w:val="18"/>
          <w:szCs w:val="18"/>
        </w:rPr>
        <w:t>驱动的肿瘤。一项针对胰腺神经内分泌肿瘤的临床前研究表明，CDK4和CDK6基因的扩增或蛋白过表达可能对CDK4/6抑制剂哌柏西利敏感[PMID: 22761470]。</w:t>
      </w:r>
      <w:r>
        <w:rPr>
          <w:rFonts w:hint="eastAsia" w:ascii="Times New Roman" w:hAnsi="Times New Roman" w:cs="Times New Roman"/>
          <w:sz w:val="18"/>
          <w:szCs w:val="18"/>
        </w:rPr>
        <w:t>C</w:t>
      </w:r>
      <w:r>
        <w:rPr>
          <w:rFonts w:ascii="Times New Roman" w:hAnsi="Times New Roman" w:cs="Times New Roman"/>
          <w:sz w:val="18"/>
          <w:szCs w:val="18"/>
        </w:rPr>
        <w:t>DK6</w:t>
      </w:r>
      <w:r>
        <w:rPr>
          <w:rFonts w:hint="eastAsia" w:ascii="Times New Roman" w:hAnsi="Times New Roman" w:cs="Times New Roman"/>
          <w:sz w:val="18"/>
          <w:szCs w:val="18"/>
        </w:rPr>
        <w:t>蛋白表达增加与卵巢癌患者预后呈显著负相关（</w:t>
      </w:r>
      <w:r>
        <w:rPr>
          <w:rFonts w:ascii="Times New Roman" w:hAnsi="Times New Roman" w:cs="Times New Roman"/>
          <w:sz w:val="18"/>
          <w:szCs w:val="18"/>
        </w:rPr>
        <w:t>P=0.006）[PMID: 27687663]</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381C85A5">
      <w:pPr>
        <w:spacing w:line="360" w:lineRule="auto"/>
        <w:rPr>
          <w:rFonts w:ascii="Times New Roman" w:hAnsi="Times New Roman" w:cs="Times New Roman"/>
          <w:sz w:val="18"/>
          <w:szCs w:val="18"/>
        </w:rPr>
      </w:pPr>
    </w:p>
    <w:p w14:paraId="393FEF1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CTNNB1                                                                         </w:t>
      </w:r>
    </w:p>
    <w:p w14:paraId="64C54C7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013EAD2">
      <w:pPr>
        <w:spacing w:line="300" w:lineRule="auto"/>
        <w:ind w:left="420"/>
        <w:rPr>
          <w:rFonts w:ascii="Times New Roman" w:hAnsi="Times New Roman" w:cs="Times New Roman"/>
          <w:sz w:val="18"/>
          <w:szCs w:val="18"/>
        </w:rPr>
      </w:pPr>
      <w:r>
        <w:rPr>
          <w:rFonts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17242F7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23EA6E6">
      <w:pPr>
        <w:spacing w:line="360" w:lineRule="auto"/>
        <w:ind w:left="420"/>
        <w:rPr>
          <w:rFonts w:ascii="Times New Roman" w:hAnsi="Times New Roman" w:cs="Times New Roman"/>
          <w:sz w:val="18"/>
          <w:szCs w:val="18"/>
        </w:rPr>
      </w:pPr>
      <w:r>
        <w:rPr>
          <w:rFonts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w:t>
      </w:r>
      <w:r>
        <w:rPr>
          <w:rFonts w:hint="eastAsia" w:ascii="Times New Roman" w:hAnsi="Times New Roman" w:cs="Times New Roman"/>
          <w:sz w:val="18"/>
          <w:szCs w:val="18"/>
        </w:rPr>
        <w:t xml:space="preserve">: </w:t>
      </w:r>
      <w:r>
        <w:rPr>
          <w:rFonts w:ascii="Times New Roman" w:hAnsi="Times New Roman" w:cs="Times New Roman"/>
          <w:sz w:val="18"/>
          <w:szCs w:val="18"/>
        </w:rPr>
        <w:t>19351922</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PMID: 31801553</w:t>
      </w:r>
      <w:r>
        <w:rPr>
          <w:rFonts w:ascii="Times New Roman" w:hAnsi="Times New Roman" w:cs="Times New Roman"/>
          <w:sz w:val="18"/>
          <w:szCs w:val="18"/>
        </w:rPr>
        <w:t>]。临床前研究表明，携带CTNNB1热点突变的细胞系（包括携带CTNNB1 T41A的肺癌细胞系），相比CTNNB1野生型细胞系对TTK抑制剂（BAY1161909、MPI-0479605、NMS-P715 、BAY1217389 、Mps1-IN-1 、Mps-BAY2b 、NTRC 0066-0）敏感性提高[PMID: 28751540]。</w:t>
      </w:r>
      <w:r>
        <w:rPr>
          <w:rFonts w:hint="eastAsia" w:ascii="Times New Roman" w:hAnsi="Times New Roman" w:cs="Times New Roman"/>
          <w:sz w:val="18"/>
          <w:szCs w:val="18"/>
        </w:rPr>
        <w:t>在一项回顾性分析中，</w:t>
      </w:r>
      <w:r>
        <w:rPr>
          <w:rFonts w:ascii="Times New Roman" w:hAnsi="Times New Roman" w:cs="Times New Roman"/>
          <w:sz w:val="18"/>
          <w:szCs w:val="18"/>
        </w:rPr>
        <w:t>100例非小细胞肺癌患者中，有8例在奥希替尼治疗耐药时发现了激活的CTNNB1突变，包括S37F/C（n=5）、D32V（n=1）、G34V（n=1）和T41I（n=1）[PMID: 31839416]。</w:t>
      </w:r>
    </w:p>
    <w:p w14:paraId="1895C0E8">
      <w:pPr>
        <w:spacing w:line="360" w:lineRule="auto"/>
        <w:ind w:left="420"/>
        <w:rPr>
          <w:rFonts w:ascii="Times New Roman" w:hAnsi="Times New Roman" w:cs="Times New Roman"/>
          <w:sz w:val="18"/>
          <w:szCs w:val="18"/>
        </w:rPr>
      </w:pPr>
    </w:p>
    <w:p w14:paraId="4416558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DDR2                                                                          </w:t>
      </w:r>
    </w:p>
    <w:p w14:paraId="27DB0BC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960C4CA">
      <w:pPr>
        <w:spacing w:line="300" w:lineRule="auto"/>
        <w:ind w:left="420"/>
        <w:rPr>
          <w:rFonts w:ascii="Times New Roman" w:hAnsi="Times New Roman" w:cs="Times New Roman"/>
          <w:sz w:val="18"/>
          <w:szCs w:val="18"/>
        </w:rPr>
      </w:pPr>
      <w:r>
        <w:rPr>
          <w:rFonts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w:t>
      </w:r>
      <w:r>
        <w:rPr>
          <w:rFonts w:hint="eastAsia" w:ascii="Times New Roman" w:hAnsi="Times New Roman" w:cs="Times New Roman"/>
          <w:sz w:val="18"/>
          <w:szCs w:val="18"/>
        </w:rPr>
        <w:t xml:space="preserve">: </w:t>
      </w:r>
      <w:r>
        <w:rPr>
          <w:rFonts w:ascii="Times New Roman" w:hAnsi="Times New Roman" w:cs="Times New Roman"/>
          <w:sz w:val="18"/>
          <w:szCs w:val="18"/>
        </w:rPr>
        <w:t>16186108</w:t>
      </w:r>
      <w:r>
        <w:rPr>
          <w:rFonts w:hint="eastAsia" w:ascii="Times New Roman" w:hAnsi="Times New Roman" w:cs="Times New Roman"/>
          <w:sz w:val="18"/>
          <w:szCs w:val="18"/>
        </w:rPr>
        <w:t>; PMID: 17703188</w:t>
      </w:r>
      <w:r>
        <w:rPr>
          <w:rFonts w:ascii="Times New Roman" w:hAnsi="Times New Roman" w:cs="Times New Roman"/>
          <w:sz w:val="18"/>
          <w:szCs w:val="18"/>
        </w:rPr>
        <w:t>]，参与细胞生长，分化和代谢的调节。DDR2突变常见于肺癌、乳腺浸润性导管癌、结肠癌、子宫内膜样腺癌和膀胱尿路上皮癌中。</w:t>
      </w:r>
    </w:p>
    <w:p w14:paraId="306A42E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794DF92">
      <w:pPr>
        <w:spacing w:line="360" w:lineRule="auto"/>
        <w:ind w:left="420"/>
        <w:rPr>
          <w:rFonts w:ascii="Times New Roman" w:hAnsi="Times New Roman" w:cs="Times New Roman"/>
          <w:sz w:val="18"/>
          <w:szCs w:val="18"/>
        </w:rPr>
      </w:pPr>
      <w:r>
        <w:rPr>
          <w:rFonts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w:t>
      </w:r>
      <w:r>
        <w:rPr>
          <w:rFonts w:hint="eastAsia" w:ascii="Times New Roman" w:hAnsi="Times New Roman" w:cs="Times New Roman"/>
          <w:sz w:val="18"/>
          <w:szCs w:val="18"/>
        </w:rPr>
        <w:t>; PMID: 21701781; PMID: 23644467;</w:t>
      </w:r>
      <w:r>
        <w:rPr>
          <w:rFonts w:ascii="Times New Roman" w:hAnsi="Times New Roman" w:cs="Times New Roman"/>
          <w:sz w:val="18"/>
          <w:szCs w:val="18"/>
        </w:rPr>
        <w:t xml:space="preserve"> </w:t>
      </w:r>
      <w:r>
        <w:rPr>
          <w:rFonts w:hint="eastAsia" w:ascii="Times New Roman" w:hAnsi="Times New Roman" w:cs="Times New Roman"/>
          <w:sz w:val="18"/>
          <w:szCs w:val="18"/>
        </w:rPr>
        <w:t>PMID: 25130389</w:t>
      </w:r>
      <w:r>
        <w:rPr>
          <w:rFonts w:ascii="Times New Roman" w:hAnsi="Times New Roman" w:cs="Times New Roman"/>
          <w:sz w:val="18"/>
          <w:szCs w:val="18"/>
        </w:rPr>
        <w:t>]。一项案例报道中，1例携带DDR2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2551CD77">
      <w:pPr>
        <w:spacing w:line="360" w:lineRule="auto"/>
        <w:ind w:left="420"/>
        <w:rPr>
          <w:rFonts w:ascii="Times New Roman" w:hAnsi="Times New Roman" w:cs="Times New Roman"/>
          <w:sz w:val="18"/>
          <w:szCs w:val="18"/>
        </w:rPr>
      </w:pPr>
    </w:p>
    <w:p w14:paraId="4E44179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ascii="Times New Roman" w:hAnsi="Times New Roman" w:cs="Times New Roman"/>
          <w:b/>
        </w:rPr>
        <w:t xml:space="preserve">ERBB2                                                                          </w:t>
      </w:r>
    </w:p>
    <w:p w14:paraId="2549A8A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D84D10">
      <w:pPr>
        <w:spacing w:line="300" w:lineRule="auto"/>
        <w:ind w:left="420"/>
        <w:rPr>
          <w:rFonts w:ascii="Times New Roman" w:hAnsi="Times New Roman" w:cs="Times New Roman"/>
          <w:sz w:val="18"/>
          <w:szCs w:val="18"/>
        </w:rPr>
      </w:pPr>
      <w:r>
        <w:rPr>
          <w:rFonts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26112758">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hint="eastAsia" w:ascii="Times New Roman" w:hAnsi="Times New Roman" w:cs="Times New Roman"/>
          <w:b/>
          <w:color w:val="000000"/>
          <w:sz w:val="18"/>
          <w:szCs w:val="18"/>
        </w:rPr>
        <w:t>恩美曲妥珠单抗</w:t>
      </w:r>
      <w:r>
        <w:rPr>
          <w:rFonts w:ascii="Times New Roman" w:hAnsi="Times New Roman" w:cs="Times New Roman"/>
          <w:b/>
          <w:sz w:val="18"/>
          <w:szCs w:val="18"/>
        </w:rPr>
        <w:t>*</w:t>
      </w:r>
      <w:r>
        <w:rPr>
          <w:rFonts w:hint="eastAsia" w:ascii="Times New Roman" w:hAnsi="Times New Roman" w:cs="Times New Roman"/>
          <w:b/>
          <w:sz w:val="18"/>
          <w:szCs w:val="18"/>
        </w:rPr>
        <w:t>、</w:t>
      </w:r>
      <w:r>
        <w:rPr>
          <w:rFonts w:ascii="Times New Roman" w:hAnsi="Times New Roman" w:cs="Times New Roman"/>
          <w:sz w:val="18"/>
          <w:szCs w:val="18"/>
        </w:rPr>
        <w:t>Trastuzumab deruxtecan</w:t>
      </w:r>
      <w:r>
        <w:rPr>
          <w:rFonts w:hint="eastAsia" w:ascii="Times New Roman" w:hAnsi="Times New Roman" w:cs="Times New Roman"/>
          <w:sz w:val="18"/>
          <w:szCs w:val="18"/>
        </w:rPr>
        <w:t>、吡咯替尼</w:t>
      </w:r>
      <w:r>
        <w:rPr>
          <w:rFonts w:ascii="Times New Roman" w:hAnsi="Times New Roman" w:cs="Times New Roman"/>
          <w:b/>
          <w:color w:val="000000"/>
          <w:sz w:val="18"/>
          <w:szCs w:val="18"/>
        </w:rPr>
        <w:t>、</w:t>
      </w:r>
      <w:r>
        <w:rPr>
          <w:rFonts w:ascii="Times New Roman" w:hAnsi="Times New Roman" w:cs="Times New Roman"/>
          <w:color w:val="000000"/>
          <w:sz w:val="18"/>
          <w:szCs w:val="18"/>
        </w:rPr>
        <w:t>曲妥珠单抗 + 帕妥珠单抗 、曲妥珠单抗 + 拉帕替尼</w:t>
      </w:r>
    </w:p>
    <w:p w14:paraId="7B1F2E36">
      <w:pPr>
        <w:spacing w:line="300" w:lineRule="auto"/>
        <w:ind w:left="420"/>
        <w:rPr>
          <w:rFonts w:ascii="Times New Roman" w:hAnsi="Times New Roman" w:cs="Times New Roman"/>
          <w:sz w:val="18"/>
          <w:szCs w:val="18"/>
        </w:rPr>
      </w:pPr>
      <w:r>
        <w:rPr>
          <w:rFonts w:ascii="Times New Roman" w:hAnsi="Times New Roman" w:cs="Times New Roman"/>
          <w:sz w:val="18"/>
          <w:szCs w:val="18"/>
        </w:rPr>
        <w:t>ERBB2常发生的变异是20号外显子插入，携带 ERBB2 活化突变的晚期 NSCLC 对 ERBB2 抑制剂可能敏感。NCCN指南推荐</w:t>
      </w:r>
      <w:r>
        <w:rPr>
          <w:rFonts w:hint="eastAsia" w:ascii="Times New Roman" w:hAnsi="Times New Roman" w:cs="Times New Roman"/>
          <w:sz w:val="18"/>
          <w:szCs w:val="18"/>
        </w:rPr>
        <w:t>恩美曲妥珠单抗</w:t>
      </w:r>
      <w:r>
        <w:rPr>
          <w:rFonts w:ascii="Times New Roman" w:hAnsi="Times New Roman" w:cs="Times New Roman"/>
          <w:sz w:val="18"/>
          <w:szCs w:val="18"/>
        </w:rPr>
        <w:t>（TDM-1）</w:t>
      </w:r>
      <w:r>
        <w:rPr>
          <w:rFonts w:hint="eastAsia" w:ascii="Times New Roman" w:hAnsi="Times New Roman" w:cs="Times New Roman"/>
          <w:sz w:val="18"/>
          <w:szCs w:val="18"/>
        </w:rPr>
        <w:t>、</w:t>
      </w:r>
      <w:r>
        <w:rPr>
          <w:rFonts w:ascii="Times New Roman" w:hAnsi="Times New Roman" w:cs="Times New Roman"/>
          <w:sz w:val="18"/>
          <w:szCs w:val="18"/>
        </w:rPr>
        <w:t>Trastuzumab deruxtecan用于HER2突变的非小细胞肺癌患者[NCCN_Non-Small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w:t>
      </w:r>
      <w:r>
        <w:rPr>
          <w:rFonts w:hint="eastAsia" w:ascii="Times New Roman" w:hAnsi="Times New Roman" w:cs="Times New Roman"/>
          <w:sz w:val="18"/>
          <w:szCs w:val="18"/>
        </w:rPr>
        <w:t>非小细胞肺癌中，</w:t>
      </w:r>
      <w:r>
        <w:rPr>
          <w:rFonts w:ascii="Times New Roman" w:hAnsi="Times New Roman" w:cs="Times New Roman"/>
          <w:sz w:val="18"/>
          <w:szCs w:val="18"/>
        </w:rPr>
        <w:t>HER2 20号外显子插入突变对吡咯替尼敏感[PMID: 30596880]</w:t>
      </w:r>
      <w:r>
        <w:rPr>
          <w:rFonts w:hint="eastAsia" w:ascii="Times New Roman" w:hAnsi="Times New Roman" w:cs="Times New Roman"/>
          <w:sz w:val="18"/>
          <w:szCs w:val="18"/>
        </w:rPr>
        <w:t>，</w:t>
      </w:r>
      <w:r>
        <w:rPr>
          <w:rFonts w:ascii="Times New Roman" w:hAnsi="Times New Roman" w:cs="Times New Roman"/>
          <w:sz w:val="18"/>
          <w:szCs w:val="18"/>
        </w:rPr>
        <w:t>但HER2突变对埃克替尼</w:t>
      </w:r>
      <w:r>
        <w:rPr>
          <w:rFonts w:hint="eastAsia" w:ascii="Times New Roman" w:hAnsi="Times New Roman" w:cs="Times New Roman"/>
          <w:sz w:val="18"/>
          <w:szCs w:val="18"/>
        </w:rPr>
        <w:t>、厄洛替尼、吉非替尼、阿法替尼、达可替尼、奥希替尼、西妥昔单抗、帕尼单抗耐药</w:t>
      </w:r>
      <w:r>
        <w:rPr>
          <w:rFonts w:ascii="Times New Roman" w:hAnsi="Times New Roman" w:cs="Times New Roman"/>
          <w:sz w:val="18"/>
          <w:szCs w:val="18"/>
        </w:rPr>
        <w:t>[PMID: 22325357; PMID: 22761469]。目前阿法替尼、拉帕替尼、</w:t>
      </w:r>
      <w:r>
        <w:rPr>
          <w:rFonts w:hint="eastAsia" w:ascii="Times New Roman" w:hAnsi="Times New Roman" w:cs="Times New Roman"/>
          <w:sz w:val="18"/>
          <w:szCs w:val="18"/>
        </w:rPr>
        <w:t>奈拉替尼</w:t>
      </w:r>
      <w:r>
        <w:rPr>
          <w:rFonts w:ascii="Times New Roman" w:hAnsi="Times New Roman" w:cs="Times New Roman"/>
          <w:sz w:val="18"/>
          <w:szCs w:val="18"/>
        </w:rPr>
        <w:t>等用于治疗ERBB2突变和20号外显子插入的肺癌患者的临床试验均在开展。ERBB2扩增是肺癌EGFR TKI治疗继发耐药变异，对EGFR TKI敏感性降低[NCCN_Non-Small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]。结直肠癌中也常发生ERBB2拷贝数变异，</w:t>
      </w:r>
      <w:r>
        <w:rPr>
          <w:rFonts w:hint="eastAsia" w:ascii="Times New Roman" w:hAnsi="Times New Roman" w:cs="Times New Roman"/>
          <w:sz w:val="18"/>
          <w:szCs w:val="18"/>
        </w:rPr>
        <w:t>N</w:t>
      </w:r>
      <w:r>
        <w:rPr>
          <w:rFonts w:ascii="Times New Roman" w:hAnsi="Times New Roman" w:cs="Times New Roman"/>
          <w:sz w:val="18"/>
          <w:szCs w:val="18"/>
        </w:rPr>
        <w:t>CCN指南推荐曲妥珠单抗联合帕妥珠单抗 、曲妥珠单抗联合拉帕替尼</w:t>
      </w:r>
      <w:r>
        <w:rPr>
          <w:rFonts w:hint="eastAsia" w:ascii="Times New Roman" w:hAnsi="Times New Roman" w:cs="Times New Roman"/>
          <w:sz w:val="18"/>
          <w:szCs w:val="18"/>
        </w:rPr>
        <w:t>、</w:t>
      </w:r>
      <w:r>
        <w:rPr>
          <w:rFonts w:ascii="Times New Roman" w:hAnsi="Times New Roman" w:cs="Times New Roman"/>
          <w:sz w:val="18"/>
          <w:szCs w:val="18"/>
        </w:rPr>
        <w:t>Trastuzumab deruxtecan用于治疗ERBB2扩增的结直肠癌患者</w:t>
      </w:r>
      <w:r>
        <w:rPr>
          <w:rFonts w:hint="eastAsia" w:ascii="Times New Roman" w:hAnsi="Times New Roman" w:cs="Times New Roman"/>
          <w:sz w:val="18"/>
          <w:szCs w:val="18"/>
        </w:rPr>
        <w:t>[</w:t>
      </w:r>
      <w:r>
        <w:rPr>
          <w:rFonts w:ascii="Times New Roman" w:hAnsi="Times New Roman" w:cs="Times New Roman"/>
          <w:sz w:val="18"/>
          <w:szCs w:val="18"/>
        </w:rPr>
        <w:t>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w:t>
      </w:r>
      <w:r>
        <w:rPr>
          <w:rFonts w:hint="eastAsia" w:ascii="Times New Roman" w:hAnsi="Times New Roman" w:cs="Times New Roman"/>
          <w:sz w:val="18"/>
          <w:szCs w:val="18"/>
        </w:rPr>
        <w:t>恩美曲妥珠单抗</w:t>
      </w:r>
      <w:r>
        <w:rPr>
          <w:rFonts w:ascii="Times New Roman" w:hAnsi="Times New Roman" w:cs="Times New Roman"/>
          <w:sz w:val="18"/>
          <w:szCs w:val="18"/>
        </w:rPr>
        <w:t>进行治疗，获得7个月的疾病控制，后使用曲妥珠单抗联合帕妥珠单抗治疗后，患者3个月后疾病发生进展[PMID: 28040715]。</w:t>
      </w:r>
      <w:r>
        <w:rPr>
          <w:rFonts w:hint="eastAsia" w:ascii="Times New Roman" w:hAnsi="Times New Roman" w:cs="Times New Roman"/>
          <w:sz w:val="18"/>
          <w:szCs w:val="18"/>
        </w:rPr>
        <w:t>一项</w:t>
      </w:r>
      <w:r>
        <w:rPr>
          <w:rFonts w:ascii="Times New Roman" w:hAnsi="Times New Roman" w:cs="Times New Roman"/>
          <w:sz w:val="18"/>
          <w:szCs w:val="18"/>
        </w:rPr>
        <w:t>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763CC640">
      <w:pPr>
        <w:spacing w:line="300" w:lineRule="auto"/>
        <w:ind w:left="420"/>
        <w:rPr>
          <w:rFonts w:ascii="Times New Roman" w:hAnsi="Times New Roman" w:cs="Times New Roman"/>
          <w:sz w:val="18"/>
          <w:szCs w:val="18"/>
        </w:rPr>
      </w:pPr>
    </w:p>
    <w:p w14:paraId="148E70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ERBB3                                                                          </w:t>
      </w:r>
    </w:p>
    <w:p w14:paraId="3772299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1B35FE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4971E72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1BE51CF">
      <w:pPr>
        <w:spacing w:line="300" w:lineRule="auto"/>
        <w:ind w:left="420"/>
        <w:rPr>
          <w:rFonts w:ascii="Times New Roman" w:hAnsi="Times New Roman" w:cs="Times New Roman"/>
          <w:sz w:val="18"/>
          <w:szCs w:val="18"/>
        </w:rPr>
      </w:pPr>
      <w:r>
        <w:rPr>
          <w:rFonts w:ascii="Times New Roman" w:hAnsi="Times New Roman" w:cs="Times New Roman"/>
          <w:sz w:val="18"/>
          <w:szCs w:val="18"/>
        </w:rPr>
        <w:t>一项Ⅰ期临床试验表明U3-1402对EGFR-TKI耐药后继发的不同通路激活（包括C797S、ERBB3、CDK4）都有疗效。</w:t>
      </w:r>
      <w:r>
        <w:rPr>
          <w:rFonts w:hint="eastAsia" w:ascii="Times New Roman" w:hAnsi="Times New Roman" w:cs="Times New Roman"/>
          <w:sz w:val="18"/>
          <w:szCs w:val="18"/>
        </w:rPr>
        <w:t>帕妥珠单抗</w:t>
      </w:r>
      <w:r>
        <w:rPr>
          <w:rFonts w:ascii="Times New Roman" w:hAnsi="Times New Roman" w:cs="Times New Roman"/>
          <w:sz w:val="18"/>
          <w:szCs w:val="18"/>
        </w:rPr>
        <w:t>介导的对ErbB2异源二聚的抑制降低了AKT的磷酸化、细胞的体外生长和异种移植体的体内生长[PMID: 26206558]。在表达ERBB3 (HER3)的异种移植小鼠中，抑制剂</w:t>
      </w:r>
      <w:r>
        <w:rPr>
          <w:rFonts w:hint="eastAsia" w:ascii="Times New Roman" w:hAnsi="Times New Roman" w:cs="Times New Roman"/>
          <w:sz w:val="18"/>
          <w:szCs w:val="18"/>
        </w:rPr>
        <w:t>帕妥珠单抗</w:t>
      </w:r>
      <w:r>
        <w:rPr>
          <w:rFonts w:ascii="Times New Roman" w:hAnsi="Times New Roman" w:cs="Times New Roman"/>
          <w:sz w:val="18"/>
          <w:szCs w:val="18"/>
        </w:rPr>
        <w:t>和9f7 - f11的组合增强了肿瘤抑制和中位生存时间，单药</w:t>
      </w:r>
      <w:r>
        <w:rPr>
          <w:rFonts w:hint="eastAsia" w:ascii="Times New Roman" w:hAnsi="Times New Roman" w:cs="Times New Roman"/>
          <w:sz w:val="18"/>
          <w:szCs w:val="18"/>
        </w:rPr>
        <w:t>帕妥珠单抗</w:t>
      </w:r>
      <w:r>
        <w:rPr>
          <w:rFonts w:ascii="Times New Roman" w:hAnsi="Times New Roman" w:cs="Times New Roman"/>
          <w:sz w:val="18"/>
          <w:szCs w:val="18"/>
        </w:rPr>
        <w:t>的敏感性也可能通过ERBB3的表达而增加[PMID: 25216528]。评估</w:t>
      </w:r>
      <w:r>
        <w:rPr>
          <w:rFonts w:hint="eastAsia" w:ascii="Times New Roman" w:hAnsi="Times New Roman" w:cs="Times New Roman"/>
          <w:sz w:val="18"/>
          <w:szCs w:val="18"/>
        </w:rPr>
        <w:t>奈拉替尼</w:t>
      </w:r>
      <w:r>
        <w:rPr>
          <w:rFonts w:ascii="Times New Roman" w:hAnsi="Times New Roman" w:cs="Times New Roman"/>
          <w:sz w:val="18"/>
          <w:szCs w:val="18"/>
        </w:rPr>
        <w:t>治疗ERBB3激活突变的肺癌和实体瘤患者疗效的临床试验正在开展。</w:t>
      </w:r>
    </w:p>
    <w:p w14:paraId="6D554F55">
      <w:pPr>
        <w:spacing w:line="300" w:lineRule="auto"/>
        <w:ind w:left="420"/>
        <w:rPr>
          <w:rFonts w:ascii="Times New Roman" w:hAnsi="Times New Roman" w:cs="Times New Roman"/>
          <w:sz w:val="18"/>
          <w:szCs w:val="18"/>
        </w:rPr>
      </w:pPr>
    </w:p>
    <w:p w14:paraId="7CD1679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ERBB4                                                                          </w:t>
      </w:r>
    </w:p>
    <w:p w14:paraId="0880D61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1A11088">
      <w:pPr>
        <w:spacing w:line="360" w:lineRule="auto"/>
        <w:ind w:left="420"/>
        <w:rPr>
          <w:rFonts w:ascii="Times New Roman" w:hAnsi="Times New Roman" w:cs="Times New Roman"/>
          <w:b/>
        </w:rPr>
      </w:pPr>
      <w:r>
        <w:rPr>
          <w:rFonts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0420C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8693C71">
      <w:pPr>
        <w:spacing w:line="360" w:lineRule="auto"/>
        <w:ind w:left="420"/>
        <w:rPr>
          <w:rFonts w:ascii="Times New Roman" w:hAnsi="Times New Roman" w:cs="Times New Roman"/>
          <w:sz w:val="18"/>
          <w:szCs w:val="18"/>
        </w:rPr>
      </w:pPr>
      <w:r>
        <w:rPr>
          <w:rFonts w:hint="eastAsia" w:ascii="Times New Roman" w:hAnsi="Times New Roman" w:cs="Times New Roman"/>
          <w:sz w:val="18"/>
          <w:szCs w:val="18"/>
        </w:rPr>
        <w:t>一项研究中，肺鳞癌患者按</w:t>
      </w:r>
      <w:r>
        <w:rPr>
          <w:rFonts w:ascii="Times New Roman" w:hAnsi="Times New Roman" w:cs="Times New Roman"/>
          <w:sz w:val="18"/>
          <w:szCs w:val="18"/>
        </w:rPr>
        <w:t>1:1随机分组接受阿法替尼或厄洛替尼，ERBB4（HER4）突变预测阿法替尼治疗的OS（HR=0.22）和PFS（HR=0.21）优于厄洛替尼[PMID: 29902295]。一项研究中，研究人员利用NAPPA蛋白微阵列平台，发现药物</w:t>
      </w:r>
      <w:r>
        <w:rPr>
          <w:rFonts w:hint="eastAsia" w:ascii="Times New Roman" w:hAnsi="Times New Roman" w:cs="Times New Roman"/>
          <w:sz w:val="18"/>
          <w:szCs w:val="18"/>
        </w:rPr>
        <w:t>伊布替尼</w:t>
      </w:r>
      <w:r>
        <w:rPr>
          <w:rFonts w:ascii="Times New Roman" w:hAnsi="Times New Roman" w:cs="Times New Roman"/>
          <w:sz w:val="18"/>
          <w:szCs w:val="18"/>
        </w:rPr>
        <w:t>能够靶向ERBB4 [PMID: 29398709]。评估</w:t>
      </w:r>
      <w:r>
        <w:rPr>
          <w:rFonts w:hint="eastAsia" w:ascii="Times New Roman" w:hAnsi="Times New Roman" w:cs="Times New Roman"/>
          <w:sz w:val="18"/>
          <w:szCs w:val="18"/>
        </w:rPr>
        <w:t>奈拉替尼</w:t>
      </w:r>
      <w:r>
        <w:rPr>
          <w:rFonts w:ascii="Times New Roman" w:hAnsi="Times New Roman" w:cs="Times New Roman"/>
          <w:sz w:val="18"/>
          <w:szCs w:val="18"/>
        </w:rPr>
        <w:t>治疗ERBB4突变的实体瘤患者疗效的临床研究正在开展中。</w:t>
      </w:r>
    </w:p>
    <w:p w14:paraId="58409AF5">
      <w:pPr>
        <w:spacing w:line="360" w:lineRule="auto"/>
        <w:ind w:left="420"/>
        <w:rPr>
          <w:rFonts w:ascii="Times New Roman" w:hAnsi="Times New Roman" w:cs="Times New Roman"/>
          <w:sz w:val="18"/>
          <w:szCs w:val="18"/>
        </w:rPr>
      </w:pPr>
    </w:p>
    <w:p w14:paraId="4185960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ERG                                                                         </w:t>
      </w:r>
    </w:p>
    <w:p w14:paraId="3CD9490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D3A479">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3059BDBA">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DD06780">
      <w:pPr>
        <w:spacing w:line="300" w:lineRule="auto"/>
        <w:ind w:left="420"/>
        <w:rPr>
          <w:rFonts w:ascii="Times New Roman" w:hAnsi="Times New Roman" w:cs="Times New Roman"/>
          <w:sz w:val="18"/>
          <w:szCs w:val="18"/>
        </w:rPr>
      </w:pPr>
      <w:r>
        <w:rPr>
          <w:rFonts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3F1F9F06">
      <w:pPr>
        <w:spacing w:line="300" w:lineRule="auto"/>
        <w:ind w:left="420"/>
        <w:rPr>
          <w:rFonts w:ascii="Times New Roman" w:hAnsi="Times New Roman" w:cs="Times New Roman"/>
          <w:sz w:val="18"/>
          <w:szCs w:val="18"/>
        </w:rPr>
      </w:pPr>
    </w:p>
    <w:p w14:paraId="3B24770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ESR1                                                                          </w:t>
      </w:r>
    </w:p>
    <w:p w14:paraId="00F73D2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7F2EE4C">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2DAC92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073B93E">
      <w:pPr>
        <w:spacing w:line="300" w:lineRule="auto"/>
        <w:ind w:left="420"/>
        <w:rPr>
          <w:rFonts w:ascii="Times New Roman" w:hAnsi="Times New Roman" w:cs="Times New Roman"/>
          <w:sz w:val="18"/>
          <w:szCs w:val="18"/>
        </w:rPr>
      </w:pPr>
      <w:r>
        <w:rPr>
          <w:rFonts w:ascii="Times New Roman" w:hAnsi="Times New Roman" w:cs="Times New Roman"/>
          <w:sz w:val="18"/>
          <w:szCs w:val="18"/>
        </w:rPr>
        <w:t>雌激素受体阳性的乳腺癌对激素治疗有耐药性，ESR1的配体结合区域的许多突变与激素抵抗和抗雌激素治疗有关。</w:t>
      </w:r>
      <w:r>
        <w:rPr>
          <w:rFonts w:hint="eastAsia" w:ascii="Times New Roman" w:hAnsi="Times New Roman" w:cs="Times New Roman"/>
          <w:sz w:val="18"/>
          <w:szCs w:val="18"/>
        </w:rPr>
        <w:t>氟维司群</w:t>
      </w:r>
      <w:r>
        <w:rPr>
          <w:rFonts w:ascii="Times New Roman" w:hAnsi="Times New Roman" w:cs="Times New Roman"/>
          <w:sz w:val="18"/>
          <w:szCs w:val="18"/>
        </w:rPr>
        <w:t>刺激ESR1蛋白降解的研究正处于临床试验阶段，并取得了一些成功。16例转移性乳腺癌患者通过</w:t>
      </w:r>
      <w:r>
        <w:rPr>
          <w:rFonts w:hint="eastAsia" w:ascii="Times New Roman" w:hAnsi="Times New Roman" w:cs="Times New Roman"/>
          <w:sz w:val="18"/>
          <w:szCs w:val="18"/>
        </w:rPr>
        <w:t>哌柏西利</w:t>
      </w:r>
      <w:r>
        <w:rPr>
          <w:rFonts w:ascii="Times New Roman" w:hAnsi="Times New Roman" w:cs="Times New Roman"/>
          <w:sz w:val="18"/>
          <w:szCs w:val="18"/>
        </w:rPr>
        <w:t>联合</w:t>
      </w:r>
      <w:r>
        <w:rPr>
          <w:rFonts w:hint="eastAsia" w:ascii="Times New Roman" w:hAnsi="Times New Roman" w:cs="Times New Roman"/>
          <w:sz w:val="18"/>
          <w:szCs w:val="18"/>
        </w:rPr>
        <w:t>来曲唑</w:t>
      </w:r>
      <w:r>
        <w:rPr>
          <w:rFonts w:ascii="Times New Roman" w:hAnsi="Times New Roman" w:cs="Times New Roman"/>
          <w:sz w:val="18"/>
          <w:szCs w:val="18"/>
        </w:rPr>
        <w:t>进行治疗，发现ESR1突变患者(5/16)，包括ESR1 D538G (n = 2)与野生型患者相比ESR1 (n = 11)，总体生存率无显著差异[PMID: 27556863]。</w:t>
      </w:r>
      <w:r>
        <w:rPr>
          <w:rFonts w:hint="eastAsia" w:ascii="Times New Roman" w:hAnsi="Times New Roman" w:cs="Times New Roman"/>
          <w:sz w:val="18"/>
          <w:szCs w:val="18"/>
        </w:rPr>
        <w:t>哌柏西利和来曲唑治疗转移性乳腺癌的研究中，在初次采血时已经携带</w:t>
      </w:r>
      <w:r>
        <w:rPr>
          <w:rFonts w:ascii="Times New Roman" w:hAnsi="Times New Roman" w:cs="Times New Roman"/>
          <w:sz w:val="18"/>
          <w:szCs w:val="18"/>
        </w:rPr>
        <w:t>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029657C1">
      <w:pPr>
        <w:spacing w:line="300" w:lineRule="auto"/>
        <w:ind w:left="420"/>
        <w:rPr>
          <w:rFonts w:ascii="Times New Roman" w:hAnsi="Times New Roman" w:cs="Times New Roman"/>
          <w:sz w:val="18"/>
          <w:szCs w:val="18"/>
          <w:highlight w:val="black"/>
        </w:rPr>
      </w:pPr>
    </w:p>
    <w:p w14:paraId="5CB1493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ETV1                                                                          </w:t>
      </w:r>
    </w:p>
    <w:p w14:paraId="18520B5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88C81E">
      <w:pPr>
        <w:spacing w:line="300" w:lineRule="auto"/>
        <w:ind w:left="420"/>
        <w:rPr>
          <w:rFonts w:ascii="Times New Roman" w:hAnsi="Times New Roman" w:cs="Times New Roman"/>
          <w:sz w:val="18"/>
          <w:szCs w:val="18"/>
        </w:rPr>
      </w:pPr>
      <w:r>
        <w:rPr>
          <w:rFonts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0071E86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CECEE5D">
      <w:pPr>
        <w:spacing w:line="300" w:lineRule="auto"/>
        <w:ind w:left="420"/>
        <w:rPr>
          <w:rFonts w:ascii="Times New Roman" w:hAnsi="Times New Roman" w:cs="Times New Roman"/>
          <w:sz w:val="18"/>
          <w:szCs w:val="18"/>
        </w:rPr>
      </w:pPr>
      <w:r>
        <w:rPr>
          <w:rFonts w:ascii="Times New Roman" w:hAnsi="Times New Roman" w:cs="Times New Roman"/>
          <w:sz w:val="18"/>
          <w:szCs w:val="18"/>
        </w:rPr>
        <w:t>TMPRSS2-ETV1融合在前列腺癌中反复出现[PMID: 16254181]，目前评估恩</w:t>
      </w:r>
      <w:r>
        <w:rPr>
          <w:rFonts w:hint="eastAsia" w:ascii="Times New Roman" w:hAnsi="Times New Roman" w:cs="Times New Roman"/>
          <w:sz w:val="18"/>
          <w:szCs w:val="18"/>
        </w:rPr>
        <w:t>扎卢</w:t>
      </w:r>
      <w:r>
        <w:rPr>
          <w:rFonts w:ascii="Times New Roman" w:hAnsi="Times New Roman" w:cs="Times New Roman"/>
          <w:sz w:val="18"/>
          <w:szCs w:val="18"/>
        </w:rPr>
        <w:t>胺对TMPRSS2-ETV1基因突变的前列腺癌患者疗效的II期临床试验正在进行中。</w:t>
      </w:r>
      <w:r>
        <w:rPr>
          <w:rFonts w:hint="eastAsia" w:ascii="Times New Roman" w:hAnsi="Times New Roman" w:cs="Times New Roman"/>
          <w:sz w:val="18"/>
          <w:szCs w:val="18"/>
        </w:rPr>
        <w:t>对结直肠癌的研究表明，</w:t>
      </w:r>
      <w:r>
        <w:rPr>
          <w:rFonts w:ascii="Times New Roman" w:hAnsi="Times New Roman" w:cs="Times New Roman"/>
          <w:sz w:val="18"/>
          <w:szCs w:val="18"/>
        </w:rPr>
        <w:t>ETV1表达影响细胞活力，ETV1高表达与较差的无复发生存期和总生存期相关[PMID: 30224643]。</w:t>
      </w:r>
    </w:p>
    <w:p w14:paraId="18813BCF">
      <w:pPr>
        <w:spacing w:line="300" w:lineRule="auto"/>
        <w:ind w:left="420"/>
        <w:rPr>
          <w:rFonts w:ascii="Times New Roman" w:hAnsi="Times New Roman" w:cs="Times New Roman"/>
          <w:sz w:val="18"/>
          <w:szCs w:val="18"/>
          <w:highlight w:val="black"/>
        </w:rPr>
      </w:pPr>
    </w:p>
    <w:p w14:paraId="30E020E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ETV4                                                                          </w:t>
      </w:r>
    </w:p>
    <w:p w14:paraId="215AC53A">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324CFD9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4EA9CFA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38F2B0A">
      <w:pPr>
        <w:spacing w:line="300" w:lineRule="auto"/>
        <w:ind w:left="420"/>
        <w:rPr>
          <w:rFonts w:ascii="Times New Roman" w:hAnsi="Times New Roman" w:cs="Times New Roman"/>
          <w:sz w:val="18"/>
          <w:szCs w:val="18"/>
        </w:rPr>
      </w:pPr>
      <w:r>
        <w:rPr>
          <w:rFonts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w:t>
      </w:r>
      <w:r>
        <w:rPr>
          <w:rFonts w:hint="eastAsia" w:ascii="Times New Roman" w:hAnsi="Times New Roman" w:cs="Times New Roman"/>
          <w:sz w:val="18"/>
          <w:szCs w:val="18"/>
        </w:rPr>
        <w:t>有研究表明，</w:t>
      </w:r>
      <w:r>
        <w:rPr>
          <w:rFonts w:ascii="Times New Roman" w:hAnsi="Times New Roman" w:cs="Times New Roman"/>
          <w:sz w:val="18"/>
          <w:szCs w:val="18"/>
        </w:rPr>
        <w:t>ETV4和MMP24水平升高，是肺癌和/或胃癌患者的肿瘤进展生物标志物，可能与较差预后相关[PMID: 27869830]。</w:t>
      </w:r>
    </w:p>
    <w:p w14:paraId="0673152C">
      <w:pPr>
        <w:spacing w:line="300" w:lineRule="auto"/>
        <w:ind w:left="420"/>
        <w:rPr>
          <w:rFonts w:ascii="Times New Roman" w:hAnsi="Times New Roman" w:cs="Times New Roman"/>
          <w:sz w:val="18"/>
          <w:szCs w:val="18"/>
          <w:highlight w:val="black"/>
        </w:rPr>
      </w:pPr>
    </w:p>
    <w:p w14:paraId="07FFFA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ETV5                                                                          </w:t>
      </w:r>
    </w:p>
    <w:p w14:paraId="022A650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F719BA0">
      <w:pPr>
        <w:spacing w:line="300" w:lineRule="auto"/>
        <w:ind w:left="420"/>
        <w:rPr>
          <w:rFonts w:ascii="Times New Roman" w:hAnsi="Times New Roman" w:cs="Times New Roman"/>
          <w:sz w:val="18"/>
          <w:szCs w:val="18"/>
        </w:rPr>
      </w:pPr>
      <w:r>
        <w:rPr>
          <w:rFonts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346C0ED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0810932">
      <w:pPr>
        <w:spacing w:line="300" w:lineRule="auto"/>
        <w:ind w:left="420"/>
        <w:rPr>
          <w:rFonts w:ascii="Times New Roman" w:hAnsi="Times New Roman" w:cs="Times New Roman"/>
          <w:sz w:val="18"/>
          <w:szCs w:val="18"/>
        </w:rPr>
      </w:pPr>
      <w:r>
        <w:rPr>
          <w:rFonts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w:t>
      </w:r>
      <w:r>
        <w:rPr>
          <w:rFonts w:hint="eastAsia" w:ascii="Times New Roman" w:hAnsi="Times New Roman" w:cs="Times New Roman"/>
          <w:sz w:val="18"/>
          <w:szCs w:val="18"/>
        </w:rPr>
        <w:t xml:space="preserve"> </w:t>
      </w:r>
      <w:r>
        <w:rPr>
          <w:rFonts w:ascii="Times New Roman" w:hAnsi="Times New Roman" w:cs="Times New Roman"/>
          <w:sz w:val="18"/>
          <w:szCs w:val="18"/>
        </w:rPr>
        <w:t>28178529]。</w:t>
      </w:r>
      <w:r>
        <w:rPr>
          <w:rFonts w:hint="eastAsia" w:ascii="Times New Roman" w:hAnsi="Times New Roman" w:cs="Times New Roman"/>
          <w:sz w:val="18"/>
          <w:szCs w:val="18"/>
        </w:rPr>
        <w:t>研究表明，肺癌中</w:t>
      </w:r>
      <w:r>
        <w:rPr>
          <w:rFonts w:ascii="Times New Roman" w:hAnsi="Times New Roman" w:cs="Times New Roman"/>
          <w:sz w:val="18"/>
          <w:szCs w:val="18"/>
        </w:rPr>
        <w:t>ETV5、LPP或MMP15基因失活是增加肿瘤的恶性程度的预后标志物[PMID: 26028032]。</w:t>
      </w:r>
      <w:r>
        <w:rPr>
          <w:rFonts w:hint="eastAsia" w:ascii="Times New Roman" w:hAnsi="Times New Roman" w:cs="Times New Roman"/>
          <w:sz w:val="18"/>
          <w:szCs w:val="18"/>
        </w:rPr>
        <w:t>临床前研究表明，</w:t>
      </w:r>
      <w:r>
        <w:rPr>
          <w:rFonts w:ascii="Times New Roman" w:hAnsi="Times New Roman" w:cs="Times New Roman"/>
          <w:sz w:val="18"/>
          <w:szCs w:val="18"/>
        </w:rPr>
        <w:t>EVT5可能是结直肠癌（CRC）中潜在的诊断和预后标志物[PMID: 30650178]。</w:t>
      </w:r>
    </w:p>
    <w:p w14:paraId="614A8F84">
      <w:pPr>
        <w:spacing w:line="360" w:lineRule="auto"/>
        <w:ind w:left="420"/>
        <w:rPr>
          <w:rFonts w:ascii="Times New Roman" w:hAnsi="Times New Roman" w:cs="Times New Roman"/>
          <w:sz w:val="18"/>
          <w:szCs w:val="18"/>
        </w:rPr>
      </w:pPr>
    </w:p>
    <w:p w14:paraId="0470985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FGFR1                                                                           </w:t>
      </w:r>
    </w:p>
    <w:p w14:paraId="6E901B5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975B020">
      <w:pPr>
        <w:spacing w:line="300" w:lineRule="auto"/>
        <w:ind w:left="420"/>
        <w:rPr>
          <w:rFonts w:ascii="Times New Roman" w:hAnsi="Times New Roman" w:cs="Times New Roman"/>
          <w:sz w:val="18"/>
          <w:szCs w:val="18"/>
        </w:rPr>
      </w:pPr>
      <w:r>
        <w:rPr>
          <w:rFonts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22F2751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A82FFC5">
      <w:pPr>
        <w:spacing w:line="360" w:lineRule="auto"/>
        <w:ind w:left="420"/>
        <w:rPr>
          <w:rFonts w:ascii="Times New Roman" w:hAnsi="Times New Roman" w:cs="Times New Roman"/>
          <w:sz w:val="18"/>
          <w:szCs w:val="18"/>
        </w:rPr>
      </w:pPr>
      <w:r>
        <w:rPr>
          <w:rFonts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26324363]。临床</w:t>
      </w:r>
      <w:r>
        <w:rPr>
          <w:rFonts w:hint="eastAsia" w:ascii="Times New Roman" w:hAnsi="Times New Roman" w:cs="Times New Roman"/>
          <w:sz w:val="18"/>
          <w:szCs w:val="18"/>
        </w:rPr>
        <w:t>I</w:t>
      </w:r>
      <w:r>
        <w:rPr>
          <w:rFonts w:ascii="Times New Roman" w:hAnsi="Times New Roman" w:cs="Times New Roman"/>
          <w:sz w:val="18"/>
          <w:szCs w:val="18"/>
        </w:rPr>
        <w:t>期试验中，携带FGFR1扩增的肺鳞癌患者用Infigratinib治疗表现出50%的疾病控制率（18/36），其中14个病人疾病稳定，4个病人部分响应[PMID:</w:t>
      </w:r>
      <w:r>
        <w:rPr>
          <w:rFonts w:hint="eastAsia" w:ascii="Times New Roman" w:hAnsi="Times New Roman" w:cs="Times New Roman"/>
          <w:sz w:val="18"/>
          <w:szCs w:val="18"/>
        </w:rPr>
        <w:t xml:space="preserve"> </w:t>
      </w:r>
      <w:r>
        <w:rPr>
          <w:rFonts w:ascii="Times New Roman" w:hAnsi="Times New Roman" w:cs="Times New Roman"/>
          <w:sz w:val="18"/>
          <w:szCs w:val="18"/>
        </w:rPr>
        <w:t>27870574]。在AZD4547单药治疗肺鳞癌的Ⅰb期国际多中心试验中，疾病控制率为39%。在携带FGFR1突变的细胞系和小鼠模型中，一些TKI和FGFR特异的小分子抑制剂表现出抑癌活性。在临床前研究中，PRN1371能够抑制具有FGFR1</w:t>
      </w:r>
      <w:r>
        <w:rPr>
          <w:rFonts w:hint="eastAsia" w:ascii="Times New Roman" w:hAnsi="Times New Roman" w:cs="Times New Roman"/>
          <w:sz w:val="18"/>
          <w:szCs w:val="18"/>
        </w:rPr>
        <w:t xml:space="preserve"> </w:t>
      </w:r>
      <w:r>
        <w:rPr>
          <w:rFonts w:ascii="Times New Roman" w:hAnsi="Times New Roman" w:cs="Times New Roman"/>
          <w:sz w:val="18"/>
          <w:szCs w:val="18"/>
        </w:rPr>
        <w:t>V561M突变的细胞的增殖[PMID:</w:t>
      </w:r>
      <w:r>
        <w:rPr>
          <w:rFonts w:hint="eastAsia" w:ascii="Times New Roman" w:hAnsi="Times New Roman" w:cs="Times New Roman"/>
          <w:sz w:val="18"/>
          <w:szCs w:val="18"/>
        </w:rPr>
        <w:t xml:space="preserve"> </w:t>
      </w:r>
      <w:r>
        <w:rPr>
          <w:rFonts w:ascii="Times New Roman" w:hAnsi="Times New Roman" w:cs="Times New Roman"/>
          <w:sz w:val="18"/>
          <w:szCs w:val="18"/>
        </w:rPr>
        <w:t>28978721]。</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GFR1</w:t>
      </w:r>
      <w:r>
        <w:rPr>
          <w:rFonts w:hint="eastAsia" w:ascii="Times New Roman" w:hAnsi="Times New Roman" w:cs="Times New Roman"/>
          <w:sz w:val="18"/>
          <w:szCs w:val="18"/>
        </w:rPr>
        <w:t>突变/扩增的非小细胞肺癌、结直肠癌等实体瘤患者疗效的临床试验正在开展。</w:t>
      </w:r>
    </w:p>
    <w:p w14:paraId="1E9B118B">
      <w:pPr>
        <w:spacing w:line="360" w:lineRule="auto"/>
        <w:ind w:left="420"/>
        <w:rPr>
          <w:rFonts w:ascii="Times New Roman" w:hAnsi="Times New Roman" w:cs="Times New Roman"/>
          <w:sz w:val="18"/>
          <w:szCs w:val="18"/>
        </w:rPr>
      </w:pPr>
    </w:p>
    <w:p w14:paraId="3DFCC75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FGFR2                                                                         </w:t>
      </w:r>
    </w:p>
    <w:p w14:paraId="2577C67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04D096">
      <w:pPr>
        <w:spacing w:line="300" w:lineRule="auto"/>
        <w:ind w:left="420"/>
        <w:rPr>
          <w:rFonts w:ascii="Times New Roman" w:hAnsi="Times New Roman" w:cs="Times New Roman"/>
          <w:sz w:val="18"/>
          <w:szCs w:val="18"/>
        </w:rPr>
      </w:pPr>
      <w:r>
        <w:rPr>
          <w:rFonts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20094046</w:t>
      </w:r>
      <w:r>
        <w:rPr>
          <w:rFonts w:hint="eastAsia" w:ascii="Times New Roman" w:hAnsi="Times New Roman" w:cs="Times New Roman"/>
          <w:sz w:val="18"/>
          <w:szCs w:val="18"/>
        </w:rPr>
        <w:t>]</w:t>
      </w:r>
      <w:r>
        <w:rPr>
          <w:rFonts w:ascii="Times New Roman" w:hAnsi="Times New Roman" w:cs="Times New Roman"/>
          <w:sz w:val="18"/>
          <w:szCs w:val="18"/>
        </w:rPr>
        <w:t>。FGFR2基因的错义突变常发生在子宫内膜癌、宫颈癌、乳腺癌、肺癌以及胃癌中，在乳腺癌和胃癌中常发生FGFR2基因拷贝数的增加，使得FGFR2过表达从而导致FGFR2信号的激活。FGFR2在肺癌中的点突变频率约为1.08%。</w:t>
      </w:r>
    </w:p>
    <w:p w14:paraId="76C30E2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4025A77">
      <w:pPr>
        <w:spacing w:line="360" w:lineRule="auto"/>
        <w:ind w:left="420"/>
        <w:rPr>
          <w:rFonts w:ascii="Times New Roman" w:hAnsi="Times New Roman" w:cs="Times New Roman"/>
          <w:sz w:val="18"/>
          <w:szCs w:val="18"/>
        </w:rPr>
      </w:pPr>
      <w:r>
        <w:rPr>
          <w:rFonts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26324363]。一项临床前研究中，FGFR2扩增的非小细胞肺癌的PDX模型中，PRN1371治疗产生了67.5%肿瘤抑制率[PMID:</w:t>
      </w:r>
      <w:r>
        <w:rPr>
          <w:rFonts w:hint="eastAsia" w:ascii="Times New Roman" w:hAnsi="Times New Roman" w:cs="Times New Roman"/>
          <w:sz w:val="18"/>
          <w:szCs w:val="18"/>
        </w:rPr>
        <w:t xml:space="preserve"> </w:t>
      </w:r>
      <w:r>
        <w:rPr>
          <w:rFonts w:ascii="Times New Roman" w:hAnsi="Times New Roman" w:cs="Times New Roman"/>
          <w:sz w:val="18"/>
          <w:szCs w:val="18"/>
        </w:rPr>
        <w:t>28978721]。临床前研究表明，普纳替尼被证明能抑制所有四种FGFR的体外激酶活性，在用于表达激活的FGFR1-4的Ba/F3细胞中，普纳替尼有效地抑制FGFR介导的信号[PMID:</w:t>
      </w:r>
      <w:r>
        <w:rPr>
          <w:rFonts w:hint="eastAsia" w:ascii="Times New Roman" w:hAnsi="Times New Roman" w:cs="Times New Roman"/>
          <w:sz w:val="18"/>
          <w:szCs w:val="18"/>
        </w:rPr>
        <w:t xml:space="preserve"> </w:t>
      </w:r>
      <w:r>
        <w:rPr>
          <w:rFonts w:ascii="Times New Roman" w:hAnsi="Times New Roman" w:cs="Times New Roman"/>
          <w:sz w:val="18"/>
          <w:szCs w:val="18"/>
        </w:rPr>
        <w:t>22238366]。FGF2 mRNA和FGFR2 mRNA的表达与淋巴结转移和TNM分期相关。FGF2 mRNA和FGFR2 mRNA的高表达与肺癌患者的肿瘤转移和不良预后有关[PMID: 30013642]。FGFR2表达与女性、组织亚型、年龄较小、低的肿瘤分期有关[PMID: 27785367]</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GFR2</w:t>
      </w:r>
      <w:r>
        <w:rPr>
          <w:rFonts w:hint="eastAsia" w:ascii="Times New Roman" w:hAnsi="Times New Roman" w:cs="Times New Roman"/>
          <w:sz w:val="18"/>
          <w:szCs w:val="18"/>
        </w:rPr>
        <w:t>突变/扩增/融合的实体瘤患者疗效的临床试验正在开展。</w:t>
      </w:r>
    </w:p>
    <w:p w14:paraId="5955438C">
      <w:pPr>
        <w:spacing w:line="360" w:lineRule="auto"/>
        <w:ind w:left="420"/>
        <w:rPr>
          <w:rFonts w:ascii="Times New Roman" w:hAnsi="Times New Roman" w:cs="Times New Roman"/>
          <w:sz w:val="18"/>
          <w:szCs w:val="18"/>
        </w:rPr>
      </w:pPr>
    </w:p>
    <w:p w14:paraId="370D342B">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FGFR3                                                                          </w:t>
      </w:r>
    </w:p>
    <w:p w14:paraId="1097151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10C111">
      <w:pPr>
        <w:spacing w:line="300" w:lineRule="auto"/>
        <w:ind w:left="420"/>
        <w:rPr>
          <w:rFonts w:ascii="Times New Roman" w:hAnsi="Times New Roman" w:cs="Times New Roman"/>
          <w:sz w:val="18"/>
          <w:szCs w:val="18"/>
        </w:rPr>
      </w:pPr>
      <w:r>
        <w:rPr>
          <w:rFonts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10CB550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3891187">
      <w:pPr>
        <w:spacing w:line="360" w:lineRule="auto"/>
        <w:ind w:left="420"/>
        <w:rPr>
          <w:rFonts w:ascii="Times New Roman" w:hAnsi="Times New Roman" w:cs="Times New Roman"/>
          <w:sz w:val="18"/>
          <w:szCs w:val="18"/>
        </w:rPr>
      </w:pPr>
      <w:r>
        <w:rPr>
          <w:rFonts w:ascii="Times New Roman" w:hAnsi="Times New Roman" w:cs="Times New Roman"/>
          <w:sz w:val="18"/>
          <w:szCs w:val="18"/>
        </w:rPr>
        <w:t>在一些肺腺癌患者中会有FGFR3-TACC3融合检出，这些病人可以考虑FGFR抑制剂的临床试验[PMID:</w:t>
      </w:r>
      <w:r>
        <w:rPr>
          <w:rFonts w:hint="eastAsia" w:ascii="Times New Roman" w:hAnsi="Times New Roman" w:cs="Times New Roman"/>
          <w:sz w:val="18"/>
          <w:szCs w:val="18"/>
        </w:rPr>
        <w:t xml:space="preserve"> </w:t>
      </w:r>
      <w:r>
        <w:rPr>
          <w:rFonts w:ascii="Times New Roman" w:hAnsi="Times New Roman" w:cs="Times New Roman"/>
          <w:sz w:val="18"/>
          <w:szCs w:val="18"/>
        </w:rPr>
        <w:t>25294908]。在I期临床试验中，Erdafitinib治疗携带FGFR1-4激活突变（包括扩增，突变和易位）的晚期实体瘤患者，导致70％（16/23）患者疾病稳定，22％（5/23）患者部分缓解，在FGFR未知或FGFR未知变异患者中未观察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26324363]。在一项临床前研究中，携带FGFR3突变的肿瘤细胞系对Infigratinib敏感[PMID:</w:t>
      </w:r>
      <w:r>
        <w:rPr>
          <w:rFonts w:hint="eastAsia" w:ascii="Times New Roman" w:hAnsi="Times New Roman" w:cs="Times New Roman"/>
          <w:sz w:val="18"/>
          <w:szCs w:val="18"/>
        </w:rPr>
        <w:t xml:space="preserve"> </w:t>
      </w:r>
      <w:r>
        <w:rPr>
          <w:rFonts w:ascii="Times New Roman" w:hAnsi="Times New Roman" w:cs="Times New Roman"/>
          <w:sz w:val="18"/>
          <w:szCs w:val="18"/>
        </w:rPr>
        <w:t>23002168]。</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GFR3</w:t>
      </w:r>
      <w:r>
        <w:rPr>
          <w:rFonts w:hint="eastAsia" w:ascii="Times New Roman" w:hAnsi="Times New Roman" w:cs="Times New Roman"/>
          <w:sz w:val="18"/>
          <w:szCs w:val="18"/>
        </w:rPr>
        <w:t>突变/扩增/融合的实体瘤患者疗效的临床试验正在开展。</w:t>
      </w:r>
    </w:p>
    <w:p w14:paraId="1C726626">
      <w:pPr>
        <w:spacing w:line="360" w:lineRule="auto"/>
        <w:rPr>
          <w:rFonts w:ascii="Times New Roman" w:hAnsi="Times New Roman" w:cs="Times New Roman"/>
          <w:sz w:val="18"/>
          <w:szCs w:val="18"/>
        </w:rPr>
      </w:pPr>
    </w:p>
    <w:p w14:paraId="6BC58E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FGFR4                                                                          </w:t>
      </w:r>
    </w:p>
    <w:p w14:paraId="14EC546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96EB73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377814A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4BDD3D8">
      <w:pPr>
        <w:spacing w:line="300" w:lineRule="auto"/>
        <w:ind w:left="420"/>
        <w:rPr>
          <w:rFonts w:ascii="Times New Roman" w:hAnsi="Times New Roman" w:cs="Times New Roman"/>
          <w:sz w:val="18"/>
          <w:szCs w:val="18"/>
        </w:rPr>
      </w:pPr>
      <w:r>
        <w:rPr>
          <w:rFonts w:ascii="Times New Roman" w:hAnsi="Times New Roman" w:cs="Times New Roman"/>
          <w:sz w:val="18"/>
          <w:szCs w:val="18"/>
        </w:rPr>
        <w:t>在临床前研究中，FGFR4-R388的BON1肿瘤细胞对依维莫司的敏感性降低[PMID:</w:t>
      </w:r>
      <w:r>
        <w:rPr>
          <w:rFonts w:hint="eastAsia" w:ascii="Times New Roman" w:hAnsi="Times New Roman" w:cs="Times New Roman"/>
          <w:sz w:val="18"/>
          <w:szCs w:val="18"/>
        </w:rPr>
        <w:t xml:space="preserve"> </w:t>
      </w:r>
      <w:r>
        <w:rPr>
          <w:rFonts w:ascii="Times New Roman" w:hAnsi="Times New Roman" w:cs="Times New Roman"/>
          <w:sz w:val="18"/>
          <w:szCs w:val="18"/>
        </w:rPr>
        <w:t>22986737]。Erdafitinib、LY2874455均为泛FGFR抑制剂，在初期的临床试验中表现出一定的疗效。FGFR4在非小细胞肺癌中高表达（46.8%，111/237），FGFR4表达与肿瘤直径显著相关（P=0.039）[PMID：26045670]。除此之外，还有Lucitanib等泛FGFR抑制剂具有相关的临床实验。</w:t>
      </w:r>
      <w:r>
        <w:rPr>
          <w:rFonts w:hint="eastAsia" w:ascii="Times New Roman" w:hAnsi="Times New Roman" w:cs="Times New Roman"/>
          <w:sz w:val="18"/>
          <w:szCs w:val="18"/>
        </w:rPr>
        <w:t>目前评估安罗替尼、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GFR4</w:t>
      </w:r>
      <w:r>
        <w:rPr>
          <w:rFonts w:hint="eastAsia" w:ascii="Times New Roman" w:hAnsi="Times New Roman" w:cs="Times New Roman"/>
          <w:sz w:val="18"/>
          <w:szCs w:val="18"/>
        </w:rPr>
        <w:t>突变/扩增/融合的实体瘤患者疗效的临床试验正在开展。</w:t>
      </w:r>
    </w:p>
    <w:p w14:paraId="5174B246">
      <w:pPr>
        <w:spacing w:line="300" w:lineRule="auto"/>
        <w:ind w:left="420"/>
        <w:rPr>
          <w:rFonts w:ascii="Times New Roman" w:hAnsi="Times New Roman" w:cs="Times New Roman"/>
          <w:sz w:val="18"/>
          <w:szCs w:val="18"/>
          <w:highlight w:val="black"/>
        </w:rPr>
      </w:pPr>
    </w:p>
    <w:p w14:paraId="04E819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GNA11                                                                          </w:t>
      </w:r>
    </w:p>
    <w:p w14:paraId="57179C9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FE00648">
      <w:pPr>
        <w:spacing w:line="300" w:lineRule="auto"/>
        <w:ind w:left="420"/>
        <w:rPr>
          <w:rFonts w:ascii="Times New Roman" w:hAnsi="Times New Roman" w:cs="Times New Roman"/>
          <w:sz w:val="18"/>
          <w:szCs w:val="18"/>
        </w:rPr>
      </w:pPr>
      <w:r>
        <w:rPr>
          <w:rFonts w:ascii="Times New Roman" w:hAnsi="Times New Roman" w:cs="Times New Roman"/>
          <w:sz w:val="18"/>
          <w:szCs w:val="18"/>
        </w:rPr>
        <w:t>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w:t>
      </w:r>
      <w:r>
        <w:rPr>
          <w:rFonts w:hint="eastAsia" w:ascii="Times New Roman" w:hAnsi="Times New Roman" w:cs="Times New Roman"/>
          <w:sz w:val="18"/>
          <w:szCs w:val="18"/>
        </w:rPr>
        <w:t xml:space="preserve">: </w:t>
      </w:r>
      <w:r>
        <w:rPr>
          <w:rFonts w:ascii="Times New Roman" w:hAnsi="Times New Roman" w:cs="Times New Roman"/>
          <w:sz w:val="18"/>
          <w:szCs w:val="18"/>
        </w:rPr>
        <w:t>1328859; PMID</w:t>
      </w:r>
      <w:r>
        <w:rPr>
          <w:rFonts w:hint="eastAsia" w:ascii="Times New Roman" w:hAnsi="Times New Roman" w:cs="Times New Roman"/>
          <w:sz w:val="18"/>
          <w:szCs w:val="18"/>
        </w:rPr>
        <w:t xml:space="preserve">: </w:t>
      </w:r>
      <w:r>
        <w:rPr>
          <w:rFonts w:ascii="Times New Roman" w:hAnsi="Times New Roman" w:cs="Times New Roman"/>
          <w:sz w:val="18"/>
          <w:szCs w:val="18"/>
        </w:rPr>
        <w:t>2549426]。受体激活导致Gα亚基与Gßγ分离，继而Gα和Gßγ都可以激活下游细胞信号通路[PMID</w:t>
      </w:r>
      <w:r>
        <w:rPr>
          <w:rFonts w:hint="eastAsia" w:ascii="Times New Roman" w:hAnsi="Times New Roman" w:cs="Times New Roman"/>
          <w:sz w:val="18"/>
          <w:szCs w:val="18"/>
        </w:rPr>
        <w:t>:</w:t>
      </w:r>
      <w:r>
        <w:rPr>
          <w:rFonts w:ascii="Times New Roman" w:hAnsi="Times New Roman" w:cs="Times New Roman"/>
          <w:sz w:val="18"/>
          <w:szCs w:val="18"/>
        </w:rPr>
        <w:t xml:space="preserve"> 1328859</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w:t>
      </w:r>
      <w:r>
        <w:rPr>
          <w:rFonts w:ascii="Times New Roman" w:hAnsi="Times New Roman" w:cs="Times New Roman"/>
          <w:sz w:val="18"/>
          <w:szCs w:val="18"/>
        </w:rPr>
        <w:t xml:space="preserve">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105DCA6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92BA25E">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24938562]。在一项临床前研究中，GNA11 Q209L突变体葡萄膜黑色素瘤细胞系生长与野生型细胞相比对曲美替尼更敏感</w:t>
      </w:r>
      <w:r>
        <w:rPr>
          <w:rFonts w:hint="eastAsia" w:ascii="Times New Roman" w:hAnsi="Times New Roman" w:cs="Times New Roman"/>
          <w:sz w:val="18"/>
          <w:szCs w:val="18"/>
        </w:rPr>
        <w:t>；</w:t>
      </w:r>
      <w:r>
        <w:rPr>
          <w:rFonts w:ascii="Times New Roman" w:hAnsi="Times New Roman" w:cs="Times New Roman"/>
          <w:sz w:val="18"/>
          <w:szCs w:val="18"/>
        </w:rPr>
        <w:t>曲美替尼联合Omipalisib能够在大多数GNA11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w:t>
      </w:r>
      <w:r>
        <w:rPr>
          <w:rFonts w:hint="eastAsia" w:ascii="Times New Roman" w:hAnsi="Times New Roman" w:cs="Times New Roman"/>
          <w:sz w:val="18"/>
          <w:szCs w:val="18"/>
        </w:rPr>
        <w:t>评估曲美替尼用于</w:t>
      </w:r>
      <w:r>
        <w:rPr>
          <w:rFonts w:ascii="Times New Roman" w:hAnsi="Times New Roman" w:cs="Times New Roman"/>
          <w:sz w:val="18"/>
          <w:szCs w:val="18"/>
        </w:rPr>
        <w:t>携带GNAQ和GNA11基因突变的实体瘤患者</w:t>
      </w:r>
      <w:r>
        <w:rPr>
          <w:rFonts w:hint="eastAsia" w:ascii="Times New Roman" w:hAnsi="Times New Roman" w:cs="Times New Roman"/>
          <w:sz w:val="18"/>
          <w:szCs w:val="18"/>
        </w:rPr>
        <w:t>疗效的临床试验正在开展</w:t>
      </w:r>
      <w:r>
        <w:rPr>
          <w:rFonts w:ascii="Times New Roman" w:hAnsi="Times New Roman" w:cs="Times New Roman"/>
          <w:sz w:val="18"/>
          <w:szCs w:val="18"/>
        </w:rPr>
        <w:t>。</w:t>
      </w:r>
    </w:p>
    <w:p w14:paraId="1A00EA22">
      <w:pPr>
        <w:spacing w:line="300" w:lineRule="auto"/>
        <w:ind w:left="420"/>
        <w:rPr>
          <w:rFonts w:ascii="Times New Roman" w:hAnsi="Times New Roman" w:cs="Times New Roman"/>
          <w:sz w:val="18"/>
          <w:szCs w:val="18"/>
        </w:rPr>
      </w:pPr>
    </w:p>
    <w:p w14:paraId="3022E9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 GNAQ                                                                         </w:t>
      </w:r>
    </w:p>
    <w:p w14:paraId="4655609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4683C8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3DE6EA8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EC0DF17">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24938562]。在一项临床研究中，曲美替尼与Omipalisib的组合在大多数GNAQ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22733540]。目前小分子抑制剂IDE196</w:t>
      </w:r>
      <w:r>
        <w:rPr>
          <w:rFonts w:hint="eastAsia" w:ascii="Times New Roman" w:hAnsi="Times New Roman" w:cs="Times New Roman"/>
          <w:sz w:val="18"/>
          <w:szCs w:val="18"/>
        </w:rPr>
        <w:t>、曲美替尼</w:t>
      </w:r>
      <w:r>
        <w:rPr>
          <w:rFonts w:ascii="Times New Roman" w:hAnsi="Times New Roman" w:cs="Times New Roman"/>
          <w:sz w:val="18"/>
          <w:szCs w:val="18"/>
        </w:rPr>
        <w:t>在携带GNAQ和GNA11基因突变的实体瘤患者</w:t>
      </w:r>
      <w:r>
        <w:rPr>
          <w:rFonts w:hint="eastAsia" w:ascii="Times New Roman" w:hAnsi="Times New Roman" w:cs="Times New Roman"/>
          <w:sz w:val="18"/>
          <w:szCs w:val="18"/>
        </w:rPr>
        <w:t>的临床试验正在开展</w:t>
      </w:r>
      <w:r>
        <w:rPr>
          <w:rFonts w:ascii="Times New Roman" w:hAnsi="Times New Roman" w:cs="Times New Roman"/>
          <w:sz w:val="18"/>
          <w:szCs w:val="18"/>
        </w:rPr>
        <w:t>。</w:t>
      </w:r>
    </w:p>
    <w:p w14:paraId="283B5437">
      <w:pPr>
        <w:spacing w:line="300" w:lineRule="auto"/>
        <w:ind w:left="420"/>
        <w:rPr>
          <w:rFonts w:ascii="Times New Roman" w:hAnsi="Times New Roman" w:cs="Times New Roman"/>
          <w:sz w:val="18"/>
          <w:szCs w:val="18"/>
        </w:rPr>
      </w:pPr>
    </w:p>
    <w:p w14:paraId="071A9A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HRAS                                                                         </w:t>
      </w:r>
    </w:p>
    <w:p w14:paraId="22995BC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063D529">
      <w:pPr>
        <w:spacing w:line="300" w:lineRule="auto"/>
        <w:ind w:left="420"/>
        <w:rPr>
          <w:rFonts w:ascii="Times New Roman" w:hAnsi="Times New Roman" w:cs="Times New Roman"/>
          <w:sz w:val="18"/>
          <w:szCs w:val="18"/>
        </w:rPr>
      </w:pPr>
      <w:r>
        <w:rPr>
          <w:rFonts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5723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32C812D">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在一项临床前研究中，司美替尼和依维莫司联合降低了ERK和S6的磷酸化，并协同抑制携带HRAS G12V的膀胱癌细胞系的生长[PMID: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w:t>
      </w:r>
      <w:r>
        <w:rPr>
          <w:rFonts w:hint="eastAsia" w:ascii="Times New Roman" w:hAnsi="Times New Roman" w:cs="Times New Roman"/>
          <w:sz w:val="18"/>
          <w:szCs w:val="18"/>
        </w:rPr>
        <w:t xml:space="preserve"> </w:t>
      </w:r>
      <w:r>
        <w:rPr>
          <w:rFonts w:ascii="Times New Roman" w:hAnsi="Times New Roman" w:cs="Times New Roman"/>
          <w:sz w:val="18"/>
          <w:szCs w:val="18"/>
        </w:rPr>
        <w:t>26544513]。在临床前研究中，携带HRAS Q61R的转化细胞对依维莫司的处理敏感[PMID: 26544513]。</w:t>
      </w:r>
      <w:r>
        <w:rPr>
          <w:rFonts w:hint="eastAsia" w:ascii="Times New Roman" w:hAnsi="Times New Roman" w:cs="Times New Roman"/>
          <w:sz w:val="18"/>
          <w:szCs w:val="18"/>
        </w:rPr>
        <w:t>在头颈部鳞状细胞癌和转移性尿路上皮癌中，</w:t>
      </w:r>
      <w:r>
        <w:rPr>
          <w:rFonts w:ascii="Times New Roman" w:hAnsi="Times New Roman" w:cs="Times New Roman"/>
          <w:sz w:val="18"/>
          <w:szCs w:val="18"/>
        </w:rPr>
        <w:t>HRAS突变对Tipifarnib敏感[Cancer Discov. 9, 1637–1638 (2019); PMID: 32636318]。</w:t>
      </w:r>
      <w:r>
        <w:rPr>
          <w:rFonts w:hint="eastAsia" w:ascii="Times New Roman" w:hAnsi="Times New Roman" w:cs="Times New Roman"/>
          <w:sz w:val="18"/>
          <w:szCs w:val="18"/>
        </w:rPr>
        <w:t>目前索拉非尼、</w:t>
      </w:r>
      <w:r>
        <w:rPr>
          <w:rFonts w:ascii="Times New Roman" w:hAnsi="Times New Roman" w:cs="Times New Roman"/>
          <w:sz w:val="18"/>
          <w:szCs w:val="18"/>
        </w:rPr>
        <w:t>BPI27336</w:t>
      </w:r>
      <w:r>
        <w:rPr>
          <w:rFonts w:hint="eastAsia" w:ascii="Times New Roman" w:hAnsi="Times New Roman" w:cs="Times New Roman"/>
          <w:sz w:val="18"/>
          <w:szCs w:val="18"/>
        </w:rPr>
        <w:t>用于H</w:t>
      </w:r>
      <w:r>
        <w:rPr>
          <w:rFonts w:ascii="Times New Roman" w:hAnsi="Times New Roman" w:cs="Times New Roman"/>
          <w:sz w:val="18"/>
          <w:szCs w:val="18"/>
        </w:rPr>
        <w:t>RAS</w:t>
      </w:r>
      <w:r>
        <w:rPr>
          <w:rFonts w:hint="eastAsia" w:ascii="Times New Roman" w:hAnsi="Times New Roman" w:cs="Times New Roman"/>
          <w:sz w:val="18"/>
          <w:szCs w:val="18"/>
        </w:rPr>
        <w:t>突变实体瘤患者的临床试验正在展开。</w:t>
      </w:r>
    </w:p>
    <w:p w14:paraId="7D646E37">
      <w:pPr>
        <w:spacing w:line="300" w:lineRule="auto"/>
        <w:ind w:left="420"/>
        <w:rPr>
          <w:rFonts w:ascii="Times New Roman" w:hAnsi="Times New Roman" w:cs="Times New Roman"/>
          <w:sz w:val="18"/>
          <w:szCs w:val="18"/>
        </w:rPr>
      </w:pPr>
    </w:p>
    <w:p w14:paraId="10E5302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IDH1                                                                          </w:t>
      </w:r>
    </w:p>
    <w:p w14:paraId="437487C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88AC28D">
      <w:pPr>
        <w:spacing w:line="300" w:lineRule="auto"/>
        <w:ind w:left="420"/>
        <w:rPr>
          <w:rFonts w:ascii="Times New Roman" w:hAnsi="Times New Roman" w:cs="Times New Roman"/>
          <w:sz w:val="18"/>
          <w:szCs w:val="18"/>
        </w:rPr>
      </w:pPr>
      <w:r>
        <w:rPr>
          <w:rFonts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2E56777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631B459">
      <w:pPr>
        <w:spacing w:line="300" w:lineRule="auto"/>
        <w:ind w:left="420"/>
        <w:rPr>
          <w:rFonts w:ascii="Times New Roman" w:hAnsi="Times New Roman" w:cs="Times New Roman"/>
          <w:sz w:val="18"/>
          <w:szCs w:val="18"/>
        </w:rPr>
      </w:pPr>
      <w:r>
        <w:rPr>
          <w:rFonts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w:t>
      </w:r>
      <w:r>
        <w:rPr>
          <w:rFonts w:hint="eastAsia" w:ascii="Times New Roman" w:hAnsi="Times New Roman" w:cs="Times New Roman"/>
          <w:sz w:val="18"/>
          <w:szCs w:val="18"/>
        </w:rPr>
        <w:t xml:space="preserve">: </w:t>
      </w:r>
      <w:r>
        <w:rPr>
          <w:rFonts w:ascii="Times New Roman" w:hAnsi="Times New Roman" w:cs="Times New Roman"/>
          <w:sz w:val="18"/>
          <w:szCs w:val="18"/>
        </w:rPr>
        <w:t>25910950]。Ivosidenib（AG-120）治疗携带IDH1突变的非增强型胶质瘤患者的I期研究发现，35例入组患者中，在剂量爬坡组（n=11）和剂量扩增组（n=24），分别有73%和88%的患者获得疾病稳定作为最佳反应[Neuro Oncol. 2017 Nov]。</w:t>
      </w:r>
      <w:r>
        <w:rPr>
          <w:rFonts w:hint="eastAsia" w:ascii="Times New Roman" w:hAnsi="Times New Roman" w:cs="Times New Roman"/>
          <w:sz w:val="18"/>
          <w:szCs w:val="18"/>
        </w:rPr>
        <w:t>目前，阿贝西利、奥拉帕利用于胶质瘤或实体瘤患者的临床试验正在开展。</w:t>
      </w:r>
    </w:p>
    <w:p w14:paraId="7BE082EF">
      <w:pPr>
        <w:spacing w:line="300" w:lineRule="auto"/>
        <w:ind w:left="420"/>
        <w:rPr>
          <w:rFonts w:ascii="Times New Roman" w:hAnsi="Times New Roman" w:cs="Times New Roman"/>
          <w:sz w:val="18"/>
          <w:szCs w:val="18"/>
        </w:rPr>
      </w:pPr>
    </w:p>
    <w:p w14:paraId="6F0C0B6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IDH2                                                                         </w:t>
      </w:r>
    </w:p>
    <w:p w14:paraId="3C1E3C9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F0671E5">
      <w:pPr>
        <w:spacing w:line="300" w:lineRule="auto"/>
        <w:ind w:left="420"/>
        <w:rPr>
          <w:rFonts w:ascii="Times New Roman" w:hAnsi="Times New Roman" w:cs="Times New Roman"/>
          <w:sz w:val="18"/>
          <w:szCs w:val="18"/>
        </w:rPr>
      </w:pPr>
      <w:r>
        <w:rPr>
          <w:rFonts w:ascii="Times New Roman" w:hAnsi="Times New Roman" w:cs="Times New Roman"/>
          <w:sz w:val="18"/>
          <w:szCs w:val="18"/>
        </w:rPr>
        <w:t>IDH2基因编码的蛋白是线粒体中存在的NADP(+)依赖的异柠檬酸脱氢酶</w:t>
      </w:r>
      <w:r>
        <w:rPr>
          <w:rFonts w:hint="eastAsia" w:ascii="Times New Roman" w:hAnsi="Times New Roman" w:cs="Times New Roman"/>
          <w:sz w:val="18"/>
          <w:szCs w:val="18"/>
        </w:rPr>
        <w:t>。</w:t>
      </w:r>
      <w:r>
        <w:rPr>
          <w:rFonts w:ascii="Times New Roman" w:hAnsi="Times New Roman" w:cs="Times New Roman"/>
          <w:sz w:val="18"/>
          <w:szCs w:val="18"/>
        </w:rPr>
        <w:t xml:space="preserve">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654C5B9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D63BF4C">
      <w:pPr>
        <w:spacing w:line="300" w:lineRule="auto"/>
        <w:ind w:left="420"/>
        <w:rPr>
          <w:rFonts w:ascii="Times New Roman" w:hAnsi="Times New Roman" w:cs="Times New Roman"/>
          <w:sz w:val="18"/>
          <w:szCs w:val="18"/>
        </w:rPr>
      </w:pPr>
      <w:r>
        <w:rPr>
          <w:rFonts w:ascii="Times New Roman" w:hAnsi="Times New Roman" w:cs="Times New Roman"/>
          <w:sz w:val="18"/>
          <w:szCs w:val="18"/>
        </w:rPr>
        <w:t>在1/2期试验中，复发或IDH2突变的AML患者接受</w:t>
      </w:r>
      <w:r>
        <w:rPr>
          <w:rFonts w:hint="eastAsia" w:ascii="Times New Roman" w:hAnsi="Times New Roman" w:cs="Times New Roman"/>
          <w:sz w:val="18"/>
          <w:szCs w:val="18"/>
        </w:rPr>
        <w:t>恩西地平</w:t>
      </w:r>
      <w:r>
        <w:rPr>
          <w:rFonts w:ascii="Times New Roman" w:hAnsi="Times New Roman" w:cs="Times New Roman"/>
          <w:sz w:val="18"/>
          <w:szCs w:val="18"/>
        </w:rPr>
        <w:t>治疗。总有效率为40.3%，中位反应持续时间为5.8个月，复发/难治性患者中位总生存期为9.3个月，完全缓解34例</w:t>
      </w:r>
      <w:r>
        <w:rPr>
          <w:rFonts w:hint="eastAsia" w:ascii="Times New Roman" w:hAnsi="Times New Roman" w:cs="Times New Roman"/>
          <w:sz w:val="18"/>
          <w:szCs w:val="18"/>
        </w:rPr>
        <w:t>（</w:t>
      </w:r>
      <w:r>
        <w:rPr>
          <w:rFonts w:ascii="Times New Roman" w:hAnsi="Times New Roman" w:cs="Times New Roman"/>
          <w:sz w:val="18"/>
          <w:szCs w:val="18"/>
        </w:rPr>
        <w:t>19.3%</w:t>
      </w:r>
      <w:r>
        <w:rPr>
          <w:rFonts w:hint="eastAsia" w:ascii="Times New Roman" w:hAnsi="Times New Roman" w:cs="Times New Roman"/>
          <w:sz w:val="18"/>
          <w:szCs w:val="18"/>
        </w:rPr>
        <w:t>）</w:t>
      </w:r>
      <w:r>
        <w:rPr>
          <w:rFonts w:ascii="Times New Roman" w:hAnsi="Times New Roman" w:cs="Times New Roman"/>
          <w:sz w:val="18"/>
          <w:szCs w:val="18"/>
        </w:rPr>
        <w:t>患者的中位总生存期为19.7个月[PMID:</w:t>
      </w:r>
      <w:r>
        <w:rPr>
          <w:rFonts w:hint="eastAsia" w:ascii="Times New Roman" w:hAnsi="Times New Roman" w:cs="Times New Roman"/>
          <w:sz w:val="18"/>
          <w:szCs w:val="18"/>
        </w:rPr>
        <w:t xml:space="preserve"> </w:t>
      </w:r>
      <w:r>
        <w:rPr>
          <w:rFonts w:ascii="Times New Roman" w:hAnsi="Times New Roman" w:cs="Times New Roman"/>
          <w:sz w:val="18"/>
          <w:szCs w:val="18"/>
        </w:rPr>
        <w:t>28588020]。此外IDH2(R140)与AML整体生存的改善相关[PMID:</w:t>
      </w:r>
      <w:r>
        <w:rPr>
          <w:rFonts w:hint="eastAsia" w:ascii="Times New Roman" w:hAnsi="Times New Roman" w:cs="Times New Roman"/>
          <w:sz w:val="18"/>
          <w:szCs w:val="18"/>
        </w:rPr>
        <w:t xml:space="preserve"> </w:t>
      </w:r>
      <w:r>
        <w:rPr>
          <w:rFonts w:ascii="Times New Roman" w:hAnsi="Times New Roman" w:cs="Times New Roman"/>
          <w:sz w:val="18"/>
          <w:szCs w:val="18"/>
        </w:rPr>
        <w:t>20421455]，IDH2突变与神经胶质瘤的预后改善有关[PMID:</w:t>
      </w:r>
      <w:r>
        <w:rPr>
          <w:rFonts w:hint="eastAsia" w:ascii="Times New Roman" w:hAnsi="Times New Roman" w:cs="Times New Roman"/>
          <w:sz w:val="18"/>
          <w:szCs w:val="18"/>
        </w:rPr>
        <w:t xml:space="preserve"> </w:t>
      </w:r>
      <w:r>
        <w:rPr>
          <w:rFonts w:ascii="Times New Roman" w:hAnsi="Times New Roman" w:cs="Times New Roman"/>
          <w:sz w:val="18"/>
          <w:szCs w:val="18"/>
        </w:rPr>
        <w:t>26061751]。OxPhos相关基因的研究表明，IDH1和IDH2表达之间的不平衡（被定义为一种亚型相对于另一种亚型的过表达）与CRC患者的预后较差有关[PMID: 25586680]。</w:t>
      </w:r>
    </w:p>
    <w:p w14:paraId="36AEACF6">
      <w:pPr>
        <w:spacing w:line="300" w:lineRule="auto"/>
        <w:ind w:left="420"/>
        <w:rPr>
          <w:rFonts w:ascii="Times New Roman" w:hAnsi="Times New Roman" w:cs="Times New Roman"/>
          <w:sz w:val="18"/>
          <w:szCs w:val="18"/>
        </w:rPr>
      </w:pPr>
    </w:p>
    <w:p w14:paraId="662E37D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JAK1                                                                          </w:t>
      </w:r>
    </w:p>
    <w:p w14:paraId="162181E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8187B6">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6A40103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6BA98D9">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一项临床前研究表明，在22个肺癌细胞系中，JAK1的过表达与PKC抑制剂</w:t>
      </w:r>
      <w:r>
        <w:rPr>
          <w:rFonts w:hint="eastAsia" w:ascii="Times New Roman" w:hAnsi="Times New Roman" w:cs="Times New Roman"/>
          <w:sz w:val="18"/>
          <w:szCs w:val="18"/>
        </w:rPr>
        <w:t>恩扎妥林</w:t>
      </w:r>
      <w:r>
        <w:rPr>
          <w:rFonts w:ascii="Times New Roman" w:hAnsi="Times New Roman" w:cs="Times New Roman"/>
          <w:sz w:val="18"/>
          <w:szCs w:val="18"/>
        </w:rPr>
        <w:t>的敏感性有关[PMID:</w:t>
      </w:r>
      <w:r>
        <w:rPr>
          <w:rFonts w:hint="eastAsia" w:ascii="Times New Roman" w:hAnsi="Times New Roman" w:cs="Times New Roman"/>
          <w:sz w:val="18"/>
          <w:szCs w:val="18"/>
        </w:rPr>
        <w:t xml:space="preserve"> </w:t>
      </w:r>
      <w:r>
        <w:rPr>
          <w:rFonts w:ascii="Times New Roman" w:hAnsi="Times New Roman" w:cs="Times New Roman"/>
          <w:sz w:val="18"/>
          <w:szCs w:val="18"/>
        </w:rPr>
        <w:t>22333600]。</w:t>
      </w:r>
      <w:r>
        <w:rPr>
          <w:rFonts w:hint="eastAsia" w:ascii="Times New Roman" w:hAnsi="Times New Roman" w:cs="Times New Roman"/>
          <w:sz w:val="18"/>
          <w:szCs w:val="18"/>
        </w:rPr>
        <w:t>目前</w:t>
      </w:r>
      <w:r>
        <w:rPr>
          <w:rFonts w:ascii="Times New Roman" w:hAnsi="Times New Roman" w:cs="Times New Roman"/>
          <w:sz w:val="18"/>
          <w:szCs w:val="18"/>
        </w:rPr>
        <w:t>Itacitinib</w:t>
      </w:r>
      <w:r>
        <w:rPr>
          <w:rFonts w:hint="eastAsia" w:ascii="Times New Roman" w:hAnsi="Times New Roman" w:cs="Times New Roman"/>
          <w:sz w:val="18"/>
          <w:szCs w:val="18"/>
        </w:rPr>
        <w:t>用于实体瘤患者的临床试验正在开展。</w:t>
      </w:r>
    </w:p>
    <w:p w14:paraId="2F867D46">
      <w:pPr>
        <w:spacing w:line="300" w:lineRule="auto"/>
        <w:ind w:left="420"/>
        <w:rPr>
          <w:rFonts w:ascii="Times New Roman" w:hAnsi="Times New Roman" w:cs="Times New Roman"/>
          <w:b/>
          <w:szCs w:val="18"/>
        </w:rPr>
      </w:pPr>
    </w:p>
    <w:p w14:paraId="5580A1F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JAK2                                                                          </w:t>
      </w:r>
    </w:p>
    <w:p w14:paraId="42D39CF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3A5839">
      <w:pPr>
        <w:spacing w:line="300" w:lineRule="auto"/>
        <w:ind w:left="420"/>
        <w:rPr>
          <w:rFonts w:ascii="Times New Roman" w:hAnsi="Times New Roman" w:cs="Times New Roman"/>
          <w:sz w:val="18"/>
          <w:szCs w:val="18"/>
        </w:rPr>
      </w:pPr>
      <w:r>
        <w:rPr>
          <w:rFonts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1857530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91928F4">
      <w:pPr>
        <w:spacing w:line="300" w:lineRule="auto"/>
        <w:ind w:left="420"/>
        <w:rPr>
          <w:rFonts w:ascii="Times New Roman" w:hAnsi="Times New Roman" w:cs="Times New Roman"/>
          <w:sz w:val="18"/>
          <w:szCs w:val="18"/>
        </w:rPr>
      </w:pPr>
      <w:r>
        <w:rPr>
          <w:rFonts w:ascii="Times New Roman" w:hAnsi="Times New Roman" w:cs="Times New Roman"/>
          <w:sz w:val="18"/>
          <w:szCs w:val="18"/>
        </w:rPr>
        <w:t>在一期试验中，使用Gandotinib (LY2784544)治疗JAK2 V617F的骨髓增生性肿瘤显示了安全性，29%(9/31)的骨髓纤维化患者得到了临床改善[PMID:</w:t>
      </w:r>
      <w:r>
        <w:rPr>
          <w:rFonts w:hint="eastAsia" w:ascii="Times New Roman" w:hAnsi="Times New Roman" w:cs="Times New Roman"/>
          <w:sz w:val="18"/>
          <w:szCs w:val="18"/>
        </w:rPr>
        <w:t xml:space="preserve"> </w:t>
      </w:r>
      <w:r>
        <w:rPr>
          <w:rFonts w:ascii="Times New Roman" w:hAnsi="Times New Roman" w:cs="Times New Roman"/>
          <w:sz w:val="18"/>
          <w:szCs w:val="18"/>
        </w:rPr>
        <w:t>28934680]。在一项临床前研究中，带有G831R突变的ETV6-JAK2表达的免疫细胞在培养中表现出对吡啶酮6(CMP6)的耐药性[PMID: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22916261]。</w:t>
      </w:r>
      <w:r>
        <w:rPr>
          <w:rFonts w:hint="eastAsia" w:ascii="Times New Roman" w:hAnsi="Times New Roman" w:cs="Times New Roman"/>
          <w:sz w:val="18"/>
          <w:szCs w:val="18"/>
        </w:rPr>
        <w:t>临床前研究表明，芦可替尼单药或联合顺铂可以抑制</w:t>
      </w:r>
      <w:r>
        <w:rPr>
          <w:rFonts w:ascii="Times New Roman" w:hAnsi="Times New Roman" w:cs="Times New Roman"/>
          <w:sz w:val="18"/>
          <w:szCs w:val="18"/>
        </w:rPr>
        <w:t>JAK2过表达及信号通路激活的非小细胞肺癌（NSCLC）细胞系生长，表现治疗作用[PMID: 22319590]，而联合用药对顺铂耐药的NSCLC细胞系产生有效的治疗作用[PMID: 25213670]。</w:t>
      </w:r>
    </w:p>
    <w:p w14:paraId="05450AAF">
      <w:pPr>
        <w:spacing w:line="300" w:lineRule="auto"/>
        <w:ind w:left="420"/>
        <w:rPr>
          <w:rFonts w:ascii="Times New Roman" w:hAnsi="Times New Roman" w:cs="Times New Roman"/>
          <w:sz w:val="18"/>
          <w:szCs w:val="18"/>
        </w:rPr>
      </w:pPr>
    </w:p>
    <w:p w14:paraId="44B7A09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JAK3                                                                        </w:t>
      </w:r>
    </w:p>
    <w:p w14:paraId="5398592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6A04180">
      <w:pPr>
        <w:spacing w:line="300" w:lineRule="auto"/>
        <w:ind w:left="420"/>
        <w:rPr>
          <w:rFonts w:ascii="Times New Roman" w:hAnsi="Times New Roman" w:cs="Times New Roman"/>
          <w:sz w:val="18"/>
          <w:szCs w:val="18"/>
        </w:rPr>
      </w:pPr>
      <w:r>
        <w:rPr>
          <w:rFonts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1CFD7E4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3E32FA8">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在一项临床前研究中，一种pan-JAK抑制剂Tofacitinib降低了JAK3 A572V突变型自然杀伤/t细胞淋巴瘤细胞系的细胞活力并增加了细胞凋亡[PMID: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22705984]。Tofacitinib治疗还可以将细胞培养中表达JAK3 V221I的细胞从因子独立生长转化为因子依赖生长[PMID: 25146434]。JAK3选择性抑制剂Tofacitinib对白血病小鼠的体内治疗降低了白细胞计数，导致白血病细胞凋亡[PMID: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25193870]。</w:t>
      </w:r>
      <w:r>
        <w:rPr>
          <w:rFonts w:hint="eastAsia" w:ascii="Times New Roman" w:hAnsi="Times New Roman" w:cs="Times New Roman"/>
          <w:sz w:val="18"/>
          <w:szCs w:val="18"/>
        </w:rPr>
        <w:t>鼻型结外</w:t>
      </w:r>
      <w:r>
        <w:rPr>
          <w:rFonts w:ascii="Times New Roman" w:hAnsi="Times New Roman" w:cs="Times New Roman"/>
          <w:sz w:val="18"/>
          <w:szCs w:val="18"/>
        </w:rPr>
        <w:t>NK/t细胞淋巴瘤（ENTKL）中，ATM和JAK3突变等位基因频率与疾病分期显著相关，KMT2D、ASXL3和JAK3突变与患者的肿瘤代谢负荷呈正相关[PMID: 32695399]。</w:t>
      </w:r>
    </w:p>
    <w:p w14:paraId="7DA81825">
      <w:pPr>
        <w:spacing w:line="300" w:lineRule="auto"/>
        <w:ind w:left="420"/>
        <w:rPr>
          <w:rFonts w:ascii="Times New Roman" w:hAnsi="Times New Roman" w:cs="Times New Roman"/>
          <w:sz w:val="18"/>
          <w:szCs w:val="18"/>
        </w:rPr>
      </w:pPr>
    </w:p>
    <w:p w14:paraId="34B334A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KIT                                                                          </w:t>
      </w:r>
    </w:p>
    <w:p w14:paraId="59F7FC8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9A0A02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422D3729">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伊马替尼*、舒尼替尼*、瑞戈非尼*、普纳替尼、培唑帕尼*（都是胃肠道间质瘤获益药物）</w:t>
      </w:r>
    </w:p>
    <w:p w14:paraId="5BA9F9CF">
      <w:pPr>
        <w:spacing w:line="360" w:lineRule="auto"/>
        <w:ind w:left="420"/>
        <w:rPr>
          <w:rFonts w:ascii="Times New Roman" w:hAnsi="Times New Roman" w:cs="Times New Roman"/>
          <w:sz w:val="18"/>
          <w:szCs w:val="18"/>
        </w:rPr>
      </w:pPr>
      <w:r>
        <w:rPr>
          <w:rFonts w:ascii="Times New Roman" w:hAnsi="Times New Roman" w:cs="Times New Roman"/>
          <w:sz w:val="18"/>
          <w:szCs w:val="18"/>
        </w:rPr>
        <w:t>FDA/NMPA批准伊马替尼用于不可切除或转移的KIT（CD117）阳性GIST患者，还可用于KIT（CD117）阳性的成年GIST患者手术切除后的辅助治疗。</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指南推荐伊马替尼用于</w:t>
      </w:r>
      <w:r>
        <w:rPr>
          <w:rFonts w:ascii="Times New Roman" w:hAnsi="Times New Roman" w:cs="Times New Roman"/>
          <w:sz w:val="18"/>
          <w:szCs w:val="18"/>
        </w:rPr>
        <w:t>KIT 11号外显子突变（除PDGFRA D842V以外），以及双倍剂量用于KIT 9号外显子突变的胃肠间质瘤患者的治疗。</w:t>
      </w:r>
      <w:r>
        <w:rPr>
          <w:rFonts w:hint="eastAsia" w:ascii="Times New Roman" w:hAnsi="Times New Roman" w:cs="Times New Roman"/>
          <w:sz w:val="18"/>
          <w:szCs w:val="18"/>
        </w:rPr>
        <w:t>胃肠道间质瘤中，</w:t>
      </w:r>
      <w:r>
        <w:rPr>
          <w:rFonts w:ascii="Times New Roman" w:hAnsi="Times New Roman" w:cs="Times New Roman"/>
          <w:sz w:val="18"/>
          <w:szCs w:val="18"/>
        </w:rPr>
        <w:t>KIT 11号外显子突变对伊马替尼[PMID: 26687836]、培唑帕尼[PMID: 27068858]、普纳替尼[J Clin Oncol. 2015; 33(suppl 15): abstr 10535]、</w:t>
      </w:r>
      <w:r>
        <w:rPr>
          <w:rFonts w:hint="eastAsia" w:ascii="Times New Roman" w:hAnsi="Times New Roman" w:cs="Times New Roman"/>
          <w:sz w:val="18"/>
          <w:szCs w:val="18"/>
        </w:rPr>
        <w:t>舒尼替尼[</w:t>
      </w:r>
      <w:r>
        <w:rPr>
          <w:rFonts w:ascii="Times New Roman" w:hAnsi="Times New Roman" w:cs="Times New Roman"/>
          <w:sz w:val="18"/>
          <w:szCs w:val="18"/>
        </w:rPr>
        <w:t>PMID: 30346846]瑞戈非尼[PMID: 27371698; PMID: 22614970]、尼洛替尼[PMID: 25882987]和达沙替尼[PMID: 29315500]敏感，与11号外显子突变相比，9号外显子突变对伊马替尼的敏感性中等[PMID: 14645423]；在皮肤黑色素瘤中，KIT激</w:t>
      </w:r>
      <w:r>
        <w:rPr>
          <w:rFonts w:hint="eastAsia" w:ascii="Times New Roman" w:hAnsi="Times New Roman" w:cs="Times New Roman"/>
          <w:sz w:val="18"/>
          <w:szCs w:val="18"/>
        </w:rPr>
        <w:t>活突变对伊马替尼敏感</w:t>
      </w:r>
      <w:r>
        <w:rPr>
          <w:rFonts w:ascii="Times New Roman" w:hAnsi="Times New Roman" w:cs="Times New Roman"/>
          <w:sz w:val="18"/>
          <w:szCs w:val="18"/>
        </w:rPr>
        <w:t>[PMID: 23775962; PMID: 21642685]。</w:t>
      </w:r>
    </w:p>
    <w:p w14:paraId="22E152D7">
      <w:pPr>
        <w:spacing w:line="360" w:lineRule="auto"/>
        <w:ind w:left="420"/>
        <w:rPr>
          <w:rFonts w:ascii="Times New Roman" w:hAnsi="Times New Roman" w:cs="Times New Roman"/>
          <w:sz w:val="18"/>
          <w:szCs w:val="18"/>
        </w:rPr>
      </w:pPr>
    </w:p>
    <w:p w14:paraId="3933D76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MAP2K1                                                                          </w:t>
      </w:r>
    </w:p>
    <w:p w14:paraId="14DA4C7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B4AC8E">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4F4C7AF5">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415EBC2">
      <w:pPr>
        <w:spacing w:line="300" w:lineRule="auto"/>
        <w:ind w:left="420"/>
        <w:rPr>
          <w:rFonts w:ascii="Times New Roman" w:hAnsi="Times New Roman" w:cs="Times New Roman"/>
          <w:sz w:val="18"/>
          <w:szCs w:val="18"/>
        </w:rPr>
      </w:pPr>
      <w:r>
        <w:rPr>
          <w:rFonts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w:t>
      </w:r>
      <w:r>
        <w:rPr>
          <w:rFonts w:hint="eastAsia" w:ascii="Times New Roman" w:hAnsi="Times New Roman" w:cs="Times New Roman"/>
          <w:sz w:val="18"/>
          <w:szCs w:val="18"/>
        </w:rPr>
        <w:t xml:space="preserve"> </w:t>
      </w:r>
      <w:r>
        <w:rPr>
          <w:rFonts w:ascii="Times New Roman" w:hAnsi="Times New Roman" w:cs="Times New Roman"/>
          <w:sz w:val="18"/>
          <w:szCs w:val="18"/>
        </w:rPr>
        <w:t>K57T或MAP2K1</w:t>
      </w:r>
      <w:r>
        <w:rPr>
          <w:rFonts w:hint="eastAsia" w:ascii="Times New Roman" w:hAnsi="Times New Roman" w:cs="Times New Roman"/>
          <w:sz w:val="18"/>
          <w:szCs w:val="18"/>
        </w:rPr>
        <w:t xml:space="preserve"> </w:t>
      </w:r>
      <w:r>
        <w:rPr>
          <w:rFonts w:ascii="Times New Roman" w:hAnsi="Times New Roman" w:cs="Times New Roman"/>
          <w:sz w:val="18"/>
          <w:szCs w:val="18"/>
        </w:rPr>
        <w:t>K57N突变的RAS-WT结直肠癌（CRC）细胞系LIM1215，足以产生对西妥昔单抗或帕尼单抗的耐药性[PMID: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26644315; PMID: 26030179]，而帕尼单抗联合曲美替尼可以抑制具有MEK1突变的西妥昔单抗抗性克隆的结直肠癌细胞系的生长[PMID: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26644315]。临床前研究表明，具有MAP2K1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F53L突变的结肠癌细胞系对曲美替尼敏感，导致细胞活性降低[PMID:</w:t>
      </w:r>
      <w:r>
        <w:rPr>
          <w:rFonts w:hint="eastAsia" w:ascii="Times New Roman" w:hAnsi="Times New Roman" w:cs="Times New Roman"/>
          <w:sz w:val="18"/>
          <w:szCs w:val="18"/>
        </w:rPr>
        <w:t xml:space="preserve"> </w:t>
      </w:r>
      <w:r>
        <w:rPr>
          <w:rFonts w:ascii="Times New Roman" w:hAnsi="Times New Roman" w:cs="Times New Roman"/>
          <w:sz w:val="18"/>
          <w:szCs w:val="18"/>
        </w:rPr>
        <w:t>26582713]，西妥昔单抗联合曲美替尼也可以降低具有MAP2K1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F53L突变的结肠癌细胞系的细胞活力</w:t>
      </w:r>
      <w:bookmarkStart w:id="15" w:name="OLE_LINK1"/>
      <w:r>
        <w:rPr>
          <w:rFonts w:ascii="Times New Roman" w:hAnsi="Times New Roman" w:cs="Times New Roman"/>
          <w:sz w:val="18"/>
          <w:szCs w:val="18"/>
        </w:rPr>
        <w:t>[</w:t>
      </w:r>
      <w:bookmarkEnd w:id="15"/>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28179366]。MAP2K抑制剂对很多癌种的疗效还未明确，临床前和临床上均在努力确认MAP2K1抑制剂对于其他适应症的疗效[PMID</w:t>
      </w:r>
      <w:r>
        <w:rPr>
          <w:rFonts w:hint="eastAsia" w:ascii="Times New Roman" w:hAnsi="Times New Roman" w:cs="Times New Roman"/>
          <w:sz w:val="18"/>
          <w:szCs w:val="18"/>
        </w:rPr>
        <w:t xml:space="preserve">: </w:t>
      </w:r>
      <w:r>
        <w:rPr>
          <w:rFonts w:ascii="Times New Roman" w:hAnsi="Times New Roman" w:cs="Times New Roman"/>
          <w:sz w:val="18"/>
          <w:szCs w:val="18"/>
        </w:rPr>
        <w:t>25435214]。</w:t>
      </w:r>
    </w:p>
    <w:p w14:paraId="18025AC1">
      <w:pPr>
        <w:spacing w:line="300" w:lineRule="auto"/>
        <w:ind w:left="420"/>
        <w:rPr>
          <w:rFonts w:ascii="Times New Roman" w:hAnsi="Times New Roman" w:cs="Times New Roman"/>
          <w:sz w:val="18"/>
          <w:szCs w:val="18"/>
        </w:rPr>
      </w:pPr>
    </w:p>
    <w:p w14:paraId="2D60597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MAP2K2                                                                        </w:t>
      </w:r>
    </w:p>
    <w:p w14:paraId="6454B1F2">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203B85F4">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268EB0D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B2301B8">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一项临床前研究表明，具有BRAF V600E突变和MAP2K2 C125S突变的黑色素瘤细胞对达拉非尼和曲美替尼耐药[PMID:</w:t>
      </w:r>
      <w:r>
        <w:rPr>
          <w:rFonts w:hint="eastAsia" w:ascii="Times New Roman" w:hAnsi="Times New Roman" w:cs="Times New Roman"/>
          <w:sz w:val="18"/>
          <w:szCs w:val="18"/>
        </w:rPr>
        <w:t xml:space="preserve"> </w:t>
      </w:r>
      <w:r>
        <w:rPr>
          <w:rFonts w:ascii="Times New Roman" w:hAnsi="Times New Roman" w:cs="Times New Roman"/>
          <w:sz w:val="18"/>
          <w:szCs w:val="18"/>
        </w:rPr>
        <w:t>24265153]。一项临床前研究表明，具有BRAF V600E突变和MAP2K2 C125S突变的黑色素瘤细胞对VRT11E敏感，可减缓细胞生长[PMID:</w:t>
      </w:r>
      <w:r>
        <w:rPr>
          <w:rFonts w:hint="eastAsia" w:ascii="Times New Roman" w:hAnsi="Times New Roman" w:cs="Times New Roman"/>
          <w:sz w:val="18"/>
          <w:szCs w:val="18"/>
        </w:rPr>
        <w:t xml:space="preserve"> </w:t>
      </w:r>
      <w:r>
        <w:rPr>
          <w:rFonts w:ascii="Times New Roman" w:hAnsi="Times New Roman" w:cs="Times New Roman"/>
          <w:sz w:val="18"/>
          <w:szCs w:val="18"/>
        </w:rPr>
        <w:t>24265153]。</w:t>
      </w:r>
    </w:p>
    <w:p w14:paraId="1905D2FA">
      <w:pPr>
        <w:spacing w:line="360" w:lineRule="auto"/>
        <w:rPr>
          <w:rFonts w:ascii="Times New Roman" w:hAnsi="Times New Roman" w:cs="Times New Roman"/>
          <w:sz w:val="18"/>
          <w:szCs w:val="18"/>
        </w:rPr>
      </w:pPr>
    </w:p>
    <w:p w14:paraId="0F7B803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MET</w:t>
      </w:r>
      <w:r>
        <w:rPr>
          <w:rFonts w:ascii="Times New Roman" w:hAnsi="Times New Roman" w:cs="Times New Roman"/>
          <w:b/>
          <w:color w:val="0000FF"/>
        </w:rPr>
        <w:t xml:space="preserve">     </w:t>
      </w:r>
      <w:r>
        <w:rPr>
          <w:rFonts w:ascii="Times New Roman" w:hAnsi="Times New Roman" w:cs="Times New Roman"/>
          <w:b/>
        </w:rPr>
        <w:t xml:space="preserve">                                                                     </w:t>
      </w:r>
    </w:p>
    <w:p w14:paraId="0FF264B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10EBD29">
      <w:pPr>
        <w:spacing w:line="300" w:lineRule="auto"/>
        <w:ind w:left="420"/>
        <w:rPr>
          <w:rFonts w:ascii="Times New Roman" w:hAnsi="Times New Roman" w:cs="Times New Roman"/>
          <w:sz w:val="18"/>
          <w:szCs w:val="18"/>
        </w:rPr>
      </w:pPr>
      <w:r>
        <w:rPr>
          <w:rFonts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0D7BB154">
      <w:pPr>
        <w:spacing w:line="300" w:lineRule="auto"/>
        <w:ind w:left="420"/>
        <w:rPr>
          <w:rFonts w:ascii="Times New Roman" w:hAnsi="Times New Roman" w:cs="Times New Roman"/>
          <w:b/>
          <w:szCs w:val="18"/>
        </w:rPr>
      </w:pPr>
      <w:r>
        <w:rPr>
          <w:rFonts w:ascii="Times New Roman" w:hAnsi="Times New Roman" w:cs="Times New Roman"/>
          <w:b/>
          <w:szCs w:val="18"/>
        </w:rPr>
        <w:t>用药说明：</w:t>
      </w:r>
      <w:bookmarkStart w:id="16" w:name="OLE_LINK7"/>
      <w:r>
        <w:rPr>
          <w:rFonts w:ascii="Times New Roman" w:hAnsi="Times New Roman" w:cs="Times New Roman"/>
          <w:b/>
          <w:color w:val="000000"/>
          <w:sz w:val="18"/>
          <w:szCs w:val="18"/>
        </w:rPr>
        <w:t>克唑替尼</w:t>
      </w:r>
      <w:bookmarkEnd w:id="16"/>
      <w:r>
        <w:rPr>
          <w:rFonts w:ascii="Times New Roman" w:hAnsi="Times New Roman" w:cs="Times New Roman"/>
          <w:b/>
          <w:color w:val="000000"/>
          <w:sz w:val="18"/>
          <w:szCs w:val="18"/>
        </w:rPr>
        <w:t>*</w:t>
      </w:r>
      <w:r>
        <w:rPr>
          <w:rFonts w:ascii="Times New Roman" w:hAnsi="Times New Roman" w:cs="Times New Roman"/>
          <w:color w:val="000000"/>
          <w:sz w:val="18"/>
          <w:szCs w:val="18"/>
        </w:rPr>
        <w:t>、</w:t>
      </w:r>
      <w:r>
        <w:rPr>
          <w:rFonts w:ascii="Times New Roman" w:hAnsi="Times New Roman" w:cs="Times New Roman"/>
          <w:b/>
          <w:sz w:val="18"/>
          <w:szCs w:val="18"/>
        </w:rPr>
        <w:t>Tepotinib</w:t>
      </w:r>
      <w:r>
        <w:rPr>
          <w:rFonts w:hint="eastAsia" w:ascii="Times New Roman" w:hAnsi="Times New Roman" w:cs="Times New Roman"/>
          <w:sz w:val="18"/>
          <w:szCs w:val="18"/>
        </w:rPr>
        <w:t>、</w:t>
      </w:r>
      <w:r>
        <w:rPr>
          <w:rFonts w:ascii="Times New Roman" w:hAnsi="Times New Roman" w:cs="Times New Roman"/>
          <w:b/>
          <w:sz w:val="18"/>
          <w:szCs w:val="18"/>
        </w:rPr>
        <w:t>Capmatinib</w:t>
      </w:r>
      <w:r>
        <w:rPr>
          <w:rFonts w:ascii="Times New Roman" w:hAnsi="Times New Roman" w:cs="Times New Roman"/>
          <w:color w:val="000000"/>
          <w:sz w:val="18"/>
          <w:szCs w:val="18"/>
        </w:rPr>
        <w:t>、</w:t>
      </w:r>
      <w:r>
        <w:rPr>
          <w:rFonts w:ascii="Times New Roman" w:hAnsi="Times New Roman" w:cs="Times New Roman"/>
          <w:b/>
          <w:color w:val="000000"/>
          <w:sz w:val="18"/>
          <w:szCs w:val="18"/>
        </w:rPr>
        <w:t>卡博替尼</w:t>
      </w:r>
      <w:r>
        <w:rPr>
          <w:rFonts w:ascii="Times New Roman" w:hAnsi="Times New Roman" w:cs="Times New Roman"/>
          <w:color w:val="000000"/>
          <w:sz w:val="18"/>
          <w:szCs w:val="18"/>
        </w:rPr>
        <w:t>、</w:t>
      </w:r>
      <w:r>
        <w:rPr>
          <w:rFonts w:hint="eastAsia" w:ascii="Times New Roman" w:hAnsi="Times New Roman" w:cs="Times New Roman"/>
          <w:color w:val="000000"/>
          <w:sz w:val="18"/>
          <w:szCs w:val="18"/>
        </w:rPr>
        <w:t>沃利替尼</w:t>
      </w:r>
    </w:p>
    <w:p w14:paraId="5D4E986A">
      <w:pPr>
        <w:spacing w:line="300" w:lineRule="auto"/>
        <w:ind w:left="420"/>
        <w:rPr>
          <w:rFonts w:ascii="Times New Roman" w:hAnsi="Times New Roman" w:cs="Times New Roman"/>
          <w:sz w:val="18"/>
          <w:szCs w:val="18"/>
        </w:rPr>
      </w:pPr>
      <w:r>
        <w:rPr>
          <w:rFonts w:ascii="Times New Roman" w:hAnsi="Times New Roman" w:cs="Times New Roman"/>
          <w:sz w:val="18"/>
          <w:szCs w:val="18"/>
        </w:rPr>
        <w:t>MET常发生的变异主要包括14号外显子跳跃突变，尤其高发于肺肉瘤样癌。</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Tepotinib</w:t>
      </w:r>
      <w:r>
        <w:rPr>
          <w:rFonts w:hint="eastAsia" w:ascii="Times New Roman" w:hAnsi="Times New Roman" w:cs="Times New Roman"/>
          <w:sz w:val="18"/>
          <w:szCs w:val="18"/>
        </w:rPr>
        <w:t>、</w:t>
      </w:r>
      <w:r>
        <w:rPr>
          <w:rFonts w:ascii="Times New Roman" w:hAnsi="Times New Roman" w:cs="Times New Roman"/>
          <w:sz w:val="18"/>
          <w:szCs w:val="18"/>
        </w:rPr>
        <w:t>Capmatinib</w:t>
      </w:r>
      <w:r>
        <w:rPr>
          <w:rFonts w:hint="eastAsia" w:ascii="Times New Roman" w:hAnsi="Times New Roman" w:cs="Times New Roman"/>
          <w:sz w:val="18"/>
          <w:szCs w:val="18"/>
        </w:rPr>
        <w:t>用于M</w:t>
      </w:r>
      <w:r>
        <w:rPr>
          <w:rFonts w:ascii="Times New Roman" w:hAnsi="Times New Roman" w:cs="Times New Roman"/>
          <w:sz w:val="18"/>
          <w:szCs w:val="18"/>
        </w:rPr>
        <w:t xml:space="preserve">ET </w:t>
      </w:r>
      <w:r>
        <w:rPr>
          <w:rFonts w:hint="eastAsia" w:ascii="Times New Roman" w:hAnsi="Times New Roman" w:cs="Times New Roman"/>
          <w:sz w:val="18"/>
          <w:szCs w:val="18"/>
        </w:rPr>
        <w:t>1</w:t>
      </w:r>
      <w:r>
        <w:rPr>
          <w:rFonts w:ascii="Times New Roman" w:hAnsi="Times New Roman" w:cs="Times New Roman"/>
          <w:sz w:val="18"/>
          <w:szCs w:val="18"/>
        </w:rPr>
        <w:t>4</w:t>
      </w:r>
      <w:r>
        <w:rPr>
          <w:rFonts w:hint="eastAsia" w:ascii="Times New Roman" w:hAnsi="Times New Roman" w:cs="Times New Roman"/>
          <w:sz w:val="18"/>
          <w:szCs w:val="18"/>
        </w:rPr>
        <w:t>号外显子跳跃突变的非小细胞肺癌患者。</w:t>
      </w:r>
      <w:r>
        <w:rPr>
          <w:rFonts w:ascii="Times New Roman" w:hAnsi="Times New Roman" w:cs="Times New Roman"/>
          <w:sz w:val="18"/>
          <w:szCs w:val="18"/>
        </w:rPr>
        <w:t>NCCN指南推荐克唑替尼</w:t>
      </w:r>
      <w:r>
        <w:rPr>
          <w:rFonts w:hint="eastAsia" w:ascii="Times New Roman" w:hAnsi="Times New Roman" w:cs="Times New Roman"/>
          <w:sz w:val="18"/>
          <w:szCs w:val="18"/>
        </w:rPr>
        <w:t>、</w:t>
      </w:r>
      <w:r>
        <w:rPr>
          <w:rFonts w:ascii="Times New Roman" w:hAnsi="Times New Roman" w:cs="Times New Roman"/>
          <w:sz w:val="18"/>
          <w:szCs w:val="18"/>
        </w:rPr>
        <w:t>Capmatinib用于有较高MET扩增或者MET 14号外显子跳跃突变的非小细胞肺癌患者的治疗</w:t>
      </w:r>
      <w:r>
        <w:rPr>
          <w:rFonts w:hint="eastAsia" w:ascii="Times New Roman" w:hAnsi="Times New Roman" w:cs="Times New Roman"/>
          <w:sz w:val="18"/>
          <w:szCs w:val="18"/>
        </w:rPr>
        <w:t>；</w:t>
      </w:r>
      <w:r>
        <w:rPr>
          <w:rFonts w:ascii="Times New Roman" w:hAnsi="Times New Roman" w:cs="Times New Roman"/>
          <w:sz w:val="18"/>
          <w:szCs w:val="18"/>
        </w:rPr>
        <w:t>Tepotinib用于MET 14号外显子跳跃突变的非小细胞肺癌患者的一线或后续治疗[NCCN_Non-Small Cell Lung Cancer_2021_V5]。</w:t>
      </w:r>
      <w:r>
        <w:rPr>
          <w:rFonts w:hint="eastAsia" w:ascii="Times New Roman" w:hAnsi="Times New Roman" w:cs="Times New Roman"/>
          <w:sz w:val="18"/>
          <w:szCs w:val="18"/>
        </w:rPr>
        <w:t>在</w:t>
      </w:r>
      <w:r>
        <w:rPr>
          <w:rFonts w:ascii="Times New Roman" w:hAnsi="Times New Roman" w:cs="Times New Roman"/>
          <w:sz w:val="18"/>
          <w:szCs w:val="18"/>
        </w:rPr>
        <w:t>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w:t>
      </w:r>
      <w:r>
        <w:rPr>
          <w:rFonts w:hint="eastAsia" w:ascii="Times New Roman" w:hAnsi="Times New Roman" w:cs="Times New Roman"/>
          <w:sz w:val="18"/>
          <w:szCs w:val="18"/>
        </w:rPr>
        <w:t>目前卡博替尼、伯瑞替尼、</w:t>
      </w:r>
      <w:r>
        <w:rPr>
          <w:rFonts w:ascii="Times New Roman" w:hAnsi="Times New Roman" w:cs="Times New Roman"/>
          <w:sz w:val="18"/>
          <w:szCs w:val="18"/>
        </w:rPr>
        <w:t>Tepotinib</w:t>
      </w:r>
      <w:r>
        <w:rPr>
          <w:rFonts w:hint="eastAsia" w:ascii="Times New Roman" w:hAnsi="Times New Roman" w:cs="Times New Roman"/>
          <w:sz w:val="18"/>
          <w:szCs w:val="18"/>
        </w:rPr>
        <w:t>、克唑替尼等用于非小细胞肺癌或实体瘤患者的临床试验正在开展。</w:t>
      </w:r>
    </w:p>
    <w:p w14:paraId="2B39FD7D">
      <w:pPr>
        <w:spacing w:line="300" w:lineRule="auto"/>
        <w:ind w:left="420"/>
        <w:rPr>
          <w:rFonts w:ascii="Times New Roman" w:hAnsi="Times New Roman" w:cs="Times New Roman"/>
          <w:sz w:val="18"/>
          <w:szCs w:val="18"/>
        </w:rPr>
      </w:pPr>
    </w:p>
    <w:p w14:paraId="6ABE7C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MTOR                                                                          </w:t>
      </w:r>
    </w:p>
    <w:p w14:paraId="28B0926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8EDC214">
      <w:pPr>
        <w:spacing w:line="300" w:lineRule="auto"/>
        <w:ind w:left="420"/>
        <w:rPr>
          <w:rFonts w:ascii="Times New Roman" w:hAnsi="Times New Roman" w:cs="Times New Roman"/>
          <w:sz w:val="18"/>
          <w:szCs w:val="18"/>
        </w:rPr>
      </w:pPr>
      <w:r>
        <w:rPr>
          <w:rFonts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743B3D5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AE69FD">
      <w:pPr>
        <w:spacing w:line="300" w:lineRule="auto"/>
        <w:ind w:left="420"/>
        <w:rPr>
          <w:rFonts w:ascii="Times New Roman" w:hAnsi="Times New Roman" w:cs="Times New Roman"/>
          <w:sz w:val="18"/>
          <w:szCs w:val="18"/>
        </w:rPr>
      </w:pPr>
      <w:r>
        <w:rPr>
          <w:rFonts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w:t>
      </w:r>
      <w:r>
        <w:rPr>
          <w:rFonts w:hint="eastAsia" w:ascii="Times New Roman" w:hAnsi="Times New Roman" w:cs="Times New Roman"/>
          <w:sz w:val="18"/>
          <w:szCs w:val="18"/>
        </w:rPr>
        <w:t xml:space="preserve"> </w:t>
      </w:r>
      <w:r>
        <w:rPr>
          <w:rFonts w:ascii="Times New Roman" w:hAnsi="Times New Roman" w:cs="Times New Roman"/>
          <w:sz w:val="18"/>
          <w:szCs w:val="18"/>
        </w:rPr>
        <w:t>23291985]。mTOR通路的激活已被发现与不良临床预后、侵袭和转移相关[PMID: 32016810]。</w:t>
      </w:r>
      <w:r>
        <w:rPr>
          <w:rFonts w:hint="eastAsia" w:ascii="Times New Roman" w:hAnsi="Times New Roman" w:cs="Times New Roman"/>
          <w:sz w:val="18"/>
          <w:szCs w:val="18"/>
        </w:rPr>
        <w:t>目前</w:t>
      </w:r>
      <w:r>
        <w:rPr>
          <w:rFonts w:ascii="Times New Roman" w:hAnsi="Times New Roman" w:cs="Times New Roman"/>
          <w:sz w:val="18"/>
          <w:szCs w:val="18"/>
        </w:rPr>
        <w:t>Sapanisertib</w:t>
      </w:r>
      <w:r>
        <w:rPr>
          <w:rFonts w:hint="eastAsia" w:ascii="Times New Roman" w:hAnsi="Times New Roman" w:cs="Times New Roman"/>
          <w:sz w:val="18"/>
          <w:szCs w:val="18"/>
        </w:rPr>
        <w:t>、依维莫司用于M</w:t>
      </w:r>
      <w:r>
        <w:rPr>
          <w:rFonts w:ascii="Times New Roman" w:hAnsi="Times New Roman" w:cs="Times New Roman"/>
          <w:sz w:val="18"/>
          <w:szCs w:val="18"/>
        </w:rPr>
        <w:t>TOR</w:t>
      </w:r>
      <w:r>
        <w:rPr>
          <w:rFonts w:hint="eastAsia" w:ascii="Times New Roman" w:hAnsi="Times New Roman" w:cs="Times New Roman"/>
          <w:sz w:val="18"/>
          <w:szCs w:val="18"/>
        </w:rPr>
        <w:t>突变实体瘤患者的临床试验正在开展。</w:t>
      </w:r>
    </w:p>
    <w:p w14:paraId="0124C7C9">
      <w:pPr>
        <w:spacing w:line="300" w:lineRule="auto"/>
        <w:ind w:left="420"/>
        <w:rPr>
          <w:rFonts w:ascii="Times New Roman" w:hAnsi="Times New Roman" w:cs="Times New Roman"/>
          <w:sz w:val="18"/>
          <w:szCs w:val="18"/>
        </w:rPr>
      </w:pPr>
    </w:p>
    <w:p w14:paraId="7B111852">
      <w:pPr>
        <w:spacing w:line="360" w:lineRule="auto"/>
        <w:rPr>
          <w:rFonts w:ascii="Times New Roman" w:hAnsi="Times New Roman" w:cs="Times New Roman"/>
          <w:b/>
          <w:color w:val="000000"/>
        </w:rPr>
      </w:pPr>
      <w:r>
        <w:rPr>
          <w:rFonts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color w:val="000000"/>
        </w:rPr>
        <w:t xml:space="preserve">MYC                                                                         </w:t>
      </w:r>
    </w:p>
    <w:p w14:paraId="59DF0BBB">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基因说明：</w:t>
      </w:r>
    </w:p>
    <w:p w14:paraId="5CD1F9BF">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7E66F50A">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用药说明：</w:t>
      </w:r>
    </w:p>
    <w:p w14:paraId="4ED38CF9">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在小细胞肺癌的研究中发现，携带MYC扩增或过表达的肿瘤中，Prexasertib可以增强顺铂或者PARP抑制剂奥拉帕利的作用[PMID: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28490518]。临床前研究表明，ERBB2抑制剂来那替尼联合多西他赛以及Aurora抑制剂GSK1070916对于携带MYC扩增的肿瘤细胞系有协同抑制作用[PMID: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26018524]。</w:t>
      </w:r>
      <w:r>
        <w:rPr>
          <w:rFonts w:hint="eastAsia" w:ascii="Times New Roman" w:hAnsi="Times New Roman" w:cs="Times New Roman"/>
          <w:color w:val="000000"/>
          <w:sz w:val="18"/>
          <w:szCs w:val="18"/>
        </w:rPr>
        <w:t>对接受吉非替尼治疗的</w:t>
      </w:r>
      <w:r>
        <w:rPr>
          <w:rFonts w:ascii="Times New Roman" w:hAnsi="Times New Roman" w:cs="Times New Roman"/>
          <w:color w:val="000000"/>
          <w:sz w:val="18"/>
          <w:szCs w:val="18"/>
        </w:rPr>
        <w:t>NSCLC患者的研究发现，MYC FISH阳性患者比MYC阴性患者有更高的反应率（p=0.003），更长的进展时间（p=0.01）和总生存率OS（p=0.02）[PMID: 19204574]。</w:t>
      </w:r>
      <w:r>
        <w:rPr>
          <w:rFonts w:hint="eastAsia" w:ascii="Times New Roman" w:hAnsi="Times New Roman" w:cs="Times New Roman"/>
          <w:color w:val="000000"/>
          <w:sz w:val="18"/>
          <w:szCs w:val="18"/>
        </w:rPr>
        <w:t>有研究表明，</w:t>
      </w:r>
      <w:r>
        <w:rPr>
          <w:rFonts w:ascii="Times New Roman" w:hAnsi="Times New Roman" w:cs="Times New Roman"/>
          <w:color w:val="000000"/>
          <w:sz w:val="18"/>
          <w:szCs w:val="18"/>
        </w:rPr>
        <w:t>MYC的激活或者扩增是小细胞肺癌细胞对依维莫司（mTOR抑制剂）耐药的主要原因之一[PMID: 25884680; PMID: 25122428]。</w:t>
      </w:r>
      <w:r>
        <w:rPr>
          <w:rFonts w:hint="eastAsia" w:ascii="Times New Roman" w:hAnsi="Times New Roman" w:cs="Times New Roman"/>
          <w:color w:val="000000"/>
          <w:sz w:val="18"/>
          <w:szCs w:val="18"/>
        </w:rPr>
        <w:t>在结直肠癌患者中，</w:t>
      </w:r>
      <w:r>
        <w:rPr>
          <w:rFonts w:ascii="Times New Roman" w:hAnsi="Times New Roman" w:cs="Times New Roman"/>
          <w:color w:val="000000"/>
          <w:sz w:val="18"/>
          <w:szCs w:val="18"/>
        </w:rPr>
        <w:t>c-MYC拷贝数增加是预后不良的独立因素[PMID: 26426996]。</w:t>
      </w:r>
      <w:r>
        <w:rPr>
          <w:rFonts w:hint="eastAsia" w:ascii="Times New Roman" w:hAnsi="Times New Roman" w:cs="Times New Roman"/>
          <w:sz w:val="18"/>
          <w:szCs w:val="18"/>
        </w:rPr>
        <w:t>目前</w:t>
      </w:r>
      <w:r>
        <w:rPr>
          <w:rFonts w:ascii="Times New Roman" w:hAnsi="Times New Roman" w:cs="Times New Roman"/>
          <w:sz w:val="18"/>
          <w:szCs w:val="18"/>
        </w:rPr>
        <w:t>KB0742</w:t>
      </w:r>
      <w:r>
        <w:rPr>
          <w:rFonts w:hint="eastAsia" w:ascii="Times New Roman" w:hAnsi="Times New Roman" w:cs="Times New Roman"/>
          <w:sz w:val="18"/>
          <w:szCs w:val="18"/>
        </w:rPr>
        <w:t>用于</w:t>
      </w:r>
      <w:r>
        <w:rPr>
          <w:rFonts w:ascii="Times New Roman" w:hAnsi="Times New Roman" w:cs="Times New Roman"/>
          <w:sz w:val="18"/>
          <w:szCs w:val="18"/>
        </w:rPr>
        <w:t>MYC</w:t>
      </w:r>
      <w:r>
        <w:rPr>
          <w:rFonts w:hint="eastAsia" w:ascii="Times New Roman" w:hAnsi="Times New Roman" w:cs="Times New Roman"/>
          <w:sz w:val="18"/>
          <w:szCs w:val="18"/>
        </w:rPr>
        <w:t>突变实体瘤患者的临床试验正在开展。</w:t>
      </w:r>
    </w:p>
    <w:p w14:paraId="24D40E8A">
      <w:pPr>
        <w:spacing w:line="300" w:lineRule="auto"/>
        <w:ind w:left="420"/>
        <w:rPr>
          <w:rFonts w:ascii="Times New Roman" w:hAnsi="Times New Roman" w:cs="Times New Roman"/>
          <w:color w:val="000000"/>
          <w:sz w:val="18"/>
          <w:szCs w:val="18"/>
        </w:rPr>
      </w:pPr>
    </w:p>
    <w:p w14:paraId="763E950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MYCN                                                                          </w:t>
      </w:r>
    </w:p>
    <w:p w14:paraId="59E91A8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EAB3176">
      <w:pPr>
        <w:spacing w:line="300" w:lineRule="auto"/>
        <w:ind w:left="420"/>
        <w:rPr>
          <w:rFonts w:ascii="Times New Roman" w:hAnsi="Times New Roman" w:cs="Times New Roman"/>
          <w:sz w:val="18"/>
          <w:szCs w:val="18"/>
        </w:rPr>
      </w:pPr>
      <w:r>
        <w:rPr>
          <w:rFonts w:ascii="Times New Roman" w:hAnsi="Times New Roman" w:cs="Times New Roman"/>
          <w:sz w:val="18"/>
          <w:szCs w:val="18"/>
        </w:rPr>
        <w:t>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w:t>
      </w:r>
      <w:r>
        <w:rPr>
          <w:rFonts w:hint="eastAsia" w:ascii="Times New Roman" w:hAnsi="Times New Roman" w:cs="Times New Roman"/>
          <w:sz w:val="18"/>
          <w:szCs w:val="18"/>
        </w:rPr>
        <w:t xml:space="preserve">: </w:t>
      </w:r>
      <w:r>
        <w:rPr>
          <w:rFonts w:ascii="Times New Roman" w:hAnsi="Times New Roman" w:cs="Times New Roman"/>
          <w:sz w:val="18"/>
          <w:szCs w:val="18"/>
        </w:rPr>
        <w:t xml:space="preserve">20399964]。该基因的扩增与多种肿瘤相关，尤其是神经母细胞瘤。已发现该基因存在多个编码不同亚型的交替剪接转录变体。与MYCN相关的疾病包括眼癌、神经母细胞瘤、子宫内膜癌、肠道癌症等。 </w:t>
      </w:r>
    </w:p>
    <w:p w14:paraId="6895713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824C2F7">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w:t>
      </w:r>
      <w:r>
        <w:rPr>
          <w:rFonts w:hint="eastAsia" w:ascii="Times New Roman" w:hAnsi="Times New Roman" w:cs="Times New Roman"/>
          <w:color w:val="000000"/>
          <w:sz w:val="18"/>
          <w:szCs w:val="18"/>
        </w:rPr>
        <w:t>有研究报道，</w:t>
      </w:r>
      <w:r>
        <w:rPr>
          <w:rFonts w:ascii="Times New Roman" w:hAnsi="Times New Roman" w:cs="Times New Roman"/>
          <w:color w:val="000000"/>
          <w:sz w:val="18"/>
          <w:szCs w:val="18"/>
        </w:rPr>
        <w:t>MYCN与非小细胞肺癌的复发时间有关[PMID: 26858029]。</w:t>
      </w:r>
    </w:p>
    <w:p w14:paraId="455846DC">
      <w:pPr>
        <w:spacing w:line="300" w:lineRule="auto"/>
        <w:ind w:left="420"/>
        <w:rPr>
          <w:rFonts w:ascii="Times New Roman" w:hAnsi="Times New Roman" w:cs="Times New Roman"/>
          <w:sz w:val="18"/>
          <w:szCs w:val="18"/>
        </w:rPr>
      </w:pPr>
    </w:p>
    <w:p w14:paraId="66A34A8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NRAS                                                                          </w:t>
      </w:r>
    </w:p>
    <w:p w14:paraId="216FDAE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B2D243C">
      <w:pPr>
        <w:spacing w:line="300" w:lineRule="auto"/>
        <w:ind w:left="420"/>
        <w:rPr>
          <w:rFonts w:ascii="Times New Roman" w:hAnsi="Times New Roman" w:cs="Times New Roman"/>
          <w:b/>
          <w:szCs w:val="18"/>
        </w:rPr>
      </w:pPr>
      <w:r>
        <w:rPr>
          <w:rFonts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w:t>
      </w:r>
      <w:r>
        <w:rPr>
          <w:rFonts w:hint="eastAsia" w:ascii="Times New Roman" w:hAnsi="Times New Roman" w:cs="Times New Roman"/>
          <w:sz w:val="18"/>
          <w:szCs w:val="18"/>
        </w:rPr>
        <w:t>，</w:t>
      </w:r>
      <w:r>
        <w:rPr>
          <w:rFonts w:ascii="Times New Roman" w:hAnsi="Times New Roman" w:cs="Times New Roman"/>
          <w:sz w:val="18"/>
          <w:szCs w:val="18"/>
        </w:rPr>
        <w:t>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6DD3EF9B">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西妥昔单抗*</w:t>
      </w:r>
      <w:r>
        <w:rPr>
          <w:rFonts w:ascii="Times New Roman" w:hAnsi="Times New Roman" w:cs="Times New Roman"/>
          <w:color w:val="000000"/>
          <w:sz w:val="18"/>
          <w:szCs w:val="18"/>
        </w:rPr>
        <w:t>、</w:t>
      </w:r>
      <w:r>
        <w:rPr>
          <w:rFonts w:ascii="Times New Roman" w:hAnsi="Times New Roman" w:cs="Times New Roman"/>
          <w:b/>
          <w:color w:val="000000"/>
          <w:sz w:val="18"/>
          <w:szCs w:val="18"/>
        </w:rPr>
        <w:t>帕尼单抗</w:t>
      </w:r>
      <w:r>
        <w:rPr>
          <w:rFonts w:ascii="Times New Roman" w:hAnsi="Times New Roman" w:cs="Times New Roman"/>
          <w:color w:val="000000"/>
          <w:sz w:val="18"/>
          <w:szCs w:val="18"/>
        </w:rPr>
        <w:t>、Navitoclax + 曲美替尼、贝美替尼</w:t>
      </w:r>
    </w:p>
    <w:p w14:paraId="769BF708">
      <w:pPr>
        <w:spacing w:line="360" w:lineRule="auto"/>
        <w:ind w:left="420"/>
        <w:rPr>
          <w:rFonts w:ascii="Times New Roman" w:hAnsi="Times New Roman" w:cs="Times New Roman"/>
          <w:sz w:val="18"/>
          <w:szCs w:val="18"/>
        </w:rPr>
      </w:pPr>
      <w:r>
        <w:rPr>
          <w:rFonts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w:t>
      </w:r>
      <w:r>
        <w:rPr>
          <w:rFonts w:hint="eastAsia" w:ascii="Times New Roman" w:hAnsi="Times New Roman" w:cs="Times New Roman"/>
          <w:sz w:val="18"/>
          <w:szCs w:val="18"/>
        </w:rPr>
        <w:t>。结直肠癌中，</w:t>
      </w:r>
      <w:r>
        <w:rPr>
          <w:rFonts w:ascii="Times New Roman" w:hAnsi="Times New Roman" w:cs="Times New Roman"/>
          <w:sz w:val="18"/>
          <w:szCs w:val="18"/>
        </w:rPr>
        <w:t>NRAS野生型对西妥昔单抗[PMID: 30463680]、帕尼单抗（EGFR单抗）[PMID: 29587749; PMID: 29737864]敏感性增加</w:t>
      </w:r>
      <w:r>
        <w:rPr>
          <w:rFonts w:hint="eastAsia" w:ascii="Times New Roman" w:hAnsi="Times New Roman" w:cs="Times New Roman"/>
          <w:sz w:val="18"/>
          <w:szCs w:val="18"/>
        </w:rPr>
        <w:t>。</w:t>
      </w:r>
      <w:r>
        <w:rPr>
          <w:rFonts w:ascii="Times New Roman" w:hAnsi="Times New Roman" w:cs="Times New Roman"/>
          <w:sz w:val="18"/>
          <w:szCs w:val="18"/>
        </w:rPr>
        <w:t>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w:t>
      </w:r>
      <w:r>
        <w:rPr>
          <w:rFonts w:hint="eastAsia" w:ascii="Times New Roman" w:hAnsi="Times New Roman" w:cs="Times New Roman"/>
          <w:sz w:val="18"/>
          <w:szCs w:val="18"/>
        </w:rPr>
        <w:t>目前</w:t>
      </w:r>
      <w:r>
        <w:rPr>
          <w:rFonts w:ascii="Times New Roman" w:hAnsi="Times New Roman" w:cs="Times New Roman"/>
          <w:sz w:val="18"/>
          <w:szCs w:val="18"/>
        </w:rPr>
        <w:t>HH2710</w:t>
      </w:r>
      <w:r>
        <w:rPr>
          <w:rFonts w:hint="eastAsia" w:ascii="Times New Roman" w:hAnsi="Times New Roman" w:cs="Times New Roman"/>
          <w:sz w:val="18"/>
          <w:szCs w:val="18"/>
        </w:rPr>
        <w:t>、西罗莫司、贝美替尼用于N</w:t>
      </w:r>
      <w:r>
        <w:rPr>
          <w:rFonts w:ascii="Times New Roman" w:hAnsi="Times New Roman" w:cs="Times New Roman"/>
          <w:sz w:val="18"/>
          <w:szCs w:val="18"/>
        </w:rPr>
        <w:t>RAS</w:t>
      </w:r>
      <w:r>
        <w:rPr>
          <w:rFonts w:hint="eastAsia" w:ascii="Times New Roman" w:hAnsi="Times New Roman" w:cs="Times New Roman"/>
          <w:sz w:val="18"/>
          <w:szCs w:val="18"/>
        </w:rPr>
        <w:t>突变的实体瘤患者的临床试验正在开展。</w:t>
      </w:r>
    </w:p>
    <w:p w14:paraId="5860D322">
      <w:pPr>
        <w:spacing w:line="300" w:lineRule="auto"/>
        <w:rPr>
          <w:rFonts w:ascii="Times New Roman" w:hAnsi="Times New Roman" w:cs="Times New Roman"/>
          <w:sz w:val="18"/>
          <w:szCs w:val="18"/>
        </w:rPr>
      </w:pPr>
    </w:p>
    <w:p w14:paraId="1590A87B">
      <w:pPr>
        <w:spacing w:line="360" w:lineRule="auto"/>
        <w:rPr>
          <w:rFonts w:ascii="Times New Roman" w:hAnsi="Times New Roman" w:cs="Times New Roman"/>
          <w:b/>
          <w:szCs w:val="18"/>
        </w:rPr>
      </w:pPr>
      <w:r>
        <w:rPr>
          <w:rFonts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NTRK1                                                                    </w:t>
      </w:r>
    </w:p>
    <w:p w14:paraId="699C241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621630B">
      <w:pPr>
        <w:spacing w:line="300" w:lineRule="auto"/>
        <w:ind w:left="420"/>
        <w:rPr>
          <w:rFonts w:ascii="Times New Roman" w:hAnsi="Times New Roman" w:cs="Times New Roman"/>
          <w:sz w:val="18"/>
          <w:szCs w:val="18"/>
        </w:rPr>
      </w:pPr>
      <w:r>
        <w:rPr>
          <w:rFonts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w:t>
      </w:r>
      <w:r>
        <w:rPr>
          <w:rFonts w:hint="eastAsia" w:ascii="Times New Roman" w:hAnsi="Times New Roman" w:cs="Times New Roman"/>
          <w:sz w:val="18"/>
          <w:szCs w:val="18"/>
        </w:rPr>
        <w:t>型</w:t>
      </w:r>
      <w:r>
        <w:rPr>
          <w:rFonts w:ascii="Times New Roman" w:hAnsi="Times New Roman" w:cs="Times New Roman"/>
          <w:sz w:val="18"/>
          <w:szCs w:val="18"/>
        </w:rPr>
        <w:t>激活。MPRIP-NTRK1(M21;N14)和CD74-NTRK1 (C8;N12)融合基因是肺腺癌的致癌基因，是肺癌新的癌基因靶点。</w:t>
      </w:r>
    </w:p>
    <w:p w14:paraId="69E16AEB">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恩曲替尼、拉罗替尼</w:t>
      </w:r>
    </w:p>
    <w:p w14:paraId="07CFB5FB">
      <w:pPr>
        <w:spacing w:line="360" w:lineRule="auto"/>
        <w:ind w:left="420"/>
        <w:rPr>
          <w:rFonts w:ascii="Times New Roman" w:hAnsi="Times New Roman" w:cs="Times New Roman"/>
          <w:sz w:val="18"/>
          <w:szCs w:val="18"/>
        </w:rPr>
      </w:pPr>
      <w:r>
        <w:rPr>
          <w:rFonts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VMD928</w:t>
      </w:r>
      <w:r>
        <w:rPr>
          <w:rFonts w:hint="eastAsia" w:ascii="Times New Roman" w:hAnsi="Times New Roman" w:cs="Times New Roman"/>
          <w:sz w:val="18"/>
          <w:szCs w:val="18"/>
        </w:rPr>
        <w:t>、</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TRK1</w:t>
      </w:r>
      <w:r>
        <w:rPr>
          <w:rFonts w:hint="eastAsia" w:ascii="Times New Roman" w:hAnsi="Times New Roman" w:cs="Times New Roman"/>
          <w:sz w:val="18"/>
          <w:szCs w:val="18"/>
        </w:rPr>
        <w:t>扩增或融合的实体瘤患者的临床试验正在开展。</w:t>
      </w:r>
    </w:p>
    <w:p w14:paraId="46851448">
      <w:pPr>
        <w:spacing w:line="360" w:lineRule="auto"/>
        <w:ind w:left="420"/>
        <w:rPr>
          <w:rFonts w:ascii="Times New Roman" w:hAnsi="Times New Roman" w:cs="Times New Roman"/>
          <w:sz w:val="18"/>
          <w:szCs w:val="18"/>
        </w:rPr>
      </w:pPr>
    </w:p>
    <w:p w14:paraId="7A67ED8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NTRK2</w:t>
      </w:r>
      <w:r>
        <w:rPr>
          <w:rFonts w:ascii="Times New Roman" w:hAnsi="Times New Roman" w:cs="Times New Roman"/>
          <w:b/>
          <w:color w:val="FF0000"/>
        </w:rPr>
        <w:t xml:space="preserve"> </w:t>
      </w:r>
      <w:r>
        <w:rPr>
          <w:rFonts w:ascii="Times New Roman" w:hAnsi="Times New Roman" w:cs="Times New Roman"/>
          <w:b/>
        </w:rPr>
        <w:t xml:space="preserve">                                                                        </w:t>
      </w:r>
    </w:p>
    <w:p w14:paraId="0010A9B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A4C9300">
      <w:pPr>
        <w:spacing w:line="300" w:lineRule="auto"/>
        <w:ind w:left="420"/>
        <w:rPr>
          <w:rFonts w:ascii="Times New Roman" w:hAnsi="Times New Roman" w:cs="Times New Roman"/>
          <w:sz w:val="18"/>
          <w:szCs w:val="18"/>
        </w:rPr>
      </w:pPr>
      <w:r>
        <w:rPr>
          <w:rFonts w:ascii="Times New Roman" w:hAnsi="Times New Roman" w:cs="Times New Roman"/>
          <w:sz w:val="18"/>
          <w:szCs w:val="18"/>
        </w:rPr>
        <w:t>NTRK2基因</w:t>
      </w:r>
      <w:r>
        <w:rPr>
          <w:rFonts w:hint="eastAsia" w:ascii="Times New Roman" w:hAnsi="Times New Roman" w:cs="Times New Roman"/>
          <w:sz w:val="18"/>
          <w:szCs w:val="18"/>
        </w:rPr>
        <w:t>（</w:t>
      </w:r>
      <w:r>
        <w:rPr>
          <w:rFonts w:ascii="Times New Roman" w:hAnsi="Times New Roman" w:cs="Times New Roman"/>
          <w:sz w:val="18"/>
          <w:szCs w:val="18"/>
        </w:rPr>
        <w:t>神经营养受体酪氨酸激酶2</w:t>
      </w:r>
      <w:r>
        <w:rPr>
          <w:rFonts w:hint="eastAsia" w:ascii="Times New Roman" w:hAnsi="Times New Roman" w:cs="Times New Roman"/>
          <w:sz w:val="18"/>
          <w:szCs w:val="18"/>
        </w:rPr>
        <w:t>）</w:t>
      </w:r>
      <w:r>
        <w:rPr>
          <w:rFonts w:ascii="Times New Roman" w:hAnsi="Times New Roman" w:cs="Times New Roman"/>
          <w:sz w:val="18"/>
          <w:szCs w:val="18"/>
        </w:rPr>
        <w:t>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06B02A97">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2F5E9DD8">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5BDA3796">
      <w:pPr>
        <w:spacing w:line="300" w:lineRule="auto"/>
        <w:rPr>
          <w:rFonts w:ascii="Times New Roman" w:hAnsi="Times New Roman" w:cs="Times New Roman"/>
          <w:sz w:val="18"/>
          <w:szCs w:val="18"/>
        </w:rPr>
      </w:pPr>
    </w:p>
    <w:p w14:paraId="5D934E2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NTRK3                                                                         </w:t>
      </w:r>
    </w:p>
    <w:p w14:paraId="7729439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13F95E">
      <w:pPr>
        <w:spacing w:line="300" w:lineRule="auto"/>
        <w:ind w:left="420"/>
        <w:rPr>
          <w:rFonts w:ascii="Times New Roman" w:hAnsi="Times New Roman" w:cs="Times New Roman"/>
          <w:b/>
          <w:szCs w:val="18"/>
        </w:rPr>
      </w:pPr>
      <w:r>
        <w:rPr>
          <w:rFonts w:ascii="Times New Roman" w:hAnsi="Times New Roman" w:cs="Times New Roman"/>
          <w:sz w:val="18"/>
          <w:szCs w:val="18"/>
        </w:rPr>
        <w:t>NTRK3又</w:t>
      </w:r>
      <w:r>
        <w:rPr>
          <w:rFonts w:hint="eastAsia" w:ascii="Times New Roman" w:hAnsi="Times New Roman" w:cs="Times New Roman"/>
          <w:sz w:val="18"/>
          <w:szCs w:val="18"/>
        </w:rPr>
        <w:t>称</w:t>
      </w:r>
      <w:r>
        <w:rPr>
          <w:rFonts w:ascii="Times New Roman" w:hAnsi="Times New Roman" w:cs="Times New Roman"/>
          <w:sz w:val="18"/>
          <w:szCs w:val="18"/>
        </w:rPr>
        <w:t>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w:t>
      </w:r>
      <w:r>
        <w:rPr>
          <w:rFonts w:hint="eastAsia" w:ascii="Times New Roman" w:hAnsi="Times New Roman" w:cs="Times New Roman"/>
          <w:sz w:val="18"/>
          <w:szCs w:val="18"/>
        </w:rPr>
        <w:t>因</w:t>
      </w:r>
      <w:r>
        <w:rPr>
          <w:rFonts w:ascii="Times New Roman" w:hAnsi="Times New Roman" w:cs="Times New Roman"/>
          <w:sz w:val="18"/>
          <w:szCs w:val="18"/>
        </w:rPr>
        <w:t xml:space="preserve">ETV6-NTRK3在分泌型乳腺癌中的表达率为90.9%，特异性达100%；食管癌组织标本中验证NTRK3基因的断裂频率为14.7%。 </w:t>
      </w:r>
    </w:p>
    <w:p w14:paraId="6A522D17">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6D98B00E">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15A70E16">
      <w:pPr>
        <w:spacing w:line="300" w:lineRule="auto"/>
        <w:ind w:left="420"/>
        <w:rPr>
          <w:rFonts w:ascii="Times New Roman" w:hAnsi="Times New Roman" w:cs="Times New Roman"/>
          <w:b/>
          <w:szCs w:val="18"/>
        </w:rPr>
      </w:pPr>
    </w:p>
    <w:p w14:paraId="44D4255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PDGFRA                                                                         </w:t>
      </w:r>
    </w:p>
    <w:p w14:paraId="19A9D2D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0AB0E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6C31D1EE">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伊马替尼*、达沙替尼*、</w:t>
      </w:r>
      <w:r>
        <w:rPr>
          <w:rFonts w:hint="eastAsia" w:ascii="Times New Roman" w:hAnsi="Times New Roman" w:cs="Times New Roman"/>
          <w:b/>
          <w:sz w:val="18"/>
          <w:szCs w:val="18"/>
        </w:rPr>
        <w:t>阿伐替尼</w:t>
      </w:r>
      <w:r>
        <w:rPr>
          <w:rFonts w:ascii="Times New Roman" w:hAnsi="Times New Roman" w:cs="Times New Roman"/>
          <w:b/>
          <w:sz w:val="18"/>
          <w:szCs w:val="18"/>
        </w:rPr>
        <w:t>*（主要都是胃肠道间质瘤获益药物）</w:t>
      </w:r>
    </w:p>
    <w:p w14:paraId="4E4F77E5">
      <w:pPr>
        <w:spacing w:line="300" w:lineRule="auto"/>
        <w:ind w:left="420"/>
        <w:rPr>
          <w:rFonts w:ascii="Times New Roman" w:hAnsi="Times New Roman" w:cs="Times New Roman"/>
          <w:sz w:val="18"/>
          <w:szCs w:val="18"/>
        </w:rPr>
      </w:pPr>
      <w:r>
        <w:rPr>
          <w:rFonts w:ascii="Times New Roman" w:hAnsi="Times New Roman" w:cs="Times New Roman"/>
          <w:sz w:val="18"/>
          <w:szCs w:val="18"/>
        </w:rPr>
        <w:t>FDA/NMPA批准</w:t>
      </w:r>
      <w:r>
        <w:rPr>
          <w:rFonts w:hint="eastAsia" w:ascii="Times New Roman" w:hAnsi="Times New Roman" w:cs="Times New Roman"/>
          <w:sz w:val="18"/>
          <w:szCs w:val="18"/>
        </w:rPr>
        <w:t>阿伐替尼</w:t>
      </w:r>
      <w:r>
        <w:rPr>
          <w:rFonts w:ascii="Times New Roman" w:hAnsi="Times New Roman" w:cs="Times New Roman"/>
          <w:sz w:val="18"/>
          <w:szCs w:val="18"/>
        </w:rPr>
        <w:t>用于治疗携带PDGFRA</w:t>
      </w:r>
      <w:r>
        <w:rPr>
          <w:rFonts w:hint="eastAsia" w:ascii="Times New Roman" w:hAnsi="Times New Roman" w:cs="Times New Roman"/>
          <w:sz w:val="18"/>
          <w:szCs w:val="18"/>
        </w:rPr>
        <w:t xml:space="preserve"> </w:t>
      </w:r>
      <w:r>
        <w:rPr>
          <w:rFonts w:ascii="Times New Roman" w:hAnsi="Times New Roman" w:cs="Times New Roman"/>
          <w:sz w:val="18"/>
          <w:szCs w:val="18"/>
        </w:rPr>
        <w:t>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w:t>
      </w:r>
      <w:r>
        <w:rPr>
          <w:rFonts w:hint="eastAsia" w:ascii="Times New Roman" w:hAnsi="Times New Roman" w:cs="Times New Roman"/>
          <w:sz w:val="18"/>
          <w:szCs w:val="18"/>
        </w:rPr>
        <w:t>对</w:t>
      </w:r>
      <w:r>
        <w:rPr>
          <w:rFonts w:ascii="Times New Roman" w:hAnsi="Times New Roman" w:cs="Times New Roman"/>
          <w:sz w:val="18"/>
          <w:szCs w:val="18"/>
        </w:rPr>
        <w:t>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59B75D56">
      <w:pPr>
        <w:spacing w:line="300" w:lineRule="auto"/>
        <w:ind w:left="420"/>
        <w:rPr>
          <w:rFonts w:ascii="Times New Roman" w:hAnsi="Times New Roman" w:cs="Times New Roman"/>
          <w:sz w:val="18"/>
          <w:szCs w:val="18"/>
        </w:rPr>
      </w:pPr>
    </w:p>
    <w:p w14:paraId="6A84A19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PPARG                                                                         </w:t>
      </w:r>
    </w:p>
    <w:p w14:paraId="7D3795D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87C223C">
      <w:pPr>
        <w:spacing w:line="300" w:lineRule="auto"/>
        <w:ind w:left="420"/>
        <w:rPr>
          <w:rFonts w:ascii="Times New Roman" w:hAnsi="Times New Roman" w:cs="Times New Roman"/>
          <w:sz w:val="18"/>
          <w:szCs w:val="18"/>
        </w:rPr>
      </w:pPr>
      <w:r>
        <w:rPr>
          <w:rFonts w:ascii="Times New Roman" w:hAnsi="Times New Roman" w:cs="Times New Roman"/>
          <w:sz w:val="18"/>
          <w:szCs w:val="18"/>
        </w:rPr>
        <w:t>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w:t>
      </w:r>
      <w:r>
        <w:rPr>
          <w:rFonts w:hint="eastAsia" w:ascii="Times New Roman" w:hAnsi="Times New Roman" w:cs="Times New Roman"/>
          <w:sz w:val="18"/>
          <w:szCs w:val="18"/>
        </w:rPr>
        <w:t>观察到</w:t>
      </w:r>
      <w:r>
        <w:rPr>
          <w:rFonts w:ascii="Times New Roman" w:hAnsi="Times New Roman" w:cs="Times New Roman"/>
          <w:sz w:val="18"/>
          <w:szCs w:val="18"/>
        </w:rPr>
        <w:t xml:space="preserve">[PMID: 10958784]。PPAR-γ已经涉及许多疾病的病理学，包括肥胖症、糖尿病、动脉粥样硬化和癌症。与PPARG相关的疾病包括子宫内膜癌、皮肤癌、胃癌等。 </w:t>
      </w:r>
    </w:p>
    <w:p w14:paraId="2D3A3C6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2CF944">
      <w:pPr>
        <w:spacing w:line="360" w:lineRule="auto"/>
        <w:ind w:left="420"/>
        <w:rPr>
          <w:rFonts w:ascii="Times New Roman" w:hAnsi="Times New Roman" w:cs="Times New Roman"/>
          <w:sz w:val="18"/>
          <w:szCs w:val="18"/>
        </w:rPr>
      </w:pPr>
      <w:r>
        <w:rPr>
          <w:rFonts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w:t>
      </w:r>
      <w:r>
        <w:rPr>
          <w:rFonts w:hint="eastAsia" w:ascii="Times New Roman" w:hAnsi="Times New Roman" w:cs="Times New Roman"/>
          <w:sz w:val="18"/>
          <w:szCs w:val="18"/>
        </w:rPr>
        <w:t>有研究表明，</w:t>
      </w:r>
      <w:r>
        <w:rPr>
          <w:rFonts w:ascii="Times New Roman" w:hAnsi="Times New Roman" w:cs="Times New Roman"/>
          <w:sz w:val="18"/>
          <w:szCs w:val="18"/>
        </w:rPr>
        <w:t>PPARG过表达的高浆液型卵巢癌患者的OS（总生存期）较差[PMID: 23200915]。</w:t>
      </w:r>
      <w:r>
        <w:rPr>
          <w:rFonts w:hint="eastAsia" w:ascii="Times New Roman" w:hAnsi="Times New Roman" w:cs="Times New Roman"/>
          <w:sz w:val="18"/>
          <w:szCs w:val="18"/>
        </w:rPr>
        <w:t>有研究表明，</w:t>
      </w:r>
      <w:r>
        <w:rPr>
          <w:rFonts w:ascii="Times New Roman" w:hAnsi="Times New Roman" w:cs="Times New Roman"/>
          <w:sz w:val="18"/>
          <w:szCs w:val="18"/>
        </w:rPr>
        <w:t>PPARG多态性可能影响肝癌的易感性[PMID: 30122956]。</w:t>
      </w:r>
    </w:p>
    <w:p w14:paraId="0E636D1D">
      <w:pPr>
        <w:spacing w:line="300" w:lineRule="auto"/>
        <w:ind w:left="420"/>
        <w:rPr>
          <w:rFonts w:ascii="Times New Roman" w:hAnsi="Times New Roman" w:cs="Times New Roman"/>
          <w:sz w:val="18"/>
          <w:szCs w:val="18"/>
        </w:rPr>
      </w:pPr>
    </w:p>
    <w:p w14:paraId="175DA8FC">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PTEN                                                                          </w:t>
      </w:r>
    </w:p>
    <w:p w14:paraId="7F288EE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1FF3F6F">
      <w:pPr>
        <w:spacing w:line="300" w:lineRule="auto"/>
        <w:ind w:left="440" w:leftChars="200" w:firstLine="59" w:firstLineChars="33"/>
        <w:rPr>
          <w:rFonts w:ascii="Times New Roman" w:hAnsi="Times New Roman" w:cs="Times New Roman"/>
          <w:sz w:val="18"/>
          <w:szCs w:val="18"/>
        </w:rPr>
      </w:pPr>
      <w:r>
        <w:rPr>
          <w:rFonts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4831678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A5E9172">
      <w:pPr>
        <w:spacing w:line="300" w:lineRule="auto"/>
        <w:ind w:left="420"/>
        <w:rPr>
          <w:rFonts w:ascii="Times New Roman" w:hAnsi="Times New Roman" w:cs="Times New Roman"/>
          <w:sz w:val="18"/>
          <w:szCs w:val="18"/>
        </w:rPr>
      </w:pPr>
      <w:r>
        <w:rPr>
          <w:rFonts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w:t>
      </w:r>
      <w:r>
        <w:rPr>
          <w:rFonts w:hint="eastAsia" w:ascii="Times New Roman" w:hAnsi="Times New Roman" w:cs="Times New Roman"/>
          <w:sz w:val="18"/>
          <w:szCs w:val="18"/>
        </w:rPr>
        <w:t>。非霍奇金淋巴瘤和多发性骨髓瘤中，</w:t>
      </w:r>
      <w:r>
        <w:rPr>
          <w:rFonts w:ascii="Times New Roman" w:hAnsi="Times New Roman" w:cs="Times New Roman"/>
          <w:sz w:val="18"/>
          <w:szCs w:val="18"/>
        </w:rPr>
        <w:t>PTEN失活突变对替西罗莫司敏感[PMID: 16916489]。</w:t>
      </w:r>
      <w:r>
        <w:rPr>
          <w:rFonts w:hint="eastAsia" w:ascii="Times New Roman" w:hAnsi="Times New Roman" w:cs="Times New Roman"/>
          <w:sz w:val="18"/>
          <w:szCs w:val="18"/>
        </w:rPr>
        <w:t>目前</w:t>
      </w:r>
      <w:r>
        <w:rPr>
          <w:rFonts w:ascii="Times New Roman" w:hAnsi="Times New Roman" w:cs="Times New Roman"/>
          <w:sz w:val="18"/>
          <w:szCs w:val="18"/>
        </w:rPr>
        <w:t>GSK2636771</w:t>
      </w:r>
      <w:r>
        <w:rPr>
          <w:rFonts w:hint="eastAsia" w:ascii="Times New Roman" w:hAnsi="Times New Roman" w:cs="Times New Roman"/>
          <w:sz w:val="18"/>
          <w:szCs w:val="18"/>
        </w:rPr>
        <w:t>、</w:t>
      </w:r>
      <w:r>
        <w:rPr>
          <w:rFonts w:ascii="Times New Roman" w:hAnsi="Times New Roman" w:cs="Times New Roman"/>
          <w:sz w:val="18"/>
          <w:szCs w:val="18"/>
        </w:rPr>
        <w:t>Copanlisib</w:t>
      </w:r>
      <w:r>
        <w:rPr>
          <w:rFonts w:hint="eastAsia" w:ascii="Times New Roman" w:hAnsi="Times New Roman" w:cs="Times New Roman"/>
          <w:sz w:val="18"/>
          <w:szCs w:val="18"/>
        </w:rPr>
        <w:t>、替西罗莫司、尼拉帕利等用于P</w:t>
      </w:r>
      <w:r>
        <w:rPr>
          <w:rFonts w:ascii="Times New Roman" w:hAnsi="Times New Roman" w:cs="Times New Roman"/>
          <w:sz w:val="18"/>
          <w:szCs w:val="18"/>
        </w:rPr>
        <w:t>TEN</w:t>
      </w:r>
      <w:r>
        <w:rPr>
          <w:rFonts w:hint="eastAsia" w:ascii="Times New Roman" w:hAnsi="Times New Roman" w:cs="Times New Roman"/>
          <w:sz w:val="18"/>
          <w:szCs w:val="18"/>
        </w:rPr>
        <w:t>突变实体瘤患者的临床试验正在开展。</w:t>
      </w:r>
    </w:p>
    <w:p w14:paraId="08FE9A9C">
      <w:pPr>
        <w:spacing w:line="300" w:lineRule="auto"/>
        <w:ind w:left="420"/>
        <w:rPr>
          <w:rFonts w:ascii="Times New Roman" w:hAnsi="Times New Roman" w:cs="Times New Roman"/>
          <w:sz w:val="18"/>
          <w:szCs w:val="18"/>
        </w:rPr>
      </w:pPr>
    </w:p>
    <w:p w14:paraId="2A7DFE2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RAF1                                                                          </w:t>
      </w:r>
    </w:p>
    <w:p w14:paraId="3E8B1F5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A3D2C68">
      <w:pPr>
        <w:spacing w:line="300" w:lineRule="auto"/>
        <w:ind w:left="420"/>
        <w:rPr>
          <w:rFonts w:ascii="Times New Roman" w:hAnsi="Times New Roman" w:cs="Times New Roman"/>
          <w:sz w:val="18"/>
          <w:szCs w:val="18"/>
        </w:rPr>
      </w:pPr>
      <w:r>
        <w:rPr>
          <w:rFonts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7DD84A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8369951">
      <w:pPr>
        <w:spacing w:line="300" w:lineRule="auto"/>
        <w:ind w:left="420"/>
        <w:rPr>
          <w:rFonts w:ascii="Times New Roman" w:hAnsi="Times New Roman" w:cs="Times New Roman"/>
          <w:sz w:val="18"/>
          <w:szCs w:val="18"/>
        </w:rPr>
      </w:pPr>
      <w:r>
        <w:rPr>
          <w:rFonts w:ascii="Times New Roman" w:hAnsi="Times New Roman" w:cs="Times New Roman"/>
          <w:sz w:val="18"/>
          <w:szCs w:val="18"/>
        </w:rPr>
        <w:t>RAF1作为对细胞外刺激的反应，RAS介导的信号传导诱导了CRAF同源二聚体或CRAF/BRAF异源二聚体的形成，CRAF激活的MAPK信号也与黑色素瘤中BRAF抑制剂</w:t>
      </w:r>
      <w:r>
        <w:rPr>
          <w:rFonts w:hint="eastAsia" w:ascii="Times New Roman" w:hAnsi="Times New Roman" w:cs="Times New Roman"/>
          <w:sz w:val="18"/>
          <w:szCs w:val="18"/>
        </w:rPr>
        <w:t>维莫非尼</w:t>
      </w:r>
      <w:r>
        <w:rPr>
          <w:rFonts w:ascii="Times New Roman" w:hAnsi="Times New Roman" w:cs="Times New Roman"/>
          <w:sz w:val="18"/>
          <w:szCs w:val="18"/>
        </w:rPr>
        <w:t>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w:t>
      </w:r>
      <w:r>
        <w:rPr>
          <w:rFonts w:hint="eastAsia" w:ascii="Times New Roman" w:hAnsi="Times New Roman" w:cs="Times New Roman"/>
          <w:sz w:val="18"/>
          <w:szCs w:val="18"/>
        </w:rPr>
        <w:t>研究表明，</w:t>
      </w:r>
      <w:r>
        <w:rPr>
          <w:rFonts w:ascii="Times New Roman" w:hAnsi="Times New Roman" w:cs="Times New Roman"/>
          <w:sz w:val="18"/>
          <w:szCs w:val="18"/>
        </w:rPr>
        <w:t>RAF1过表达与非小细胞肺癌（NSCLC）的早期进展相关。RAF1可能成为改善NSCLC患者长期预后的新预后因子和潜在靶标[PMID: 29484414]。</w:t>
      </w:r>
      <w:r>
        <w:rPr>
          <w:rFonts w:hint="eastAsia" w:ascii="Times New Roman" w:hAnsi="Times New Roman" w:cs="Times New Roman"/>
          <w:sz w:val="18"/>
          <w:szCs w:val="18"/>
        </w:rPr>
        <w:t>目前瑞戈非尼、阿贝西利联合</w:t>
      </w:r>
      <w:r>
        <w:rPr>
          <w:rFonts w:ascii="Times New Roman" w:hAnsi="Times New Roman" w:cs="Times New Roman"/>
          <w:sz w:val="18"/>
          <w:szCs w:val="18"/>
        </w:rPr>
        <w:t>LY3214996</w:t>
      </w:r>
      <w:r>
        <w:rPr>
          <w:rFonts w:hint="eastAsia" w:ascii="Times New Roman" w:hAnsi="Times New Roman" w:cs="Times New Roman"/>
          <w:sz w:val="18"/>
          <w:szCs w:val="18"/>
        </w:rPr>
        <w:t>用于实体瘤的临床试验正在开展。</w:t>
      </w:r>
    </w:p>
    <w:p w14:paraId="51A47711">
      <w:pPr>
        <w:spacing w:line="300" w:lineRule="auto"/>
        <w:ind w:left="420"/>
        <w:rPr>
          <w:rFonts w:ascii="Times New Roman" w:hAnsi="Times New Roman" w:cs="Times New Roman"/>
          <w:sz w:val="18"/>
          <w:szCs w:val="18"/>
        </w:rPr>
      </w:pPr>
    </w:p>
    <w:p w14:paraId="2D789B5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 xml:space="preserve">RET                                                                          </w:t>
      </w:r>
    </w:p>
    <w:p w14:paraId="06EB71F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17F7D54">
      <w:pPr>
        <w:spacing w:line="300" w:lineRule="auto"/>
        <w:ind w:left="420"/>
        <w:rPr>
          <w:rFonts w:ascii="Times New Roman" w:hAnsi="Times New Roman" w:cs="Times New Roman"/>
          <w:sz w:val="18"/>
          <w:szCs w:val="18"/>
        </w:rPr>
      </w:pPr>
      <w:r>
        <w:rPr>
          <w:rFonts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w:t>
      </w:r>
      <w:r>
        <w:rPr>
          <w:rFonts w:hint="eastAsia" w:ascii="Times New Roman" w:hAnsi="Times New Roman" w:cs="Times New Roman"/>
          <w:sz w:val="18"/>
          <w:szCs w:val="18"/>
        </w:rPr>
        <w:t>，</w:t>
      </w:r>
      <w:r>
        <w:rPr>
          <w:rFonts w:ascii="Times New Roman" w:hAnsi="Times New Roman" w:cs="Times New Roman"/>
          <w:sz w:val="18"/>
          <w:szCs w:val="18"/>
        </w:rPr>
        <w:t>导致RET原癌基因的高表达。因此RET激活和过表达</w:t>
      </w:r>
      <w:r>
        <w:rPr>
          <w:rFonts w:hint="eastAsia" w:ascii="Times New Roman" w:hAnsi="Times New Roman" w:cs="Times New Roman"/>
          <w:sz w:val="18"/>
          <w:szCs w:val="18"/>
        </w:rPr>
        <w:t>常</w:t>
      </w:r>
      <w:r>
        <w:rPr>
          <w:rFonts w:ascii="Times New Roman" w:hAnsi="Times New Roman" w:cs="Times New Roman"/>
          <w:sz w:val="18"/>
          <w:szCs w:val="18"/>
        </w:rPr>
        <w:t>见于家族性甲状腺样瘤、肺癌、结直肠癌[PMID: 20930041</w:t>
      </w:r>
      <w:r>
        <w:rPr>
          <w:rFonts w:hint="eastAsia" w:ascii="Times New Roman" w:hAnsi="Times New Roman" w:cs="Times New Roman"/>
          <w:sz w:val="18"/>
          <w:szCs w:val="18"/>
        </w:rPr>
        <w:t>;</w:t>
      </w:r>
      <w:r>
        <w:rPr>
          <w:rFonts w:ascii="Times New Roman" w:hAnsi="Times New Roman" w:cs="Times New Roman"/>
          <w:sz w:val="18"/>
          <w:szCs w:val="18"/>
        </w:rPr>
        <w:t xml:space="preserve"> PMID: 30257958</w:t>
      </w:r>
      <w:r>
        <w:rPr>
          <w:rFonts w:hint="eastAsia" w:ascii="Times New Roman" w:hAnsi="Times New Roman" w:cs="Times New Roman"/>
          <w:sz w:val="18"/>
          <w:szCs w:val="18"/>
        </w:rPr>
        <w:t>;</w:t>
      </w:r>
      <w:r>
        <w:rPr>
          <w:rFonts w:ascii="Times New Roman" w:hAnsi="Times New Roman" w:cs="Times New Roman"/>
          <w:sz w:val="18"/>
          <w:szCs w:val="18"/>
        </w:rPr>
        <w:t xml:space="preserve"> PMID: 30210625]。RET重排在肺癌中是一种非小细胞肺癌的新的驱动癌基因，发现于1-2%的NSCLC患者中。</w:t>
      </w:r>
    </w:p>
    <w:p w14:paraId="62F7B144">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凡德他尼</w:t>
      </w:r>
      <w:r>
        <w:rPr>
          <w:rFonts w:ascii="Times New Roman" w:hAnsi="Times New Roman" w:cs="Times New Roman"/>
          <w:b/>
          <w:szCs w:val="18"/>
        </w:rPr>
        <w:t>、</w:t>
      </w:r>
      <w:r>
        <w:rPr>
          <w:rFonts w:ascii="Times New Roman" w:hAnsi="Times New Roman" w:cs="Times New Roman"/>
          <w:b/>
          <w:color w:val="000000"/>
          <w:sz w:val="18"/>
          <w:szCs w:val="18"/>
        </w:rPr>
        <w:t>卡博替尼</w:t>
      </w:r>
      <w:r>
        <w:rPr>
          <w:rFonts w:ascii="Times New Roman" w:hAnsi="Times New Roman" w:cs="Times New Roman"/>
          <w:b/>
          <w:szCs w:val="18"/>
        </w:rPr>
        <w:t>、</w:t>
      </w:r>
      <w:r>
        <w:rPr>
          <w:rFonts w:ascii="Times New Roman" w:hAnsi="Times New Roman" w:cs="Times New Roman"/>
          <w:b/>
          <w:color w:val="000000"/>
          <w:sz w:val="18"/>
          <w:szCs w:val="18"/>
        </w:rPr>
        <w:t>仑伐替尼*</w:t>
      </w:r>
      <w:r>
        <w:rPr>
          <w:rFonts w:ascii="Times New Roman" w:hAnsi="Times New Roman" w:cs="Times New Roman"/>
          <w:b/>
          <w:szCs w:val="18"/>
        </w:rPr>
        <w:t>、</w:t>
      </w:r>
      <w:r>
        <w:rPr>
          <w:rFonts w:hint="eastAsia" w:ascii="Times New Roman" w:hAnsi="Times New Roman" w:cs="Times New Roman"/>
          <w:b/>
          <w:color w:val="000000"/>
          <w:sz w:val="18"/>
          <w:szCs w:val="18"/>
        </w:rPr>
        <w:t>普拉替尼</w:t>
      </w:r>
      <w:r>
        <w:rPr>
          <w:rFonts w:ascii="Times New Roman" w:hAnsi="Times New Roman" w:cs="Times New Roman"/>
          <w:b/>
          <w:color w:val="000000"/>
          <w:sz w:val="18"/>
          <w:szCs w:val="18"/>
        </w:rPr>
        <w:t>*</w:t>
      </w:r>
      <w:r>
        <w:rPr>
          <w:rFonts w:hint="eastAsia" w:ascii="Times New Roman" w:hAnsi="Times New Roman" w:cs="Times New Roman"/>
          <w:b/>
          <w:color w:val="000000"/>
          <w:sz w:val="18"/>
          <w:szCs w:val="18"/>
        </w:rPr>
        <w:t>、</w:t>
      </w:r>
      <w:r>
        <w:rPr>
          <w:rFonts w:ascii="Times New Roman" w:hAnsi="Times New Roman" w:cs="Times New Roman"/>
          <w:b/>
          <w:color w:val="000000"/>
          <w:sz w:val="18"/>
          <w:szCs w:val="18"/>
        </w:rPr>
        <w:t>Selpercatinib</w:t>
      </w:r>
    </w:p>
    <w:p w14:paraId="53586EEB">
      <w:pPr>
        <w:adjustRightInd w:val="0"/>
        <w:snapToGrid w:val="0"/>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F</w:t>
      </w:r>
      <w:r>
        <w:rPr>
          <w:rFonts w:ascii="Times New Roman" w:hAnsi="Times New Roman" w:cs="Times New Roman"/>
          <w:sz w:val="18"/>
          <w:szCs w:val="18"/>
        </w:rPr>
        <w:t>DA/NMPA</w:t>
      </w:r>
      <w:r>
        <w:rPr>
          <w:rFonts w:hint="eastAsia" w:ascii="Times New Roman" w:hAnsi="Times New Roman" w:cs="Times New Roman"/>
          <w:sz w:val="18"/>
          <w:szCs w:val="18"/>
        </w:rPr>
        <w:t>批准普拉替尼用于治疗</w:t>
      </w:r>
      <w:r>
        <w:rPr>
          <w:rFonts w:ascii="Times New Roman" w:hAnsi="Times New Roman" w:cs="Times New Roman"/>
          <w:sz w:val="18"/>
          <w:szCs w:val="18"/>
        </w:rPr>
        <w:t>RET融合阳性</w:t>
      </w:r>
      <w:r>
        <w:rPr>
          <w:rFonts w:hint="eastAsia" w:ascii="Times New Roman" w:hAnsi="Times New Roman" w:cs="Times New Roman"/>
          <w:sz w:val="18"/>
          <w:szCs w:val="18"/>
        </w:rPr>
        <w:t>的</w:t>
      </w:r>
      <w:r>
        <w:rPr>
          <w:rFonts w:ascii="Times New Roman" w:hAnsi="Times New Roman" w:cs="Times New Roman"/>
          <w:sz w:val="18"/>
          <w:szCs w:val="18"/>
        </w:rPr>
        <w:t>非小细胞肺癌（NSCLC）成人患者</w:t>
      </w:r>
      <w:r>
        <w:rPr>
          <w:rFonts w:hint="eastAsia" w:ascii="Times New Roman" w:hAnsi="Times New Roman" w:cs="Times New Roman"/>
          <w:sz w:val="18"/>
          <w:szCs w:val="18"/>
        </w:rPr>
        <w:t>；</w:t>
      </w:r>
      <w:r>
        <w:rPr>
          <w:rFonts w:ascii="Times New Roman" w:hAnsi="Times New Roman" w:cs="Times New Roman"/>
          <w:sz w:val="18"/>
          <w:szCs w:val="18"/>
        </w:rPr>
        <w:t>FDA批准Selpercatinib用于RET融合阳性的转移性非小细胞肺癌（NSCLC）成人患者</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批准普拉替尼、</w:t>
      </w:r>
      <w:r>
        <w:rPr>
          <w:rFonts w:ascii="Times New Roman" w:hAnsi="Times New Roman" w:cs="Times New Roman"/>
          <w:sz w:val="18"/>
          <w:szCs w:val="18"/>
        </w:rPr>
        <w:t>Selpercatinib</w:t>
      </w:r>
      <w:r>
        <w:rPr>
          <w:rFonts w:hint="eastAsia" w:ascii="Times New Roman" w:hAnsi="Times New Roman" w:cs="Times New Roman"/>
          <w:sz w:val="18"/>
          <w:szCs w:val="18"/>
        </w:rPr>
        <w:t>用于</w:t>
      </w:r>
      <w:r>
        <w:rPr>
          <w:rFonts w:ascii="Times New Roman" w:hAnsi="Times New Roman" w:cs="Times New Roman"/>
          <w:sz w:val="18"/>
          <w:szCs w:val="18"/>
        </w:rPr>
        <w:t>12岁及以上儿童及成人需要全身治疗的晚期或转移性RET突变的甲状腺髓样癌（MTC）患者</w:t>
      </w:r>
      <w:r>
        <w:rPr>
          <w:rFonts w:hint="eastAsia" w:ascii="Times New Roman" w:hAnsi="Times New Roman" w:cs="Times New Roman"/>
          <w:sz w:val="18"/>
          <w:szCs w:val="18"/>
        </w:rPr>
        <w:t>或</w:t>
      </w:r>
      <w:r>
        <w:rPr>
          <w:rFonts w:ascii="Times New Roman" w:hAnsi="Times New Roman" w:cs="Times New Roman"/>
          <w:sz w:val="18"/>
          <w:szCs w:val="18"/>
        </w:rPr>
        <w:t>12岁及以上儿童及成人需要全身治疗且放射性碘难治性（如果放射性碘适合）、晚期或转移性RET融合阳性甲状腺癌患者。NCCN指南推荐携带RET融合的晚期非小细胞肺癌患者使用凡德他尼、卡博替尼</w:t>
      </w:r>
      <w:r>
        <w:rPr>
          <w:rFonts w:hint="eastAsia" w:ascii="Times New Roman" w:hAnsi="Times New Roman" w:cs="Times New Roman"/>
          <w:sz w:val="18"/>
          <w:szCs w:val="18"/>
        </w:rPr>
        <w:t>、</w:t>
      </w:r>
      <w:r>
        <w:rPr>
          <w:rFonts w:ascii="Times New Roman" w:hAnsi="Times New Roman" w:cs="Times New Roman"/>
          <w:sz w:val="18"/>
          <w:szCs w:val="18"/>
        </w:rPr>
        <w:t>Selpercatinib</w:t>
      </w:r>
      <w:r>
        <w:rPr>
          <w:rFonts w:hint="eastAsia" w:ascii="Times New Roman" w:hAnsi="Times New Roman" w:cs="Times New Roman"/>
          <w:sz w:val="18"/>
          <w:szCs w:val="18"/>
        </w:rPr>
        <w:t>、普拉替尼</w:t>
      </w:r>
      <w:r>
        <w:rPr>
          <w:rFonts w:ascii="Times New Roman" w:hAnsi="Times New Roman" w:cs="Times New Roman"/>
          <w:sz w:val="18"/>
          <w:szCs w:val="18"/>
        </w:rPr>
        <w:t>[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w:t>
      </w:r>
      <w:r>
        <w:rPr>
          <w:rFonts w:hint="eastAsia" w:ascii="Times New Roman" w:hAnsi="Times New Roman" w:cs="Times New Roman"/>
          <w:sz w:val="18"/>
          <w:szCs w:val="18"/>
        </w:rPr>
        <w:t>卡博替尼治疗晚期</w:t>
      </w:r>
      <w:r>
        <w:rPr>
          <w:rFonts w:ascii="Times New Roman" w:hAnsi="Times New Roman" w:cs="Times New Roman"/>
          <w:sz w:val="18"/>
          <w:szCs w:val="18"/>
        </w:rPr>
        <w:t>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w:t>
      </w:r>
      <w:r>
        <w:rPr>
          <w:rFonts w:hint="eastAsia" w:ascii="Times New Roman" w:hAnsi="Times New Roman" w:cs="Times New Roman"/>
          <w:sz w:val="18"/>
          <w:szCs w:val="18"/>
        </w:rPr>
        <w:t>目前舒尼替尼、卡博替尼、索拉非尼、</w:t>
      </w:r>
      <w:r>
        <w:rPr>
          <w:rFonts w:ascii="Times New Roman" w:hAnsi="Times New Roman" w:cs="Times New Roman"/>
          <w:sz w:val="18"/>
          <w:szCs w:val="18"/>
        </w:rPr>
        <w:t>Selpercatinib</w:t>
      </w:r>
      <w:r>
        <w:rPr>
          <w:rFonts w:hint="eastAsia" w:ascii="Times New Roman" w:hAnsi="Times New Roman" w:cs="Times New Roman"/>
          <w:sz w:val="18"/>
          <w:szCs w:val="18"/>
        </w:rPr>
        <w:t>等用于R</w:t>
      </w:r>
      <w:r>
        <w:rPr>
          <w:rFonts w:ascii="Times New Roman" w:hAnsi="Times New Roman" w:cs="Times New Roman"/>
          <w:sz w:val="18"/>
          <w:szCs w:val="18"/>
        </w:rPr>
        <w:t>ET</w:t>
      </w:r>
      <w:r>
        <w:rPr>
          <w:rFonts w:hint="eastAsia" w:ascii="Times New Roman" w:hAnsi="Times New Roman" w:cs="Times New Roman"/>
          <w:sz w:val="18"/>
          <w:szCs w:val="18"/>
        </w:rPr>
        <w:t>突变/融合的实体瘤的临床试验正在开展。</w:t>
      </w:r>
    </w:p>
    <w:p w14:paraId="02A418D3">
      <w:pPr>
        <w:adjustRightInd w:val="0"/>
        <w:snapToGrid w:val="0"/>
        <w:spacing w:line="300" w:lineRule="auto"/>
        <w:ind w:left="420"/>
        <w:rPr>
          <w:rFonts w:ascii="Times New Roman" w:hAnsi="Times New Roman" w:cs="Times New Roman"/>
          <w:sz w:val="18"/>
          <w:szCs w:val="18"/>
        </w:rPr>
      </w:pPr>
    </w:p>
    <w:p w14:paraId="6C58F5E5">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ascii="Times New Roman" w:hAnsi="Times New Roman" w:cs="Times New Roman"/>
          <w:b/>
        </w:rPr>
        <w:t xml:space="preserve">RB1                                                                        </w:t>
      </w:r>
    </w:p>
    <w:p w14:paraId="2BDE489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9934663">
      <w:pPr>
        <w:spacing w:line="300" w:lineRule="auto"/>
        <w:ind w:left="420"/>
        <w:rPr>
          <w:rFonts w:ascii="Times New Roman" w:hAnsi="Times New Roman" w:cs="Times New Roman"/>
          <w:color w:val="404040"/>
        </w:rPr>
      </w:pPr>
      <w:r>
        <w:rPr>
          <w:rFonts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ascii="Times New Roman" w:hAnsi="Times New Roman" w:cs="Times New Roman"/>
          <w:color w:val="404040"/>
          <w:sz w:val="18"/>
          <w:szCs w:val="18"/>
        </w:rPr>
        <w:t xml:space="preserve"> </w:t>
      </w:r>
    </w:p>
    <w:p w14:paraId="71FFF7AA">
      <w:pPr>
        <w:spacing w:line="300" w:lineRule="auto"/>
        <w:ind w:left="420"/>
        <w:rPr>
          <w:rFonts w:ascii="Times New Roman" w:hAnsi="Times New Roman" w:cs="Times New Roman"/>
          <w:b/>
          <w:szCs w:val="18"/>
        </w:rPr>
      </w:pPr>
      <w:r>
        <w:rPr>
          <w:rFonts w:ascii="Times New Roman" w:hAnsi="Times New Roman" w:cs="Times New Roman"/>
          <w:b/>
          <w:szCs w:val="18"/>
        </w:rPr>
        <w:t xml:space="preserve">用药说明： </w:t>
      </w:r>
    </w:p>
    <w:p w14:paraId="03CD1B57">
      <w:pPr>
        <w:spacing w:line="300" w:lineRule="auto"/>
        <w:ind w:left="420"/>
        <w:rPr>
          <w:rFonts w:ascii="Times New Roman" w:hAnsi="Times New Roman" w:cs="Times New Roman"/>
          <w:b/>
          <w:szCs w:val="18"/>
        </w:rPr>
      </w:pPr>
      <w:r>
        <w:rPr>
          <w:rFonts w:ascii="Times New Roman" w:hAnsi="Times New Roman" w:cs="Times New Roman"/>
          <w:sz w:val="18"/>
          <w:szCs w:val="18"/>
        </w:rPr>
        <w:t>目前，FDA尚未批准任何靶向RB1突变的抗癌药物。针对RB1失活的靶向药物（如AURORA激酶抑制剂、BCL-2 抑制剂和NOTCH 通路激活剂）均处于临床前</w:t>
      </w:r>
      <w:r>
        <w:rPr>
          <w:rFonts w:hint="eastAsia" w:ascii="Times New Roman" w:hAnsi="Times New Roman" w:cs="Times New Roman"/>
          <w:sz w:val="18"/>
          <w:szCs w:val="18"/>
        </w:rPr>
        <w:t>实</w:t>
      </w:r>
      <w:r>
        <w:rPr>
          <w:rFonts w:ascii="Times New Roman" w:hAnsi="Times New Roman" w:cs="Times New Roman"/>
          <w:sz w:val="18"/>
          <w:szCs w:val="18"/>
        </w:rPr>
        <w:t>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w:t>
      </w:r>
      <w:r>
        <w:rPr>
          <w:rFonts w:hint="eastAsia" w:ascii="Times New Roman" w:hAnsi="Times New Roman" w:cs="Times New Roman"/>
          <w:sz w:val="18"/>
          <w:szCs w:val="18"/>
        </w:rPr>
        <w:t>临床前研究中，</w:t>
      </w:r>
      <w:r>
        <w:rPr>
          <w:rFonts w:ascii="Times New Roman" w:hAnsi="Times New Roman" w:cs="Times New Roman"/>
          <w:sz w:val="18"/>
          <w:szCs w:val="18"/>
        </w:rPr>
        <w:t>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w:t>
      </w:r>
      <w:r>
        <w:rPr>
          <w:rFonts w:hint="eastAsia" w:ascii="Times New Roman" w:hAnsi="Times New Roman" w:cs="Times New Roman"/>
          <w:sz w:val="18"/>
          <w:szCs w:val="18"/>
        </w:rPr>
        <w:t>随机</w:t>
      </w:r>
      <w:r>
        <w:rPr>
          <w:rFonts w:ascii="Times New Roman" w:hAnsi="Times New Roman" w:cs="Times New Roman"/>
          <w:sz w:val="18"/>
          <w:szCs w:val="18"/>
        </w:rPr>
        <w:t>II期研究中，在140名基因变异的患者中，细胞周期调节因子（CDK6、RBL1、RBL2、RB1）突变的患者使用Alisertib/紫杉醇显著改善PFS（分别为3.68和1.80个月, p = 0.0003）和总生存期（分别为7.20和4.47个月, p = 0.00085）[PMID: 31655296]。</w:t>
      </w:r>
    </w:p>
    <w:p w14:paraId="6E9E7F57">
      <w:pPr>
        <w:spacing w:line="300" w:lineRule="auto"/>
        <w:ind w:left="420"/>
        <w:rPr>
          <w:rFonts w:ascii="Times New Roman" w:hAnsi="Times New Roman" w:cs="Times New Roman"/>
          <w:sz w:val="18"/>
          <w:szCs w:val="18"/>
        </w:rPr>
      </w:pPr>
    </w:p>
    <w:p w14:paraId="5188294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SMO                                                                        </w:t>
      </w:r>
    </w:p>
    <w:p w14:paraId="6FA4B8F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D581D8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58721A4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C666218">
      <w:pPr>
        <w:adjustRightInd w:val="0"/>
        <w:snapToGrid w:val="0"/>
        <w:spacing w:line="300" w:lineRule="auto"/>
        <w:ind w:left="420"/>
        <w:rPr>
          <w:rFonts w:ascii="Times New Roman" w:hAnsi="Times New Roman" w:cs="Times New Roman"/>
          <w:sz w:val="18"/>
          <w:szCs w:val="18"/>
        </w:rPr>
      </w:pPr>
      <w:r>
        <w:rPr>
          <w:rFonts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w:t>
      </w:r>
      <w:r>
        <w:rPr>
          <w:rFonts w:hint="eastAsia" w:ascii="Times New Roman" w:hAnsi="Times New Roman" w:cs="Times New Roman"/>
          <w:sz w:val="18"/>
          <w:szCs w:val="18"/>
        </w:rPr>
        <w:t xml:space="preserve"> </w:t>
      </w:r>
      <w:r>
        <w:rPr>
          <w:rFonts w:ascii="Times New Roman" w:hAnsi="Times New Roman" w:cs="Times New Roman"/>
          <w:sz w:val="18"/>
          <w:szCs w:val="18"/>
        </w:rPr>
        <w:t>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w:t>
      </w:r>
      <w:r>
        <w:rPr>
          <w:rFonts w:hint="eastAsia" w:ascii="Times New Roman" w:hAnsi="Times New Roman" w:cs="Times New Roman"/>
          <w:sz w:val="18"/>
          <w:szCs w:val="18"/>
        </w:rPr>
        <w:t>研究表明，在结直肠癌中，</w:t>
      </w:r>
      <w:r>
        <w:rPr>
          <w:rFonts w:ascii="Times New Roman" w:hAnsi="Times New Roman" w:cs="Times New Roman"/>
          <w:sz w:val="18"/>
          <w:szCs w:val="18"/>
        </w:rPr>
        <w:t>SMO的表达与临床病理和预后有关[PMID: 25023548]。SMO过表达与结直肠癌患者吸烟、晚期疾病及淋巴结转移相关[PMID: 30784110]。结直肠癌中，激活SHH通路后，DFS更长(HR=0.49, p=0.032)[PMID: 30952759]。</w:t>
      </w:r>
      <w:r>
        <w:rPr>
          <w:rFonts w:hint="eastAsia" w:ascii="Times New Roman" w:hAnsi="Times New Roman" w:cs="Times New Roman"/>
          <w:sz w:val="18"/>
          <w:szCs w:val="18"/>
        </w:rPr>
        <w:t>目前维莫德吉用于S</w:t>
      </w:r>
      <w:r>
        <w:rPr>
          <w:rFonts w:ascii="Times New Roman" w:hAnsi="Times New Roman" w:cs="Times New Roman"/>
          <w:sz w:val="18"/>
          <w:szCs w:val="18"/>
        </w:rPr>
        <w:t>MO</w:t>
      </w:r>
      <w:r>
        <w:rPr>
          <w:rFonts w:hint="eastAsia" w:ascii="Times New Roman" w:hAnsi="Times New Roman" w:cs="Times New Roman"/>
          <w:sz w:val="18"/>
          <w:szCs w:val="18"/>
        </w:rPr>
        <w:t>突变的实体瘤的临床试验正在开展。</w:t>
      </w:r>
    </w:p>
    <w:p w14:paraId="6ECDFFD1">
      <w:pPr>
        <w:adjustRightInd w:val="0"/>
        <w:snapToGrid w:val="0"/>
        <w:spacing w:line="300" w:lineRule="auto"/>
        <w:ind w:left="420"/>
        <w:rPr>
          <w:rFonts w:ascii="Times New Roman" w:hAnsi="Times New Roman" w:cs="Times New Roman"/>
          <w:sz w:val="18"/>
          <w:szCs w:val="18"/>
        </w:rPr>
      </w:pPr>
    </w:p>
    <w:p w14:paraId="6FDBF19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STK11                                                                         </w:t>
      </w:r>
    </w:p>
    <w:p w14:paraId="63D0AAB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732EFFF">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582DF39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5E6952F">
      <w:pPr>
        <w:adjustRightInd w:val="0"/>
        <w:snapToGrid w:val="0"/>
        <w:spacing w:line="300" w:lineRule="auto"/>
        <w:ind w:left="420"/>
        <w:jc w:val="both"/>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w:t>
      </w:r>
      <w:r>
        <w:rPr>
          <w:rFonts w:hint="eastAsia" w:ascii="Times New Roman" w:hAnsi="Times New Roman" w:cs="Times New Roman"/>
          <w:sz w:val="18"/>
          <w:szCs w:val="18"/>
        </w:rPr>
        <w:t>有研究表明，</w:t>
      </w:r>
      <w:r>
        <w:rPr>
          <w:rFonts w:ascii="Times New Roman" w:hAnsi="Times New Roman" w:cs="Times New Roman"/>
          <w:sz w:val="18"/>
          <w:szCs w:val="18"/>
        </w:rPr>
        <w:t>STK11 1-2号外显子突变与不良预后相关（P=0.002）[PMID: 26625312]。</w:t>
      </w:r>
      <w:r>
        <w:rPr>
          <w:rFonts w:hint="eastAsia" w:ascii="Times New Roman" w:hAnsi="Times New Roman" w:cs="Times New Roman"/>
          <w:sz w:val="18"/>
          <w:szCs w:val="18"/>
        </w:rPr>
        <w:t>目前替西罗莫司、</w:t>
      </w:r>
      <w:r>
        <w:rPr>
          <w:rFonts w:ascii="Times New Roman" w:hAnsi="Times New Roman" w:cs="Times New Roman"/>
          <w:sz w:val="18"/>
          <w:szCs w:val="18"/>
        </w:rPr>
        <w:t>Telaglenastat</w:t>
      </w:r>
      <w:r>
        <w:rPr>
          <w:rFonts w:hint="eastAsia" w:ascii="Times New Roman" w:hAnsi="Times New Roman" w:cs="Times New Roman"/>
          <w:sz w:val="18"/>
          <w:szCs w:val="18"/>
        </w:rPr>
        <w:t>、</w:t>
      </w:r>
      <w:r>
        <w:rPr>
          <w:rFonts w:ascii="Times New Roman" w:hAnsi="Times New Roman" w:cs="Times New Roman"/>
          <w:sz w:val="18"/>
          <w:szCs w:val="18"/>
        </w:rPr>
        <w:t>Sirpiglenastat</w:t>
      </w:r>
      <w:r>
        <w:rPr>
          <w:rFonts w:hint="eastAsia" w:ascii="Times New Roman" w:hAnsi="Times New Roman" w:cs="Times New Roman"/>
          <w:sz w:val="18"/>
          <w:szCs w:val="18"/>
        </w:rPr>
        <w:t>等用于S</w:t>
      </w:r>
      <w:r>
        <w:rPr>
          <w:rFonts w:ascii="Times New Roman" w:hAnsi="Times New Roman" w:cs="Times New Roman"/>
          <w:sz w:val="18"/>
          <w:szCs w:val="18"/>
        </w:rPr>
        <w:t>TK11</w:t>
      </w:r>
      <w:r>
        <w:rPr>
          <w:rFonts w:hint="eastAsia" w:ascii="Times New Roman" w:hAnsi="Times New Roman" w:cs="Times New Roman"/>
          <w:sz w:val="18"/>
          <w:szCs w:val="18"/>
        </w:rPr>
        <w:t>突变的实体瘤的临床试验正在开展。</w:t>
      </w:r>
    </w:p>
    <w:p w14:paraId="29F62828">
      <w:pPr>
        <w:adjustRightInd w:val="0"/>
        <w:snapToGrid w:val="0"/>
        <w:spacing w:line="300" w:lineRule="auto"/>
        <w:ind w:left="420"/>
        <w:jc w:val="both"/>
        <w:rPr>
          <w:rFonts w:ascii="Times New Roman" w:hAnsi="Times New Roman" w:cs="Times New Roman"/>
          <w:sz w:val="18"/>
          <w:szCs w:val="18"/>
        </w:rPr>
      </w:pPr>
    </w:p>
    <w:p w14:paraId="636F5893">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ascii="Times New Roman" w:hAnsi="Times New Roman" w:cs="Times New Roman"/>
          <w:b/>
        </w:rPr>
        <w:t xml:space="preserve">TP53                                                                               </w:t>
      </w:r>
    </w:p>
    <w:p w14:paraId="41A5FBA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B355D6">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5F0C05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010B6E2">
      <w:pPr>
        <w:adjustRightInd w:val="0"/>
        <w:snapToGrid w:val="0"/>
        <w:spacing w:line="300" w:lineRule="auto"/>
        <w:ind w:left="420"/>
        <w:jc w:val="both"/>
        <w:rPr>
          <w:rFonts w:ascii="Times New Roman" w:hAnsi="Times New Roman" w:cs="Times New Roman"/>
          <w:sz w:val="18"/>
          <w:szCs w:val="18"/>
          <w:lang w:bidi="zh-CN"/>
        </w:rPr>
      </w:pPr>
      <w:r>
        <w:rPr>
          <w:rFonts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w:t>
      </w:r>
      <w:r>
        <w:rPr>
          <w:rFonts w:hint="eastAsia" w:ascii="Times New Roman" w:hAnsi="Times New Roman" w:cs="Times New Roman"/>
          <w:sz w:val="18"/>
          <w:szCs w:val="18"/>
        </w:rPr>
        <w:t>在靶向</w:t>
      </w:r>
      <w:r>
        <w:rPr>
          <w:rFonts w:ascii="Times New Roman" w:hAnsi="Times New Roman" w:cs="Times New Roman"/>
          <w:sz w:val="18"/>
          <w:szCs w:val="18"/>
        </w:rPr>
        <w:t>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ascii="Times New Roman" w:hAnsi="Times New Roman" w:cs="Times New Roman"/>
          <w:sz w:val="18"/>
          <w:szCs w:val="18"/>
          <w:lang w:bidi="zh-CN"/>
        </w:rPr>
        <w:t>。</w:t>
      </w:r>
      <w:r>
        <w:rPr>
          <w:rFonts w:hint="eastAsia" w:ascii="Times New Roman" w:hAnsi="Times New Roman" w:cs="Times New Roman"/>
          <w:sz w:val="18"/>
          <w:szCs w:val="18"/>
          <w:lang w:bidi="zh-CN"/>
        </w:rPr>
        <w:t>目前</w:t>
      </w:r>
      <w:r>
        <w:rPr>
          <w:rFonts w:ascii="Times New Roman" w:hAnsi="Times New Roman" w:cs="Times New Roman"/>
          <w:sz w:val="18"/>
          <w:szCs w:val="18"/>
          <w:lang w:bidi="zh-CN"/>
        </w:rPr>
        <w:t>APR246</w:t>
      </w:r>
      <w:r>
        <w:rPr>
          <w:rFonts w:hint="eastAsia" w:ascii="Times New Roman" w:hAnsi="Times New Roman" w:cs="Times New Roman"/>
          <w:sz w:val="18"/>
          <w:szCs w:val="18"/>
          <w:lang w:bidi="zh-CN"/>
        </w:rPr>
        <w:t>联合帕博利珠单抗治疗T</w:t>
      </w:r>
      <w:r>
        <w:rPr>
          <w:rFonts w:ascii="Times New Roman" w:hAnsi="Times New Roman" w:cs="Times New Roman"/>
          <w:sz w:val="18"/>
          <w:szCs w:val="18"/>
          <w:lang w:bidi="zh-CN"/>
        </w:rPr>
        <w:t>P53</w:t>
      </w:r>
      <w:r>
        <w:rPr>
          <w:rFonts w:hint="eastAsia" w:ascii="Times New Roman" w:hAnsi="Times New Roman" w:cs="Times New Roman"/>
          <w:sz w:val="18"/>
          <w:szCs w:val="18"/>
          <w:lang w:bidi="zh-CN"/>
        </w:rPr>
        <w:t>突变的实体瘤患者的临床试验正在开展。</w:t>
      </w:r>
    </w:p>
    <w:p w14:paraId="6C44C2AE">
      <w:pPr>
        <w:adjustRightInd w:val="0"/>
        <w:snapToGrid w:val="0"/>
        <w:spacing w:line="300" w:lineRule="auto"/>
        <w:ind w:left="420"/>
        <w:jc w:val="both"/>
        <w:rPr>
          <w:rFonts w:ascii="Times New Roman" w:hAnsi="Times New Roman" w:cs="Times New Roman"/>
          <w:sz w:val="18"/>
          <w:szCs w:val="18"/>
          <w:lang w:bidi="zh-CN"/>
        </w:rPr>
      </w:pPr>
    </w:p>
    <w:p w14:paraId="24ED917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UGT1A1                                                                          </w:t>
      </w:r>
    </w:p>
    <w:p w14:paraId="48F2264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CB30D12">
      <w:pPr>
        <w:spacing w:line="300" w:lineRule="auto"/>
        <w:ind w:left="420"/>
        <w:rPr>
          <w:rFonts w:ascii="Times New Roman" w:hAnsi="Times New Roman" w:cs="Times New Roman"/>
          <w:sz w:val="18"/>
          <w:szCs w:val="18"/>
        </w:rPr>
      </w:pPr>
      <w:r>
        <w:rPr>
          <w:rFonts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w:t>
      </w:r>
      <w:r>
        <w:rPr>
          <w:rFonts w:hint="eastAsia" w:ascii="Times New Roman" w:hAnsi="Times New Roman" w:cs="Times New Roman"/>
          <w:sz w:val="18"/>
          <w:szCs w:val="18"/>
        </w:rPr>
        <w:t>征（</w:t>
      </w:r>
      <w:r>
        <w:rPr>
          <w:rFonts w:ascii="Times New Roman" w:hAnsi="Times New Roman" w:cs="Times New Roman"/>
          <w:sz w:val="18"/>
          <w:szCs w:val="18"/>
        </w:rPr>
        <w:t>先天性非溶血性黄疸</w:t>
      </w:r>
      <w:r>
        <w:rPr>
          <w:rFonts w:hint="eastAsia" w:ascii="Times New Roman" w:hAnsi="Times New Roman" w:cs="Times New Roman"/>
          <w:sz w:val="18"/>
          <w:szCs w:val="18"/>
        </w:rPr>
        <w:t>）</w:t>
      </w:r>
      <w:r>
        <w:rPr>
          <w:rFonts w:ascii="Times New Roman" w:hAnsi="Times New Roman" w:cs="Times New Roman"/>
          <w:sz w:val="18"/>
          <w:szCs w:val="18"/>
        </w:rPr>
        <w:t>的发生。</w:t>
      </w:r>
    </w:p>
    <w:p w14:paraId="4C09238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5A4265E">
      <w:pPr>
        <w:spacing w:line="300" w:lineRule="auto"/>
        <w:ind w:left="420"/>
        <w:rPr>
          <w:rFonts w:ascii="Times New Roman" w:hAnsi="Times New Roman" w:cs="Times New Roman"/>
          <w:sz w:val="18"/>
          <w:szCs w:val="18"/>
        </w:rPr>
      </w:pPr>
      <w:r>
        <w:rPr>
          <w:rFonts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PMID:18300238</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26862009]。携带 (TA)6/(TA)6 基因型的肿瘤患者，相比于(TA)6/(TA)7 和 (TA)7/(TA)7 基因型，毒副反应风险可能减小（包括嗜中性白血球减少症、腹泻、乏力）。文献证据支持嗜中性白血球减少症的毒副风险较腹泻和乏力更强[PMID: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23529007</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w:t>
      </w:r>
      <w:r>
        <w:rPr>
          <w:rFonts w:hint="eastAsia" w:ascii="Times New Roman" w:hAnsi="Times New Roman" w:cs="Times New Roman"/>
          <w:sz w:val="18"/>
          <w:szCs w:val="18"/>
        </w:rPr>
        <w:t>另外发现，</w:t>
      </w:r>
      <w:r>
        <w:rPr>
          <w:rFonts w:ascii="Times New Roman" w:hAnsi="Times New Roman" w:cs="Times New Roman"/>
          <w:sz w:val="18"/>
          <w:szCs w:val="18"/>
        </w:rPr>
        <w:t>UGT1A1的遗传多态性与血浆阿昔替尼水平显著相关，血浆阿昔替尼水平与转移性肾细胞癌（mRCC）患者的不良反应（AE）和总生存期（OS）显著相关[PMID: 29524031]。</w:t>
      </w:r>
    </w:p>
    <w:p w14:paraId="5560AC74">
      <w:pPr>
        <w:adjustRightInd w:val="0"/>
        <w:snapToGrid w:val="0"/>
        <w:spacing w:line="300" w:lineRule="auto"/>
        <w:jc w:val="both"/>
        <w:rPr>
          <w:rFonts w:ascii="Times New Roman" w:hAnsi="Times New Roman" w:cs="Times New Roman"/>
          <w:sz w:val="18"/>
          <w:szCs w:val="18"/>
          <w:lang w:bidi="zh-CN"/>
        </w:rPr>
      </w:pPr>
    </w:p>
    <w:p w14:paraId="78C4C2D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FBXW7                                                                          </w:t>
      </w:r>
    </w:p>
    <w:p w14:paraId="2F73B71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444A2C">
      <w:pPr>
        <w:spacing w:line="300" w:lineRule="auto"/>
        <w:ind w:left="420"/>
        <w:rPr>
          <w:rFonts w:ascii="Times New Roman" w:hAnsi="Times New Roman" w:cs="Times New Roman"/>
          <w:sz w:val="18"/>
          <w:szCs w:val="18"/>
        </w:rPr>
      </w:pPr>
      <w:r>
        <w:rPr>
          <w:rFonts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w:t>
      </w:r>
      <w:r>
        <w:rPr>
          <w:rFonts w:hint="eastAsia" w:ascii="Times New Roman" w:hAnsi="Times New Roman" w:cs="Times New Roman"/>
          <w:sz w:val="18"/>
          <w:szCs w:val="18"/>
        </w:rPr>
        <w:t>数丢失使</w:t>
      </w:r>
      <w:r>
        <w:rPr>
          <w:rFonts w:ascii="Times New Roman" w:hAnsi="Times New Roman" w:cs="Times New Roman"/>
          <w:sz w:val="18"/>
          <w:szCs w:val="18"/>
        </w:rPr>
        <w:t xml:space="preserve"> FBXW7失活会导致癌蛋白的异常积累，进而导致恶性转化[PMID: 27399335]。FBXW7的交替剪接产生三种不同的蛋白质亚型（α、β、γ），每种都具有不同的定位</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22673505</w:t>
      </w:r>
      <w:r>
        <w:rPr>
          <w:rFonts w:hint="eastAsia" w:ascii="Times New Roman" w:hAnsi="Times New Roman" w:cs="Times New Roman"/>
          <w:sz w:val="18"/>
          <w:szCs w:val="18"/>
        </w:rPr>
        <w:t>]</w:t>
      </w:r>
      <w:r>
        <w:rPr>
          <w:rFonts w:ascii="Times New Roman" w:hAnsi="Times New Roman" w:cs="Times New Roman"/>
          <w:sz w:val="18"/>
          <w:szCs w:val="18"/>
        </w:rPr>
        <w:t>。FBXW7中的突变会对同种型特异性功能、亚基二聚化、蛋白质定位、SCF组装或底物识别产生负面影响。FBXW7中的大多数突变是破坏底物结合的点突变，而&lt;10% 是小的缺失或插入</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17909001</w:t>
      </w:r>
      <w:r>
        <w:rPr>
          <w:rFonts w:hint="eastAsia" w:ascii="Times New Roman" w:hAnsi="Times New Roman" w:cs="Times New Roman"/>
          <w:sz w:val="18"/>
          <w:szCs w:val="18"/>
        </w:rPr>
        <w:t>]</w:t>
      </w:r>
      <w:r>
        <w:rPr>
          <w:rFonts w:ascii="Times New Roman" w:hAnsi="Times New Roman" w:cs="Times New Roman"/>
          <w:sz w:val="18"/>
          <w:szCs w:val="18"/>
        </w:rPr>
        <w:t>。与FBXW7相关的疾病包括结直肠癌、非小细胞肺癌、乳腺癌等。</w:t>
      </w:r>
    </w:p>
    <w:p w14:paraId="27DE38C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334E604">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w:t>
      </w:r>
      <w:r>
        <w:rPr>
          <w:rFonts w:hint="eastAsia" w:ascii="Times New Roman" w:hAnsi="Times New Roman" w:cs="Times New Roman"/>
          <w:sz w:val="18"/>
          <w:szCs w:val="18"/>
        </w:rPr>
        <w:t>在一项案例研究中，携带</w:t>
      </w:r>
      <w:r>
        <w:rPr>
          <w:rFonts w:ascii="Times New Roman" w:hAnsi="Times New Roman" w:cs="Times New Roman"/>
          <w:sz w:val="18"/>
          <w:szCs w:val="18"/>
        </w:rPr>
        <w:t>FBXW7失活突变（例如R465H）的肺腺癌患者在已经接受多线系统治疗后，使用替西罗莫司治疗发现临床与影像学获益[PMID: 24360397]。</w:t>
      </w:r>
      <w:r>
        <w:rPr>
          <w:rFonts w:hint="eastAsia" w:ascii="Times New Roman" w:hAnsi="Times New Roman" w:cs="Times New Roman"/>
          <w:sz w:val="18"/>
          <w:szCs w:val="18"/>
        </w:rPr>
        <w:t>有个案报道</w:t>
      </w:r>
      <w:r>
        <w:rPr>
          <w:rFonts w:ascii="Times New Roman" w:hAnsi="Times New Roman" w:cs="Times New Roman"/>
          <w:sz w:val="18"/>
          <w:szCs w:val="18"/>
        </w:rPr>
        <w:t>FBXW7突变而EGFR和ALK阴性的肺癌患者对mTOR抑制剂敏感[PMID: 24360397]。</w:t>
      </w:r>
      <w:r>
        <w:rPr>
          <w:rFonts w:hint="eastAsia" w:ascii="Times New Roman" w:hAnsi="Times New Roman" w:cs="Times New Roman"/>
          <w:sz w:val="18"/>
          <w:szCs w:val="18"/>
        </w:rPr>
        <w:t>研究发现，</w:t>
      </w:r>
      <w:r>
        <w:rPr>
          <w:rFonts w:ascii="Times New Roman" w:hAnsi="Times New Roman" w:cs="Times New Roman"/>
          <w:sz w:val="18"/>
          <w:szCs w:val="18"/>
        </w:rPr>
        <w:t>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w:t>
      </w:r>
      <w:r>
        <w:rPr>
          <w:rFonts w:hint="eastAsia" w:ascii="Times New Roman" w:hAnsi="Times New Roman" w:cs="Times New Roman"/>
          <w:sz w:val="18"/>
          <w:szCs w:val="18"/>
        </w:rPr>
        <w:t>目前替西罗莫司用于F</w:t>
      </w:r>
      <w:r>
        <w:rPr>
          <w:rFonts w:ascii="Times New Roman" w:hAnsi="Times New Roman" w:cs="Times New Roman"/>
          <w:sz w:val="18"/>
          <w:szCs w:val="18"/>
        </w:rPr>
        <w:t>BXW7</w:t>
      </w:r>
      <w:r>
        <w:rPr>
          <w:rFonts w:hint="eastAsia" w:ascii="Times New Roman" w:hAnsi="Times New Roman" w:cs="Times New Roman"/>
          <w:sz w:val="18"/>
          <w:szCs w:val="18"/>
        </w:rPr>
        <w:t>突变的实体瘤的临床试验正在开展。</w:t>
      </w:r>
    </w:p>
    <w:p w14:paraId="6F68D203">
      <w:pPr>
        <w:adjustRightInd w:val="0"/>
        <w:snapToGrid w:val="0"/>
        <w:spacing w:line="300" w:lineRule="auto"/>
        <w:ind w:left="420"/>
        <w:jc w:val="both"/>
        <w:rPr>
          <w:rFonts w:ascii="Times New Roman" w:hAnsi="Times New Roman" w:cs="Times New Roman"/>
          <w:sz w:val="18"/>
          <w:szCs w:val="18"/>
          <w:lang w:bidi="zh-CN"/>
        </w:rPr>
      </w:pPr>
    </w:p>
    <w:p w14:paraId="234D9D8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NOTCH1                                                                          </w:t>
      </w:r>
    </w:p>
    <w:p w14:paraId="73A0EED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F709FD">
      <w:pPr>
        <w:spacing w:line="300" w:lineRule="auto"/>
        <w:ind w:left="420"/>
        <w:rPr>
          <w:rFonts w:ascii="Times New Roman" w:hAnsi="Times New Roman" w:cs="Times New Roman"/>
          <w:sz w:val="18"/>
          <w:szCs w:val="18"/>
        </w:rPr>
      </w:pPr>
      <w:r>
        <w:rPr>
          <w:rFonts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w:t>
      </w:r>
      <w:r>
        <w:rPr>
          <w:rFonts w:hint="eastAsia" w:ascii="Times New Roman" w:hAnsi="Times New Roman" w:cs="Times New Roman"/>
          <w:sz w:val="18"/>
          <w:szCs w:val="18"/>
        </w:rPr>
        <w:t>]</w:t>
      </w:r>
      <w:r>
        <w:rPr>
          <w:rFonts w:ascii="Times New Roman" w:hAnsi="Times New Roman" w:cs="Times New Roman"/>
          <w:sz w:val="18"/>
          <w:szCs w:val="18"/>
        </w:rPr>
        <w:t>。NOTCH家族成员经常在各种癌症中</w:t>
      </w:r>
      <w:r>
        <w:rPr>
          <w:rFonts w:hint="eastAsia" w:ascii="Times New Roman" w:hAnsi="Times New Roman" w:cs="Times New Roman"/>
          <w:sz w:val="18"/>
          <w:szCs w:val="18"/>
        </w:rPr>
        <w:t>发生突变，这些突变可以是功能获得或功能丧失突变</w:t>
      </w:r>
      <w:r>
        <w:rPr>
          <w:rFonts w:ascii="Times New Roman" w:hAnsi="Times New Roman" w:cs="Times New Roman"/>
          <w:sz w:val="18"/>
          <w:szCs w:val="18"/>
        </w:rPr>
        <w:t>[PMID: 21948802]。已在T细胞急性淋巴细胞白血病 (T-ALL)、慢性淋巴细胞白血病和腺样囊性癌[PMID: 27870570]中发现了NOTCH1的易位和激活突变。这些NOTCH1激活突变要么增强了γ-分泌酶对NOTCH1的切割，要么延长了细胞内NOTCH1的半衰期</w:t>
      </w:r>
      <w:r>
        <w:rPr>
          <w:rFonts w:hint="eastAsia" w:ascii="Times New Roman" w:hAnsi="Times New Roman" w:cs="Times New Roman"/>
          <w:sz w:val="18"/>
          <w:szCs w:val="18"/>
        </w:rPr>
        <w:t>[</w:t>
      </w:r>
      <w:r>
        <w:rPr>
          <w:rFonts w:ascii="Times New Roman" w:hAnsi="Times New Roman" w:cs="Times New Roman"/>
          <w:sz w:val="18"/>
          <w:szCs w:val="18"/>
        </w:rPr>
        <w:t>PMID: 15472075]。NOTCH1功能缺失突变在实体瘤中最常见，即鳞状细胞癌，并且在重要的NOTCH1功能域中以错义、移码或</w:t>
      </w:r>
      <w:r>
        <w:rPr>
          <w:rFonts w:hint="eastAsia" w:ascii="Times New Roman" w:hAnsi="Times New Roman" w:cs="Times New Roman"/>
          <w:sz w:val="18"/>
          <w:szCs w:val="18"/>
        </w:rPr>
        <w:t>无义突变的形式出现</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30087145</w:t>
      </w:r>
      <w:r>
        <w:rPr>
          <w:rFonts w:hint="eastAsia" w:ascii="Times New Roman" w:hAnsi="Times New Roman" w:cs="Times New Roman"/>
          <w:sz w:val="18"/>
          <w:szCs w:val="18"/>
        </w:rPr>
        <w:t>]</w:t>
      </w:r>
      <w:r>
        <w:rPr>
          <w:rFonts w:ascii="Times New Roman" w:hAnsi="Times New Roman" w:cs="Times New Roman"/>
          <w:sz w:val="18"/>
          <w:szCs w:val="18"/>
        </w:rPr>
        <w:t>。靶向γ-分泌酶的抑制剂目前正在进行临床试验，可能对激活NOTCH1突变的患者具有活性[PMID: 28539479]。</w:t>
      </w:r>
    </w:p>
    <w:p w14:paraId="43471A2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9C2617F">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在临床前研究中，γ分泌酶抑制剂</w:t>
      </w:r>
      <w:r>
        <w:rPr>
          <w:rFonts w:ascii="Times New Roman" w:hAnsi="Times New Roman" w:cs="Times New Roman"/>
          <w:sz w:val="18"/>
          <w:szCs w:val="18"/>
        </w:rPr>
        <w:t>Nirogacestat能够减少Notch1裂解，减弱Notch活性，并促进Notch活性增加的结直肠癌细胞凋亡[PMID: 23868008]。</w:t>
      </w:r>
      <w:r>
        <w:rPr>
          <w:rFonts w:hint="eastAsia" w:ascii="Times New Roman" w:hAnsi="Times New Roman" w:cs="Times New Roman"/>
          <w:sz w:val="18"/>
          <w:szCs w:val="18"/>
        </w:rPr>
        <w:t>临床前试验研究表明</w:t>
      </w:r>
      <w:r>
        <w:rPr>
          <w:rFonts w:ascii="Times New Roman" w:hAnsi="Times New Roman" w:cs="Times New Roman"/>
          <w:sz w:val="18"/>
          <w:szCs w:val="18"/>
        </w:rPr>
        <w:t>NOTCH1的失活突变被证实对LGK974敏感[PMID: 24277854]。</w:t>
      </w:r>
      <w:r>
        <w:rPr>
          <w:rFonts w:hint="eastAsia" w:ascii="Times New Roman" w:hAnsi="Times New Roman" w:cs="Times New Roman"/>
          <w:sz w:val="18"/>
          <w:szCs w:val="18"/>
        </w:rPr>
        <w:t>有研究表明，</w:t>
      </w:r>
      <w:r>
        <w:rPr>
          <w:rFonts w:ascii="Times New Roman" w:hAnsi="Times New Roman" w:cs="Times New Roman"/>
          <w:sz w:val="18"/>
          <w:szCs w:val="18"/>
        </w:rPr>
        <w:t>Notch信号成分与肺腺癌的预后相关，可作为潜在的肺腺癌预后的指示标志[PMID: 27196489]。</w:t>
      </w:r>
      <w:r>
        <w:rPr>
          <w:rFonts w:hint="eastAsia" w:ascii="Times New Roman" w:hAnsi="Times New Roman" w:cs="Times New Roman"/>
          <w:sz w:val="18"/>
          <w:szCs w:val="18"/>
        </w:rPr>
        <w:t>有研究表明，在小细胞肺癌中，</w:t>
      </w:r>
      <w:r>
        <w:rPr>
          <w:rFonts w:ascii="Times New Roman" w:hAnsi="Times New Roman" w:cs="Times New Roman"/>
          <w:sz w:val="18"/>
          <w:szCs w:val="18"/>
        </w:rPr>
        <w:t>NOTCH1高表达与预后良好相关[PMID: 28060745]。</w:t>
      </w:r>
      <w:r>
        <w:rPr>
          <w:rFonts w:hint="eastAsia" w:ascii="Times New Roman" w:hAnsi="Times New Roman" w:cs="Times New Roman"/>
          <w:sz w:val="18"/>
          <w:szCs w:val="18"/>
        </w:rPr>
        <w:t>高表达</w:t>
      </w:r>
      <w:r>
        <w:rPr>
          <w:rFonts w:ascii="Times New Roman" w:hAnsi="Times New Roman" w:cs="Times New Roman"/>
          <w:sz w:val="18"/>
          <w:szCs w:val="18"/>
        </w:rPr>
        <w:t>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51230221">
      <w:pPr>
        <w:adjustRightInd w:val="0"/>
        <w:snapToGrid w:val="0"/>
        <w:spacing w:line="300" w:lineRule="auto"/>
        <w:ind w:left="420"/>
        <w:jc w:val="both"/>
        <w:rPr>
          <w:rFonts w:ascii="Times New Roman" w:hAnsi="Times New Roman" w:cs="Times New Roman"/>
          <w:sz w:val="18"/>
          <w:szCs w:val="18"/>
          <w:lang w:bidi="zh-CN"/>
        </w:rPr>
      </w:pPr>
    </w:p>
    <w:p w14:paraId="4715804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SMAD4                                                                          </w:t>
      </w:r>
    </w:p>
    <w:p w14:paraId="1EE7314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659886B">
      <w:pPr>
        <w:spacing w:line="300" w:lineRule="auto"/>
        <w:ind w:left="420"/>
        <w:rPr>
          <w:rFonts w:ascii="Times New Roman" w:hAnsi="Times New Roman" w:cs="Times New Roman"/>
          <w:sz w:val="18"/>
          <w:szCs w:val="18"/>
        </w:rPr>
      </w:pPr>
      <w:r>
        <w:rPr>
          <w:rFonts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9759503</w:t>
      </w:r>
      <w:r>
        <w:rPr>
          <w:rFonts w:hint="eastAsia" w:ascii="Times New Roman" w:hAnsi="Times New Roman" w:cs="Times New Roman"/>
          <w:sz w:val="18"/>
          <w:szCs w:val="18"/>
        </w:rPr>
        <w:t>]</w:t>
      </w:r>
      <w:r>
        <w:rPr>
          <w:rFonts w:ascii="Times New Roman" w:hAnsi="Times New Roman" w:cs="Times New Roman"/>
          <w:sz w:val="18"/>
          <w:szCs w:val="18"/>
        </w:rPr>
        <w:t>。在TGFß受体二聚化和激活后，两种磷酸化受体调节的SMAD蛋白与SMAD4形成三聚体复合物，以允</w:t>
      </w:r>
      <w:r>
        <w:rPr>
          <w:rFonts w:hint="eastAsia" w:ascii="Times New Roman" w:hAnsi="Times New Roman" w:cs="Times New Roman"/>
          <w:sz w:val="18"/>
          <w:szCs w:val="18"/>
        </w:rPr>
        <w:t>许与</w:t>
      </w:r>
      <w:r>
        <w:rPr>
          <w:rFonts w:ascii="Times New Roman" w:hAnsi="Times New Roman" w:cs="Times New Roman"/>
          <w:sz w:val="18"/>
          <w:szCs w:val="18"/>
        </w:rPr>
        <w:t>DNA结合 [PMID: 9759503</w:t>
      </w:r>
      <w:r>
        <w:rPr>
          <w:rFonts w:hint="eastAsia" w:ascii="Times New Roman" w:hAnsi="Times New Roman" w:cs="Times New Roman"/>
          <w:sz w:val="18"/>
          <w:szCs w:val="18"/>
        </w:rPr>
        <w:t>]</w:t>
      </w:r>
      <w:r>
        <w:rPr>
          <w:rFonts w:ascii="Times New Roman" w:hAnsi="Times New Roman" w:cs="Times New Roman"/>
          <w:sz w:val="18"/>
          <w:szCs w:val="18"/>
        </w:rPr>
        <w:t>。SMAD三聚体复合物可以转移到细胞核并以细胞类型依赖的方式调节TGFß介导的基因转录，部分原因是转录共激活因子的可用性和染色质可及性[PMID: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w:t>
      </w:r>
      <w:r>
        <w:rPr>
          <w:rFonts w:hint="eastAsia" w:ascii="Times New Roman" w:hAnsi="Times New Roman" w:cs="Times New Roman"/>
          <w:sz w:val="18"/>
          <w:szCs w:val="18"/>
        </w:rPr>
        <w:t>缺失或</w:t>
      </w:r>
      <w:r>
        <w:rPr>
          <w:rFonts w:ascii="Times New Roman" w:hAnsi="Times New Roman" w:cs="Times New Roman"/>
          <w:sz w:val="18"/>
          <w:szCs w:val="18"/>
        </w:rPr>
        <w:t>SMAD4 体细胞突变，并且与肿瘤分级相关[PMID: 12821112</w:t>
      </w:r>
      <w:r>
        <w:rPr>
          <w:rFonts w:hint="eastAsia" w:ascii="Times New Roman" w:hAnsi="Times New Roman" w:cs="Times New Roman"/>
          <w:sz w:val="18"/>
          <w:szCs w:val="18"/>
        </w:rPr>
        <w:t>]</w:t>
      </w:r>
      <w:r>
        <w:rPr>
          <w:rFonts w:ascii="Times New Roman" w:hAnsi="Times New Roman" w:cs="Times New Roman"/>
          <w:sz w:val="18"/>
          <w:szCs w:val="18"/>
        </w:rPr>
        <w:t>。在包括结肠和肺腺癌在内的多种肿瘤类型中，以较低频率观察到SMAD4的体细胞改变[PMID: 25890228]。</w:t>
      </w:r>
    </w:p>
    <w:p w14:paraId="53D349B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BC09B78">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eastAsia"/>
        </w:rPr>
        <w:t>。</w:t>
      </w:r>
      <w:r>
        <w:rPr>
          <w:rFonts w:hint="eastAsia" w:ascii="Times New Roman" w:hAnsi="Times New Roman" w:cs="Times New Roman"/>
          <w:sz w:val="18"/>
          <w:szCs w:val="18"/>
        </w:rPr>
        <w:t>一项结直肠癌相关研究报道，</w:t>
      </w:r>
      <w:r>
        <w:rPr>
          <w:rFonts w:ascii="Times New Roman" w:hAnsi="Times New Roman" w:cs="Times New Roman"/>
          <w:sz w:val="18"/>
          <w:szCs w:val="18"/>
        </w:rPr>
        <w:t>SMAD4的缺失与较差的临床结果、对化疗的耐药性和免疫浸润的减少相关[PMID: 30587545]。</w:t>
      </w:r>
      <w:r>
        <w:rPr>
          <w:rFonts w:hint="eastAsia" w:ascii="Times New Roman" w:hAnsi="Times New Roman" w:cs="Times New Roman"/>
          <w:sz w:val="18"/>
          <w:szCs w:val="18"/>
        </w:rPr>
        <w:t>究报道，</w:t>
      </w:r>
      <w:r>
        <w:rPr>
          <w:rFonts w:ascii="Times New Roman" w:hAnsi="Times New Roman" w:cs="Times New Roman"/>
          <w:sz w:val="18"/>
          <w:szCs w:val="18"/>
        </w:rPr>
        <w:t>SMAD4表达降低与结直肠癌不良预后相关[PMID: 25749173; PMID: 19478385; PMID: 25681512; PMID: 26861460]。</w:t>
      </w:r>
      <w:r>
        <w:rPr>
          <w:rFonts w:hint="eastAsia" w:ascii="Times New Roman" w:hAnsi="Times New Roman" w:cs="Times New Roman"/>
          <w:sz w:val="18"/>
          <w:szCs w:val="18"/>
        </w:rPr>
        <w:t>临床前研究表明，</w:t>
      </w:r>
      <w:r>
        <w:rPr>
          <w:rFonts w:ascii="Times New Roman" w:hAnsi="Times New Roman" w:cs="Times New Roman"/>
          <w:sz w:val="18"/>
          <w:szCs w:val="18"/>
        </w:rPr>
        <w:t>SMAD4缺失促进肺癌的形成，但增加了对DNA拓扑异构酶抑制剂的敏感性[PMID: 25893305]。</w:t>
      </w:r>
      <w:r>
        <w:rPr>
          <w:rFonts w:hint="eastAsia" w:ascii="Times New Roman" w:hAnsi="Times New Roman" w:cs="Times New Roman"/>
          <w:sz w:val="18"/>
          <w:szCs w:val="18"/>
        </w:rPr>
        <w:t>肺腺癌中，</w:t>
      </w:r>
      <w:r>
        <w:rPr>
          <w:rFonts w:ascii="Times New Roman" w:hAnsi="Times New Roman" w:cs="Times New Roman"/>
          <w:sz w:val="18"/>
          <w:szCs w:val="18"/>
        </w:rPr>
        <w:t>SMAD4表达缺失与肿瘤大小（P=0.033）、淋巴结转移（P=0.014）、病理分期（P=0.017）和肿瘤分化（P=0.022）有关，p16或SMAD4表达的缺失（P&lt;0.001）与总生存时间缩短显著相关[PMID: 25890228]。</w:t>
      </w:r>
    </w:p>
    <w:p w14:paraId="57193331">
      <w:pPr>
        <w:rPr>
          <w:rFonts w:ascii="Times New Roman" w:hAnsi="Times New Roman" w:eastAsia="微软雅黑" w:cs="Times New Roman"/>
          <w:b/>
          <w:sz w:val="13"/>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helvetica">
    <w:altName w:val="Segoe Print"/>
    <w:panose1 w:val="00000000000000000000"/>
    <w:charset w:val="00"/>
    <w:family w:val="auto"/>
    <w:pitch w:val="default"/>
    <w:sig w:usb0="00000000" w:usb1="00000000" w:usb2="00000000" w:usb3="00000000" w:csb0="2000019F" w:csb1="4F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1EB3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79D4BE">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027923">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0F027923">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6CA5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44E9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54D6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47CAC"/>
    <w:rsid w:val="00B60F8C"/>
    <w:rsid w:val="00B720E9"/>
    <w:rsid w:val="00B970D4"/>
    <w:rsid w:val="00BA0AFE"/>
    <w:rsid w:val="00BB4B87"/>
    <w:rsid w:val="00BB4BB9"/>
    <w:rsid w:val="00BD2FFA"/>
    <w:rsid w:val="00BD3A5B"/>
    <w:rsid w:val="00BE1879"/>
    <w:rsid w:val="00C1426D"/>
    <w:rsid w:val="00C26F90"/>
    <w:rsid w:val="00C2709E"/>
    <w:rsid w:val="00C27D2F"/>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711243"/>
    <w:rsid w:val="030A1074"/>
    <w:rsid w:val="035C523B"/>
    <w:rsid w:val="03643579"/>
    <w:rsid w:val="03B74961"/>
    <w:rsid w:val="053027D8"/>
    <w:rsid w:val="066A44EA"/>
    <w:rsid w:val="084E6FBF"/>
    <w:rsid w:val="09C6569C"/>
    <w:rsid w:val="0AA910DA"/>
    <w:rsid w:val="0ACD30F7"/>
    <w:rsid w:val="0B697485"/>
    <w:rsid w:val="0F6A208A"/>
    <w:rsid w:val="10286214"/>
    <w:rsid w:val="10952DF6"/>
    <w:rsid w:val="130C6140"/>
    <w:rsid w:val="134645CE"/>
    <w:rsid w:val="15AA1C40"/>
    <w:rsid w:val="175A7638"/>
    <w:rsid w:val="1836136A"/>
    <w:rsid w:val="195F7EBC"/>
    <w:rsid w:val="1A627D5C"/>
    <w:rsid w:val="1B125754"/>
    <w:rsid w:val="1C46724D"/>
    <w:rsid w:val="1EDA2B4A"/>
    <w:rsid w:val="20A0049E"/>
    <w:rsid w:val="21E4370A"/>
    <w:rsid w:val="23AC2FFD"/>
    <w:rsid w:val="269E134D"/>
    <w:rsid w:val="271D2C97"/>
    <w:rsid w:val="293140D5"/>
    <w:rsid w:val="29CF0D5E"/>
    <w:rsid w:val="2CAB7CC5"/>
    <w:rsid w:val="2CF7541B"/>
    <w:rsid w:val="2EAD435F"/>
    <w:rsid w:val="2F2B0C86"/>
    <w:rsid w:val="2F34284F"/>
    <w:rsid w:val="317F3B29"/>
    <w:rsid w:val="319B5F0A"/>
    <w:rsid w:val="31EE517C"/>
    <w:rsid w:val="32A777DC"/>
    <w:rsid w:val="340C0A8D"/>
    <w:rsid w:val="343949EB"/>
    <w:rsid w:val="37934412"/>
    <w:rsid w:val="387A7805"/>
    <w:rsid w:val="39FA584D"/>
    <w:rsid w:val="3A0504C9"/>
    <w:rsid w:val="3A670D93"/>
    <w:rsid w:val="3A6D6FBD"/>
    <w:rsid w:val="3B361E49"/>
    <w:rsid w:val="3C573483"/>
    <w:rsid w:val="3ED529B9"/>
    <w:rsid w:val="3F2D78C6"/>
    <w:rsid w:val="410A496E"/>
    <w:rsid w:val="41146FE8"/>
    <w:rsid w:val="415617C0"/>
    <w:rsid w:val="417E2988"/>
    <w:rsid w:val="41CA0DF1"/>
    <w:rsid w:val="42AB2BD6"/>
    <w:rsid w:val="42E2656E"/>
    <w:rsid w:val="43C2164A"/>
    <w:rsid w:val="43E31A09"/>
    <w:rsid w:val="44167D08"/>
    <w:rsid w:val="44D12FF3"/>
    <w:rsid w:val="451832ED"/>
    <w:rsid w:val="46862F64"/>
    <w:rsid w:val="4ACE6BD0"/>
    <w:rsid w:val="4B4C63D6"/>
    <w:rsid w:val="4BAD2017"/>
    <w:rsid w:val="4C7F4215"/>
    <w:rsid w:val="4D1F7D6E"/>
    <w:rsid w:val="4D2575CC"/>
    <w:rsid w:val="4E4361B3"/>
    <w:rsid w:val="4F1700B8"/>
    <w:rsid w:val="4FA06224"/>
    <w:rsid w:val="4FC374CC"/>
    <w:rsid w:val="500619DA"/>
    <w:rsid w:val="5081012C"/>
    <w:rsid w:val="518B7F68"/>
    <w:rsid w:val="518D6A44"/>
    <w:rsid w:val="51FC6DA4"/>
    <w:rsid w:val="56D35F07"/>
    <w:rsid w:val="570B25AE"/>
    <w:rsid w:val="57117FB5"/>
    <w:rsid w:val="57307DE4"/>
    <w:rsid w:val="57974C8E"/>
    <w:rsid w:val="58162B65"/>
    <w:rsid w:val="58E35061"/>
    <w:rsid w:val="58FC26D7"/>
    <w:rsid w:val="59201E0F"/>
    <w:rsid w:val="59A860E0"/>
    <w:rsid w:val="5A33044A"/>
    <w:rsid w:val="5A3A4E3F"/>
    <w:rsid w:val="5B356BDD"/>
    <w:rsid w:val="5B976FC1"/>
    <w:rsid w:val="5D6D5411"/>
    <w:rsid w:val="5DF53F95"/>
    <w:rsid w:val="5E0448E8"/>
    <w:rsid w:val="5E3877B6"/>
    <w:rsid w:val="5E574FB2"/>
    <w:rsid w:val="5E59788A"/>
    <w:rsid w:val="60095BA6"/>
    <w:rsid w:val="60654544"/>
    <w:rsid w:val="62255007"/>
    <w:rsid w:val="635147E4"/>
    <w:rsid w:val="654F43C0"/>
    <w:rsid w:val="65B53A3E"/>
    <w:rsid w:val="6822110B"/>
    <w:rsid w:val="69182419"/>
    <w:rsid w:val="6976772C"/>
    <w:rsid w:val="69DB74AC"/>
    <w:rsid w:val="6BFA5082"/>
    <w:rsid w:val="6E75472D"/>
    <w:rsid w:val="6E9A7A0A"/>
    <w:rsid w:val="6F4C2AA5"/>
    <w:rsid w:val="70CF12BD"/>
    <w:rsid w:val="71BA61B5"/>
    <w:rsid w:val="71DF3A36"/>
    <w:rsid w:val="71F44ACA"/>
    <w:rsid w:val="723E266C"/>
    <w:rsid w:val="72653CB7"/>
    <w:rsid w:val="73BB2205"/>
    <w:rsid w:val="73F9408B"/>
    <w:rsid w:val="74692B38"/>
    <w:rsid w:val="74BA57F9"/>
    <w:rsid w:val="74C23FF5"/>
    <w:rsid w:val="75611117"/>
    <w:rsid w:val="765B0A6B"/>
    <w:rsid w:val="76CD26D9"/>
    <w:rsid w:val="78BA0E7B"/>
    <w:rsid w:val="7A9C7AB4"/>
    <w:rsid w:val="7B3E7DA0"/>
    <w:rsid w:val="7BA16014"/>
    <w:rsid w:val="7C735456"/>
    <w:rsid w:val="7DC37B21"/>
    <w:rsid w:val="7FCE7BBB"/>
    <w:rsid w:val="7FEB4435"/>
    <w:rsid w:val="B7DBDDC0"/>
    <w:rsid w:val="DFFD102F"/>
    <w:rsid w:val="E28E459A"/>
    <w:rsid w:val="E7F377CA"/>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字符"/>
    <w:basedOn w:val="21"/>
    <w:link w:val="4"/>
    <w:autoRedefine/>
    <w:qFormat/>
    <w:uiPriority w:val="0"/>
    <w:rPr>
      <w:rFonts w:ascii="宋体" w:hAnsi="宋体" w:cs="宋体"/>
      <w:sz w:val="30"/>
      <w:szCs w:val="30"/>
    </w:rPr>
  </w:style>
  <w:style w:type="character" w:customStyle="1" w:styleId="25">
    <w:name w:val="批注文字 字符"/>
    <w:basedOn w:val="21"/>
    <w:link w:val="9"/>
    <w:autoRedefine/>
    <w:qFormat/>
    <w:uiPriority w:val="0"/>
    <w:rPr>
      <w:rFonts w:ascii="宋体" w:hAnsi="宋体" w:cs="宋体"/>
      <w:sz w:val="22"/>
      <w:szCs w:val="22"/>
    </w:rPr>
  </w:style>
  <w:style w:type="character" w:customStyle="1" w:styleId="26">
    <w:name w:val="批注框文本 字符"/>
    <w:link w:val="12"/>
    <w:autoRedefine/>
    <w:qFormat/>
    <w:uiPriority w:val="0"/>
    <w:rPr>
      <w:rFonts w:hint="default" w:ascii="宋体" w:hAnsi="宋体" w:cs="宋体"/>
      <w:sz w:val="18"/>
      <w:szCs w:val="18"/>
      <w:lang w:eastAsia="en-US"/>
    </w:rPr>
  </w:style>
  <w:style w:type="character" w:customStyle="1" w:styleId="27">
    <w:name w:val="页脚 字符"/>
    <w:link w:val="13"/>
    <w:autoRedefine/>
    <w:qFormat/>
    <w:uiPriority w:val="0"/>
    <w:rPr>
      <w:rFonts w:hint="default" w:ascii="宋体" w:hAnsi="宋体" w:eastAsia="宋体" w:cs="宋体"/>
      <w:sz w:val="18"/>
      <w:szCs w:val="18"/>
    </w:rPr>
  </w:style>
  <w:style w:type="character" w:customStyle="1" w:styleId="28">
    <w:name w:val="页眉 字符"/>
    <w:link w:val="14"/>
    <w:autoRedefine/>
    <w:qFormat/>
    <w:uiPriority w:val="0"/>
    <w:rPr>
      <w:rFonts w:hint="default" w:ascii="宋体" w:hAnsi="宋体" w:eastAsia="宋体" w:cs="宋体"/>
      <w:sz w:val="18"/>
      <w:szCs w:val="18"/>
    </w:rPr>
  </w:style>
  <w:style w:type="character" w:customStyle="1" w:styleId="29">
    <w:name w:val="批注主题 字符"/>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网格表 4 - 着色 12"/>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rPr>
  </w:style>
  <w:style w:type="paragraph" w:customStyle="1" w:styleId="49">
    <w:name w:val="p1"/>
    <w:basedOn w:val="1"/>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character" w:customStyle="1" w:styleId="50">
    <w:name w:val="font41"/>
    <w:basedOn w:val="21"/>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35</Pages>
  <Words>2158</Words>
  <Characters>6896</Characters>
  <Lines>436</Lines>
  <Paragraphs>122</Paragraphs>
  <TotalTime>0</TotalTime>
  <ScaleCrop>false</ScaleCrop>
  <LinksUpToDate>false</LinksUpToDate>
  <CharactersWithSpaces>7715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2021-06-30T18:32:00Z</dcterms:created>
  <dc:creator>Administrator</dc:creator>
  <cp:lastModifiedBy>yolo</cp:lastModifiedBy>
  <dcterms:modified xsi:type="dcterms:W3CDTF">2025-11-18T09:35:25Z</dcterms:modified>
  <cp:revision>111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D8067B79DB7549E69B5AB4B4C10E9CA6_13</vt:lpwstr>
  </property>
  <property fmtid="{D5CDD505-2E9C-101B-9397-08002B2CF9AE}" pid="4" name="KSOTemplateDocerSaveRecord">
    <vt:lpwstr>eyJoZGlkIjoiNzhjODRmNWJhZTVkNTI1OGI2YWZlNjVkNDIwMWYwMDkiLCJ1c2VySWQiOiIzMTAxODgzOTQifQ==</vt:lpwstr>
  </property>
</Properties>
</file>