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1B50D">
      <w:pPr>
        <w:spacing w:after="0"/>
        <w:rPr>
          <w:rFonts w:eastAsia="微软雅黑"/>
          <w:lang w:eastAsia="zh-CN"/>
        </w:rPr>
      </w:pPr>
      <w:r>
        <w:rPr>
          <w:rFonts w:ascii="微软雅黑" w:hAnsi="微软雅黑" w:eastAsia="微软雅黑"/>
          <w:b/>
          <w:color w:val="000000"/>
          <w:sz w:val="36"/>
        </w:rPr>
        <w:t xml:space="preserve"> </w:t>
      </w:r>
      <w:r>
        <w:rPr>
          <w:rFonts w:ascii="微软雅黑" w:hAnsi="微软雅黑" w:eastAsia="微软雅黑"/>
          <w:b/>
          <w:color w:val="000000"/>
          <w:sz w:val="32"/>
        </w:rPr>
        <w:t>样本信息</w:t>
      </w:r>
      <w:r>
        <w:rPr>
          <w:rFonts w:ascii="微软雅黑" w:hAnsi="微软雅黑" w:eastAsia="微软雅黑"/>
          <w:b/>
          <w:color w:val="000000"/>
          <w:sz w:val="36"/>
        </w:rPr>
        <w:t xml:space="preserve"> </w:t>
      </w:r>
      <w:r>
        <w:rPr>
          <w:rFonts w:hint="eastAsia" w:ascii="微软雅黑" w:hAnsi="微软雅黑" w:eastAsia="微软雅黑"/>
          <w:color w:val="000000"/>
          <w:sz w:val="24"/>
          <w:lang w:eastAsia="zh-CN"/>
        </w:rPr>
        <w:t>{{ room }}</w:t>
      </w:r>
    </w:p>
    <w:tbl>
      <w:tblPr>
        <w:tblStyle w:val="32"/>
        <w:tblW w:w="963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3"/>
        <w:gridCol w:w="1848"/>
        <w:gridCol w:w="1296"/>
        <w:gridCol w:w="2021"/>
        <w:gridCol w:w="1231"/>
        <w:gridCol w:w="2029"/>
      </w:tblGrid>
      <w:tr w14:paraId="6D275E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94BACBB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姓名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2E6943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client }}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88F552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性别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383DA8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 sex 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A21AF7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年龄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8F153C4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age }}</w:t>
            </w:r>
          </w:p>
        </w:tc>
      </w:tr>
      <w:tr w14:paraId="5D6B86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5FFA63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住院号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F1564E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2CBFF6E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病理号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712E3D3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{{specimenno}}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BAC65A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送检科室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586D7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locationname }}</w:t>
            </w:r>
          </w:p>
        </w:tc>
      </w:tr>
      <w:tr w14:paraId="6DD310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123399E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送检医师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6612E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doctorname }}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EF0939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联系电话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2419995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patient_phone 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ADED14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标本类型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6CED2A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</w:tr>
    </w:tbl>
    <w:p w14:paraId="551A464A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73D4D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C076C5B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 xml:space="preserve">检测项目: 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乳腺癌卵巢癌遗传基因胚</w:t>
            </w:r>
            <w:r>
              <w:rPr>
                <w:rFonts w:hint="eastAsia" w:ascii="微软雅黑" w:hAnsi="微软雅黑" w:eastAsia="微软雅黑"/>
                <w:b/>
                <w:sz w:val="20"/>
                <w:lang w:val="en-US" w:eastAsia="zh-CN"/>
              </w:rPr>
              <w:t>系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检测-小panel</w:t>
            </w:r>
          </w:p>
        </w:tc>
      </w:tr>
      <w:tr w14:paraId="4B0EA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A2C93A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检测方法：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高通量测序法(NGS)</w:t>
            </w:r>
          </w:p>
        </w:tc>
      </w:tr>
      <w:tr w14:paraId="0B76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710FC4">
            <w:pPr>
              <w:spacing w:after="0"/>
              <w:rPr>
                <w:rFonts w:hint="eastAsia" w:ascii="微软雅黑" w:hAnsi="微软雅黑" w:eastAsia="微软雅黑"/>
                <w:sz w:val="20"/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合作检测机构：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济南爱新卓尔医学检验实验室</w:t>
            </w:r>
          </w:p>
        </w:tc>
      </w:tr>
      <w:tr w14:paraId="5E0BD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BAB84A0"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检测平台：</w:t>
            </w:r>
            <w:r>
              <w:rPr>
                <w:rFonts w:ascii="微软雅黑" w:hAnsi="微软雅黑" w:eastAsia="微软雅黑"/>
                <w:b/>
                <w:sz w:val="20"/>
              </w:rPr>
              <w:t>MGISEQ-2000/illumina NovaSeq6000/NextSeq550Dx</w:t>
            </w:r>
          </w:p>
        </w:tc>
      </w:tr>
      <w:tr w14:paraId="15008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65C10E3"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参考基因组：</w:t>
            </w:r>
            <w:r>
              <w:rPr>
                <w:rFonts w:ascii="微软雅黑" w:hAnsi="微软雅黑" w:eastAsia="微软雅黑"/>
                <w:b/>
                <w:sz w:val="20"/>
              </w:rPr>
              <w:t>GRCh37/hg19</w:t>
            </w:r>
          </w:p>
        </w:tc>
      </w:tr>
      <w:tr w14:paraId="632BE4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0FBB3C1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检测内容：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本产品对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BRCA1/2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基因全外显子±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20 bp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内含子区域进行高通量测序，检测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BRCA1/2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基因的靶向用药信息和遗传风险，适用于乳腺癌、卵巢癌、宫颈癌、子宫内膜癌、前列腺癌及胰腺癌等癌种。检测突变形式为点突变（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SNV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）、小片段插入缺失（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INDEL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）。</w:t>
            </w:r>
          </w:p>
        </w:tc>
      </w:tr>
    </w:tbl>
    <w:p w14:paraId="25EED573">
      <w:pPr>
        <w:spacing w:after="0"/>
        <w:jc w:val="both"/>
        <w:rPr>
          <w:lang w:eastAsia="zh-CN"/>
        </w:rPr>
      </w:pPr>
      <w:r>
        <w:rPr>
          <w:rFonts w:ascii="微软雅黑" w:hAnsi="微软雅黑" w:eastAsia="微软雅黑"/>
          <w:b/>
          <w:sz w:val="20"/>
          <w:lang w:eastAsia="zh-CN"/>
        </w:rPr>
        <w:t>备注：本报告仅针对本次送检样本，该检测为该肿瘤患者提供个体化治疗提供依据，仅供临床参考。</w:t>
      </w:r>
    </w:p>
    <w:p w14:paraId="567F51E7">
      <w:pPr>
        <w:rPr>
          <w:lang w:eastAsia="zh-CN"/>
        </w:rPr>
      </w:pPr>
      <w:bookmarkStart w:id="2" w:name="_GoBack"/>
    </w:p>
    <w:bookmarkEnd w:id="2"/>
    <w:p w14:paraId="5D13A2EA">
      <w:pPr>
        <w:rPr>
          <w:lang w:eastAsia="zh-CN"/>
        </w:rPr>
      </w:pPr>
    </w:p>
    <w:tbl>
      <w:tblPr>
        <w:tblStyle w:val="32"/>
        <w:tblpPr w:leftFromText="181" w:rightFromText="181" w:vertAnchor="text" w:horzAnchor="page" w:tblpX="1129" w:tblpY="1"/>
        <w:tblOverlap w:val="never"/>
        <w:tblW w:w="9848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227"/>
        <w:gridCol w:w="1985"/>
        <w:gridCol w:w="3637"/>
      </w:tblGrid>
      <w:tr w14:paraId="246727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</w:trPr>
        <w:tc>
          <w:tcPr>
            <w:tcW w:w="1999" w:type="dxa"/>
            <w:vAlign w:val="center"/>
          </w:tcPr>
          <w:p w14:paraId="6D75DC70">
            <w:pPr>
              <w:spacing w:after="0"/>
              <w:jc w:val="both"/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 xml:space="preserve">检测者： </w:t>
            </w:r>
          </w:p>
        </w:tc>
        <w:tc>
          <w:tcPr>
            <w:tcW w:w="2227" w:type="dxa"/>
            <w:vAlign w:val="center"/>
          </w:tcPr>
          <w:p w14:paraId="5D96A681">
            <w:pPr>
              <w:spacing w:after="0"/>
              <w:jc w:val="both"/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 xml:space="preserve">审核者： </w:t>
            </w:r>
          </w:p>
        </w:tc>
        <w:tc>
          <w:tcPr>
            <w:tcW w:w="1985" w:type="dxa"/>
            <w:vAlign w:val="center"/>
          </w:tcPr>
          <w:p w14:paraId="777E7967">
            <w:pPr>
              <w:spacing w:after="0"/>
              <w:jc w:val="both"/>
              <w:rPr>
                <w:rFonts w:eastAsia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>复核者</w:t>
            </w:r>
            <w:r>
              <w:rPr>
                <w:rFonts w:ascii="微软雅黑" w:hAnsi="微软雅黑" w:eastAsia="微软雅黑"/>
                <w:b/>
                <w:sz w:val="20"/>
                <w:szCs w:val="18"/>
              </w:rPr>
              <w:t xml:space="preserve">： </w:t>
            </w:r>
          </w:p>
        </w:tc>
        <w:tc>
          <w:tcPr>
            <w:tcW w:w="3637" w:type="dxa"/>
            <w:vAlign w:val="center"/>
          </w:tcPr>
          <w:p w14:paraId="4A045CC1">
            <w:pPr>
              <w:spacing w:after="0"/>
              <w:jc w:val="center"/>
              <w:rPr>
                <w:sz w:val="18"/>
                <w:szCs w:val="18"/>
                <w:lang w:eastAsia="zh-CN"/>
              </w:rPr>
            </w:pPr>
            <w:r>
              <w:rPr>
                <w:rFonts w:ascii="微软雅黑" w:hAnsi="微软雅黑" w:eastAsia="微软雅黑"/>
                <w:b/>
                <w:sz w:val="20"/>
                <w:szCs w:val="18"/>
              </w:rPr>
              <w:t>报告日期：</w:t>
            </w:r>
            <w:r>
              <w:rPr>
                <w:rFonts w:hint="eastAsia" w:ascii="微软雅黑" w:hAnsi="微软雅黑" w:eastAsia="微软雅黑"/>
                <w:b/>
                <w:sz w:val="20"/>
                <w:szCs w:val="18"/>
              </w:rPr>
              <w:t>{{ reportdate }}</w:t>
            </w:r>
          </w:p>
        </w:tc>
      </w:tr>
    </w:tbl>
    <w:p w14:paraId="4CE2B79E">
      <w:pPr>
        <w:sectPr>
          <w:headerReference r:id="rId5" w:type="default"/>
          <w:footerReference r:id="rId6" w:type="default"/>
          <w:pgSz w:w="11900" w:h="16840"/>
          <w:pgMar w:top="1440" w:right="1134" w:bottom="1440" w:left="1134" w:header="720" w:footer="720" w:gutter="0"/>
          <w:cols w:space="720" w:num="1"/>
          <w:docGrid w:linePitch="360" w:charSpace="0"/>
        </w:sectPr>
      </w:pPr>
      <w:r>
        <w:br w:type="page"/>
      </w:r>
    </w:p>
    <w:p w14:paraId="3657D29B">
      <w:pPr>
        <w:spacing w:after="0"/>
        <w:outlineLvl w:val="2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ascii="微软雅黑" w:hAnsi="微软雅黑" w:eastAsia="微软雅黑"/>
          <w:b/>
          <w:color w:val="000000"/>
          <w:sz w:val="32"/>
        </w:rPr>
        <w:t>检测结果概览</w:t>
      </w:r>
    </w:p>
    <w:tbl>
      <w:tblPr>
        <w:tblStyle w:val="165"/>
        <w:tblW w:w="9885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5"/>
        <w:gridCol w:w="5340"/>
      </w:tblGrid>
      <w:tr w14:paraId="4E33E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exact"/>
          <w:jc w:val="center"/>
        </w:trPr>
        <w:tc>
          <w:tcPr>
            <w:tcW w:w="45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6CCD341">
            <w:pPr>
              <w:widowControl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检测类型</w:t>
            </w:r>
          </w:p>
        </w:tc>
        <w:tc>
          <w:tcPr>
            <w:tcW w:w="5340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26939D34">
            <w:pPr>
              <w:widowControl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检测结果</w:t>
            </w:r>
          </w:p>
        </w:tc>
      </w:tr>
      <w:tr w14:paraId="705B614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545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6368D31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340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51D51F6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18"/>
                <w:szCs w:val="18"/>
                <w:lang w:eastAsia="zh-CN"/>
              </w:rPr>
              <w:t>共检出{{ summaryOfRresults.crCheckLineStrYF1280Size }}个变异位点，其中{{summaryOfRresults.hasPathogenicityCount}}个为致病/可能致病性突变{{crCheckDrugStr}}{{summaryOfRresults.cr_tumors_desc}}，{{summaryOfRresults.crDrugList}}个与靶向药物相关{{embryonalDrugStr}}</w:t>
            </w:r>
          </w:p>
        </w:tc>
      </w:tr>
      <w:tr w14:paraId="0153C8C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545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319F068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40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DC1F77B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{{ sequencing_depth | oqa(100,50) }}</w:t>
            </w:r>
          </w:p>
        </w:tc>
      </w:tr>
    </w:tbl>
    <w:p w14:paraId="565E9B97">
      <w:pPr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br w:type="page"/>
      </w:r>
    </w:p>
    <w:p w14:paraId="2A457E0F">
      <w:pPr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t>变异位点结果提示</w:t>
      </w:r>
    </w:p>
    <w:p w14:paraId="7E7CDF96">
      <w:pPr>
        <w:widowControl w:val="0"/>
        <w:spacing w:before="120" w:beforeLines="50" w:after="120" w:afterLines="5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79A75E8">
      <w:pPr>
        <w:widowControl w:val="0"/>
        <w:spacing w:before="120" w:beforeLines="50" w:after="240" w:line="240" w:lineRule="auto"/>
        <w:ind w:firstLine="420" w:firstLineChars="200"/>
        <w:rPr>
          <w:rFonts w:ascii="Times New Roman" w:hAnsi="Times New Roman" w:eastAsia="微软雅黑" w:cs="Times New Roman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具体信息见“检测结果详细解析”。{% endif %}如果您有家族遗传史，可联系我们做进一步的检测。</w:t>
      </w:r>
    </w:p>
    <w:tbl>
      <w:tblPr>
        <w:tblStyle w:val="164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55848B4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8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ECC374C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168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1B35E1E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微软雅黑" w:cs="Times New Roman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953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73C1105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96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43ABDD3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4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D815924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606" w:type="dxa"/>
            <w:tcBorders>
              <w:top w:val="nil"/>
              <w:left w:val="single" w:color="FFFFFF" w:sz="18" w:space="0"/>
              <w:bottom w:val="nil"/>
            </w:tcBorders>
            <w:shd w:val="clear" w:color="auto" w:fill="006600"/>
            <w:vAlign w:val="center"/>
          </w:tcPr>
          <w:p w14:paraId="5A8A4753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  <w:tc>
          <w:tcPr>
            <w:tcW w:w="1919" w:type="dxa"/>
            <w:tcBorders>
              <w:top w:val="nil"/>
              <w:left w:val="single" w:color="FFFFFF" w:sz="18" w:space="0"/>
              <w:bottom w:val="nil"/>
            </w:tcBorders>
            <w:shd w:val="clear" w:color="auto" w:fill="006600"/>
            <w:vAlign w:val="center"/>
          </w:tcPr>
          <w:p w14:paraId="76A4D4D9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相关肿瘤</w:t>
            </w:r>
          </w:p>
        </w:tc>
      </w:tr>
      <w:tr w14:paraId="38D2B4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op w:val="nil"/>
            </w:tcBorders>
            <w:shd w:val="clear" w:color="auto" w:fill="auto"/>
            <w:vAlign w:val="center"/>
          </w:tcPr>
          <w:p w14:paraId="35D50B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</w:tcBorders>
            <w:shd w:val="clear" w:color="auto" w:fill="auto"/>
            <w:vAlign w:val="center"/>
          </w:tcPr>
          <w:p w14:paraId="638374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shd w:val="clear" w:color="auto" w:fill="auto"/>
            <w:vAlign w:val="center"/>
          </w:tcPr>
          <w:p w14:paraId="7B186F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</w:tcBorders>
            <w:shd w:val="clear" w:color="auto" w:fill="auto"/>
            <w:vAlign w:val="center"/>
          </w:tcPr>
          <w:p w14:paraId="7EBFD5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shd w:val="clear" w:color="auto" w:fill="auto"/>
            <w:vAlign w:val="center"/>
          </w:tcPr>
          <w:p w14:paraId="309A28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</w:tbl>
    <w:p w14:paraId="6EB293ED">
      <w:pPr>
        <w:rPr>
          <w:rFonts w:eastAsia="宋体"/>
          <w:lang w:eastAsia="zh-CN"/>
        </w:rPr>
      </w:pPr>
    </w:p>
    <w:p w14:paraId="2932CF06">
      <w:pPr>
        <w:spacing w:after="0"/>
        <w:outlineLvl w:val="3"/>
        <w:rPr>
          <w:rFonts w:hint="eastAsia" w:ascii="微软雅黑" w:hAnsi="微软雅黑" w:eastAsia="微软雅黑"/>
          <w:b/>
          <w:bCs/>
          <w:color w:val="00000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微软雅黑" w:hAnsi="微软雅黑" w:eastAsia="微软雅黑"/>
          <w:b/>
          <w:color w:val="000000"/>
          <w:sz w:val="24"/>
          <w:lang w:eastAsia="zh-CN"/>
        </w:rPr>
        <w:t>用药提示</w:t>
      </w:r>
    </w:p>
    <w:tbl>
      <w:tblPr>
        <w:tblStyle w:val="164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4"/>
        <w:gridCol w:w="1735"/>
        <w:gridCol w:w="1261"/>
        <w:gridCol w:w="1049"/>
        <w:gridCol w:w="2198"/>
        <w:gridCol w:w="2202"/>
      </w:tblGrid>
      <w:tr w14:paraId="20DFF06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5502468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3038140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B6EF6DA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6F9412D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F7BB5F8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02E3A94B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2FBB9EA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44D1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AA9F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A5ED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162" w:right="163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963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116" w:right="116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1CD4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EFD6A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D267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tip.drugNameList == [] %}无{% else%}{% for d in tip.drugNameList 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{{d.name_level}}{%if not loop.last %}，</w:t>
            </w:r>
          </w:p>
          <w:p w14:paraId="24E1A1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{% endif %}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164EF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tip.ResistantDrug == [] %}无{% else%}{% for d in tip.ResistantDrug 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{{d.name_level}}{%if not loop.last %}，</w:t>
            </w:r>
          </w:p>
          <w:p w14:paraId="27674F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{% endif %}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endfor %}{% endif%}</w:t>
            </w:r>
          </w:p>
        </w:tc>
      </w:tr>
      <w:tr w14:paraId="4F5573F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FC451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25CF3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606E7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本次检测未发现靶药相关致病性及可能致病性变异位点</w:t>
            </w:r>
          </w:p>
        </w:tc>
      </w:tr>
      <w:tr w14:paraId="290C259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E72BA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</w:tbl>
    <w:p w14:paraId="02CAC240">
      <w:pPr>
        <w:widowControl w:val="0"/>
        <w:spacing w:before="47" w:after="0" w:line="240" w:lineRule="auto"/>
        <w:rPr>
          <w:rFonts w:ascii="Times New Roman" w:hAnsi="Times New Roman" w:eastAsia="微软雅黑" w:cs="Times New Roman"/>
          <w:b/>
          <w:bCs/>
          <w:sz w:val="15"/>
          <w:szCs w:val="15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5"/>
          <w:szCs w:val="15"/>
          <w:lang w:eastAsia="zh-CN"/>
        </w:rPr>
        <w:t>注：</w:t>
      </w:r>
    </w:p>
    <w:p w14:paraId="378ACE05">
      <w:pPr>
        <w:widowControl w:val="0"/>
        <w:spacing w:after="0" w:line="240" w:lineRule="auto"/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1.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根据美国医学遗传医师学会（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ACMG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）指导意见，个体携带的变异，分为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5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个大类：</w:t>
      </w:r>
    </w:p>
    <w:p w14:paraId="630E5535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致病性变异：有大量证据表明这种变异是高风险的致病性变异。</w:t>
      </w:r>
    </w:p>
    <w:p w14:paraId="37E7B65C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可能致病性变异：有一些证据表明这种变异是高风险的致病性变异。</w:t>
      </w:r>
    </w:p>
    <w:p w14:paraId="4F4BB4AC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不确定性变异：没有足够的证据，将变异分类到其他四类中。</w:t>
      </w:r>
    </w:p>
    <w:p w14:paraId="265F0EBE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可能良性变异：有一些证据表明这种变异不是高风险的致病变异。</w:t>
      </w:r>
    </w:p>
    <w:p w14:paraId="27C543DA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良性变异：有大量证据表明这种变异不是高风险的致病变异。</w:t>
      </w:r>
    </w:p>
    <w:p w14:paraId="55C8B7D8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2.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基因变异临床意义等级来源于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ACMG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指南及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Clinvar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等公共数据库，随着相关指南、数据库不断完善以及临床数据的更新，变异分级可能发生变化。</w:t>
      </w:r>
    </w:p>
    <w:p w14:paraId="1041B569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3.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良性变异和可能良性变异不在报告中展示。</w:t>
      </w:r>
    </w:p>
    <w:p w14:paraId="2C0FBB89">
      <w:pPr>
        <w:rPr>
          <w:rFonts w:eastAsia="宋体"/>
          <w:lang w:eastAsia="zh-CN"/>
        </w:rPr>
      </w:pPr>
      <w:r>
        <w:rPr>
          <w:rFonts w:eastAsia="宋体"/>
          <w:lang w:eastAsia="zh-CN"/>
        </w:rPr>
        <w:br w:type="page"/>
      </w:r>
    </w:p>
    <w:p w14:paraId="564DA81D">
      <w:pPr>
        <w:widowControl w:val="0"/>
        <w:spacing w:after="0" w:line="240" w:lineRule="auto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geneticCancerRiskInfo %}</w:t>
      </w:r>
      <w:r>
        <w:rPr>
          <w:rFonts w:ascii="微软雅黑" w:hAnsi="微软雅黑" w:eastAsia="微软雅黑"/>
          <w:b/>
          <w:color w:val="000000"/>
          <w:sz w:val="32"/>
          <w:lang w:eastAsia="zh-CN"/>
        </w:rPr>
        <w:t>检测结果详细解析</w:t>
      </w:r>
    </w:p>
    <w:p w14:paraId="64837D6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0" w:name="_Toc149837265"/>
      <w:r>
        <w:rPr>
          <w:rFonts w:hint="default" w:ascii="Times New Roman" w:hAnsi="Times New Roman" w:eastAsia="微软雅黑" w:cs="Times New Roman"/>
          <w:b/>
          <w:bCs/>
          <w:color w:val="auto"/>
          <w:sz w:val="32"/>
          <w:szCs w:val="36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变异位点结果解析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for tdd in geneticCancerRiskInfo %}</w:t>
      </w:r>
      <w:bookmarkEnd w:id="0"/>
    </w:p>
    <w:p w14:paraId="275BF50E">
      <w:pPr>
        <w:keepNext/>
        <w:widowControl w:val="0"/>
        <w:spacing w:before="120" w:beforeLines="50" w:after="120" w:afterLines="5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003"/>
        <w:gridCol w:w="8435"/>
      </w:tblGrid>
      <w:tr w14:paraId="52B3F7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35" w:type="dxa"/>
            <w:gridSpan w:val="2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001AE7D5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435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AB5D4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8C738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35" w:type="dxa"/>
            <w:gridSpan w:val="2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3FBCB21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E992BE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651E065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60F15F02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480E5218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A437530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2E8E4D3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6DE35F40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4893FC4D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11DFD5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2B8E442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40C0E015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192AFDA2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86B7C2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0D42BE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74A10E9B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6975377B">
            <w:pPr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D级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08FE777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517C81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330862F4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60854E1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0C4C49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957C4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5BBAD3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6B9D02C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373B80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2B3ADA5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78B55AA8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56191AF5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94C8C7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6CD977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sz="18" w:space="0"/>
              <w:left w:val="nil"/>
              <w:bottom w:val="single" w:color="FFFFFF" w:sz="18" w:space="0"/>
              <w:right w:val="single" w:color="FFFFFF" w:sz="18" w:space="0"/>
            </w:tcBorders>
            <w:shd w:val="clear" w:color="auto" w:fill="006600"/>
            <w:vAlign w:val="center"/>
          </w:tcPr>
          <w:p w14:paraId="6456768C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</w:p>
        </w:tc>
        <w:tc>
          <w:tcPr>
            <w:tcW w:w="1003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2EEA5629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D级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4354EF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72AED9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5" w:type="dxa"/>
            <w:gridSpan w:val="2"/>
            <w:tcBorders>
              <w:top w:val="single" w:color="FFFFFF" w:sz="18" w:space="0"/>
              <w:left w:val="nil"/>
              <w:right w:val="nil"/>
            </w:tcBorders>
            <w:shd w:val="clear" w:color="auto" w:fill="006600"/>
            <w:vAlign w:val="center"/>
          </w:tcPr>
          <w:p w14:paraId="2F3D50B1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B6F0B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43653B34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8747C8F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4394350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3A909A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053030F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8688502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42CB20B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73DE087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循证医学信息</w:t>
            </w:r>
          </w:p>
        </w:tc>
      </w:tr>
      <w:tr w14:paraId="61395A0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8431B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EC10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EEA24F1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E7BB75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5CB4EB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FE0A6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23CF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8407B9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E77AC48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2E760B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25421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E6E2AE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865CA0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D96DDC5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23B46CE6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循证医学信息</w:t>
            </w:r>
          </w:p>
        </w:tc>
      </w:tr>
      <w:tr w14:paraId="7DA292A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1A6763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42F26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ABCAFC7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43D3E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617BF3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E5FFC0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6DB5C9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194F5C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AC184E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7278AB86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088A0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AD10C00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7DE1ACD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5E6A9D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3164EB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D7BBF4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1A6F828D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地点</w:t>
            </w:r>
          </w:p>
        </w:tc>
      </w:tr>
      <w:tr w14:paraId="11A1DB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A2A251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5F1DF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A171C0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0F4F2F9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2A99EE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62C5C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C02150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0FB563A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7F3234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D4ECA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E5D90B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EA8FE59">
      <w:pPr>
        <w:rPr>
          <w:rFonts w:hint="eastAsia" w:eastAsia="宋体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auto"/>
          <w:sz w:val="21"/>
          <w:szCs w:val="21"/>
          <w:lang w:val="en-US" w:eastAsia="zh-CN" w:bidi="ar-SA"/>
        </w:rPr>
        <w:t>{% endif %}{% endfor %}</w:t>
      </w:r>
      <w:r>
        <w:rPr>
          <w:rFonts w:hint="default" w:ascii="Times New Roman" w:hAnsi="Times New Roman" w:eastAsia="微软雅黑" w:cs="Times New Roman"/>
          <w:b/>
          <w:color w:val="auto"/>
          <w:sz w:val="21"/>
          <w:szCs w:val="21"/>
          <w:lang w:val="en-US" w:eastAsia="zh-CN" w:bidi="ar-SA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/>
          <w:sz w:val="21"/>
          <w:szCs w:val="21"/>
          <w:highlight w:val="none"/>
          <w:lang w:val="en-US" w:eastAsia="zh-CN" w:bidi="ar-SA"/>
        </w:rPr>
        <w:t>{% endif %}</w:t>
      </w:r>
    </w:p>
    <w:p w14:paraId="638EC60F">
      <w:pPr>
        <w:spacing w:after="0"/>
        <w:outlineLvl w:val="2"/>
      </w:pPr>
      <w:r>
        <w:rPr>
          <w:rFonts w:ascii="微软雅黑" w:hAnsi="微软雅黑" w:eastAsia="微软雅黑"/>
          <w:b/>
          <w:color w:val="000000"/>
          <w:sz w:val="32"/>
        </w:rPr>
        <w:t>附录</w:t>
      </w:r>
    </w:p>
    <w:p w14:paraId="77512A5A">
      <w:pPr>
        <w:spacing w:after="0"/>
        <w:outlineLvl w:val="3"/>
      </w:pPr>
      <w:r>
        <w:rPr>
          <w:rFonts w:ascii="微软雅黑" w:hAnsi="微软雅黑" w:eastAsia="微软雅黑"/>
          <w:b/>
          <w:color w:val="000000"/>
          <w:sz w:val="24"/>
        </w:rPr>
        <w:t>样本主要质控</w:t>
      </w:r>
    </w:p>
    <w:tbl>
      <w:tblPr>
        <w:tblStyle w:val="32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6189973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592C7738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9E6871F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BDA79B1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477B5570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3415794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67BA1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FF746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49AA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1214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0%</w:t>
            </w:r>
          </w:p>
        </w:tc>
      </w:tr>
      <w:tr w14:paraId="3FE0932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6D962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B597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D8050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E9E09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100</w:t>
            </w:r>
          </w:p>
        </w:tc>
      </w:tr>
      <w:tr w14:paraId="537DA7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57922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1BDD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1351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36AC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级</w:t>
            </w:r>
          </w:p>
        </w:tc>
      </w:tr>
      <w:tr w14:paraId="12431B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68128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3F11C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D976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89189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500</w:t>
            </w:r>
          </w:p>
        </w:tc>
      </w:tr>
      <w:tr w14:paraId="08565BA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8A7E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2080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FEC4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8C3B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00</w:t>
            </w:r>
          </w:p>
        </w:tc>
      </w:tr>
      <w:tr w14:paraId="707DF93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4064C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0A4B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79DA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FBE3E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90%</w:t>
            </w:r>
          </w:p>
        </w:tc>
      </w:tr>
      <w:tr w14:paraId="161FBC2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BCE08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A3449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0434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567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95%</w:t>
            </w:r>
          </w:p>
        </w:tc>
      </w:tr>
      <w:tr w14:paraId="6BA34F5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A82E1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A171B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8716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06E89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80%</w:t>
            </w:r>
          </w:p>
        </w:tc>
      </w:tr>
      <w:tr w14:paraId="7B02BE0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454" w:hRule="atLeast"/>
          <w:jc w:val="center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3279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30CB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7BB586B">
      <w:pPr>
        <w:spacing w:after="0"/>
        <w:jc w:val="both"/>
        <w:rPr>
          <w:rFonts w:hint="eastAsia" w:ascii="微软雅黑" w:hAnsi="微软雅黑" w:eastAsia="微软雅黑"/>
          <w:color w:val="000000"/>
          <w:sz w:val="13"/>
          <w:lang w:eastAsia="zh-CN"/>
        </w:rPr>
      </w:pPr>
    </w:p>
    <w:p w14:paraId="06369D31">
      <w:pPr>
        <w:widowControl w:val="0"/>
        <w:tabs>
          <w:tab w:val="left" w:pos="1317"/>
        </w:tabs>
        <w:kinsoku w:val="0"/>
        <w:overflowPunct w:val="0"/>
        <w:spacing w:before="40" w:after="0" w:line="187" w:lineRule="auto"/>
        <w:ind w:right="1128"/>
        <w:rPr>
          <w:rFonts w:ascii="Times New Roman" w:hAnsi="Times New Roman" w:eastAsia="微软雅黑" w:cs="Times New Roman"/>
          <w:b/>
          <w:bCs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lang w:eastAsia="zh-CN"/>
        </w:rPr>
        <w:t>注：</w:t>
      </w:r>
    </w:p>
    <w:p w14:paraId="7839103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1.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肿瘤细胞含量：送检样本经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HE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染色评估的肿瘤细胞含量。如送检样本不满足病理评估所需条件，则不进行此项评估。</w:t>
      </w:r>
    </w:p>
    <w:p w14:paraId="40308073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2.  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总量：送检样本的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提取总量。</w:t>
      </w:r>
    </w:p>
    <w:p w14:paraId="1FBC8D87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3.  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降解程度：</w:t>
      </w:r>
    </w:p>
    <w:p w14:paraId="1F8E2E0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级：有主带，或降解均匀且降解区域主要集中在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以上；</w:t>
      </w:r>
    </w:p>
    <w:p w14:paraId="2C88FFBD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B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级：无主带，降解均匀且降解区域主要集中在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1500-5000bp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之间；</w:t>
      </w:r>
    </w:p>
    <w:p w14:paraId="1EC7C1C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C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级：无主带，降解均匀且降解区域主要集中在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500-1500bp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之间；</w:t>
      </w:r>
    </w:p>
    <w:p w14:paraId="70622AD6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● D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级（不合格）：无主带，降解均匀且降解区域主要集中在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500-1500bp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100ng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到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300ng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之间；或降解区域弥散在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150-1000bp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，或集中在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500bp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以下。</w:t>
      </w:r>
    </w:p>
    <w:p w14:paraId="01124663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4.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预文库总量：核酸片段经过接头连接和扩增纯化后中间产物的总量。</w:t>
      </w:r>
    </w:p>
    <w:p w14:paraId="3522F425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5.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平均测序深度：目标区域每个碱基被测到的平均次数。</w:t>
      </w:r>
    </w:p>
    <w:p w14:paraId="18FD016B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6.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覆盖均一性：测序深度达到平均测序深度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20%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的碱基占比。</w:t>
      </w:r>
    </w:p>
    <w:p w14:paraId="3D2C19E9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7.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基因组比对率：比对到参考基因组上的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reads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数目占比。</w:t>
      </w:r>
    </w:p>
    <w:p w14:paraId="5FEACC08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8.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碱基质量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Q30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占比：测序数据中碱基质量在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Q30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以上（即碱基识别错误率在千分之一以下）的占比。</w:t>
      </w:r>
    </w:p>
    <w:p w14:paraId="4DA242E5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9.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总体质量评估：根据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 DNA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平均测序深度进行评估，分为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、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警戒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、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不合格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三个等级。总体质量评估为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警戒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或者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不合格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时，均会影响检测的准确性和敏感性。</w:t>
      </w:r>
    </w:p>
    <w:p w14:paraId="0626033D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br w:type="page"/>
      </w:r>
    </w:p>
    <w:p w14:paraId="3B7A24E0">
      <w:pPr>
        <w:spacing w:after="0"/>
        <w:outlineLvl w:val="2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bookmarkStart w:id="1" w:name="_Toc23686"/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t>检测方法与局限性</w:t>
      </w:r>
      <w:bookmarkEnd w:id="1"/>
    </w:p>
    <w:p w14:paraId="57E5861B">
      <w:pPr>
        <w:widowControl w:val="0"/>
        <w:spacing w:after="0" w:line="240" w:lineRule="auto"/>
        <w:rPr>
          <w:rFonts w:ascii="Times New Roman" w:hAnsi="Times New Roman" w:eastAsia="微软雅黑" w:cs="Times New Roman"/>
          <w:highlight w:val="yellow"/>
          <w:lang w:eastAsia="zh-CN"/>
        </w:rPr>
      </w:pPr>
    </w:p>
    <w:p w14:paraId="0745E955">
      <w:pPr>
        <w:widowControl w:val="0"/>
        <w:spacing w:after="0"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48165D08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0F738594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637A29AC">
      <w:pPr>
        <w:widowControl w:val="0"/>
        <w:spacing w:after="0" w:line="240" w:lineRule="auto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D9483B4">
      <w:pPr>
        <w:widowControl w:val="0"/>
        <w:spacing w:after="0"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6E1F01EE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74B1B819">
      <w:pPr>
        <w:widowControl w:val="0"/>
        <w:spacing w:after="0" w:line="276" w:lineRule="auto"/>
        <w:ind w:firstLine="420" w:firstLineChars="200"/>
        <w:jc w:val="both"/>
        <w:rPr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sectPr>
      <w:headerReference r:id="rId7" w:type="default"/>
      <w:pgSz w:w="11900" w:h="16840"/>
      <w:pgMar w:top="1440" w:right="1134" w:bottom="144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93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29DAF">
    <w:pPr>
      <w:jc w:val="center"/>
    </w:pPr>
    <w:r>
      <w:rPr>
        <w:rFonts w:ascii="微软雅黑" w:hAnsi="微软雅黑" w:eastAsia="微软雅黑"/>
        <w:b/>
        <w:sz w:val="20"/>
      </w:rPr>
      <w:fldChar w:fldCharType="begin"/>
    </w:r>
    <w:r>
      <w:rPr>
        <w:rFonts w:ascii="微软雅黑" w:hAnsi="微软雅黑" w:eastAsia="微软雅黑"/>
        <w:b/>
        <w:sz w:val="20"/>
      </w:rPr>
      <w:instrText xml:space="preserve">PAGE</w:instrText>
    </w:r>
    <w:r>
      <w:rPr>
        <w:rFonts w:ascii="微软雅黑" w:hAnsi="微软雅黑" w:eastAsia="微软雅黑"/>
        <w:b/>
        <w:sz w:val="20"/>
      </w:rPr>
      <w:fldChar w:fldCharType="separate"/>
    </w:r>
    <w:r>
      <w:rPr>
        <w:rFonts w:hint="eastAsia" w:ascii="微软雅黑" w:hAnsi="微软雅黑" w:eastAsia="微软雅黑"/>
        <w:b/>
        <w:sz w:val="20"/>
      </w:rPr>
      <w:t>1</w:t>
    </w:r>
    <w:r>
      <w:rPr>
        <w:rFonts w:ascii="微软雅黑" w:hAnsi="微软雅黑" w:eastAsia="微软雅黑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CC01F">
    <w:pPr>
      <w:jc w:val="center"/>
    </w:pPr>
    <w:r>
      <w:drawing>
        <wp:inline distT="0" distB="0" distL="114300" distR="114300">
          <wp:extent cx="3700780" cy="719455"/>
          <wp:effectExtent l="0" t="0" r="13970" b="444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01408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EE33416">
    <w:pPr>
      <w:jc w:val="center"/>
    </w:pPr>
    <w:r>
      <w:rPr>
        <w:rFonts w:ascii="宋体" w:hAnsi="宋体" w:eastAsia="宋体"/>
        <w:b/>
        <w:sz w:val="28"/>
      </w:rPr>
      <w:t>基因检测报告单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2B1EA3">
    <w:pPr>
      <w:jc w:val="center"/>
    </w:pPr>
    <w:r>
      <w:drawing>
        <wp:inline distT="0" distB="0" distL="114300" distR="114300">
          <wp:extent cx="3700780" cy="719455"/>
          <wp:effectExtent l="0" t="0" r="7620" b="17145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01408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EEC"/>
    <w:rsid w:val="00034616"/>
    <w:rsid w:val="0006063C"/>
    <w:rsid w:val="00064CC5"/>
    <w:rsid w:val="000B63EA"/>
    <w:rsid w:val="00111B52"/>
    <w:rsid w:val="0015074B"/>
    <w:rsid w:val="002366AB"/>
    <w:rsid w:val="0029639D"/>
    <w:rsid w:val="00326F90"/>
    <w:rsid w:val="00331C7A"/>
    <w:rsid w:val="006A331F"/>
    <w:rsid w:val="00906583"/>
    <w:rsid w:val="00AA1D8D"/>
    <w:rsid w:val="00AD6C03"/>
    <w:rsid w:val="00B47730"/>
    <w:rsid w:val="00CB0664"/>
    <w:rsid w:val="00D82770"/>
    <w:rsid w:val="00FC693F"/>
    <w:rsid w:val="01C26E13"/>
    <w:rsid w:val="057D69E2"/>
    <w:rsid w:val="07AF3996"/>
    <w:rsid w:val="098F309D"/>
    <w:rsid w:val="0D35493D"/>
    <w:rsid w:val="0DB26A52"/>
    <w:rsid w:val="13313C85"/>
    <w:rsid w:val="15C90318"/>
    <w:rsid w:val="16D74CB7"/>
    <w:rsid w:val="227B30DE"/>
    <w:rsid w:val="2705317A"/>
    <w:rsid w:val="28D265E4"/>
    <w:rsid w:val="29344BC9"/>
    <w:rsid w:val="2AA36F32"/>
    <w:rsid w:val="2B8054C5"/>
    <w:rsid w:val="2C974875"/>
    <w:rsid w:val="2CC82C80"/>
    <w:rsid w:val="2F4D6084"/>
    <w:rsid w:val="331365F3"/>
    <w:rsid w:val="333F2E0A"/>
    <w:rsid w:val="34207080"/>
    <w:rsid w:val="34C463DA"/>
    <w:rsid w:val="3E6B5B61"/>
    <w:rsid w:val="3E7F6402"/>
    <w:rsid w:val="3FA62446"/>
    <w:rsid w:val="416A109C"/>
    <w:rsid w:val="43B379E8"/>
    <w:rsid w:val="46496210"/>
    <w:rsid w:val="4B0B4954"/>
    <w:rsid w:val="4B6A3DF6"/>
    <w:rsid w:val="4C7351BF"/>
    <w:rsid w:val="4E0423C2"/>
    <w:rsid w:val="4E8C1402"/>
    <w:rsid w:val="5A126225"/>
    <w:rsid w:val="5A350349"/>
    <w:rsid w:val="5ADF54B5"/>
    <w:rsid w:val="5EF94460"/>
    <w:rsid w:val="5F031561"/>
    <w:rsid w:val="66D37220"/>
    <w:rsid w:val="67080B97"/>
    <w:rsid w:val="68B731E7"/>
    <w:rsid w:val="6AD279A3"/>
    <w:rsid w:val="6B80239C"/>
    <w:rsid w:val="6D1A412B"/>
    <w:rsid w:val="6E324C1E"/>
    <w:rsid w:val="6EB8541A"/>
    <w:rsid w:val="6FA84DB7"/>
    <w:rsid w:val="70730F3D"/>
    <w:rsid w:val="70BA0DD5"/>
    <w:rsid w:val="723B701D"/>
    <w:rsid w:val="751F38D5"/>
    <w:rsid w:val="FFFB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不明显强调1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明显强调1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不明显参考1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明显参考1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书籍标题1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标题1"/>
    <w:basedOn w:val="3"/>
    <w:next w:val="1"/>
    <w:semiHidden/>
    <w:unhideWhenUsed/>
    <w:qFormat/>
    <w:uiPriority w:val="39"/>
    <w:pPr>
      <w:outlineLvl w:val="9"/>
    </w:pPr>
  </w:style>
  <w:style w:type="table" w:customStyle="1" w:styleId="164">
    <w:name w:val="Table Normal1"/>
    <w:autoRedefine/>
    <w:qFormat/>
    <w:uiPriority w:val="2"/>
    <w:rPr>
      <w:rFonts w:ascii="Times New Roman" w:hAnsi="Times New Roman" w:eastAsia="宋体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5">
    <w:name w:val="网格型1"/>
    <w:basedOn w:val="32"/>
    <w:autoRedefine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6">
    <w:name w:val="Table Paragraph"/>
    <w:basedOn w:val="1"/>
    <w:autoRedefine/>
    <w:qFormat/>
    <w:uiPriority w:val="1"/>
  </w:style>
  <w:style w:type="paragraph" w:customStyle="1" w:styleId="167">
    <w:name w:val="样式1"/>
    <w:basedOn w:val="19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2075</Words>
  <Characters>5434</Characters>
  <Lines>40</Lines>
  <Paragraphs>11</Paragraphs>
  <TotalTime>0</TotalTime>
  <ScaleCrop>false</ScaleCrop>
  <LinksUpToDate>false</LinksUpToDate>
  <CharactersWithSpaces>5891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fengyy</dc:creator>
  <cp:lastModifiedBy>yolo</cp:lastModifiedBy>
  <dcterms:modified xsi:type="dcterms:W3CDTF">2025-07-23T02:01:55Z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eyJoZGlkIjoiNzhjODRmNWJhZTVkNTI1OGI2YWZlNjVkNDIwMWYwMDkiLCJ1c2VySWQiOiIzMTAxODgzOTQifQ==</vt:lpwstr>
  </property>
  <property fmtid="{D5CDD505-2E9C-101B-9397-08002B2CF9AE}" pid="3" name="KSOProductBuildVer">
    <vt:lpwstr>2052-12.1.0.21915</vt:lpwstr>
  </property>
  <property fmtid="{D5CDD505-2E9C-101B-9397-08002B2CF9AE}" pid="4" name="ICV">
    <vt:lpwstr>77C7F60402E9466795C27868484F6D22_43</vt:lpwstr>
  </property>
</Properties>
</file>