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0B278C9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2DE792D9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00EFF910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3241916F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5F901190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0CFCD6AC">
      <w:pPr>
        <w:rPr>
          <w:rFonts w:hint="default" w:ascii="Times New Roman" w:hAnsi="Times New Roman" w:eastAsia="微软雅黑" w:cs="Times New Roman"/>
        </w:rPr>
      </w:pPr>
    </w:p>
    <w:p w14:paraId="5C6FEADE">
      <w:pPr>
        <w:rPr>
          <w:rFonts w:hint="default" w:ascii="Times New Roman" w:hAnsi="Times New Roman" w:eastAsia="微软雅黑" w:cs="Times New Roman"/>
        </w:rPr>
      </w:pPr>
    </w:p>
    <w:p w14:paraId="6FE2D24A">
      <w:pPr>
        <w:rPr>
          <w:rFonts w:hint="default" w:ascii="Times New Roman" w:hAnsi="Times New Roman" w:eastAsia="微软雅黑" w:cs="Times New Roman"/>
        </w:rPr>
      </w:pPr>
    </w:p>
    <w:p w14:paraId="1A97189A">
      <w:pPr>
        <w:rPr>
          <w:rFonts w:hint="default" w:ascii="Times New Roman" w:hAnsi="Times New Roman" w:eastAsia="微软雅黑" w:cs="Times New Roman"/>
        </w:rPr>
      </w:pPr>
    </w:p>
    <w:p w14:paraId="54E2057F">
      <w:pPr>
        <w:rPr>
          <w:rFonts w:hint="default" w:ascii="Times New Roman" w:hAnsi="Times New Roman" w:eastAsia="微软雅黑" w:cs="Times New Roman"/>
        </w:rPr>
      </w:pPr>
    </w:p>
    <w:p w14:paraId="358742F4">
      <w:pPr>
        <w:rPr>
          <w:rFonts w:hint="default" w:ascii="Times New Roman" w:hAnsi="Times New Roman" w:eastAsia="微软雅黑" w:cs="Times New Roman"/>
        </w:rPr>
      </w:pPr>
    </w:p>
    <w:p w14:paraId="0336EBAD">
      <w:pPr>
        <w:rPr>
          <w:rFonts w:hint="default" w:ascii="Times New Roman" w:hAnsi="Times New Roman" w:eastAsia="微软雅黑" w:cs="Times New Roman"/>
        </w:rPr>
      </w:pPr>
    </w:p>
    <w:p w14:paraId="2EB2A82F">
      <w:pPr>
        <w:rPr>
          <w:rFonts w:hint="default" w:ascii="Times New Roman" w:hAnsi="Times New Roman" w:eastAsia="微软雅黑" w:cs="Times New Roman"/>
        </w:rPr>
      </w:pPr>
    </w:p>
    <w:p w14:paraId="55479995">
      <w:pPr>
        <w:rPr>
          <w:rFonts w:hint="default" w:ascii="Times New Roman" w:hAnsi="Times New Roman" w:eastAsia="微软雅黑" w:cs="Times New Roman"/>
          <w:lang w:eastAsia="zh-CN"/>
        </w:rPr>
      </w:pPr>
    </w:p>
    <w:p w14:paraId="77CC05F2">
      <w:pPr>
        <w:rPr>
          <w:rFonts w:hint="default" w:ascii="Times New Roman" w:hAnsi="Times New Roman" w:eastAsia="微软雅黑" w:cs="Times New Roman"/>
        </w:rPr>
      </w:pPr>
    </w:p>
    <w:p w14:paraId="7077AADF">
      <w:pPr>
        <w:rPr>
          <w:rFonts w:hint="default" w:ascii="Times New Roman" w:hAnsi="Times New Roman" w:eastAsia="微软雅黑" w:cs="Times New Roman"/>
        </w:rPr>
      </w:pPr>
    </w:p>
    <w:p w14:paraId="06E09CB8">
      <w:pPr>
        <w:rPr>
          <w:rFonts w:hint="default" w:ascii="Times New Roman" w:hAnsi="Times New Roman" w:eastAsia="微软雅黑" w:cs="Times New Roman"/>
        </w:rPr>
      </w:pPr>
    </w:p>
    <w:p w14:paraId="59852521">
      <w:pPr>
        <w:rPr>
          <w:rFonts w:hint="default" w:ascii="Times New Roman" w:hAnsi="Times New Roman" w:eastAsia="微软雅黑" w:cs="Times New Roman"/>
        </w:rPr>
      </w:pPr>
    </w:p>
    <w:p w14:paraId="696E8C17">
      <w:pPr>
        <w:rPr>
          <w:rFonts w:hint="default" w:ascii="Times New Roman" w:hAnsi="Times New Roman" w:eastAsia="微软雅黑" w:cs="Times New Roman"/>
        </w:rPr>
      </w:pPr>
    </w:p>
    <w:p w14:paraId="120F0095">
      <w:pPr>
        <w:jc w:val="center"/>
        <w:rPr>
          <w:rFonts w:hint="default" w:ascii="Times New Roman" w:hAnsi="Times New Roman" w:eastAsia="黑体" w:cs="Times New Roman"/>
          <w:b w:val="0"/>
          <w:bCs w:val="0"/>
          <w:color w:val="548235" w:themeColor="accent6" w:themeShade="BF"/>
          <w:sz w:val="72"/>
          <w:szCs w:val="72"/>
          <w:highlight w:val="none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color w:val="548235" w:themeColor="accent6" w:themeShade="BF"/>
          <w:sz w:val="72"/>
          <w:szCs w:val="72"/>
          <w:highlight w:val="none"/>
          <w:lang w:val="en-US" w:eastAsia="zh-CN"/>
        </w:rPr>
        <w:t>HER</w:t>
      </w:r>
      <w:r>
        <w:rPr>
          <w:rFonts w:hint="eastAsia" w:ascii="Times New Roman" w:hAnsi="Times New Roman" w:eastAsia="黑体" w:cs="Times New Roman"/>
          <w:b w:val="0"/>
          <w:bCs w:val="0"/>
          <w:color w:val="548235" w:themeColor="accent6" w:themeShade="BF"/>
          <w:sz w:val="72"/>
          <w:szCs w:val="72"/>
          <w:highlight w:val="none"/>
          <w:lang w:val="en-US" w:eastAsia="zh-CN"/>
        </w:rPr>
        <w:t>2</w:t>
      </w:r>
      <w:r>
        <w:rPr>
          <w:rFonts w:hint="default" w:ascii="Times New Roman" w:hAnsi="Times New Roman" w:eastAsia="黑体" w:cs="Times New Roman"/>
          <w:b w:val="0"/>
          <w:bCs w:val="0"/>
          <w:color w:val="548235" w:themeColor="accent6" w:themeShade="BF"/>
          <w:sz w:val="72"/>
          <w:szCs w:val="72"/>
          <w:highlight w:val="none"/>
          <w:lang w:val="en-US" w:eastAsia="zh-CN"/>
        </w:rPr>
        <w:t>基因扩增检测报告</w:t>
      </w:r>
    </w:p>
    <w:p w14:paraId="0929AAF8">
      <w:pPr>
        <w:rPr>
          <w:rFonts w:hint="default" w:ascii="Times New Roman" w:hAnsi="Times New Roman" w:eastAsia="微软雅黑" w:cs="Times New Roman"/>
        </w:rPr>
      </w:pPr>
    </w:p>
    <w:tbl>
      <w:tblPr>
        <w:tblStyle w:val="15"/>
        <w:tblpPr w:leftFromText="181" w:rightFromText="181" w:vertAnchor="page" w:horzAnchor="page" w:tblpXSpec="center" w:tblpY="9072"/>
        <w:tblOverlap w:val="never"/>
        <w:tblW w:w="6595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4"/>
        <w:gridCol w:w="4471"/>
      </w:tblGrid>
      <w:tr w14:paraId="42F1C7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7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1BEEDD3">
            <w:pPr>
              <w:pStyle w:val="6"/>
              <w:jc w:val="right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委 托 人：</w:t>
            </w:r>
          </w:p>
        </w:tc>
        <w:tc>
          <w:tcPr>
            <w:tcW w:w="4471" w:type="dxa"/>
            <w:tcBorders>
              <w:top w:val="nil"/>
              <w:left w:val="nil"/>
              <w:bottom w:val="single" w:color="auto" w:sz="4" w:space="0"/>
              <w:right w:val="nil"/>
            </w:tcBorders>
            <w:vAlign w:val="bottom"/>
          </w:tcPr>
          <w:p w14:paraId="19C8B3DB">
            <w:pPr>
              <w:pStyle w:val="6"/>
              <w:jc w:val="center"/>
              <w:rPr>
                <w:rFonts w:ascii="黑体"/>
                <w:sz w:val="30"/>
                <w:szCs w:val="30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szCs w:val="30"/>
                <w:lang w:eastAsia="zh-CN"/>
              </w:rPr>
              <w:t>{{ client }}</w:t>
            </w:r>
          </w:p>
        </w:tc>
      </w:tr>
      <w:tr w14:paraId="6FDCF5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7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A335CC3">
            <w:pPr>
              <w:pStyle w:val="6"/>
              <w:jc w:val="right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委托日期：</w:t>
            </w:r>
          </w:p>
        </w:tc>
        <w:tc>
          <w:tcPr>
            <w:tcW w:w="4471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bottom"/>
          </w:tcPr>
          <w:p w14:paraId="4FAF152C">
            <w:pPr>
              <w:pStyle w:val="6"/>
              <w:jc w:val="center"/>
              <w:rPr>
                <w:rFonts w:hint="default" w:ascii="Times New Roman" w:hAnsi="Times New Roman" w:cs="Times New Roman"/>
                <w:sz w:val="30"/>
                <w:szCs w:val="30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30"/>
                <w:szCs w:val="30"/>
                <w:lang w:eastAsia="zh-CN"/>
              </w:rPr>
              <w:t>{{ commission_date }}</w:t>
            </w:r>
          </w:p>
        </w:tc>
      </w:tr>
      <w:tr w14:paraId="7744E7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7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5226268">
            <w:pPr>
              <w:pStyle w:val="6"/>
              <w:jc w:val="right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样本编号：</w:t>
            </w:r>
          </w:p>
        </w:tc>
        <w:tc>
          <w:tcPr>
            <w:tcW w:w="4471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bottom"/>
          </w:tcPr>
          <w:p w14:paraId="656335A9">
            <w:pPr>
              <w:pStyle w:val="6"/>
              <w:jc w:val="center"/>
              <w:rPr>
                <w:rFonts w:hint="default" w:ascii="Times New Roman" w:hAnsi="Times New Roman" w:cs="Times New Roman"/>
                <w:sz w:val="30"/>
                <w:szCs w:val="30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30"/>
                <w:szCs w:val="30"/>
                <w:lang w:eastAsia="zh-CN"/>
              </w:rPr>
              <w:t>{{ subbarcode }}</w:t>
            </w:r>
          </w:p>
        </w:tc>
      </w:tr>
      <w:tr w14:paraId="6A745F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8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FBA044A">
            <w:pPr>
              <w:pStyle w:val="6"/>
              <w:jc w:val="right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报告日期：</w:t>
            </w:r>
          </w:p>
        </w:tc>
        <w:tc>
          <w:tcPr>
            <w:tcW w:w="4471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bottom"/>
          </w:tcPr>
          <w:p w14:paraId="782C4814">
            <w:pPr>
              <w:pStyle w:val="6"/>
              <w:jc w:val="center"/>
              <w:rPr>
                <w:rFonts w:hint="default" w:ascii="Times New Roman" w:hAnsi="Times New Roman" w:cs="Times New Roman"/>
                <w:sz w:val="30"/>
                <w:szCs w:val="30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30"/>
                <w:szCs w:val="30"/>
                <w:lang w:eastAsia="zh-CN"/>
              </w:rPr>
              <w:t>{{ reportdate }}</w:t>
            </w:r>
          </w:p>
        </w:tc>
      </w:tr>
    </w:tbl>
    <w:p w14:paraId="3AA2D324">
      <w:pPr>
        <w:jc w:val="center"/>
        <w:rPr>
          <w:rFonts w:hint="default" w:ascii="Times New Roman" w:hAnsi="Times New Roman" w:eastAsia="微软雅黑" w:cs="Times New Roman"/>
        </w:rPr>
      </w:pPr>
    </w:p>
    <w:p w14:paraId="3FEA4F81">
      <w:pPr>
        <w:rPr>
          <w:rFonts w:hint="default" w:ascii="Times New Roman" w:hAnsi="Times New Roman" w:eastAsia="微软雅黑" w:cs="Times New Roman"/>
          <w:sz w:val="20"/>
          <w:lang w:eastAsia="zh-CN"/>
        </w:rPr>
        <w:sectPr>
          <w:headerReference r:id="rId3" w:type="default"/>
          <w:footerReference r:id="rId4" w:type="default"/>
          <w:pgSz w:w="11910" w:h="16840"/>
          <w:pgMar w:top="1020" w:right="1020" w:bottom="1020" w:left="1020" w:header="397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720" w:num="1"/>
        </w:sectPr>
      </w:pPr>
    </w:p>
    <w:p w14:paraId="34F84CC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rFonts w:hint="default" w:ascii="Times New Roman" w:hAnsi="Times New Roman" w:eastAsia="微软雅黑" w:cs="Times New Roman"/>
          <w:b/>
          <w:color w:val="5B9BD5" w:themeColor="accent1"/>
          <w:sz w:val="52"/>
          <w:szCs w:val="52"/>
          <w:lang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accent1"/>
            </w14:solidFill>
          </w14:textFill>
          <w14:props3d w14:extrusionH="0" w14:contourW="0" w14:prstMaterial="clear"/>
        </w:rPr>
      </w:pPr>
      <w:r>
        <w:rPr>
          <w:rFonts w:hint="default" w:ascii="Times New Roman" w:hAnsi="Times New Roman" w:eastAsia="微软雅黑" w:cs="Times New Roman"/>
          <w:b/>
          <w:color w:val="62B541"/>
          <w:sz w:val="56"/>
          <w:szCs w:val="56"/>
          <w:lang w:val="en-US"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props3d w14:extrusionH="0" w14:contourW="0" w14:prstMaterial="clear"/>
        </w:rPr>
        <w:t>目录</w:t>
      </w:r>
    </w:p>
    <w:p w14:paraId="5372CC1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rFonts w:hint="default" w:ascii="Times New Roman" w:hAnsi="Times New Roman" w:eastAsia="微软雅黑" w:cs="Times New Roman"/>
          <w:color w:val="auto"/>
          <w:sz w:val="36"/>
          <w:szCs w:val="36"/>
          <w:lang w:val="en-US" w:eastAsia="zh-CN"/>
        </w:rPr>
      </w:pPr>
      <w:r>
        <w:rPr>
          <w:rFonts w:hint="default" w:ascii="Times New Roman" w:hAnsi="Times New Roman" w:eastAsia="微软雅黑" w:cs="Times New Roman"/>
          <w:color w:val="auto"/>
          <w:sz w:val="36"/>
          <w:szCs w:val="36"/>
          <w:lang w:val="en-US" w:eastAsia="zh-CN"/>
        </w:rPr>
        <w:t>Content</w:t>
      </w:r>
    </w:p>
    <w:p w14:paraId="64519C5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1080" w:firstLineChars="300"/>
        <w:jc w:val="center"/>
        <w:textAlignment w:val="auto"/>
        <w:rPr>
          <w:rFonts w:hint="default" w:ascii="Times New Roman" w:hAnsi="Times New Roman" w:eastAsia="微软雅黑" w:cs="Times New Roman"/>
          <w:color w:val="auto"/>
          <w:sz w:val="36"/>
          <w:szCs w:val="36"/>
          <w:lang w:val="en-US" w:eastAsia="zh-CN"/>
        </w:rPr>
      </w:pPr>
    </w:p>
    <w:sdt>
      <w:sdtPr>
        <w:rPr>
          <w:rFonts w:hint="default" w:ascii="Times New Roman" w:hAnsi="Times New Roman" w:eastAsia="微软雅黑" w:cs="Times New Roman"/>
          <w:sz w:val="21"/>
        </w:rPr>
        <w:id w:val="147459207"/>
        <w:docPartObj>
          <w:docPartGallery w:val="Table of Contents"/>
          <w:docPartUnique/>
        </w:docPartObj>
      </w:sdtPr>
      <w:sdtEndPr>
        <w:rPr>
          <w:rStyle w:val="18"/>
          <w:rFonts w:hint="default" w:ascii="Times New Roman" w:hAnsi="Times New Roman" w:eastAsia="微软雅黑" w:cs="微软雅黑"/>
          <w:b/>
          <w:bCs/>
          <w:color w:val="62B541"/>
          <w:sz w:val="32"/>
          <w:szCs w:val="32"/>
          <w:lang w:val="en-US" w:eastAsia="zh-CN" w:bidi="ar-SA"/>
        </w:rPr>
      </w:sdtEndPr>
      <w:sdtContent>
        <w:p w14:paraId="2C9D0289">
          <w:pPr>
            <w:pStyle w:val="11"/>
            <w:keepNext w:val="0"/>
            <w:keepLines w:val="0"/>
            <w:pageBreakBefore w:val="0"/>
            <w:widowControl w:val="0"/>
            <w:tabs>
              <w:tab w:val="right" w:leader="dot" w:pos="9870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auto"/>
            <w:ind w:left="0" w:leftChars="0"/>
            <w:jc w:val="both"/>
            <w:textAlignment w:val="auto"/>
            <w:rPr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u w:val="single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TOC \o "1-2" \h \u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</w:p>
        <w:p w14:paraId="77CAEC3D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HYPERLINK \l _Toc27202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样本信息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PAGEREF _Toc27202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1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  <w:p w14:paraId="29853499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HYPERLINK \l _Toc27475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检测</w:t>
          </w:r>
          <w:r>
            <w:rPr>
              <w:rStyle w:val="18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项目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PAGEREF _Toc27475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1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  <w:p w14:paraId="0753531D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HYPERLINK \l _Toc3942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检测图谱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PAGEREF _Toc3942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1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  <w:p w14:paraId="5DF32E92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HYPERLINK \l _Toc21769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检测结果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PAGEREF _Toc21769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3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  <w:p w14:paraId="3BE426D7">
          <w:pPr>
            <w:pStyle w:val="11"/>
            <w:tabs>
              <w:tab w:val="right" w:leader="dot" w:pos="9870"/>
            </w:tabs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HYPERLINK \l _Toc14200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参考资料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PAGEREF _Toc14200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5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  <w:p w14:paraId="53267737">
          <w:pPr>
            <w:keepNext w:val="0"/>
            <w:keepLines w:val="0"/>
            <w:pageBreakBefore w:val="0"/>
            <w:widowControl w:val="0"/>
            <w:tabs>
              <w:tab w:val="right" w:leader="dot" w:pos="9870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auto"/>
            <w:ind w:left="0" w:leftChars="0"/>
            <w:jc w:val="both"/>
            <w:textAlignment w:val="auto"/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</w:sdtContent>
    </w:sdt>
    <w:p w14:paraId="5A5A60A0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30143_WPSOffice_Level1"/>
      <w:bookmarkStart w:id="1" w:name="_Toc32054"/>
      <w:bookmarkStart w:id="2" w:name="_Toc27500"/>
      <w:bookmarkStart w:id="3" w:name="_Toc24397"/>
      <w:bookmarkStart w:id="4" w:name="_Toc21669"/>
      <w:bookmarkStart w:id="5" w:name="_Toc13806"/>
      <w:bookmarkStart w:id="6" w:name="_Toc24178_WPSOffice_Level1"/>
      <w:bookmarkStart w:id="7" w:name="_Toc21009_WPSOffice_Level1"/>
    </w:p>
    <w:p w14:paraId="5DA4B224">
      <w:pP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sectPr>
          <w:footerReference r:id="rId5" w:type="default"/>
          <w:pgSz w:w="11910" w:h="16840"/>
          <w:pgMar w:top="1037" w:right="1020" w:bottom="981" w:left="1020" w:header="397" w:footer="56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equalWidth="0" w:num="1">
            <w:col w:w="9870"/>
          </w:cols>
          <w:docGrid w:linePitch="299" w:charSpace="0"/>
        </w:sectPr>
      </w:pPr>
    </w:p>
    <w:tbl>
      <w:tblPr>
        <w:tblStyle w:val="14"/>
        <w:tblpPr w:leftFromText="180" w:rightFromText="180" w:vertAnchor="text" w:horzAnchor="page" w:tblpX="973" w:tblpY="625"/>
        <w:tblW w:w="9870" w:type="dxa"/>
        <w:tblInd w:w="0" w:type="dxa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64F9C693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exact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666DBA8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2CE1AE8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59EA5E7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378ABC0E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exact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020AAD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A1C882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503737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108B98AD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exact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DA54FE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80FDA1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D63452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23ED7E64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exact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AF426A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3C211E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31EDDA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149FD5C8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exact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E5E91F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549B57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D1B222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32A2B936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8" w:name="_Toc27202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8"/>
    </w:p>
    <w:p w14:paraId="362D8E4C">
      <w:pPr>
        <w:rPr>
          <w:rFonts w:hint="default"/>
        </w:rPr>
      </w:pPr>
    </w:p>
    <w:p w14:paraId="78BF1C42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9" w:name="_Toc27475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</w:t>
      </w:r>
      <w:r>
        <w:rPr>
          <w:rFonts w:hint="eastAsia" w:ascii="Times New Roman" w:hAnsi="Times New Roman" w:eastAsia="微软雅黑" w:cs="Times New Roman"/>
          <w:color w:val="62B541"/>
          <w:sz w:val="32"/>
          <w:lang w:val="en-US"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项目</w:t>
      </w:r>
      <w:bookmarkEnd w:id="9"/>
    </w:p>
    <w:tbl>
      <w:tblPr>
        <w:tblStyle w:val="14"/>
        <w:tblpPr w:leftFromText="180" w:rightFromText="180" w:vertAnchor="text" w:horzAnchor="margin" w:tblpXSpec="center" w:tblpY="11"/>
        <w:tblW w:w="10251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12"/>
        <w:gridCol w:w="6639"/>
      </w:tblGrid>
      <w:tr w14:paraId="7D55B117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2" w:hRule="atLeast"/>
          <w:jc w:val="center"/>
        </w:trPr>
        <w:tc>
          <w:tcPr>
            <w:tcW w:w="3612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bottom"/>
          </w:tcPr>
          <w:p w14:paraId="32C1C486">
            <w:pPr>
              <w:pStyle w:val="27"/>
              <w:spacing w:before="156" w:beforeLines="50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检测项目：</w:t>
            </w:r>
          </w:p>
        </w:tc>
        <w:tc>
          <w:tcPr>
            <w:tcW w:w="6639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bottom"/>
          </w:tcPr>
          <w:p w14:paraId="12F033CC">
            <w:pPr>
              <w:pStyle w:val="27"/>
              <w:spacing w:before="156" w:beforeLines="50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HER-2基因扩增检测</w:t>
            </w:r>
          </w:p>
        </w:tc>
      </w:tr>
      <w:tr w14:paraId="7086B856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612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603A1577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检测方法：</w:t>
            </w: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66447B97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荧光原位杂交（FISH）</w:t>
            </w:r>
          </w:p>
        </w:tc>
      </w:tr>
      <w:tr w14:paraId="2EE020BF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612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0F82477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质量控制：</w:t>
            </w: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27FF7905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对照信号：</w:t>
            </w:r>
            <w:r>
              <w:rPr>
                <w:rStyle w:val="42"/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合格</w:t>
            </w:r>
          </w:p>
        </w:tc>
      </w:tr>
      <w:tr w14:paraId="63C76374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6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327D564A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3B8DBAF3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  <w:lang w:val="en-US" w:eastAsia="zh-CN"/>
              </w:rPr>
              <w:t>检测信号：</w:t>
            </w:r>
            <w:r>
              <w:rPr>
                <w:rStyle w:val="42"/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合格</w:t>
            </w:r>
          </w:p>
        </w:tc>
      </w:tr>
    </w:tbl>
    <w:p w14:paraId="7B50284D">
      <w:pPr>
        <w:tabs>
          <w:tab w:val="left" w:pos="589"/>
        </w:tabs>
        <w:ind w:left="76" w:hanging="76" w:hangingChars="76"/>
        <w:rPr>
          <w:rFonts w:hint="default" w:ascii="Times New Roman" w:hAnsi="Times New Roman" w:eastAsia="微软雅黑" w:cs="Times New Roman"/>
          <w:b/>
          <w:bCs/>
          <w:color w:val="000000"/>
          <w:sz w:val="10"/>
          <w:szCs w:val="10"/>
        </w:rPr>
      </w:pPr>
    </w:p>
    <w:p w14:paraId="5CE0A1BB">
      <w:pPr>
        <w:jc w:val="left"/>
        <w:rPr>
          <w:rFonts w:hint="default" w:ascii="Times New Roman" w:hAnsi="Times New Roman" w:eastAsia="微软雅黑" w:cs="Times New Roman"/>
          <w:color w:val="000000"/>
          <w:kern w:val="0"/>
          <w:sz w:val="16"/>
          <w:szCs w:val="16"/>
        </w:rPr>
      </w:pPr>
    </w:p>
    <w:p w14:paraId="2B7D6FAB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0" w:name="_Toc3942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检测图谱</w:t>
      </w:r>
      <w:bookmarkEnd w:id="10"/>
    </w:p>
    <w:tbl>
      <w:tblPr>
        <w:tblStyle w:val="44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29"/>
        <w:gridCol w:w="4940"/>
      </w:tblGrid>
      <w:tr w14:paraId="56C199B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8" w:hRule="atLeast"/>
          <w:jc w:val="center"/>
        </w:trPr>
        <w:tc>
          <w:tcPr>
            <w:tcW w:w="53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865A832">
            <w:pPr>
              <w:jc w:val="center"/>
              <w:rPr>
                <w:rFonts w:hint="default" w:ascii="Times New Roman" w:hAnsi="Times New Roman" w:eastAsia="微软雅黑" w:cs="Times New Roman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FISH</w:t>
            </w:r>
          </w:p>
        </w:tc>
        <w:tc>
          <w:tcPr>
            <w:tcW w:w="494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9212D1D">
            <w:pPr>
              <w:jc w:val="center"/>
              <w:rPr>
                <w:rFonts w:hint="default" w:ascii="Times New Roman" w:hAnsi="Times New Roman" w:eastAsia="微软雅黑" w:cs="Times New Roman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IHC</w:t>
            </w:r>
          </w:p>
        </w:tc>
      </w:tr>
      <w:tr w14:paraId="48EB212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64" w:hRule="atLeast"/>
          <w:jc w:val="center"/>
        </w:trPr>
        <w:tc>
          <w:tcPr>
            <w:tcW w:w="53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36EA15B">
            <w:pPr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her2.her2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_PIC | pdi(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232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,19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4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) }}{% endif %}</w:t>
            </w:r>
          </w:p>
        </w:tc>
        <w:tc>
          <w:tcPr>
            <w:tcW w:w="494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FB94D31">
            <w:pPr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ihc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her2.ihc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_PIC | pdi(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232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,19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4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) }}{% endif %}</w:t>
            </w:r>
          </w:p>
        </w:tc>
      </w:tr>
    </w:tbl>
    <w:p w14:paraId="3C37C2F9">
      <w:pP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br w:type="page"/>
      </w:r>
    </w:p>
    <w:p w14:paraId="21D716C8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1" w:name="_Toc21769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11"/>
    </w:p>
    <w:tbl>
      <w:tblPr>
        <w:tblStyle w:val="14"/>
        <w:tblpPr w:leftFromText="180" w:rightFromText="180" w:vertAnchor="text" w:horzAnchor="margin" w:tblpXSpec="center" w:tblpY="11"/>
        <w:tblW w:w="10516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9"/>
        <w:gridCol w:w="1940"/>
        <w:gridCol w:w="2303"/>
        <w:gridCol w:w="2151"/>
        <w:gridCol w:w="2593"/>
      </w:tblGrid>
      <w:tr w14:paraId="300E885A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12" w:hRule="atLeast"/>
          <w:jc w:val="center"/>
        </w:trPr>
        <w:tc>
          <w:tcPr>
            <w:tcW w:w="1529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08BF336B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检测项目</w:t>
            </w:r>
          </w:p>
        </w:tc>
        <w:tc>
          <w:tcPr>
            <w:tcW w:w="1940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7B32D448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检测方法</w:t>
            </w:r>
          </w:p>
        </w:tc>
        <w:tc>
          <w:tcPr>
            <w:tcW w:w="230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1BC37B93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检测数据</w:t>
            </w:r>
          </w:p>
        </w:tc>
        <w:tc>
          <w:tcPr>
            <w:tcW w:w="215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6A627D1D">
            <w:pPr>
              <w:jc w:val="center"/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b/>
                <w:kern w:val="2"/>
                <w:sz w:val="18"/>
                <w:szCs w:val="18"/>
              </w:rPr>
              <w:t>检测结果</w:t>
            </w:r>
          </w:p>
        </w:tc>
        <w:tc>
          <w:tcPr>
            <w:tcW w:w="259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4C9E31E1">
            <w:pPr>
              <w:jc w:val="center"/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Times New Roman" w:hAnsi="Times New Roman" w:eastAsia="微软雅黑" w:cs="Times New Roman"/>
                <w:b/>
                <w:kern w:val="2"/>
                <w:sz w:val="18"/>
                <w:szCs w:val="18"/>
                <w:lang w:val="en-US" w:eastAsia="zh-CN"/>
              </w:rPr>
              <w:t>IHC</w:t>
            </w:r>
            <w:r>
              <w:rPr>
                <w:rFonts w:hint="eastAsia" w:ascii="Times New Roman" w:hAnsi="Times New Roman" w:eastAsia="微软雅黑" w:cs="Times New Roman"/>
                <w:b/>
                <w:kern w:val="2"/>
                <w:sz w:val="18"/>
                <w:szCs w:val="18"/>
              </w:rPr>
              <w:t>组化结果</w:t>
            </w:r>
          </w:p>
        </w:tc>
      </w:tr>
      <w:tr w14:paraId="394876C1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2FE479C">
            <w:pPr>
              <w:pStyle w:val="47"/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2"/>
                <w:szCs w:val="22"/>
                <w:lang w:val="en-US" w:eastAsia="zh-CN" w:bidi="ar-SA"/>
              </w:rPr>
              <w:t xml:space="preserve">{%tr if her2.interpretation_standard == </w:t>
            </w:r>
            <w:r>
              <w:rPr>
                <w:rFonts w:hint="default" w:ascii="Times New Roman" w:hAnsi="Times New Roman" w:eastAsia="微软雅黑" w:cs="Times New Roman"/>
                <w:color w:val="auto"/>
                <w:sz w:val="22"/>
                <w:szCs w:val="22"/>
                <w:lang w:val="en-US" w:eastAsia="zh-CN" w:bidi="ar-SA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2"/>
                <w:szCs w:val="22"/>
                <w:lang w:val="en-US" w:eastAsia="zh-CN" w:bidi="ar-SA"/>
              </w:rPr>
              <w:t>肠癌</w:t>
            </w:r>
            <w:r>
              <w:rPr>
                <w:rFonts w:hint="default" w:ascii="Times New Roman" w:hAnsi="Times New Roman" w:eastAsia="微软雅黑" w:cs="Times New Roman"/>
                <w:color w:val="auto"/>
                <w:sz w:val="22"/>
                <w:szCs w:val="22"/>
                <w:lang w:val="en-US" w:eastAsia="zh-CN" w:bidi="ar-SA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2"/>
                <w:szCs w:val="22"/>
                <w:lang w:val="en-US" w:eastAsia="zh-CN" w:bidi="ar-SA"/>
              </w:rPr>
              <w:t xml:space="preserve"> %}</w:t>
            </w:r>
          </w:p>
        </w:tc>
      </w:tr>
      <w:tr w14:paraId="7FB84F9A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9" w:hRule="atLeast"/>
          <w:jc w:val="center"/>
        </w:trPr>
        <w:tc>
          <w:tcPr>
            <w:tcW w:w="1529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6A93A42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HER-2 基因扩增</w:t>
            </w:r>
          </w:p>
        </w:tc>
        <w:tc>
          <w:tcPr>
            <w:tcW w:w="1940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7590737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荧光原位杂交（FISH）</w:t>
            </w:r>
          </w:p>
        </w:tc>
        <w:tc>
          <w:tcPr>
            <w:tcW w:w="2303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542BCD0">
            <w:pPr>
              <w:pStyle w:val="47"/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her2.her2_cep17 }}</w:t>
            </w:r>
          </w:p>
        </w:tc>
        <w:tc>
          <w:tcPr>
            <w:tcW w:w="2151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3943E1B">
            <w:pPr>
              <w:pStyle w:val="47"/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{% if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her2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.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cep17_cell 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== ‘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阳性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’%}</w:t>
            </w:r>
            <w:r>
              <w:rPr>
                <w:rFonts w:hint="eastAsia" w:ascii="微软雅黑" w:hAnsi="微软雅黑" w:eastAsia="微软雅黑" w:cs="微软雅黑"/>
                <w:b w:val="0"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阳性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{% else %}</w:t>
            </w:r>
            <w:r>
              <w:rPr>
                <w:rFonts w:hint="eastAsia" w:ascii="微软雅黑" w:hAnsi="微软雅黑" w:eastAsia="微软雅黑" w:cs="微软雅黑"/>
                <w:b w:val="0"/>
                <w:bCs/>
                <w:color w:val="00B050"/>
                <w:kern w:val="0"/>
                <w:sz w:val="21"/>
                <w:szCs w:val="21"/>
                <w:lang w:val="en-US" w:eastAsia="zh-CN" w:bidi="ar"/>
              </w:rPr>
              <w:t>阴性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{% endif %}</w:t>
            </w:r>
          </w:p>
        </w:tc>
        <w:tc>
          <w:tcPr>
            <w:tcW w:w="259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849EE1B">
            <w:pPr>
              <w:pStyle w:val="47"/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{{her2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.detection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}}</w:t>
            </w:r>
            <w:bookmarkStart w:id="31" w:name="_GoBack"/>
            <w:bookmarkEnd w:id="31"/>
          </w:p>
        </w:tc>
      </w:tr>
      <w:tr w14:paraId="63DD7028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9" w:hRule="atLeast"/>
          <w:jc w:val="center"/>
        </w:trPr>
        <w:tc>
          <w:tcPr>
            <w:tcW w:w="1529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AAE565D">
            <w:pPr>
              <w:pStyle w:val="47"/>
            </w:pPr>
          </w:p>
        </w:tc>
        <w:tc>
          <w:tcPr>
            <w:tcW w:w="1940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7282DC9">
            <w:pPr>
              <w:pStyle w:val="47"/>
            </w:pPr>
          </w:p>
        </w:tc>
        <w:tc>
          <w:tcPr>
            <w:tcW w:w="2303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4F60924">
            <w:pPr>
              <w:pStyle w:val="47"/>
            </w:pPr>
          </w:p>
        </w:tc>
        <w:tc>
          <w:tcPr>
            <w:tcW w:w="2151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2370463">
            <w:pPr>
              <w:pStyle w:val="47"/>
            </w:pPr>
          </w:p>
        </w:tc>
        <w:tc>
          <w:tcPr>
            <w:tcW w:w="259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4E98CDD">
            <w:pPr>
              <w:pStyle w:val="47"/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her2.her2_cell }}</w:t>
            </w:r>
          </w:p>
        </w:tc>
      </w:tr>
      <w:tr w14:paraId="37BA8E7C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57734E0">
            <w:pPr>
              <w:pStyle w:val="47"/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2"/>
                <w:szCs w:val="22"/>
                <w:lang w:val="en-US" w:eastAsia="zh-CN" w:bidi="ar-SA"/>
              </w:rPr>
              <w:t>{%tr else %}</w:t>
            </w:r>
          </w:p>
        </w:tc>
      </w:tr>
      <w:tr w14:paraId="4C7A4F1A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  <w:jc w:val="center"/>
        </w:trPr>
        <w:tc>
          <w:tcPr>
            <w:tcW w:w="1529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381A975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kern w:val="0"/>
                <w:sz w:val="21"/>
                <w:szCs w:val="21"/>
              </w:rPr>
              <w:t>HER-2 基因扩增</w:t>
            </w:r>
          </w:p>
        </w:tc>
        <w:tc>
          <w:tcPr>
            <w:tcW w:w="1940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5D21271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kern w:val="0"/>
                <w:sz w:val="21"/>
                <w:szCs w:val="21"/>
              </w:rPr>
              <w:t>荧光原位杂交（FISH）</w:t>
            </w:r>
          </w:p>
        </w:tc>
        <w:tc>
          <w:tcPr>
            <w:tcW w:w="230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D13E0DA">
            <w:pPr>
              <w:pStyle w:val="46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.her2_cep17 }}</w:t>
            </w:r>
          </w:p>
        </w:tc>
        <w:tc>
          <w:tcPr>
            <w:tcW w:w="2151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2032F4E">
            <w:pPr>
              <w:pStyle w:val="47"/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{% if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her2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.detection == ‘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阳性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’%}</w:t>
            </w:r>
            <w:r>
              <w:rPr>
                <w:rFonts w:hint="eastAsia" w:ascii="微软雅黑" w:hAnsi="微软雅黑" w:eastAsia="微软雅黑" w:cs="微软雅黑"/>
                <w:b w:val="0"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阳性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{% else %}</w:t>
            </w:r>
            <w:r>
              <w:rPr>
                <w:rFonts w:hint="eastAsia" w:ascii="微软雅黑" w:hAnsi="微软雅黑" w:eastAsia="微软雅黑" w:cs="微软雅黑"/>
                <w:b w:val="0"/>
                <w:bCs/>
                <w:color w:val="00B050"/>
                <w:kern w:val="0"/>
                <w:sz w:val="21"/>
                <w:szCs w:val="21"/>
                <w:lang w:val="en-US" w:eastAsia="zh-CN" w:bidi="ar"/>
              </w:rPr>
              <w:t>阴性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{% endif %}</w:t>
            </w:r>
          </w:p>
        </w:tc>
        <w:tc>
          <w:tcPr>
            <w:tcW w:w="2593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35EF6AD">
            <w:pPr>
              <w:pStyle w:val="47"/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her2.histochemical }}</w:t>
            </w:r>
          </w:p>
        </w:tc>
      </w:tr>
      <w:tr w14:paraId="2E5C93E6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  <w:jc w:val="center"/>
        </w:trPr>
        <w:tc>
          <w:tcPr>
            <w:tcW w:w="1529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070B7AE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1940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DB73719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230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49B86D6">
            <w:pPr>
              <w:pStyle w:val="46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.her2_cell }}</w:t>
            </w:r>
          </w:p>
        </w:tc>
        <w:tc>
          <w:tcPr>
            <w:tcW w:w="2151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4446AD8">
            <w:pPr>
              <w:pStyle w:val="46"/>
              <w:rPr>
                <w:rFonts w:hint="default" w:ascii="Times New Roman" w:hAnsi="Times New Roman" w:eastAsia="微软雅黑" w:cs="Times New Roman"/>
                <w:sz w:val="21"/>
                <w:szCs w:val="21"/>
              </w:rPr>
            </w:pPr>
          </w:p>
        </w:tc>
        <w:tc>
          <w:tcPr>
            <w:tcW w:w="2593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D6DF1B5">
            <w:pPr>
              <w:pStyle w:val="46"/>
              <w:rPr>
                <w:rFonts w:hint="default" w:ascii="Times New Roman" w:hAnsi="Times New Roman" w:eastAsia="微软雅黑" w:cs="Times New Roman"/>
                <w:sz w:val="21"/>
                <w:szCs w:val="21"/>
              </w:rPr>
            </w:pPr>
          </w:p>
        </w:tc>
      </w:tr>
      <w:tr w14:paraId="16068AA8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  <w:jc w:val="center"/>
        </w:trPr>
        <w:tc>
          <w:tcPr>
            <w:tcW w:w="1529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B93752B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1940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6DED559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230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86249DC">
            <w:pPr>
              <w:pStyle w:val="46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.cep17_cell }}</w:t>
            </w:r>
          </w:p>
        </w:tc>
        <w:tc>
          <w:tcPr>
            <w:tcW w:w="2151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DCEC77B">
            <w:pPr>
              <w:pStyle w:val="46"/>
              <w:rPr>
                <w:rFonts w:hint="default" w:ascii="Times New Roman" w:hAnsi="Times New Roman" w:eastAsia="微软雅黑" w:cs="Times New Roman"/>
                <w:sz w:val="21"/>
                <w:szCs w:val="21"/>
              </w:rPr>
            </w:pPr>
          </w:p>
        </w:tc>
        <w:tc>
          <w:tcPr>
            <w:tcW w:w="2593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19E092D">
            <w:pPr>
              <w:pStyle w:val="46"/>
              <w:rPr>
                <w:rFonts w:hint="default" w:ascii="Times New Roman" w:hAnsi="Times New Roman" w:eastAsia="微软雅黑" w:cs="Times New Roman"/>
                <w:sz w:val="21"/>
                <w:szCs w:val="21"/>
              </w:rPr>
            </w:pPr>
          </w:p>
        </w:tc>
      </w:tr>
      <w:tr w14:paraId="16B8E788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</w:tblPrEx>
        <w:trPr>
          <w:trHeight w:val="477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E00C758">
            <w:pPr>
              <w:pStyle w:val="46"/>
              <w:rPr>
                <w:rFonts w:hint="default"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kern w:val="0"/>
                <w:sz w:val="22"/>
                <w:szCs w:val="22"/>
                <w:lang w:val="en-US" w:eastAsia="zh-CN" w:bidi="ar-SA"/>
              </w:rPr>
              <w:t>{%tr endif %}</w:t>
            </w:r>
          </w:p>
        </w:tc>
      </w:tr>
      <w:tr w14:paraId="4186C772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0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3116EFF">
            <w:pPr>
              <w:adjustRightInd w:val="0"/>
              <w:snapToGrid w:val="0"/>
              <w:spacing w:line="204" w:lineRule="auto"/>
              <w:ind w:firstLine="440" w:firstLineChars="200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{%tr if her2.interpretation_standard == 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‘乳腺癌’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 %}</w:t>
            </w:r>
          </w:p>
        </w:tc>
      </w:tr>
      <w:tr w14:paraId="003C7B3A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60" w:hRule="atLeast"/>
          <w:jc w:val="center"/>
        </w:trPr>
        <w:tc>
          <w:tcPr>
            <w:tcW w:w="15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7309911">
            <w:pPr>
              <w:adjustRightInd w:val="0"/>
              <w:snapToGrid w:val="0"/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  <w:t>判读标准：</w:t>
            </w:r>
          </w:p>
          <w:p w14:paraId="50ECCDA6">
            <w:pPr>
              <w:adjustRightInd w:val="0"/>
              <w:snapToGrid w:val="0"/>
              <w:spacing w:line="204" w:lineRule="auto"/>
              <w:ind w:left="640" w:leftChars="211" w:hanging="176" w:hangingChars="80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</w:p>
        </w:tc>
        <w:tc>
          <w:tcPr>
            <w:tcW w:w="8987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32C6DA5">
            <w:pPr>
              <w:adjustRightInd w:val="0"/>
              <w:snapToGrid w:val="0"/>
              <w:spacing w:line="204" w:lineRule="auto"/>
              <w:jc w:val="center"/>
            </w:pPr>
          </w:p>
          <w:p w14:paraId="27D3972A">
            <w:pPr>
              <w:adjustRightInd w:val="0"/>
              <w:snapToGrid w:val="0"/>
              <w:spacing w:line="204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18"/>
                <w:szCs w:val="18"/>
                <w:lang w:val="en-US" w:eastAsia="zh-CN"/>
              </w:rPr>
            </w:pPr>
            <w:r>
              <w:drawing>
                <wp:inline distT="0" distB="0" distL="114300" distR="114300">
                  <wp:extent cx="4756785" cy="2853055"/>
                  <wp:effectExtent l="0" t="0" r="13335" b="12065"/>
                  <wp:docPr id="12" name="图片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图片 12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rcRect l="14443" r="409" b="2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6785" cy="28530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644E58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04" w:lineRule="auto"/>
              <w:ind w:firstLine="480" w:firstLineChars="300"/>
              <w:jc w:val="both"/>
              <w:textAlignment w:val="auto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  <w:t>注：</w:t>
            </w:r>
            <w:r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16"/>
                <w:szCs w:val="16"/>
                <w:u w:val="none"/>
                <w:lang w:val="en-US" w:eastAsia="zh-CN" w:bidi="ar"/>
              </w:rPr>
              <w:t>来源于乳腺癌HER2检测指南(2019版)&amp;非小细胞肺癌HER2变异临床诊疗实践专家共识2022版</w:t>
            </w:r>
          </w:p>
        </w:tc>
      </w:tr>
      <w:tr w14:paraId="71868C9C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3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9E57AE0">
            <w:pPr>
              <w:adjustRightInd w:val="0"/>
              <w:snapToGrid w:val="0"/>
              <w:spacing w:line="204" w:lineRule="auto"/>
              <w:ind w:firstLine="440" w:firstLineChars="200"/>
              <w:jc w:val="center"/>
              <w:rPr>
                <w:rFonts w:hint="eastAsia" w:ascii="Times New Roman" w:hAnsi="Times New Roman" w:eastAsia="微软雅黑" w:cs="Times New Roman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{%tr elif her2.interpretation_standard == 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胆管癌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 %}</w:t>
            </w:r>
          </w:p>
        </w:tc>
      </w:tr>
      <w:tr w14:paraId="5D7A46E2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3" w:hRule="atLeast"/>
          <w:jc w:val="center"/>
        </w:trPr>
        <w:tc>
          <w:tcPr>
            <w:tcW w:w="15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DA5CFA9">
            <w:pPr>
              <w:adjustRightInd w:val="0"/>
              <w:snapToGrid w:val="0"/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  <w:t>判读标准：</w:t>
            </w:r>
          </w:p>
          <w:p w14:paraId="73D96B7B">
            <w:pPr>
              <w:adjustRightInd w:val="0"/>
              <w:snapToGrid w:val="0"/>
              <w:spacing w:line="204" w:lineRule="auto"/>
              <w:ind w:left="640" w:leftChars="211" w:hanging="176" w:hangingChars="80"/>
              <w:rPr>
                <w:rFonts w:hint="eastAsia" w:ascii="Times New Roman" w:hAnsi="Times New Roman" w:eastAsia="微软雅黑" w:cs="Times New Roman"/>
                <w:lang w:val="en-US" w:eastAsia="zh-CN"/>
              </w:rPr>
            </w:pPr>
          </w:p>
        </w:tc>
        <w:tc>
          <w:tcPr>
            <w:tcW w:w="8987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3E94258">
            <w:pPr>
              <w:adjustRightInd w:val="0"/>
              <w:snapToGrid w:val="0"/>
              <w:spacing w:line="204" w:lineRule="auto"/>
              <w:jc w:val="center"/>
              <w:rPr>
                <w:rFonts w:hint="eastAsia" w:eastAsia="宋体"/>
                <w:lang w:eastAsia="zh-CN"/>
              </w:rPr>
            </w:pPr>
          </w:p>
          <w:p w14:paraId="434BE5FD">
            <w:pPr>
              <w:adjustRightInd w:val="0"/>
              <w:snapToGrid w:val="0"/>
              <w:spacing w:line="204" w:lineRule="auto"/>
              <w:jc w:val="center"/>
              <w:rPr>
                <w:rFonts w:hint="eastAsia" w:eastAsia="宋体"/>
                <w:lang w:eastAsia="zh-CN"/>
              </w:rPr>
            </w:pPr>
            <w:r>
              <w:drawing>
                <wp:inline distT="0" distB="0" distL="114300" distR="114300">
                  <wp:extent cx="5238750" cy="1974850"/>
                  <wp:effectExtent l="0" t="0" r="6350" b="6350"/>
                  <wp:docPr id="3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38750" cy="19748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DC9C8E5">
            <w:pPr>
              <w:adjustRightInd w:val="0"/>
              <w:snapToGrid w:val="0"/>
              <w:spacing w:line="204" w:lineRule="auto"/>
              <w:jc w:val="center"/>
              <w:rPr>
                <w:rFonts w:hint="eastAsia" w:ascii="Times New Roman" w:hAnsi="Times New Roman" w:eastAsia="微软雅黑" w:cs="Times New Roman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16"/>
                <w:szCs w:val="16"/>
                <w:lang w:val="en-US" w:eastAsia="zh-CN"/>
              </w:rPr>
              <w:t>注：来源于胆道恶性肿瘤 HER2 分子诊断与临床应用中国专家共识（2024 版）</w:t>
            </w:r>
          </w:p>
        </w:tc>
      </w:tr>
      <w:tr w14:paraId="2D8F42C9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3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FCBC697">
            <w:pPr>
              <w:adjustRightInd w:val="0"/>
              <w:snapToGrid w:val="0"/>
              <w:spacing w:line="204" w:lineRule="auto"/>
              <w:ind w:firstLine="440" w:firstLineChars="200"/>
              <w:jc w:val="center"/>
              <w:rPr>
                <w:rFonts w:hint="eastAsia" w:ascii="Times New Roman" w:hAnsi="Times New Roman" w:eastAsia="微软雅黑" w:cs="Times New Roman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{%tr elif her2.interpretation_standard == 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食管和食管胃交界处癌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 %}</w:t>
            </w:r>
          </w:p>
        </w:tc>
      </w:tr>
      <w:tr w14:paraId="22531137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3" w:hRule="atLeast"/>
          <w:jc w:val="center"/>
        </w:trPr>
        <w:tc>
          <w:tcPr>
            <w:tcW w:w="15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035D784">
            <w:pPr>
              <w:adjustRightInd w:val="0"/>
              <w:snapToGrid w:val="0"/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  <w:t>判读标准：</w:t>
            </w:r>
          </w:p>
          <w:p w14:paraId="1C82EF59">
            <w:pPr>
              <w:adjustRightInd w:val="0"/>
              <w:snapToGrid w:val="0"/>
              <w:spacing w:line="204" w:lineRule="auto"/>
              <w:ind w:firstLine="440" w:firstLineChars="200"/>
              <w:jc w:val="center"/>
              <w:rPr>
                <w:rFonts w:hint="eastAsia" w:ascii="Times New Roman" w:hAnsi="Times New Roman" w:eastAsia="微软雅黑" w:cs="Times New Roman"/>
                <w:lang w:val="en-US" w:eastAsia="zh-CN"/>
              </w:rPr>
            </w:pPr>
          </w:p>
        </w:tc>
        <w:tc>
          <w:tcPr>
            <w:tcW w:w="8987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C357081">
            <w:pPr>
              <w:adjustRightInd w:val="0"/>
              <w:snapToGrid w:val="0"/>
              <w:spacing w:line="204" w:lineRule="auto"/>
              <w:ind w:firstLine="440" w:firstLineChars="200"/>
              <w:jc w:val="center"/>
            </w:pPr>
          </w:p>
          <w:p w14:paraId="3095B032">
            <w:pPr>
              <w:adjustRightInd w:val="0"/>
              <w:snapToGrid w:val="0"/>
              <w:spacing w:line="204" w:lineRule="auto"/>
              <w:ind w:firstLine="440" w:firstLineChars="200"/>
              <w:jc w:val="center"/>
            </w:pPr>
            <w:r>
              <w:drawing>
                <wp:inline distT="0" distB="0" distL="114300" distR="114300">
                  <wp:extent cx="3860800" cy="1409700"/>
                  <wp:effectExtent l="0" t="0" r="0" b="0"/>
                  <wp:docPr id="9" name="图片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图片 9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60800" cy="14097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652088F">
            <w:pPr>
              <w:adjustRightInd w:val="0"/>
              <w:snapToGrid w:val="0"/>
              <w:spacing w:line="204" w:lineRule="auto"/>
              <w:jc w:val="center"/>
              <w:rPr>
                <w:rFonts w:hint="eastAsia" w:ascii="Times New Roman" w:hAnsi="Times New Roman" w:eastAsia="微软雅黑" w:cs="Times New Roman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16"/>
                <w:szCs w:val="16"/>
                <w:lang w:val="en-US" w:eastAsia="zh-CN"/>
              </w:rPr>
              <w:t>注：Esophageal and Esophagogastric Junction Cancers NCCN 2025.V1</w:t>
            </w:r>
          </w:p>
        </w:tc>
      </w:tr>
      <w:tr w14:paraId="6A9C8D1D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3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47F45B8">
            <w:pPr>
              <w:adjustRightInd w:val="0"/>
              <w:snapToGrid w:val="0"/>
              <w:spacing w:line="204" w:lineRule="auto"/>
              <w:ind w:firstLine="440" w:firstLineChars="200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{%tr elif her2.interpretation_standard == 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胃癌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 %}</w:t>
            </w:r>
          </w:p>
        </w:tc>
      </w:tr>
      <w:tr w14:paraId="37E09093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60" w:hRule="atLeast"/>
          <w:jc w:val="center"/>
        </w:trPr>
        <w:tc>
          <w:tcPr>
            <w:tcW w:w="15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700C10C">
            <w:pPr>
              <w:adjustRightInd w:val="0"/>
              <w:snapToGrid w:val="0"/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  <w:t>判读标准：</w:t>
            </w:r>
          </w:p>
          <w:p w14:paraId="6BEAC05C">
            <w:pPr>
              <w:adjustRightInd w:val="0"/>
              <w:snapToGrid w:val="0"/>
              <w:spacing w:line="204" w:lineRule="auto"/>
              <w:ind w:left="640" w:leftChars="211" w:hanging="176" w:hangingChars="80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</w:p>
        </w:tc>
        <w:tc>
          <w:tcPr>
            <w:tcW w:w="8987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A984BE4">
            <w:pPr>
              <w:adjustRightInd w:val="0"/>
              <w:snapToGrid w:val="0"/>
              <w:spacing w:line="204" w:lineRule="auto"/>
            </w:pPr>
          </w:p>
          <w:p w14:paraId="41EDA41F">
            <w:pPr>
              <w:adjustRightInd w:val="0"/>
              <w:snapToGrid w:val="0"/>
              <w:spacing w:line="204" w:lineRule="auto"/>
            </w:pPr>
            <w:r>
              <w:drawing>
                <wp:inline distT="0" distB="0" distL="114300" distR="114300">
                  <wp:extent cx="5010150" cy="2465070"/>
                  <wp:effectExtent l="0" t="0" r="3810" b="3810"/>
                  <wp:docPr id="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rcRect r="3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10150" cy="24650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4C657EC">
            <w:pPr>
              <w:adjustRightInd w:val="0"/>
              <w:snapToGrid w:val="0"/>
              <w:spacing w:line="204" w:lineRule="auto"/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16"/>
                <w:szCs w:val="16"/>
                <w:lang w:val="en-US" w:eastAsia="zh-CN"/>
              </w:rPr>
              <w:t>注：来源于胃癌胃镜活检标本HER-2检测中国专家共识（2023版）&amp;胃癌HER2检测指南（2016版）</w:t>
            </w:r>
          </w:p>
        </w:tc>
      </w:tr>
      <w:tr w14:paraId="3444C749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29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58B898D">
            <w:pPr>
              <w:adjustRightInd w:val="0"/>
              <w:snapToGrid w:val="0"/>
              <w:spacing w:line="204" w:lineRule="auto"/>
              <w:ind w:firstLine="440" w:firstLineChars="200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{%tr elif her2.interpretation_standard == 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尿路上皮癌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 %}</w:t>
            </w:r>
          </w:p>
        </w:tc>
      </w:tr>
      <w:tr w14:paraId="0B9B5840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60" w:hRule="atLeast"/>
          <w:jc w:val="center"/>
        </w:trPr>
        <w:tc>
          <w:tcPr>
            <w:tcW w:w="15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72FF63F">
            <w:pPr>
              <w:adjustRightInd w:val="0"/>
              <w:snapToGrid w:val="0"/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  <w:t>判读标准：</w:t>
            </w:r>
          </w:p>
          <w:p w14:paraId="303272F7">
            <w:pPr>
              <w:adjustRightInd w:val="0"/>
              <w:snapToGrid w:val="0"/>
              <w:spacing w:line="204" w:lineRule="auto"/>
              <w:ind w:left="640" w:leftChars="211" w:hanging="176" w:hangingChars="80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</w:p>
        </w:tc>
        <w:tc>
          <w:tcPr>
            <w:tcW w:w="8987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D9B11BD">
            <w:pPr>
              <w:adjustRightInd w:val="0"/>
              <w:snapToGrid w:val="0"/>
              <w:spacing w:line="204" w:lineRule="auto"/>
              <w:jc w:val="center"/>
            </w:pPr>
            <w:r>
              <w:drawing>
                <wp:inline distT="0" distB="0" distL="114300" distR="114300">
                  <wp:extent cx="5027295" cy="2075815"/>
                  <wp:effectExtent l="0" t="0" r="1905" b="12065"/>
                  <wp:docPr id="5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7295" cy="20758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62C2C98">
            <w:pPr>
              <w:adjustRightInd w:val="0"/>
              <w:snapToGrid w:val="0"/>
              <w:spacing w:line="204" w:lineRule="auto"/>
              <w:jc w:val="left"/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16"/>
                <w:szCs w:val="16"/>
                <w:lang w:val="en-US" w:eastAsia="zh-CN"/>
              </w:rPr>
              <w:t>注：来源于</w:t>
            </w:r>
            <w:r>
              <w:rPr>
                <w:rFonts w:hint="eastAsia" w:ascii="微软雅黑" w:hAnsi="微软雅黑" w:eastAsia="微软雅黑" w:cs="微软雅黑"/>
                <w:sz w:val="16"/>
                <w:szCs w:val="16"/>
              </w:rPr>
              <w:t>中国尿路上皮癌人表皮生长因子受体2检测临床病理专家共识2021</w:t>
            </w:r>
            <w:r>
              <w:rPr>
                <w:rFonts w:hint="eastAsia" w:ascii="微软雅黑" w:hAnsi="微软雅黑" w:eastAsia="微软雅黑" w:cs="微软雅黑"/>
                <w:sz w:val="16"/>
                <w:szCs w:val="16"/>
                <w:lang w:val="en-US" w:eastAsia="zh-CN"/>
              </w:rPr>
              <w:t>版；低拷贝扩增：弱阳性</w:t>
            </w:r>
          </w:p>
        </w:tc>
      </w:tr>
      <w:tr w14:paraId="42D4B09A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59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9293F83">
            <w:pPr>
              <w:adjustRightInd w:val="0"/>
              <w:snapToGrid w:val="0"/>
              <w:spacing w:line="204" w:lineRule="auto"/>
              <w:ind w:firstLine="440" w:firstLineChars="200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{%tr elif her2.interpretation_standard == 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肠癌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 %}</w:t>
            </w:r>
          </w:p>
        </w:tc>
      </w:tr>
      <w:tr w14:paraId="1AFB3813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60" w:hRule="atLeast"/>
          <w:jc w:val="center"/>
        </w:trPr>
        <w:tc>
          <w:tcPr>
            <w:tcW w:w="15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A34EEEA">
            <w:pPr>
              <w:adjustRightInd w:val="0"/>
              <w:snapToGrid w:val="0"/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  <w:t>判读标准：</w:t>
            </w:r>
          </w:p>
          <w:p w14:paraId="64C73ABC">
            <w:pPr>
              <w:adjustRightInd w:val="0"/>
              <w:snapToGrid w:val="0"/>
              <w:spacing w:line="204" w:lineRule="auto"/>
              <w:ind w:left="640" w:leftChars="211" w:hanging="176" w:hangingChars="80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</w:p>
        </w:tc>
        <w:tc>
          <w:tcPr>
            <w:tcW w:w="8987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0B1981D">
            <w:pPr>
              <w:adjustRightInd w:val="0"/>
              <w:snapToGrid w:val="0"/>
              <w:spacing w:line="204" w:lineRule="auto"/>
            </w:pPr>
          </w:p>
          <w:p w14:paraId="186AC244">
            <w:pPr>
              <w:adjustRightInd w:val="0"/>
              <w:snapToGrid w:val="0"/>
              <w:spacing w:line="204" w:lineRule="auto"/>
            </w:pPr>
            <w:r>
              <w:rPr>
                <w:rFonts w:ascii="宋体" w:hAnsi="宋体" w:eastAsia="宋体" w:cs="宋体"/>
                <w:sz w:val="24"/>
                <w:szCs w:val="24"/>
              </w:rPr>
              <w:drawing>
                <wp:inline distT="0" distB="0" distL="114300" distR="114300">
                  <wp:extent cx="5030470" cy="2801620"/>
                  <wp:effectExtent l="0" t="0" r="13970" b="2540"/>
                  <wp:docPr id="2" name="图片 1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图片 1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30470" cy="28016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9DE7E5F">
            <w:pPr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16"/>
                <w:szCs w:val="16"/>
                <w:lang w:val="en-US" w:eastAsia="zh-CN"/>
              </w:rPr>
              <w:t>注：来源于结直肠癌靶向治疗中国专家共识2023版。</w:t>
            </w:r>
          </w:p>
        </w:tc>
      </w:tr>
      <w:tr w14:paraId="7F8F7FAD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0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40FF862">
            <w:pPr>
              <w:jc w:val="center"/>
              <w:rPr>
                <w:rFonts w:hint="default" w:ascii="微软雅黑" w:hAnsi="微软雅黑" w:eastAsia="微软雅黑" w:cs="微软雅黑"/>
                <w:sz w:val="16"/>
                <w:szCs w:val="16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{%tr endif %}</w:t>
            </w:r>
          </w:p>
        </w:tc>
      </w:tr>
    </w:tbl>
    <w:p w14:paraId="761A1528">
      <w:pPr>
        <w:autoSpaceDE w:val="0"/>
        <w:autoSpaceDN w:val="0"/>
        <w:adjustRightInd w:val="0"/>
        <w:jc w:val="left"/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  <w:lang w:val="en-US" w:eastAsia="zh-CN"/>
        </w:rPr>
      </w:pPr>
      <w:r>
        <w:rPr>
          <w:rFonts w:hint="eastAsia" w:ascii="Times New Roman" w:hAnsi="Times New Roman" w:eastAsia="微软雅黑" w:cs="Times New Roman"/>
          <w:lang w:val="en-US" w:eastAsia="zh-CN"/>
        </w:rPr>
        <w:t>{%if her2.result !=</w:t>
      </w:r>
      <w:r>
        <w:rPr>
          <w:rFonts w:hint="default" w:ascii="Times New Roman" w:hAnsi="Times New Roman" w:eastAsia="微软雅黑" w:cs="Times New Roman"/>
          <w:lang w:val="en-US" w:eastAsia="zh-CN"/>
        </w:rPr>
        <w:t>’</w:t>
      </w:r>
      <w:r>
        <w:rPr>
          <w:rFonts w:hint="eastAsia" w:ascii="Times New Roman" w:hAnsi="Times New Roman" w:eastAsia="微软雅黑" w:cs="Times New Roman"/>
          <w:lang w:val="en-US" w:eastAsia="zh-CN"/>
        </w:rPr>
        <w:t>/</w:t>
      </w:r>
      <w:r>
        <w:rPr>
          <w:rFonts w:hint="default" w:ascii="Times New Roman" w:hAnsi="Times New Roman" w:eastAsia="微软雅黑" w:cs="Times New Roman"/>
          <w:lang w:val="en-US" w:eastAsia="zh-CN"/>
        </w:rPr>
        <w:t>’</w:t>
      </w:r>
      <w:r>
        <w:rPr>
          <w:rFonts w:hint="eastAsia" w:ascii="Times New Roman" w:hAnsi="Times New Roman" w:eastAsia="微软雅黑" w:cs="Times New Roman"/>
          <w:lang w:val="en-US" w:eastAsia="zh-CN"/>
        </w:rPr>
        <w:t>%}</w:t>
      </w:r>
      <w:r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  <w:t>结果提示：</w:t>
      </w:r>
      <w:r>
        <w:rPr>
          <w:rFonts w:hint="eastAsia" w:ascii="Times New Roman" w:hAnsi="Times New Roman" w:eastAsia="微软雅黑" w:cs="Times New Roman"/>
          <w:lang w:val="en-US" w:eastAsia="zh-CN"/>
        </w:rPr>
        <w:t>{{ her2.result }}{%endif%}</w:t>
      </w:r>
    </w:p>
    <w:tbl>
      <w:tblPr>
        <w:tblStyle w:val="56"/>
        <w:tblpPr w:leftFromText="113" w:rightFromText="113" w:vertAnchor="page" w:tblpXSpec="center" w:tblpY="1502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2"/>
        <w:gridCol w:w="963"/>
        <w:gridCol w:w="2223"/>
        <w:gridCol w:w="3118"/>
      </w:tblGrid>
      <w:tr w14:paraId="09AA8E0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2" w:hRule="atLeast"/>
        </w:trPr>
        <w:tc>
          <w:tcPr>
            <w:tcW w:w="3402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 w14:paraId="0DE16EE6">
            <w:pPr>
              <w:adjustRightInd w:val="0"/>
              <w:jc w:val="both"/>
              <w:rPr>
                <w:rFonts w:ascii="微软雅黑" w:hAnsi="微软雅黑" w:eastAsia="微软雅黑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Times New Roman"/>
                <w:b/>
                <w:color w:val="000000"/>
                <w:sz w:val="16"/>
                <w:szCs w:val="16"/>
                <w:lang w:bidi="ar"/>
              </w:rPr>
              <w:t>检测人：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8"/>
                <w:lang w:bidi="ar"/>
              </w:rPr>
              <w:t xml:space="preserve">{{ 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8"/>
                <w:lang w:val="en-US" w:eastAsia="zh-CN" w:bidi="ar"/>
              </w:rPr>
              <w:t>her2.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8"/>
                <w:lang w:bidi="ar"/>
              </w:rPr>
              <w:t>examiner }}</w:t>
            </w:r>
          </w:p>
        </w:tc>
        <w:tc>
          <w:tcPr>
            <w:tcW w:w="963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 w14:paraId="1C7C73F2">
            <w:pPr>
              <w:adjustRightInd w:val="0"/>
              <w:jc w:val="both"/>
              <w:rPr>
                <w:rFonts w:ascii="微软雅黑" w:hAnsi="微软雅黑" w:eastAsia="微软雅黑" w:cs="Arial"/>
                <w:b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  <w:lang w:val="en-US" w:eastAsia="zh-CN" w:bidi="ar"/>
              </w:rPr>
              <w:t>复核人</w:t>
            </w: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  <w:lang w:bidi="ar"/>
              </w:rPr>
              <w:t>：</w:t>
            </w:r>
          </w:p>
        </w:tc>
        <w:tc>
          <w:tcPr>
            <w:tcW w:w="2223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 w14:paraId="73271617">
            <w:pPr>
              <w:jc w:val="both"/>
              <w:rPr>
                <w:b/>
                <w:sz w:val="16"/>
              </w:rPr>
            </w:pPr>
            <w:r>
              <w:rPr>
                <w:rFonts w:hint="default" w:ascii="Times New Roman" w:hAnsi="Times New Roman" w:cs="Times New Roman"/>
                <w:sz w:val="16"/>
                <w:szCs w:val="16"/>
              </w:rPr>
              <w:t>{{"ty_tianjin2"|sign(</w:t>
            </w:r>
            <w:r>
              <w:rPr>
                <w:rFonts w:hint="eastAsia" w:ascii="Times New Roman" w:hAnsi="Times New Roman" w:cs="Times New Roman"/>
                <w:sz w:val="16"/>
                <w:szCs w:val="16"/>
                <w:lang w:val="en-US" w:eastAsia="zh-CN"/>
              </w:rPr>
              <w:t>39</w:t>
            </w:r>
            <w:r>
              <w:rPr>
                <w:rFonts w:hint="default" w:ascii="Times New Roman" w:hAnsi="Times New Roman" w:cs="Times New Roman"/>
                <w:sz w:val="16"/>
                <w:szCs w:val="16"/>
              </w:rPr>
              <w:t>,</w:t>
            </w:r>
            <w:r>
              <w:rPr>
                <w:rFonts w:hint="eastAsia" w:ascii="Times New Roman" w:hAnsi="Times New Roman" w:cs="Times New Roman"/>
                <w:sz w:val="16"/>
                <w:szCs w:val="16"/>
                <w:lang w:val="en-US" w:eastAsia="zh-CN"/>
              </w:rPr>
              <w:t>22</w:t>
            </w:r>
            <w:r>
              <w:rPr>
                <w:rFonts w:hint="default" w:ascii="Times New Roman" w:hAnsi="Times New Roman" w:cs="Times New Roman"/>
                <w:sz w:val="16"/>
                <w:szCs w:val="16"/>
              </w:rPr>
              <w:t>)}}</w:t>
            </w:r>
          </w:p>
        </w:tc>
        <w:tc>
          <w:tcPr>
            <w:tcW w:w="3118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 w14:paraId="55E0B6CD">
            <w:pPr>
              <w:widowControl w:val="0"/>
              <w:adjustRightInd w:val="0"/>
              <w:jc w:val="right"/>
              <w:rPr>
                <w:rFonts w:ascii="Calibri" w:hAnsi="Calibri" w:eastAsia="宋体" w:cs="Arial"/>
                <w:b/>
                <w:color w:val="000000"/>
                <w:sz w:val="16"/>
                <w:szCs w:val="16"/>
                <w:lang w:val="en-US" w:eastAsia="en-US" w:bidi="ar-SA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  <w:lang w:val="en-US" w:eastAsia="en-US" w:bidi="ar"/>
              </w:rPr>
              <w:t>报告日期：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6"/>
                <w:lang w:val="en-US" w:eastAsia="en-US" w:bidi="ar-SA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b/>
                <w:color w:val="000000"/>
                <w:sz w:val="16"/>
                <w:szCs w:val="16"/>
                <w:lang w:val="en-US" w:eastAsia="en-US" w:bidi="ar-SA"/>
              </w:rPr>
              <w:t>reportdate2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6"/>
                <w:lang w:val="en-US" w:eastAsia="en-US" w:bidi="ar-SA"/>
              </w:rPr>
              <w:t xml:space="preserve"> }}</w:t>
            </w:r>
          </w:p>
        </w:tc>
      </w:tr>
      <w:tr w14:paraId="712A70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4" w:hRule="atLeast"/>
        </w:trPr>
        <w:tc>
          <w:tcPr>
            <w:tcW w:w="9706" w:type="dxa"/>
            <w:gridSpan w:val="4"/>
            <w:tcBorders>
              <w:top w:val="single" w:color="62B541" w:sz="12" w:space="0"/>
              <w:left w:val="nil"/>
              <w:bottom w:val="nil"/>
              <w:right w:val="nil"/>
            </w:tcBorders>
          </w:tcPr>
          <w:p w14:paraId="31693E85">
            <w:pPr>
              <w:adjustRightInd w:val="0"/>
              <w:jc w:val="center"/>
              <w:rPr>
                <w:rFonts w:ascii="微软雅黑" w:hAnsi="微软雅黑" w:eastAsia="微软雅黑" w:cs="Arial"/>
                <w:b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</w:rPr>
              <w:t>本次检测仅对所检测的标本负责，检测结果仅供医生参考，不能作为制定、修改、调整用药方案的唯一依据。</w:t>
            </w:r>
          </w:p>
        </w:tc>
      </w:tr>
    </w:tbl>
    <w:p w14:paraId="51B4C871">
      <w:pPr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  <w:br w:type="page"/>
      </w:r>
      <w:r>
        <w:drawing>
          <wp:anchor distT="0" distB="0" distL="0" distR="0" simplePos="0" relativeHeight="251661312" behindDoc="0" locked="0" layoutInCell="1" allowOverlap="1">
            <wp:simplePos x="0" y="0"/>
            <wp:positionH relativeFrom="column">
              <wp:posOffset>5020945</wp:posOffset>
            </wp:positionH>
            <wp:positionV relativeFrom="page">
              <wp:posOffset>8846820</wp:posOffset>
            </wp:positionV>
            <wp:extent cx="1443355" cy="1443355"/>
            <wp:effectExtent l="0" t="0" r="4445" b="4445"/>
            <wp:wrapNone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43355" cy="1443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312DBC8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2" w:name="_Toc14200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参考资料</w:t>
      </w:r>
      <w:bookmarkEnd w:id="12"/>
    </w:p>
    <w:bookmarkEnd w:id="0"/>
    <w:bookmarkEnd w:id="1"/>
    <w:bookmarkEnd w:id="2"/>
    <w:bookmarkEnd w:id="3"/>
    <w:bookmarkEnd w:id="4"/>
    <w:bookmarkEnd w:id="5"/>
    <w:bookmarkEnd w:id="6"/>
    <w:bookmarkEnd w:id="7"/>
    <w:p w14:paraId="38FC344C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ind w:firstLine="0" w:firstLineChars="0"/>
        <w:jc w:val="both"/>
        <w:textAlignment w:val="auto"/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HER2靶点解析</w:t>
      </w:r>
    </w:p>
    <w:p w14:paraId="29EB4AD2">
      <w:pPr>
        <w:autoSpaceDE w:val="0"/>
        <w:autoSpaceDN w:val="0"/>
        <w:adjustRightInd w:val="0"/>
        <w:snapToGrid w:val="0"/>
        <w:spacing w:line="360" w:lineRule="auto"/>
        <w:ind w:firstLine="420" w:firstLineChars="200"/>
        <w:jc w:val="both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人表皮生长因子受体２（HER2）是由原癌基因erbb-2编码的、具有酪氨酸激酶活性的跨膜糖蛋白，属于表皮生长因子受体家族成员。ERBB2蛋白介导的信号转导途径主要有Ras/Raf/丝裂原活化蛋白激酶(MAPK)途径，磷脂酰肌醇3羟基激酶(P13K)/Akt途径，信号转导及转录激活(</w:t>
      </w:r>
      <w:bookmarkStart w:id="13" w:name="OLE_LINK2"/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STAT</w:t>
      </w:r>
      <w:bookmarkEnd w:id="13"/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)途径和PLC通路等。HER2癌基因的致瘤机制是抑制凋亡，促进增殖；增加肿瘤细胞的侵袭力；促进肿瘤血管新生和淋巴管新生</w:t>
      </w: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vertAlign w:val="superscript"/>
          <w:lang w:eastAsia="en-US"/>
        </w:rPr>
        <w:t xml:space="preserve"> [1,2]</w:t>
      </w: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。HER2与乳腺癌、胃癌、结直肠癌、膀胱癌、卵巢癌、宫颈癌（胰腺癌）、肺癌等多种恶性肿瘤密切相关</w:t>
      </w: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vertAlign w:val="superscript"/>
          <w:lang w:eastAsia="en-US"/>
        </w:rPr>
        <w:t>[3]</w:t>
      </w: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，因此对于HER2的检测在这些肿瘤的诊断、治疗及预后判断中具有重要意义。</w:t>
      </w:r>
    </w:p>
    <w:p w14:paraId="05652E90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ind w:firstLine="0" w:firstLineChars="0"/>
        <w:jc w:val="both"/>
        <w:textAlignment w:val="auto"/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HER2</w:t>
      </w:r>
      <w:r>
        <w:rPr>
          <w:rFonts w:hint="eastAsia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靶点</w:t>
      </w:r>
      <w:r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已获批药物</w:t>
      </w:r>
      <w:bookmarkStart w:id="14" w:name="OLE_LINK3"/>
      <w:r>
        <w:rPr>
          <w:rFonts w:hint="default" w:ascii="Times New Roman" w:hAnsi="Times New Roman" w:eastAsia="微软雅黑" w:cs="Times New Roman"/>
          <w:bCs/>
          <w:color w:val="000000"/>
          <w:sz w:val="21"/>
          <w:szCs w:val="21"/>
          <w:vertAlign w:val="superscript"/>
          <w:lang w:val="en-US" w:eastAsia="zh-CN" w:bidi="ar-SA"/>
        </w:rPr>
        <w:t>[4,5]</w:t>
      </w:r>
    </w:p>
    <w:bookmarkEnd w:id="14"/>
    <w:tbl>
      <w:tblPr>
        <w:tblStyle w:val="1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1"/>
        <w:gridCol w:w="3849"/>
        <w:gridCol w:w="3139"/>
      </w:tblGrid>
      <w:tr w14:paraId="649846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shd w:val="clear" w:color="auto" w:fill="BEBEBE"/>
            <w:vAlign w:val="center"/>
          </w:tcPr>
          <w:p w14:paraId="27641931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药物</w:t>
            </w:r>
          </w:p>
        </w:tc>
        <w:tc>
          <w:tcPr>
            <w:tcW w:w="3849" w:type="dxa"/>
            <w:shd w:val="clear" w:color="auto" w:fill="BEBEBE"/>
            <w:vAlign w:val="center"/>
          </w:tcPr>
          <w:p w14:paraId="4364E7C0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适应症</w:t>
            </w:r>
          </w:p>
        </w:tc>
        <w:tc>
          <w:tcPr>
            <w:tcW w:w="3139" w:type="dxa"/>
            <w:shd w:val="clear" w:color="auto" w:fill="BEBEBE"/>
            <w:vAlign w:val="center"/>
          </w:tcPr>
          <w:p w14:paraId="714D2E27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获批机构</w:t>
            </w:r>
          </w:p>
        </w:tc>
      </w:tr>
      <w:tr w14:paraId="6B1288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251F4DDD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曲妥珠单抗</w:t>
            </w:r>
          </w:p>
        </w:tc>
        <w:tc>
          <w:tcPr>
            <w:tcW w:w="3849" w:type="dxa"/>
            <w:vAlign w:val="center"/>
          </w:tcPr>
          <w:p w14:paraId="5D82AF9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乳腺癌、胃癌、结直肠癌</w:t>
            </w:r>
          </w:p>
        </w:tc>
        <w:tc>
          <w:tcPr>
            <w:tcW w:w="3139" w:type="dxa"/>
            <w:vAlign w:val="center"/>
          </w:tcPr>
          <w:p w14:paraId="61FE21D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NMPA/FDA</w:t>
            </w:r>
          </w:p>
        </w:tc>
      </w:tr>
      <w:tr w14:paraId="1983A2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5FE4EDD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bookmarkStart w:id="15" w:name="OLE_LINK8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帕妥珠单抗</w:t>
            </w:r>
            <w:bookmarkEnd w:id="15"/>
          </w:p>
        </w:tc>
        <w:tc>
          <w:tcPr>
            <w:tcW w:w="3849" w:type="dxa"/>
            <w:vAlign w:val="center"/>
          </w:tcPr>
          <w:p w14:paraId="41E54BC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3E6917C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NMPA/FDA</w:t>
            </w:r>
          </w:p>
        </w:tc>
      </w:tr>
      <w:tr w14:paraId="6D536A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25794D8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拉帕替尼</w:t>
            </w:r>
          </w:p>
        </w:tc>
        <w:tc>
          <w:tcPr>
            <w:tcW w:w="3849" w:type="dxa"/>
            <w:vAlign w:val="center"/>
          </w:tcPr>
          <w:p w14:paraId="1984C19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01FE987B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NMPA/FDA</w:t>
            </w:r>
          </w:p>
        </w:tc>
      </w:tr>
      <w:tr w14:paraId="575D1E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35B35050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bookmarkStart w:id="16" w:name="OLE_LINK9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吡咯替尼</w:t>
            </w:r>
            <w:bookmarkEnd w:id="16"/>
          </w:p>
        </w:tc>
        <w:tc>
          <w:tcPr>
            <w:tcW w:w="3849" w:type="dxa"/>
            <w:vAlign w:val="center"/>
          </w:tcPr>
          <w:p w14:paraId="24E0DD6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42D4CA6D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</w:t>
            </w:r>
          </w:p>
        </w:tc>
      </w:tr>
      <w:tr w14:paraId="50BAE3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27C326FD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bookmarkStart w:id="17" w:name="OLE_LINK10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奈拉替尼</w:t>
            </w:r>
            <w:bookmarkEnd w:id="17"/>
          </w:p>
        </w:tc>
        <w:tc>
          <w:tcPr>
            <w:tcW w:w="3849" w:type="dxa"/>
            <w:vAlign w:val="center"/>
          </w:tcPr>
          <w:p w14:paraId="085FA41C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294B1780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NMPA/FDA</w:t>
            </w:r>
          </w:p>
        </w:tc>
      </w:tr>
      <w:tr w14:paraId="03AAF3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43804E0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 w:val="0"/>
                <w:sz w:val="21"/>
                <w:szCs w:val="21"/>
                <w:lang w:eastAsia="zh-CN"/>
              </w:rPr>
              <w:t>图卡替尼</w:t>
            </w:r>
          </w:p>
        </w:tc>
        <w:tc>
          <w:tcPr>
            <w:tcW w:w="3849" w:type="dxa"/>
            <w:vAlign w:val="center"/>
          </w:tcPr>
          <w:p w14:paraId="49BDE37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乳腺癌、结直肠癌</w:t>
            </w:r>
          </w:p>
        </w:tc>
        <w:tc>
          <w:tcPr>
            <w:tcW w:w="3139" w:type="dxa"/>
            <w:vAlign w:val="center"/>
          </w:tcPr>
          <w:p w14:paraId="6C53DA41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FDA</w:t>
            </w:r>
          </w:p>
        </w:tc>
      </w:tr>
      <w:tr w14:paraId="342273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43E9CCD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bookmarkStart w:id="18" w:name="OLE_LINK11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伊尼妥单抗</w:t>
            </w:r>
            <w:bookmarkEnd w:id="18"/>
          </w:p>
        </w:tc>
        <w:tc>
          <w:tcPr>
            <w:tcW w:w="3849" w:type="dxa"/>
            <w:vAlign w:val="center"/>
          </w:tcPr>
          <w:p w14:paraId="25474371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0347A38C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</w:t>
            </w:r>
          </w:p>
        </w:tc>
      </w:tr>
      <w:tr w14:paraId="15107A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5C12158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bookmarkStart w:id="19" w:name="OLE_LINK12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恩美曲妥珠单抗</w:t>
            </w:r>
            <w:bookmarkEnd w:id="19"/>
          </w:p>
        </w:tc>
        <w:tc>
          <w:tcPr>
            <w:tcW w:w="3849" w:type="dxa"/>
            <w:vAlign w:val="center"/>
          </w:tcPr>
          <w:p w14:paraId="28F1148C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3D99FD47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NMPA/FDA</w:t>
            </w:r>
          </w:p>
        </w:tc>
      </w:tr>
      <w:tr w14:paraId="7316D8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Merge w:val="restart"/>
            <w:vAlign w:val="center"/>
          </w:tcPr>
          <w:p w14:paraId="15017B4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bookmarkStart w:id="20" w:name="OLE_LINK13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德曲妥珠单抗</w:t>
            </w:r>
            <w:bookmarkEnd w:id="20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*</w:t>
            </w:r>
          </w:p>
        </w:tc>
        <w:tc>
          <w:tcPr>
            <w:tcW w:w="3849" w:type="dxa"/>
            <w:vAlign w:val="center"/>
          </w:tcPr>
          <w:p w14:paraId="79A21A38">
            <w:pPr>
              <w:adjustRightInd w:val="0"/>
              <w:snapToGrid w:val="0"/>
              <w:jc w:val="center"/>
              <w:rPr>
                <w:rFonts w:hint="eastAsia" w:ascii="Times New Roman" w:hAnsi="Times New Roman" w:eastAsia="微软雅黑" w:cs="Times New Roman"/>
                <w:bCs/>
                <w:color w:val="auto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</w:t>
            </w: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癌、非小细胞肺癌</w:t>
            </w:r>
            <w:r>
              <w:rPr>
                <w:rFonts w:hint="default" w:ascii="Times New Roman" w:hAnsi="Times New Roman" w:eastAsia="微软雅黑" w:cs="Times New Roman"/>
                <w:bCs/>
                <w:color w:val="auto"/>
                <w:sz w:val="21"/>
                <w:szCs w:val="21"/>
                <w:highlight w:val="none"/>
                <w:lang w:eastAsia="zh-CN"/>
              </w:rPr>
              <w:t>、胃癌</w:t>
            </w:r>
            <w:r>
              <w:rPr>
                <w:rFonts w:hint="eastAsia" w:ascii="Times New Roman" w:hAnsi="Times New Roman" w:eastAsia="微软雅黑" w:cs="Times New Roman"/>
                <w:bCs/>
                <w:color w:val="auto"/>
                <w:sz w:val="21"/>
                <w:szCs w:val="21"/>
                <w:highlight w:val="none"/>
                <w:lang w:eastAsia="zh-CN"/>
              </w:rPr>
              <w:t>、</w:t>
            </w:r>
            <w:r>
              <w:rPr>
                <w:rFonts w:hint="eastAsia" w:ascii="Times New Roman" w:hAnsi="Times New Roman" w:eastAsia="微软雅黑" w:cs="Times New Roman"/>
                <w:bCs/>
                <w:color w:val="auto"/>
                <w:sz w:val="21"/>
                <w:szCs w:val="21"/>
                <w:highlight w:val="none"/>
                <w:lang w:val="en-US" w:eastAsia="zh-CN"/>
              </w:rPr>
              <w:t>胃食管</w:t>
            </w:r>
          </w:p>
          <w:p w14:paraId="16385FB1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color w:val="auto"/>
                <w:sz w:val="21"/>
                <w:szCs w:val="21"/>
                <w:highlight w:val="none"/>
                <w:lang w:val="en-US" w:eastAsia="zh-CN"/>
              </w:rPr>
              <w:t>结合腺癌</w:t>
            </w:r>
          </w:p>
        </w:tc>
        <w:tc>
          <w:tcPr>
            <w:tcW w:w="3139" w:type="dxa"/>
            <w:vAlign w:val="center"/>
          </w:tcPr>
          <w:p w14:paraId="79103F90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NMPA/FDA</w:t>
            </w:r>
          </w:p>
        </w:tc>
      </w:tr>
      <w:tr w14:paraId="36BE6F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Merge w:val="continue"/>
            <w:vAlign w:val="center"/>
          </w:tcPr>
          <w:p w14:paraId="55F52B8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bookmarkStart w:id="21" w:name="OLE_LINK14"/>
          </w:p>
        </w:tc>
        <w:tc>
          <w:tcPr>
            <w:tcW w:w="3849" w:type="dxa"/>
            <w:shd w:val="clear" w:color="auto" w:fill="auto"/>
            <w:vAlign w:val="center"/>
          </w:tcPr>
          <w:p w14:paraId="7825F9F1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21"/>
                <w:szCs w:val="21"/>
                <w:lang w:val="en-US" w:eastAsia="zh-CN"/>
              </w:rPr>
              <w:t>实体瘤</w:t>
            </w:r>
          </w:p>
        </w:tc>
        <w:tc>
          <w:tcPr>
            <w:tcW w:w="3139" w:type="dxa"/>
            <w:shd w:val="clear" w:color="auto" w:fill="auto"/>
            <w:vAlign w:val="center"/>
          </w:tcPr>
          <w:p w14:paraId="3172ABCD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FDA</w:t>
            </w:r>
          </w:p>
        </w:tc>
      </w:tr>
      <w:tr w14:paraId="4E3CAC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47245A4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马吉妥昔单抗</w:t>
            </w:r>
            <w:bookmarkEnd w:id="21"/>
          </w:p>
        </w:tc>
        <w:tc>
          <w:tcPr>
            <w:tcW w:w="3849" w:type="dxa"/>
            <w:vAlign w:val="center"/>
          </w:tcPr>
          <w:p w14:paraId="59E813E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5CB014D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NMPA/FDA</w:t>
            </w:r>
          </w:p>
        </w:tc>
      </w:tr>
      <w:tr w14:paraId="39CC1C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23CAADC1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维迪西妥单抗</w:t>
            </w:r>
          </w:p>
        </w:tc>
        <w:tc>
          <w:tcPr>
            <w:tcW w:w="3849" w:type="dxa"/>
            <w:vAlign w:val="center"/>
          </w:tcPr>
          <w:p w14:paraId="71EC52C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bookmarkStart w:id="22" w:name="OLE_LINK15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胃癌、胃食管腺癌</w:t>
            </w:r>
            <w:bookmarkEnd w:id="22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、膀胱尿路上皮癌</w:t>
            </w:r>
          </w:p>
        </w:tc>
        <w:tc>
          <w:tcPr>
            <w:tcW w:w="3139" w:type="dxa"/>
            <w:vAlign w:val="center"/>
          </w:tcPr>
          <w:p w14:paraId="23E77926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</w:t>
            </w:r>
          </w:p>
        </w:tc>
      </w:tr>
      <w:tr w14:paraId="30881C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0" w:hRule="atLeast"/>
          <w:jc w:val="center"/>
        </w:trPr>
        <w:tc>
          <w:tcPr>
            <w:tcW w:w="3171" w:type="dxa"/>
            <w:vAlign w:val="center"/>
          </w:tcPr>
          <w:p w14:paraId="7BDB8600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帕博利珠单抗</w:t>
            </w:r>
          </w:p>
        </w:tc>
        <w:tc>
          <w:tcPr>
            <w:tcW w:w="3849" w:type="dxa"/>
            <w:vAlign w:val="center"/>
          </w:tcPr>
          <w:p w14:paraId="7706C89A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胃癌、胃食管腺癌</w:t>
            </w:r>
          </w:p>
        </w:tc>
        <w:tc>
          <w:tcPr>
            <w:tcW w:w="3139" w:type="dxa"/>
            <w:vAlign w:val="center"/>
          </w:tcPr>
          <w:p w14:paraId="2363772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FDA</w:t>
            </w:r>
          </w:p>
        </w:tc>
      </w:tr>
    </w:tbl>
    <w:p w14:paraId="7620D2EA">
      <w:pPr>
        <w:adjustRightInd w:val="0"/>
        <w:snapToGrid w:val="0"/>
        <w:jc w:val="both"/>
        <w:rPr>
          <w:rFonts w:hint="default" w:ascii="Times New Roman" w:hAnsi="Times New Roman" w:eastAsia="微软雅黑" w:cs="Times New Roman"/>
          <w:b/>
          <w:bCs/>
          <w:color w:val="548DD4"/>
          <w:sz w:val="16"/>
          <w:szCs w:val="16"/>
          <w:lang w:eastAsia="zh-CN"/>
        </w:rPr>
      </w:pPr>
      <w:r>
        <w:rPr>
          <w:rFonts w:hint="default" w:ascii="Times New Roman" w:hAnsi="Times New Roman" w:eastAsia="微软雅黑" w:cs="Times New Roman"/>
          <w:bCs/>
          <w:sz w:val="16"/>
          <w:szCs w:val="16"/>
          <w:lang w:eastAsia="zh-CN"/>
        </w:rPr>
        <w:t>注：德曲妥珠单抗* 经FDA批准可用于HER2低表达 (IHC 1+ or IHC 2+/ISH-）不可切除或转移性乳腺癌成人患者。</w:t>
      </w:r>
    </w:p>
    <w:p w14:paraId="48402BBD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313" w:beforeLines="100"/>
        <w:ind w:firstLine="0" w:firstLineChars="0"/>
        <w:jc w:val="both"/>
        <w:textAlignment w:val="auto"/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其它处于临床研究阶段的</w:t>
      </w:r>
      <w:r>
        <w:rPr>
          <w:rFonts w:hint="default" w:ascii="Times New Roman" w:hAnsi="Times New Roman" w:eastAsia="微软雅黑" w:cs="Times New Roman"/>
          <w:b/>
          <w:bCs w:val="0"/>
          <w:lang w:val="en-US" w:eastAsia="zh-CN" w:bidi="ar-SA"/>
        </w:rPr>
        <w:t>（部分）</w:t>
      </w:r>
      <w:r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药物</w:t>
      </w:r>
      <w:r>
        <w:rPr>
          <w:rFonts w:hint="default" w:ascii="Times New Roman" w:hAnsi="Times New Roman" w:eastAsia="微软雅黑" w:cs="Times New Roman"/>
          <w:bCs/>
          <w:color w:val="000000"/>
          <w:sz w:val="21"/>
          <w:szCs w:val="21"/>
          <w:vertAlign w:val="superscript"/>
          <w:lang w:val="en-US" w:eastAsia="zh-CN" w:bidi="ar-SA"/>
        </w:rPr>
        <w:t>[6,7]</w:t>
      </w:r>
    </w:p>
    <w:tbl>
      <w:tblPr>
        <w:tblStyle w:val="1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75"/>
        <w:gridCol w:w="2350"/>
        <w:gridCol w:w="1487"/>
        <w:gridCol w:w="2482"/>
        <w:gridCol w:w="1444"/>
      </w:tblGrid>
      <w:tr w14:paraId="5AA873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90" w:hRule="atLeast"/>
          <w:jc w:val="center"/>
        </w:trPr>
        <w:tc>
          <w:tcPr>
            <w:tcW w:w="2175" w:type="dxa"/>
            <w:shd w:val="clear" w:color="auto" w:fill="BEBEBE"/>
            <w:vAlign w:val="center"/>
          </w:tcPr>
          <w:p w14:paraId="1FFF457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公司</w:t>
            </w:r>
          </w:p>
        </w:tc>
        <w:tc>
          <w:tcPr>
            <w:tcW w:w="2350" w:type="dxa"/>
            <w:shd w:val="clear" w:color="auto" w:fill="BEBEBE"/>
            <w:vAlign w:val="center"/>
          </w:tcPr>
          <w:p w14:paraId="57DF4E1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药物</w:t>
            </w:r>
          </w:p>
        </w:tc>
        <w:tc>
          <w:tcPr>
            <w:tcW w:w="1487" w:type="dxa"/>
            <w:shd w:val="clear" w:color="auto" w:fill="BEBEBE"/>
            <w:vAlign w:val="center"/>
          </w:tcPr>
          <w:p w14:paraId="1007718D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靶点</w:t>
            </w:r>
          </w:p>
        </w:tc>
        <w:tc>
          <w:tcPr>
            <w:tcW w:w="2482" w:type="dxa"/>
            <w:shd w:val="clear" w:color="auto" w:fill="BEBEBE"/>
            <w:vAlign w:val="center"/>
          </w:tcPr>
          <w:p w14:paraId="1E95284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适应症</w:t>
            </w:r>
          </w:p>
        </w:tc>
        <w:tc>
          <w:tcPr>
            <w:tcW w:w="1444" w:type="dxa"/>
            <w:shd w:val="clear" w:color="auto" w:fill="BEBEBE"/>
            <w:vAlign w:val="center"/>
          </w:tcPr>
          <w:p w14:paraId="6E664A4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临床分期</w:t>
            </w:r>
          </w:p>
        </w:tc>
      </w:tr>
      <w:tr w14:paraId="4D24C1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52FC498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第一三共</w:t>
            </w:r>
          </w:p>
        </w:tc>
        <w:tc>
          <w:tcPr>
            <w:tcW w:w="2350" w:type="dxa"/>
            <w:vAlign w:val="center"/>
          </w:tcPr>
          <w:p w14:paraId="6C8C287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bookmarkStart w:id="23" w:name="OLE_LINK18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DS-8201</w:t>
            </w:r>
            <w:bookmarkEnd w:id="23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a</w:t>
            </w:r>
          </w:p>
        </w:tc>
        <w:tc>
          <w:tcPr>
            <w:tcW w:w="1487" w:type="dxa"/>
            <w:vAlign w:val="center"/>
          </w:tcPr>
          <w:p w14:paraId="3C598177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60002620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胃癌或GEJ腺癌</w:t>
            </w:r>
          </w:p>
        </w:tc>
        <w:tc>
          <w:tcPr>
            <w:tcW w:w="1444" w:type="dxa"/>
            <w:vAlign w:val="center"/>
          </w:tcPr>
          <w:p w14:paraId="55000A4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Ⅲ期</w:t>
            </w:r>
          </w:p>
        </w:tc>
      </w:tr>
      <w:tr w14:paraId="40ADB7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7F51DC8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第一三共</w:t>
            </w:r>
          </w:p>
        </w:tc>
        <w:tc>
          <w:tcPr>
            <w:tcW w:w="2350" w:type="dxa"/>
            <w:vAlign w:val="center"/>
          </w:tcPr>
          <w:p w14:paraId="1A5A11C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DS-8201a</w:t>
            </w:r>
          </w:p>
        </w:tc>
        <w:tc>
          <w:tcPr>
            <w:tcW w:w="1487" w:type="dxa"/>
            <w:vAlign w:val="center"/>
          </w:tcPr>
          <w:p w14:paraId="0D345D6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18275A8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乳腺癌</w:t>
            </w:r>
          </w:p>
        </w:tc>
        <w:tc>
          <w:tcPr>
            <w:tcW w:w="1444" w:type="dxa"/>
            <w:vAlign w:val="center"/>
          </w:tcPr>
          <w:p w14:paraId="4A3C008C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Ⅲ期</w:t>
            </w:r>
          </w:p>
        </w:tc>
      </w:tr>
      <w:tr w14:paraId="371E14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14BFDF2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第一三共</w:t>
            </w:r>
          </w:p>
        </w:tc>
        <w:tc>
          <w:tcPr>
            <w:tcW w:w="2350" w:type="dxa"/>
            <w:vAlign w:val="center"/>
          </w:tcPr>
          <w:p w14:paraId="7C9606E0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DS-8201a</w:t>
            </w:r>
          </w:p>
        </w:tc>
        <w:tc>
          <w:tcPr>
            <w:tcW w:w="1487" w:type="dxa"/>
            <w:vAlign w:val="center"/>
          </w:tcPr>
          <w:p w14:paraId="3FBC6ABD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3A1A5C67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实体瘤</w:t>
            </w:r>
          </w:p>
        </w:tc>
        <w:tc>
          <w:tcPr>
            <w:tcW w:w="1444" w:type="dxa"/>
            <w:vAlign w:val="center"/>
          </w:tcPr>
          <w:p w14:paraId="3408B1D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Ⅲ期</w:t>
            </w:r>
          </w:p>
        </w:tc>
      </w:tr>
      <w:tr w14:paraId="22626A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3DE3E5F7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阿斯利康</w:t>
            </w:r>
          </w:p>
        </w:tc>
        <w:tc>
          <w:tcPr>
            <w:tcW w:w="2350" w:type="dxa"/>
            <w:vAlign w:val="center"/>
          </w:tcPr>
          <w:p w14:paraId="6BEDB3D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DS-8201a</w:t>
            </w:r>
          </w:p>
        </w:tc>
        <w:tc>
          <w:tcPr>
            <w:tcW w:w="1487" w:type="dxa"/>
            <w:vAlign w:val="center"/>
          </w:tcPr>
          <w:p w14:paraId="30661B2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1652162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非小细胞肺癌</w:t>
            </w:r>
          </w:p>
        </w:tc>
        <w:tc>
          <w:tcPr>
            <w:tcW w:w="1444" w:type="dxa"/>
            <w:vAlign w:val="center"/>
          </w:tcPr>
          <w:p w14:paraId="06609FF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Ⅲ期</w:t>
            </w:r>
          </w:p>
        </w:tc>
      </w:tr>
      <w:tr w14:paraId="49EEE6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5DBF512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bookmarkStart w:id="24" w:name="OLE_LINK25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恒瑞医药</w:t>
            </w:r>
            <w:bookmarkEnd w:id="24"/>
          </w:p>
        </w:tc>
        <w:tc>
          <w:tcPr>
            <w:tcW w:w="2350" w:type="dxa"/>
            <w:vAlign w:val="center"/>
          </w:tcPr>
          <w:p w14:paraId="515CD4B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bookmarkStart w:id="25" w:name="OLE_LINK22"/>
            <w:bookmarkStart w:id="26" w:name="OLE_LINK24"/>
            <w:bookmarkStart w:id="27" w:name="OLE_LINK23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SHR</w:t>
            </w:r>
            <w:bookmarkEnd w:id="25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-A181</w:t>
            </w:r>
            <w:bookmarkEnd w:id="26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1</w:t>
            </w:r>
            <w:bookmarkEnd w:id="27"/>
          </w:p>
        </w:tc>
        <w:tc>
          <w:tcPr>
            <w:tcW w:w="1487" w:type="dxa"/>
            <w:vAlign w:val="center"/>
          </w:tcPr>
          <w:p w14:paraId="2CCB0F7A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bookmarkStart w:id="28" w:name="OLE_LINK20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HER2</w:t>
            </w:r>
            <w:bookmarkEnd w:id="28"/>
          </w:p>
        </w:tc>
        <w:tc>
          <w:tcPr>
            <w:tcW w:w="2482" w:type="dxa"/>
            <w:vAlign w:val="center"/>
          </w:tcPr>
          <w:p w14:paraId="11DAD79D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结直肠癌</w:t>
            </w:r>
          </w:p>
        </w:tc>
        <w:tc>
          <w:tcPr>
            <w:tcW w:w="1444" w:type="dxa"/>
            <w:vAlign w:val="center"/>
          </w:tcPr>
          <w:p w14:paraId="620BC51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Ⅲ期</w:t>
            </w:r>
          </w:p>
        </w:tc>
      </w:tr>
      <w:tr w14:paraId="2F0B41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0BA9E976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乐普生物</w:t>
            </w:r>
          </w:p>
        </w:tc>
        <w:tc>
          <w:tcPr>
            <w:tcW w:w="2350" w:type="dxa"/>
            <w:vAlign w:val="center"/>
          </w:tcPr>
          <w:p w14:paraId="30DD8530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MRG002</w:t>
            </w:r>
          </w:p>
        </w:tc>
        <w:tc>
          <w:tcPr>
            <w:tcW w:w="1487" w:type="dxa"/>
            <w:vAlign w:val="center"/>
          </w:tcPr>
          <w:p w14:paraId="5FF85E5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77B7850D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1444" w:type="dxa"/>
            <w:vAlign w:val="center"/>
          </w:tcPr>
          <w:p w14:paraId="5CBB11F1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II/III期</w:t>
            </w:r>
          </w:p>
        </w:tc>
      </w:tr>
      <w:tr w14:paraId="616EF5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1D55C59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盛禾生物</w:t>
            </w:r>
          </w:p>
        </w:tc>
        <w:tc>
          <w:tcPr>
            <w:tcW w:w="2350" w:type="dxa"/>
            <w:vAlign w:val="center"/>
          </w:tcPr>
          <w:p w14:paraId="3D76D45A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IAH0968</w:t>
            </w:r>
          </w:p>
        </w:tc>
        <w:tc>
          <w:tcPr>
            <w:tcW w:w="1487" w:type="dxa"/>
            <w:vAlign w:val="center"/>
          </w:tcPr>
          <w:p w14:paraId="1845B2B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1FB5C2A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结直肠癌</w:t>
            </w:r>
          </w:p>
        </w:tc>
        <w:tc>
          <w:tcPr>
            <w:tcW w:w="1444" w:type="dxa"/>
            <w:vAlign w:val="center"/>
          </w:tcPr>
          <w:p w14:paraId="2ADD4A91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II/III期</w:t>
            </w:r>
          </w:p>
        </w:tc>
      </w:tr>
      <w:tr w14:paraId="75FE41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364C9211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康宁杰瑞</w:t>
            </w:r>
          </w:p>
        </w:tc>
        <w:tc>
          <w:tcPr>
            <w:tcW w:w="2350" w:type="dxa"/>
            <w:vAlign w:val="center"/>
          </w:tcPr>
          <w:p w14:paraId="0DC7F27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KN026</w:t>
            </w:r>
          </w:p>
        </w:tc>
        <w:tc>
          <w:tcPr>
            <w:tcW w:w="1487" w:type="dxa"/>
            <w:vAlign w:val="center"/>
          </w:tcPr>
          <w:p w14:paraId="78528F0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2C10852A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胃癌/胃食管结合腺癌</w:t>
            </w:r>
          </w:p>
        </w:tc>
        <w:tc>
          <w:tcPr>
            <w:tcW w:w="1444" w:type="dxa"/>
            <w:vAlign w:val="center"/>
          </w:tcPr>
          <w:p w14:paraId="7CDE89F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bookmarkStart w:id="29" w:name="OLE_LINK33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II/III期</w:t>
            </w:r>
            <w:bookmarkEnd w:id="29"/>
          </w:p>
        </w:tc>
      </w:tr>
      <w:tr w14:paraId="2C83E6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33C82290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恒瑞医药</w:t>
            </w:r>
          </w:p>
        </w:tc>
        <w:tc>
          <w:tcPr>
            <w:tcW w:w="2350" w:type="dxa"/>
            <w:vAlign w:val="center"/>
          </w:tcPr>
          <w:p w14:paraId="4E0F11C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SHR-A1811</w:t>
            </w:r>
          </w:p>
        </w:tc>
        <w:tc>
          <w:tcPr>
            <w:tcW w:w="1487" w:type="dxa"/>
            <w:vAlign w:val="center"/>
          </w:tcPr>
          <w:p w14:paraId="2B3BF31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2EE5A4AB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1444" w:type="dxa"/>
            <w:vAlign w:val="center"/>
          </w:tcPr>
          <w:p w14:paraId="619698B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III期</w:t>
            </w:r>
          </w:p>
        </w:tc>
      </w:tr>
      <w:tr w14:paraId="4670D6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759EADF0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乐普生物</w:t>
            </w:r>
          </w:p>
        </w:tc>
        <w:tc>
          <w:tcPr>
            <w:tcW w:w="2350" w:type="dxa"/>
            <w:vAlign w:val="center"/>
          </w:tcPr>
          <w:p w14:paraId="339704EA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MRG002</w:t>
            </w:r>
          </w:p>
        </w:tc>
        <w:tc>
          <w:tcPr>
            <w:tcW w:w="1487" w:type="dxa"/>
            <w:vAlign w:val="center"/>
          </w:tcPr>
          <w:p w14:paraId="674E284C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56791D0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尿路上皮癌</w:t>
            </w:r>
          </w:p>
        </w:tc>
        <w:tc>
          <w:tcPr>
            <w:tcW w:w="1444" w:type="dxa"/>
            <w:vAlign w:val="center"/>
          </w:tcPr>
          <w:p w14:paraId="435579E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III期</w:t>
            </w:r>
          </w:p>
        </w:tc>
      </w:tr>
    </w:tbl>
    <w:p w14:paraId="25222CF2">
      <w:pPr>
        <w:autoSpaceDE w:val="0"/>
        <w:autoSpaceDN w:val="0"/>
        <w:adjustRightInd w:val="0"/>
        <w:snapToGrid w:val="0"/>
        <w:spacing w:line="360" w:lineRule="auto"/>
        <w:ind w:firstLine="440" w:firstLineChars="200"/>
        <w:jc w:val="both"/>
        <w:rPr>
          <w:rFonts w:hint="default" w:ascii="Times New Roman" w:hAnsi="Times New Roman" w:eastAsia="微软雅黑" w:cs="Times New Roman"/>
          <w:bCs/>
          <w:kern w:val="0"/>
        </w:rPr>
      </w:pPr>
      <w:r>
        <w:rPr>
          <w:rFonts w:hint="default" w:ascii="Times New Roman" w:hAnsi="Times New Roman" w:eastAsia="微软雅黑" w:cs="Times New Roman"/>
          <w:bCs/>
          <w:kern w:val="0"/>
        </w:rPr>
        <w:br w:type="page"/>
      </w:r>
    </w:p>
    <w:p w14:paraId="68C1074C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313" w:beforeLines="100"/>
        <w:ind w:firstLine="0" w:firstLineChars="0"/>
        <w:jc w:val="both"/>
        <w:textAlignment w:val="auto"/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参考文献</w:t>
      </w:r>
    </w:p>
    <w:p w14:paraId="119919E3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Yarden, Y，et al. Untangling the ErbB signalling network. Nature reviews. Molecular cell biology. 2001 Feb;2(2):127-37.</w:t>
      </w:r>
    </w:p>
    <w:p w14:paraId="4686F991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Hynes, N. E，et al. ERBB receptors and cancer: the complexity of targeted inhibitors. Nature reviews. Cancer. 2005 May;5(5):341-54.</w:t>
      </w:r>
    </w:p>
    <w:p w14:paraId="4B05DE0D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 xml:space="preserve">Menard S，et al. Biologic and therapeutic role of HER2 in cancer［J］. Oncogene. 2003 Sep 29;22(42):6570-8. </w:t>
      </w:r>
    </w:p>
    <w:p w14:paraId="45DC7137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国家药品监督管理局药品审评中心 (cde.org.cn)</w:t>
      </w:r>
    </w:p>
    <w:p w14:paraId="4870026A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Drugs@FDA: FDA-Approved Drugs</w:t>
      </w:r>
    </w:p>
    <w:p w14:paraId="55BEC81F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bookmarkStart w:id="30" w:name="OLE_LINK7"/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https://www.chictr.org.cn/</w:t>
      </w:r>
      <w:bookmarkEnd w:id="30"/>
    </w:p>
    <w:p w14:paraId="712ED571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https://clinicaltrials.gov/</w:t>
      </w:r>
    </w:p>
    <w:p w14:paraId="7910D429">
      <w:pPr>
        <w:pStyle w:val="13"/>
        <w:widowControl/>
        <w:rPr>
          <w:rFonts w:hint="default" w:ascii="Times New Roman" w:hAnsi="Times New Roman" w:eastAsia="等线"/>
          <w:sz w:val="22"/>
          <w:lang w:eastAsia="zh-CN"/>
        </w:rPr>
      </w:pPr>
    </w:p>
    <w:sectPr>
      <w:footerReference r:id="rId6" w:type="default"/>
      <w:pgSz w:w="11906" w:h="16838"/>
      <w:pgMar w:top="850" w:right="850" w:bottom="850" w:left="850" w:header="397" w:footer="567" w:gutter="0"/>
      <w:pgNumType w:fmt="decimal" w:start="1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FCD38ED">
    <w:pPr>
      <w:pStyle w:val="9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F6A41A8">
    <w:pPr>
      <w:pStyle w:val="9"/>
      <w:tabs>
        <w:tab w:val="center" w:pos="4935"/>
        <w:tab w:val="clear" w:pos="4153"/>
      </w:tabs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-400685</wp:posOffset>
              </wp:positionH>
              <wp:positionV relativeFrom="paragraph">
                <wp:posOffset>1275715</wp:posOffset>
              </wp:positionV>
              <wp:extent cx="5884545" cy="372745"/>
              <wp:effectExtent l="0" t="0" r="0" b="0"/>
              <wp:wrapNone/>
              <wp:docPr id="24" name="文本框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884545" cy="37274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>
                        <a:innerShdw blurRad="63500" dist="50800">
                          <a:schemeClr val="bg1">
                            <a:lumMod val="50000"/>
                            <a:alpha val="50000"/>
                          </a:schemeClr>
                        </a:innerShdw>
                        <a:softEdge rad="12700"/>
                      </a:effec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CBD8CA3">
                          <w:pPr>
                            <w:jc w:val="center"/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</w:pP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网址：www.novogene.com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n-US"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邮箱：service@novogene.com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n-US"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电话：010-8283 7801</w:t>
                          </w:r>
                        </w:p>
                        <w:p w14:paraId="1D313CCC">
                          <w:pPr>
                            <w:jc w:val="right"/>
                            <w:rPr>
                              <w:rFonts w:hint="default" w:ascii="微软雅黑" w:hAnsi="微软雅黑" w:eastAsia="微软雅黑" w:cs="微软雅黑"/>
                              <w:color w:val="808080" w:themeColor="text1" w:themeTint="80"/>
                              <w:sz w:val="24"/>
                              <w:szCs w:val="32"/>
                              <w:lang w:val="en-US" w:eastAsia="zh-CN"/>
                              <w14:textFill>
                                <w14:solidFill>
                                  <w14:schemeClr w14:val="tx1">
                                    <w14:lumMod w14:val="50000"/>
                                    <w14:lumOff w14:val="50000"/>
                                  </w14:schemeClr>
                                </w14:solidFill>
                              </w14:textFill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文本框 6" o:spid="_x0000_s1026" o:spt="202" type="#_x0000_t202" style="position:absolute;left:0pt;margin-left:-31.55pt;margin-top:100.45pt;height:29.35pt;width:463.35pt;z-index:251659264;mso-width-relative:page;mso-height-relative:page;" filled="f" stroked="f" coordsize="21600,21600" o:gfxdata="UEsDBAoAAAAAAIdO4kAAAAAAAAAAAAAAAAAEAAAAZHJzL1BLAwQUAAAACACHTuJA6eknR9sAAAAL&#10;AQAADwAAAGRycy9kb3ducmV2LnhtbE2PTU/DMAyG70j8h8hI3La0mxZ1pemEKk1ICA4bu3Bzm6yt&#10;aJzSZB/w6zEnONp+9L6Pi83VDeJsp9B70pDOExCWGm96ajUc3razDESISAYHT1bDlw2wKW9vCsyN&#10;v9DOnvexFRxCIUcNXYxjLmVoOuswzP1oiW9HPzmMPE6tNBNeONwNcpEkSjrsiRs6HG3V2eZjf3Ia&#10;nqvtK+7qhcu+h+rp5fg4fh7eV1rf36XJA4hor/EPhl99VoeSnWp/IhPEoGGmlimjGrhmDYKJTC0V&#10;iJo3q7UCWRby/w/lD1BLAwQUAAAACACHTuJAO0KVbpYCAAAkBQAADgAAAGRycy9lMm9Eb2MueG1s&#10;rVTNbhMxEL4j8Q6W73STNGlC1E0VWoqQCq0IiLPj9WZX8h+2N5vyAPAGnLhw57nyHHz2JmlUOPTA&#10;ZXf+/M3M5xmfX2yUJGvhfG10TvsnPUqE5qao9Sqnnz5ev5hQ4gPTBZNGi5zeC08vZs+fnbd2Kgam&#10;MrIQjgBE+2lrc1qFYKdZ5nklFPMnxgoNZ2mcYgGqW2WFYy3QlcwGvd5Z1hpXWGe48B7Wq85Jd4ju&#10;KYCmLGsurgxvlNChQ3VCsoCWfFVbT2ep2rIUPNyWpReByJyi05C+SAJ5Gb/Z7JxNV47Zqua7EthT&#10;SnjUk2K1RtID1BULjDSu/gtK1dwZb8pwwo3KukYSI+ii33vEzaJiVqReQLW3B9L9/4Pl79d3jtRF&#10;TgdDSjRTuPHtj+/bn7+3v76Rs8hPa/0UYQuLwLB5ZTaYmr3dwxjb3pROxT8aIvCD3fsDu2ITCIdx&#10;NJkMR8MRJRy+0/FgDBnw2cNp63x4I4wiUcipw+0lUtn6xocudB8Sk2lzXUuZblBq0ub07HTUSwcO&#10;HoBLHWNFmgXARKXWWrhFVbRkKRv3gaH7eBRVF3VMPOpNoMRI71bLS+nImmF+JjBPOrts1DtTdGYc&#10;RHQqg0lbsUdWlLBDSb0ecid4DMLrYiWIizX0B+MOCEeO6s3iBXRERylslhski+LSFPe4FGdQM4r3&#10;ll/XYO6G+XDHHOYYRmx6uMWnlAYMmZ1ESWXc13/ZYzzGC15KWuxFTv2XhjlBiXyrMXgv+8MhYENS&#10;hqPxAIo79iyPPbpRlwbU9VN1SYzxQe7F0hn1GQ/CPGaFi2mO3DkNe/EydNuKB4WL+TwFYXUsCzd6&#10;YXmEjkxqM2+CKes0Jg/cgPKoYHkS+btFj9t5rKeoh8dt9gd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AKBQAAW0NvbnRlbnRfVHlwZXNdLnhtbFBL&#10;AQIUAAoAAAAAAIdO4kAAAAAAAAAAAAAAAAAGAAAAAAAAAAAAEAAAAOwDAABfcmVscy9QSwECFAAU&#10;AAAACACHTuJAihRmPNEAAACUAQAACwAAAAAAAAABACAAAAAQBAAAX3JlbHMvLnJlbHNQSwECFAAK&#10;AAAAAACHTuJAAAAAAAAAAAAAAAAABAAAAAAAAAAAABAAAAAAAAAAZHJzL1BLAQIUABQAAAAIAIdO&#10;4kDp6SdH2wAAAAsBAAAPAAAAAAAAAAEAIAAAACIAAABkcnMvZG93bnJldi54bWxQSwECFAAUAAAA&#10;CACHTuJAO0KVbpYCAAAkBQAADgAAAAAAAAABACAAAAAqAQAAZHJzL2Uyb0RvYy54bWxQSwUGAAAA&#10;AAYABgBZAQAAMgYAAAAA&#10;">
              <v:fill on="f" focussize="0,0"/>
              <v:stroke on="f" weight="0.5pt"/>
              <v:imagedata o:title=""/>
              <o:lock v:ext="edit" aspectratio="f"/>
              <v:textbox>
                <w:txbxContent>
                  <w:p w14:paraId="6CBD8CA3">
                    <w:pPr>
                      <w:jc w:val="center"/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</w:pP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网址：www.novogene.com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val="en-US"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邮箱：service@novogene.com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val="en-US"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电话：010-8283 7801</w:t>
                    </w:r>
                  </w:p>
                  <w:p w14:paraId="1D313CCC">
                    <w:pPr>
                      <w:jc w:val="right"/>
                      <w:rPr>
                        <w:rFonts w:hint="default" w:ascii="微软雅黑" w:hAnsi="微软雅黑" w:eastAsia="微软雅黑" w:cs="微软雅黑"/>
                        <w:color w:val="808080" w:themeColor="text1" w:themeTint="80"/>
                        <w:sz w:val="24"/>
                        <w:szCs w:val="32"/>
                        <w:lang w:val="en-US" w:eastAsia="zh-CN"/>
                        <w14:textFill>
                          <w14:solidFill>
                            <w14:schemeClr w14:val="tx1">
                              <w14:lumMod w14:val="50000"/>
                              <w14:lumOff w14:val="50000"/>
                            </w14:schemeClr>
                          </w14:solidFill>
                        </w14:textFill>
                      </w:rPr>
                    </w:pP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96E78D0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posOffset>3208655</wp:posOffset>
              </wp:positionH>
              <wp:positionV relativeFrom="paragraph">
                <wp:posOffset>-43815</wp:posOffset>
              </wp:positionV>
              <wp:extent cx="1828800" cy="1828800"/>
              <wp:effectExtent l="0" t="0" r="0" b="0"/>
              <wp:wrapNone/>
              <wp:docPr id="11" name="文本框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AACEB2D">
                          <w:pPr>
                            <w:pStyle w:val="9"/>
                          </w:pP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t>4</w:t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252.65pt;margin-top:-3.45pt;height:144pt;width:144pt;mso-position-horizontal-relative:margin;mso-wrap-style:none;z-index:251660288;mso-width-relative:page;mso-height-relative:page;" filled="f" stroked="f" coordsize="21600,21600" o:gfxdata="UEsDBAoAAAAAAIdO4kAAAAAAAAAAAAAAAAAEAAAAZHJzL1BLAwQUAAAACACHTuJAdeePr9gAAAAK&#10;AQAADwAAAGRycy9kb3ducmV2LnhtbE2Py07DMBBF90j8gzVI7Fo7DS1tiFOJirBEomHB0o2HJOBH&#10;ZLtp+HuGFSxn5ujOueV+toZNGOLgnYRsKYCha70eXCfhrakXW2AxKaeV8Q4lfGOEfXV9VapC+4t7&#10;xemYOkYhLhZKQp/SWHAe2x6tiks/oqPbhw9WJRpDx3VQFwq3hq+E2HCrBkcfejXiocf263i2Eg51&#10;04QJYzDv+Fznny+Pd/g0S3l7k4kHYAnn9AfDrz6pQ0VOJ392OjIjYS3WOaESFpsdMALudzktThJW&#10;2ywDXpX8f4XqB1BLAwQUAAAACACHTuJA6wA4ejECAABjBAAADgAAAGRycy9lMm9Eb2MueG1srVRL&#10;jhMxEN0jcQfLe9JJEKMoSmcUJgpCipiRAmLtuN1pS/7JdtIdDgA3YMWGPefKOXjuTwYNLGbBxl12&#10;lV/Ve1XuxW2jFTkJH6Q1OZ2MxpQIw20hzSGnnz5uXs0oCZGZgilrRE7PItDb5csXi9rNxdRWVhXC&#10;E4CYMK9dTqsY3TzLAq+EZmFknTBwltZrFrH1h6zwrAa6Vtl0PL7JausL5y0XIeB03Tlpj+ifA2jL&#10;UnKxtvyohYkdqheKRVAKlXSBLttqy1LweF+WQUSicgqmsV2RBPY+rdlyweYHz1wleV8Ce04JTzhp&#10;Jg2SXqHWLDJy9PIvKC25t8GWccStzjoirSJgMRk/0WZXMSdaLpA6uKvo4f/B8g+nB09kgUmYUGKY&#10;Rscv379dfvy6/PxKcAaBahfmiNs5RMbmrW0QPJwHHCbeTel1+oIRgR/ynq/yiiYSni7NprPZGC4O&#10;37ABfvZ43fkQ3wmrSTJy6tG/VlZ22obYhQ4hKZuxG6lU20NlSJ3Tm9dvxu2FqwfgyiBHItEVm6zY&#10;7Jue2d4WZxDztpuN4PhGIvmWhfjAPIYBBeO5xHsspbJIYnuLksr6L/86T/HoEbyU1BiunBq8JUrU&#10;e4PeATAOhh+M/WCYo76zmFa0A7W0Ji74qAaz9FZ/xhtapRxwMcORKadxMO9iN+B4g1ysVm3Q0Xl5&#10;qLoLmDzH4tbsHE9pkpDBrY4RYrYaJ4E6VXrdMHttl/p3kob7z30b9fhvWP4G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ogQAAFtDb250ZW50X1R5&#10;cGVzXS54bWxQSwECFAAKAAAAAACHTuJAAAAAAAAAAAAAAAAABgAAAAAAAAAAABAAAACEAwAAX3Jl&#10;bHMvUEsBAhQAFAAAAAgAh07iQIoUZjzRAAAAlAEAAAsAAAAAAAAAAQAgAAAAqAMAAF9yZWxzLy5y&#10;ZWxzUEsBAhQACgAAAAAAh07iQAAAAAAAAAAAAAAAAAQAAAAAAAAAAAAQAAAAAAAAAGRycy9QSwEC&#10;FAAUAAAACACHTuJAdeePr9gAAAAKAQAADwAAAAAAAAABACAAAAAiAAAAZHJzL2Rvd25yZXYueG1s&#10;UEsBAhQAFAAAAAgAh07iQOsAOHoxAgAAYwQAAA4AAAAAAAAAAQAgAAAAJwEAAGRycy9lMm9Eb2Mu&#10;eG1sUEsFBgAAAAAGAAYAWQEAAMoF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6AACEB2D">
                    <w:pPr>
                      <w:pStyle w:val="9"/>
                    </w:pPr>
                    <w:r>
                      <w:rPr>
                        <w:rFonts w:hint="default" w:ascii="Times New Roman" w:hAnsi="Times New Roman" w:cs="Times New Roman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</w:rPr>
                      <w:t>4</w:t>
                    </w:r>
                    <w:r>
                      <w:rPr>
                        <w:rFonts w:hint="default" w:ascii="Times New Roman" w:hAnsi="Times New Roman" w:cs="Times New Roman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5475F63">
    <w:pPr>
      <w:pStyle w:val="10"/>
    </w:pPr>
    <w:r>
      <w:rPr>
        <w:rFonts w:hint="eastAsia" w:eastAsia="宋体"/>
        <w:lang w:eastAsia="zh-CN"/>
      </w:rPr>
      <w:drawing>
        <wp:inline distT="0" distB="0" distL="114300" distR="114300">
          <wp:extent cx="0" cy="0"/>
          <wp:effectExtent l="0" t="0" r="0" b="0"/>
          <wp:docPr id="21" name="图片 21" descr="中文logo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" name="图片 21" descr="中文logo透明底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0" cy="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hint="eastAsia" w:eastAsia="宋体"/>
        <w:lang w:eastAsia="zh-CN"/>
      </w:rPr>
      <w:drawing>
        <wp:inline distT="0" distB="0" distL="114300" distR="114300">
          <wp:extent cx="0" cy="0"/>
          <wp:effectExtent l="0" t="0" r="0" b="0"/>
          <wp:docPr id="20" name="图片 20" descr="中文logo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图片 20" descr="中文logo透明底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0" cy="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hint="eastAsia" w:eastAsia="宋体"/>
        <w:lang w:eastAsia="zh-CN"/>
      </w:rPr>
      <w:drawing>
        <wp:inline distT="0" distB="0" distL="114300" distR="114300">
          <wp:extent cx="0" cy="0"/>
          <wp:effectExtent l="0" t="0" r="0" b="0"/>
          <wp:docPr id="19" name="图片 19" descr="中文logo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" name="图片 19" descr="中文logo透明底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0" cy="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hint="eastAsia" w:eastAsia="宋体"/>
        <w:lang w:eastAsia="zh-CN"/>
      </w:rPr>
      <w:drawing>
        <wp:inline distT="0" distB="0" distL="114300" distR="114300">
          <wp:extent cx="3896995" cy="366395"/>
          <wp:effectExtent l="0" t="0" r="4445" b="14605"/>
          <wp:docPr id="7" name="图片 7" descr="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图片 7" descr="logo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3896995" cy="366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hint="eastAsia"/>
        <w:lang w:val="en-US" w:eastAsia="zh-CN"/>
      </w:rPr>
      <w:t xml:space="preserve">               </w:t>
    </w:r>
    <w:r>
      <w:rPr>
        <w:rFonts w:hint="eastAsia" w:eastAsia="宋体"/>
        <w:lang w:eastAsia="zh-CN"/>
      </w:rPr>
      <w:drawing>
        <wp:inline distT="0" distB="0" distL="114300" distR="114300">
          <wp:extent cx="1461770" cy="420370"/>
          <wp:effectExtent l="0" t="0" r="0" b="5715"/>
          <wp:docPr id="23" name="图片 23" descr="中文logo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3" name="图片 23" descr="中文logo透明底"/>
                  <pic:cNvPicPr>
                    <a:picLocks noChangeAspect="1"/>
                  </pic:cNvPicPr>
                </pic:nvPicPr>
                <pic:blipFill>
                  <a:blip r:embed="rId1"/>
                  <a:srcRect l="13700" t="21682" r="11743" b="25756"/>
                  <a:stretch>
                    <a:fillRect/>
                  </a:stretch>
                </pic:blipFill>
                <pic:spPr>
                  <a:xfrm>
                    <a:off x="0" y="0"/>
                    <a:ext cx="1461770" cy="42037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C750F2A0"/>
    <w:multiLevelType w:val="singleLevel"/>
    <w:tmpl w:val="C750F2A0"/>
    <w:lvl w:ilvl="0" w:tentative="0">
      <w:start w:val="1"/>
      <w:numFmt w:val="decimal"/>
      <w:lvlText w:val="%1."/>
      <w:lvlJc w:val="left"/>
      <w:pPr>
        <w:tabs>
          <w:tab w:val="left" w:pos="0"/>
        </w:tabs>
        <w:ind w:left="425" w:hanging="425"/>
      </w:pPr>
      <w:rPr>
        <w:rFonts w:hint="default"/>
        <w:sz w:val="18"/>
        <w:szCs w:val="18"/>
      </w:rPr>
    </w:lvl>
  </w:abstractNum>
  <w:abstractNum w:abstractNumId="1">
    <w:nsid w:val="EF752B0B"/>
    <w:multiLevelType w:val="singleLevel"/>
    <w:tmpl w:val="EF752B0B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2CEC1C1C"/>
    <w:multiLevelType w:val="multilevel"/>
    <w:tmpl w:val="2CEC1C1C"/>
    <w:lvl w:ilvl="0" w:tentative="0">
      <w:start w:val="1"/>
      <w:numFmt w:val="bullet"/>
      <w:pStyle w:val="24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3">
    <w:nsid w:val="34613CBC"/>
    <w:multiLevelType w:val="multilevel"/>
    <w:tmpl w:val="34613CBC"/>
    <w:lvl w:ilvl="0" w:tentative="0">
      <w:start w:val="1"/>
      <w:numFmt w:val="bullet"/>
      <w:pStyle w:val="28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5B812BEF"/>
    <w:multiLevelType w:val="multilevel"/>
    <w:tmpl w:val="5B812BEF"/>
    <w:lvl w:ilvl="0" w:tentative="0">
      <w:start w:val="1"/>
      <w:numFmt w:val="bullet"/>
      <w:pStyle w:val="23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6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4"/>
  </w:num>
  <w:num w:numId="2">
    <w:abstractNumId w:val="6"/>
  </w:num>
  <w:num w:numId="3">
    <w:abstractNumId w:val="5"/>
  </w:num>
  <w:num w:numId="4">
    <w:abstractNumId w:val="2"/>
  </w:num>
  <w:num w:numId="5">
    <w:abstractNumId w:val="3"/>
  </w:num>
  <w:num w:numId="6">
    <w:abstractNumId w:val="1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hideSpellingErrors/>
  <w:hideGrammaticalError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OTQyN2RjY2U1ZDAzZWMyYzFlOTBlZjhiNjIyZTM0MTEifQ=="/>
  </w:docVars>
  <w:rsids>
    <w:rsidRoot w:val="00172A27"/>
    <w:rsid w:val="00036E5B"/>
    <w:rsid w:val="00052290"/>
    <w:rsid w:val="00081920"/>
    <w:rsid w:val="000D731E"/>
    <w:rsid w:val="001141D3"/>
    <w:rsid w:val="001222E6"/>
    <w:rsid w:val="00154460"/>
    <w:rsid w:val="00163124"/>
    <w:rsid w:val="00172A27"/>
    <w:rsid w:val="00177AF0"/>
    <w:rsid w:val="00197022"/>
    <w:rsid w:val="002017D7"/>
    <w:rsid w:val="00210690"/>
    <w:rsid w:val="002233EA"/>
    <w:rsid w:val="00276CD5"/>
    <w:rsid w:val="00286CBA"/>
    <w:rsid w:val="002D4647"/>
    <w:rsid w:val="002E12A2"/>
    <w:rsid w:val="002E7BF1"/>
    <w:rsid w:val="002F55B3"/>
    <w:rsid w:val="00330820"/>
    <w:rsid w:val="00341757"/>
    <w:rsid w:val="00384980"/>
    <w:rsid w:val="003C3ECA"/>
    <w:rsid w:val="003D21B2"/>
    <w:rsid w:val="003D2994"/>
    <w:rsid w:val="004A2A20"/>
    <w:rsid w:val="004F0D2F"/>
    <w:rsid w:val="0052321F"/>
    <w:rsid w:val="00530DEA"/>
    <w:rsid w:val="00537454"/>
    <w:rsid w:val="005828BC"/>
    <w:rsid w:val="00587FB6"/>
    <w:rsid w:val="005D6E7F"/>
    <w:rsid w:val="005F5F72"/>
    <w:rsid w:val="00601E73"/>
    <w:rsid w:val="006A31A2"/>
    <w:rsid w:val="006C251D"/>
    <w:rsid w:val="0073500A"/>
    <w:rsid w:val="007C3E24"/>
    <w:rsid w:val="007C75C2"/>
    <w:rsid w:val="007E782E"/>
    <w:rsid w:val="00833749"/>
    <w:rsid w:val="00852D20"/>
    <w:rsid w:val="008B2982"/>
    <w:rsid w:val="008D0329"/>
    <w:rsid w:val="00907638"/>
    <w:rsid w:val="00925228"/>
    <w:rsid w:val="009642B3"/>
    <w:rsid w:val="009A1962"/>
    <w:rsid w:val="009A5F18"/>
    <w:rsid w:val="009B30F9"/>
    <w:rsid w:val="009D520A"/>
    <w:rsid w:val="00A0169B"/>
    <w:rsid w:val="00A162B1"/>
    <w:rsid w:val="00A64FFB"/>
    <w:rsid w:val="00AE5DB4"/>
    <w:rsid w:val="00B01B75"/>
    <w:rsid w:val="00B0681C"/>
    <w:rsid w:val="00B8029D"/>
    <w:rsid w:val="00B93560"/>
    <w:rsid w:val="00BA69BC"/>
    <w:rsid w:val="00BA75BF"/>
    <w:rsid w:val="00BF3740"/>
    <w:rsid w:val="00C65D90"/>
    <w:rsid w:val="00C7340D"/>
    <w:rsid w:val="00C96B88"/>
    <w:rsid w:val="00D1791D"/>
    <w:rsid w:val="00D2107B"/>
    <w:rsid w:val="00D22BB0"/>
    <w:rsid w:val="00D33809"/>
    <w:rsid w:val="00D37694"/>
    <w:rsid w:val="00D40855"/>
    <w:rsid w:val="00D42537"/>
    <w:rsid w:val="00D730DF"/>
    <w:rsid w:val="00D97168"/>
    <w:rsid w:val="00DA2F2F"/>
    <w:rsid w:val="00DB3C5A"/>
    <w:rsid w:val="00DB610F"/>
    <w:rsid w:val="00E31BA8"/>
    <w:rsid w:val="00E6437B"/>
    <w:rsid w:val="00E90BC9"/>
    <w:rsid w:val="00E95FE1"/>
    <w:rsid w:val="00EF7DB4"/>
    <w:rsid w:val="00F25C1E"/>
    <w:rsid w:val="00F5027A"/>
    <w:rsid w:val="00F6571C"/>
    <w:rsid w:val="00FB4715"/>
    <w:rsid w:val="00FD2063"/>
    <w:rsid w:val="00FF7BB1"/>
    <w:rsid w:val="011A030A"/>
    <w:rsid w:val="011A0D8B"/>
    <w:rsid w:val="01A0337A"/>
    <w:rsid w:val="01AB77A8"/>
    <w:rsid w:val="022E17E8"/>
    <w:rsid w:val="02337A11"/>
    <w:rsid w:val="029E39F1"/>
    <w:rsid w:val="02AC1427"/>
    <w:rsid w:val="02B32C00"/>
    <w:rsid w:val="02CA5230"/>
    <w:rsid w:val="0329174C"/>
    <w:rsid w:val="033463D6"/>
    <w:rsid w:val="03567A42"/>
    <w:rsid w:val="035F23D0"/>
    <w:rsid w:val="038726D8"/>
    <w:rsid w:val="03AF089E"/>
    <w:rsid w:val="03C15E79"/>
    <w:rsid w:val="03E921F1"/>
    <w:rsid w:val="04791D69"/>
    <w:rsid w:val="04871837"/>
    <w:rsid w:val="04932CE9"/>
    <w:rsid w:val="04A167FA"/>
    <w:rsid w:val="04BD1641"/>
    <w:rsid w:val="04C17114"/>
    <w:rsid w:val="05815BFE"/>
    <w:rsid w:val="05887898"/>
    <w:rsid w:val="058C0892"/>
    <w:rsid w:val="05F23D13"/>
    <w:rsid w:val="06141C07"/>
    <w:rsid w:val="06A61E8D"/>
    <w:rsid w:val="06E36A2C"/>
    <w:rsid w:val="06EB7F4D"/>
    <w:rsid w:val="06F67704"/>
    <w:rsid w:val="074043CC"/>
    <w:rsid w:val="07AB34E7"/>
    <w:rsid w:val="07D36A00"/>
    <w:rsid w:val="07DB59EB"/>
    <w:rsid w:val="08337B1F"/>
    <w:rsid w:val="083F50A2"/>
    <w:rsid w:val="088D7FF0"/>
    <w:rsid w:val="08D31BFA"/>
    <w:rsid w:val="095D32C1"/>
    <w:rsid w:val="09705B33"/>
    <w:rsid w:val="099512B1"/>
    <w:rsid w:val="09FF5FCE"/>
    <w:rsid w:val="0A043ABA"/>
    <w:rsid w:val="0A2C05F8"/>
    <w:rsid w:val="0A337BEA"/>
    <w:rsid w:val="0A383729"/>
    <w:rsid w:val="0A757891"/>
    <w:rsid w:val="0ADA7F11"/>
    <w:rsid w:val="0AEC09F3"/>
    <w:rsid w:val="0B106684"/>
    <w:rsid w:val="0C1768CC"/>
    <w:rsid w:val="0C3A0C95"/>
    <w:rsid w:val="0C3E5385"/>
    <w:rsid w:val="0C96240B"/>
    <w:rsid w:val="0D055CE8"/>
    <w:rsid w:val="0D0E2E15"/>
    <w:rsid w:val="0D501F50"/>
    <w:rsid w:val="0D5374B9"/>
    <w:rsid w:val="0D877621"/>
    <w:rsid w:val="0D8D61C7"/>
    <w:rsid w:val="0D9819F1"/>
    <w:rsid w:val="0DF02F5A"/>
    <w:rsid w:val="0E11445D"/>
    <w:rsid w:val="0E542351"/>
    <w:rsid w:val="0E632099"/>
    <w:rsid w:val="0EBF2A43"/>
    <w:rsid w:val="0EC91129"/>
    <w:rsid w:val="0ED843CC"/>
    <w:rsid w:val="0F1A5CDE"/>
    <w:rsid w:val="0F1B299B"/>
    <w:rsid w:val="0F4D1A8A"/>
    <w:rsid w:val="0FB9297A"/>
    <w:rsid w:val="0FCB1589"/>
    <w:rsid w:val="0FEF6595"/>
    <w:rsid w:val="0FF26B15"/>
    <w:rsid w:val="0FFE1C1F"/>
    <w:rsid w:val="100920B1"/>
    <w:rsid w:val="10237E00"/>
    <w:rsid w:val="10A519AE"/>
    <w:rsid w:val="11067689"/>
    <w:rsid w:val="110D3F98"/>
    <w:rsid w:val="11216BAF"/>
    <w:rsid w:val="11E05943"/>
    <w:rsid w:val="12744159"/>
    <w:rsid w:val="12850E64"/>
    <w:rsid w:val="12963DA1"/>
    <w:rsid w:val="12F372F0"/>
    <w:rsid w:val="131E6B23"/>
    <w:rsid w:val="132612E4"/>
    <w:rsid w:val="13897526"/>
    <w:rsid w:val="13AB527B"/>
    <w:rsid w:val="147565B0"/>
    <w:rsid w:val="14872247"/>
    <w:rsid w:val="148972D9"/>
    <w:rsid w:val="149B7751"/>
    <w:rsid w:val="14C82A00"/>
    <w:rsid w:val="14E50274"/>
    <w:rsid w:val="150E31A1"/>
    <w:rsid w:val="15196B67"/>
    <w:rsid w:val="152E3223"/>
    <w:rsid w:val="153F7D0D"/>
    <w:rsid w:val="15567E5A"/>
    <w:rsid w:val="15915022"/>
    <w:rsid w:val="15D73C77"/>
    <w:rsid w:val="165063E4"/>
    <w:rsid w:val="16560F01"/>
    <w:rsid w:val="16BD5BE8"/>
    <w:rsid w:val="16E67B0D"/>
    <w:rsid w:val="16EF32B7"/>
    <w:rsid w:val="16F8465A"/>
    <w:rsid w:val="179E5A16"/>
    <w:rsid w:val="17EF172D"/>
    <w:rsid w:val="17EF6030"/>
    <w:rsid w:val="18036692"/>
    <w:rsid w:val="184F5A03"/>
    <w:rsid w:val="188B1EE6"/>
    <w:rsid w:val="188E10A8"/>
    <w:rsid w:val="18A5002C"/>
    <w:rsid w:val="19437087"/>
    <w:rsid w:val="1969147D"/>
    <w:rsid w:val="199369D8"/>
    <w:rsid w:val="19C00606"/>
    <w:rsid w:val="1A810FAD"/>
    <w:rsid w:val="1AE73725"/>
    <w:rsid w:val="1B10343F"/>
    <w:rsid w:val="1B28649B"/>
    <w:rsid w:val="1BA36B7F"/>
    <w:rsid w:val="1BAD3E87"/>
    <w:rsid w:val="1BFB4FA4"/>
    <w:rsid w:val="1C7A05D0"/>
    <w:rsid w:val="1C98707F"/>
    <w:rsid w:val="1CCD19AC"/>
    <w:rsid w:val="1CFB3D7D"/>
    <w:rsid w:val="1D0B7646"/>
    <w:rsid w:val="1D103BE7"/>
    <w:rsid w:val="1D7C63E2"/>
    <w:rsid w:val="1E5B4AE9"/>
    <w:rsid w:val="1E5F5CBE"/>
    <w:rsid w:val="1E8474D2"/>
    <w:rsid w:val="1EAB0C6A"/>
    <w:rsid w:val="1EAF2912"/>
    <w:rsid w:val="1EEB2832"/>
    <w:rsid w:val="1F2B7CAE"/>
    <w:rsid w:val="1F7A352E"/>
    <w:rsid w:val="1FB23A5A"/>
    <w:rsid w:val="1FC77337"/>
    <w:rsid w:val="20205A20"/>
    <w:rsid w:val="202D7F0F"/>
    <w:rsid w:val="20855B55"/>
    <w:rsid w:val="209432E5"/>
    <w:rsid w:val="20C205EB"/>
    <w:rsid w:val="20CA3A62"/>
    <w:rsid w:val="21491A1D"/>
    <w:rsid w:val="216F18A9"/>
    <w:rsid w:val="21791AD8"/>
    <w:rsid w:val="218960DE"/>
    <w:rsid w:val="21D55A39"/>
    <w:rsid w:val="22003639"/>
    <w:rsid w:val="22180203"/>
    <w:rsid w:val="225C4CF6"/>
    <w:rsid w:val="22765AC8"/>
    <w:rsid w:val="228766DF"/>
    <w:rsid w:val="22A41FB0"/>
    <w:rsid w:val="22BB36DF"/>
    <w:rsid w:val="22D11985"/>
    <w:rsid w:val="22D327D6"/>
    <w:rsid w:val="22D4409F"/>
    <w:rsid w:val="2322058C"/>
    <w:rsid w:val="23532212"/>
    <w:rsid w:val="235C2C2A"/>
    <w:rsid w:val="239301B8"/>
    <w:rsid w:val="23AE4FF1"/>
    <w:rsid w:val="23DC4798"/>
    <w:rsid w:val="23FF1819"/>
    <w:rsid w:val="240007AE"/>
    <w:rsid w:val="243036BC"/>
    <w:rsid w:val="243D05CE"/>
    <w:rsid w:val="244D2216"/>
    <w:rsid w:val="250E3D96"/>
    <w:rsid w:val="25233303"/>
    <w:rsid w:val="253036C5"/>
    <w:rsid w:val="256C4478"/>
    <w:rsid w:val="26393298"/>
    <w:rsid w:val="26976104"/>
    <w:rsid w:val="26FE539F"/>
    <w:rsid w:val="271A3FF4"/>
    <w:rsid w:val="271C165B"/>
    <w:rsid w:val="2786240A"/>
    <w:rsid w:val="27870460"/>
    <w:rsid w:val="280D4603"/>
    <w:rsid w:val="28855B91"/>
    <w:rsid w:val="28B63ACE"/>
    <w:rsid w:val="28B640D1"/>
    <w:rsid w:val="28B74238"/>
    <w:rsid w:val="28B83CA7"/>
    <w:rsid w:val="28E502F9"/>
    <w:rsid w:val="290D27BA"/>
    <w:rsid w:val="292D0C40"/>
    <w:rsid w:val="29363F06"/>
    <w:rsid w:val="296F5B95"/>
    <w:rsid w:val="29DE0525"/>
    <w:rsid w:val="29EF70C8"/>
    <w:rsid w:val="2A1A518F"/>
    <w:rsid w:val="2A221D03"/>
    <w:rsid w:val="2A3716AB"/>
    <w:rsid w:val="2A51621C"/>
    <w:rsid w:val="2A9646DF"/>
    <w:rsid w:val="2ABA75FF"/>
    <w:rsid w:val="2ADE2A02"/>
    <w:rsid w:val="2B0025D7"/>
    <w:rsid w:val="2B485DBB"/>
    <w:rsid w:val="2B671B1E"/>
    <w:rsid w:val="2B692B05"/>
    <w:rsid w:val="2B794292"/>
    <w:rsid w:val="2B8C0A94"/>
    <w:rsid w:val="2BBF7C21"/>
    <w:rsid w:val="2BDE1876"/>
    <w:rsid w:val="2BF7758D"/>
    <w:rsid w:val="2C165FD1"/>
    <w:rsid w:val="2C180353"/>
    <w:rsid w:val="2C427C83"/>
    <w:rsid w:val="2D99461C"/>
    <w:rsid w:val="2E0C0EE9"/>
    <w:rsid w:val="2E2868F4"/>
    <w:rsid w:val="2E3D6CA4"/>
    <w:rsid w:val="2E7C3545"/>
    <w:rsid w:val="2EB35A8A"/>
    <w:rsid w:val="2F1809B2"/>
    <w:rsid w:val="2F28730D"/>
    <w:rsid w:val="2F311567"/>
    <w:rsid w:val="2F37139C"/>
    <w:rsid w:val="2F9768C8"/>
    <w:rsid w:val="2FF67B04"/>
    <w:rsid w:val="303F18CE"/>
    <w:rsid w:val="304862D7"/>
    <w:rsid w:val="307F054F"/>
    <w:rsid w:val="30DA24F1"/>
    <w:rsid w:val="30E41C41"/>
    <w:rsid w:val="31033685"/>
    <w:rsid w:val="310959FE"/>
    <w:rsid w:val="3109732A"/>
    <w:rsid w:val="314B21CA"/>
    <w:rsid w:val="315E5833"/>
    <w:rsid w:val="31F97D80"/>
    <w:rsid w:val="32080EDC"/>
    <w:rsid w:val="323C7625"/>
    <w:rsid w:val="32AB7EAB"/>
    <w:rsid w:val="32B71D27"/>
    <w:rsid w:val="32DE07F1"/>
    <w:rsid w:val="32F01EBB"/>
    <w:rsid w:val="33323300"/>
    <w:rsid w:val="33725A73"/>
    <w:rsid w:val="338527AA"/>
    <w:rsid w:val="3395520D"/>
    <w:rsid w:val="33AE0711"/>
    <w:rsid w:val="33B80238"/>
    <w:rsid w:val="346D24B1"/>
    <w:rsid w:val="34777EA9"/>
    <w:rsid w:val="348573AD"/>
    <w:rsid w:val="354B10C4"/>
    <w:rsid w:val="357E5409"/>
    <w:rsid w:val="35945D5F"/>
    <w:rsid w:val="35973784"/>
    <w:rsid w:val="35B3556B"/>
    <w:rsid w:val="35F5325E"/>
    <w:rsid w:val="360630CA"/>
    <w:rsid w:val="360A76FC"/>
    <w:rsid w:val="369C274E"/>
    <w:rsid w:val="36F37161"/>
    <w:rsid w:val="37092813"/>
    <w:rsid w:val="371E73E3"/>
    <w:rsid w:val="37E81DE8"/>
    <w:rsid w:val="3848012E"/>
    <w:rsid w:val="38E26DA6"/>
    <w:rsid w:val="39334160"/>
    <w:rsid w:val="39525C52"/>
    <w:rsid w:val="399A5E65"/>
    <w:rsid w:val="39A64D30"/>
    <w:rsid w:val="3A202424"/>
    <w:rsid w:val="3AEF4843"/>
    <w:rsid w:val="3AF460F5"/>
    <w:rsid w:val="3B0C44A5"/>
    <w:rsid w:val="3B42564A"/>
    <w:rsid w:val="3B6E4C22"/>
    <w:rsid w:val="3B721C7C"/>
    <w:rsid w:val="3B9B0105"/>
    <w:rsid w:val="3BC82C9D"/>
    <w:rsid w:val="3BE02CB1"/>
    <w:rsid w:val="3BEA5380"/>
    <w:rsid w:val="3C3F24CA"/>
    <w:rsid w:val="3C5D7D9D"/>
    <w:rsid w:val="3CC95781"/>
    <w:rsid w:val="3CD218BB"/>
    <w:rsid w:val="3D1C54C3"/>
    <w:rsid w:val="3D6C60E9"/>
    <w:rsid w:val="3D855C98"/>
    <w:rsid w:val="3DC8028C"/>
    <w:rsid w:val="3E3A3804"/>
    <w:rsid w:val="3E557A55"/>
    <w:rsid w:val="3EC66A11"/>
    <w:rsid w:val="3EC949BD"/>
    <w:rsid w:val="3F141D55"/>
    <w:rsid w:val="3F1D1FAD"/>
    <w:rsid w:val="3F484A69"/>
    <w:rsid w:val="3F4A5238"/>
    <w:rsid w:val="3FCB42E0"/>
    <w:rsid w:val="3FF2193A"/>
    <w:rsid w:val="405979F4"/>
    <w:rsid w:val="40895D14"/>
    <w:rsid w:val="409E0886"/>
    <w:rsid w:val="40BA2B58"/>
    <w:rsid w:val="40CD5E20"/>
    <w:rsid w:val="40F12755"/>
    <w:rsid w:val="415700E1"/>
    <w:rsid w:val="419377D3"/>
    <w:rsid w:val="41C73588"/>
    <w:rsid w:val="41EC43CC"/>
    <w:rsid w:val="41FF695D"/>
    <w:rsid w:val="422B0E54"/>
    <w:rsid w:val="42530140"/>
    <w:rsid w:val="42D665BD"/>
    <w:rsid w:val="42F70CC1"/>
    <w:rsid w:val="43037B90"/>
    <w:rsid w:val="432110FB"/>
    <w:rsid w:val="43370708"/>
    <w:rsid w:val="43821027"/>
    <w:rsid w:val="438A6A89"/>
    <w:rsid w:val="44C23006"/>
    <w:rsid w:val="452112A4"/>
    <w:rsid w:val="454A2BAB"/>
    <w:rsid w:val="459308E1"/>
    <w:rsid w:val="45A93012"/>
    <w:rsid w:val="45D4644E"/>
    <w:rsid w:val="46550A34"/>
    <w:rsid w:val="46B72EB2"/>
    <w:rsid w:val="477517FF"/>
    <w:rsid w:val="47A33F8A"/>
    <w:rsid w:val="480368AF"/>
    <w:rsid w:val="4811052D"/>
    <w:rsid w:val="48480CC1"/>
    <w:rsid w:val="48531B40"/>
    <w:rsid w:val="48C5225E"/>
    <w:rsid w:val="48C65C4C"/>
    <w:rsid w:val="48F33103"/>
    <w:rsid w:val="49463453"/>
    <w:rsid w:val="499C3A50"/>
    <w:rsid w:val="499E6F1D"/>
    <w:rsid w:val="49C56F37"/>
    <w:rsid w:val="4A1A1AFC"/>
    <w:rsid w:val="4A1C7F69"/>
    <w:rsid w:val="4A2048F5"/>
    <w:rsid w:val="4A4A7BE5"/>
    <w:rsid w:val="4A647401"/>
    <w:rsid w:val="4A693618"/>
    <w:rsid w:val="4A7345CA"/>
    <w:rsid w:val="4A83553B"/>
    <w:rsid w:val="4AA36DBB"/>
    <w:rsid w:val="4B09298A"/>
    <w:rsid w:val="4B315A79"/>
    <w:rsid w:val="4BC14EAA"/>
    <w:rsid w:val="4BE42260"/>
    <w:rsid w:val="4C050246"/>
    <w:rsid w:val="4C0B1AE7"/>
    <w:rsid w:val="4C0F23A4"/>
    <w:rsid w:val="4C120763"/>
    <w:rsid w:val="4C190002"/>
    <w:rsid w:val="4C231624"/>
    <w:rsid w:val="4C6263AC"/>
    <w:rsid w:val="4CBC4A3F"/>
    <w:rsid w:val="4D123B20"/>
    <w:rsid w:val="4D4E0B28"/>
    <w:rsid w:val="4D6A309D"/>
    <w:rsid w:val="4D8A3097"/>
    <w:rsid w:val="4D9E31C3"/>
    <w:rsid w:val="4DB6655A"/>
    <w:rsid w:val="4DC108F4"/>
    <w:rsid w:val="4E010F87"/>
    <w:rsid w:val="4E0176F5"/>
    <w:rsid w:val="4E3D2F1A"/>
    <w:rsid w:val="4E414BB2"/>
    <w:rsid w:val="4EBE65E6"/>
    <w:rsid w:val="4ED24E8A"/>
    <w:rsid w:val="4ED75229"/>
    <w:rsid w:val="4ED81994"/>
    <w:rsid w:val="4F2C4F1E"/>
    <w:rsid w:val="4F2F1F7E"/>
    <w:rsid w:val="4F5624CB"/>
    <w:rsid w:val="4F8A3F4D"/>
    <w:rsid w:val="4FB467F9"/>
    <w:rsid w:val="4FCB398E"/>
    <w:rsid w:val="4FD02F65"/>
    <w:rsid w:val="510D07DF"/>
    <w:rsid w:val="516C72A2"/>
    <w:rsid w:val="51967B24"/>
    <w:rsid w:val="519B28E7"/>
    <w:rsid w:val="52594F0F"/>
    <w:rsid w:val="52742DE8"/>
    <w:rsid w:val="52832C8D"/>
    <w:rsid w:val="52972F71"/>
    <w:rsid w:val="52DB3A4A"/>
    <w:rsid w:val="52E57CC3"/>
    <w:rsid w:val="52FF44FB"/>
    <w:rsid w:val="5312550A"/>
    <w:rsid w:val="53287C34"/>
    <w:rsid w:val="53444AF5"/>
    <w:rsid w:val="53667193"/>
    <w:rsid w:val="53BA6F17"/>
    <w:rsid w:val="53D1543B"/>
    <w:rsid w:val="53DE69BF"/>
    <w:rsid w:val="541A0F48"/>
    <w:rsid w:val="541C0D17"/>
    <w:rsid w:val="541E45C6"/>
    <w:rsid w:val="542A6641"/>
    <w:rsid w:val="543E18F6"/>
    <w:rsid w:val="544B130D"/>
    <w:rsid w:val="547738E5"/>
    <w:rsid w:val="54CF254E"/>
    <w:rsid w:val="54D44608"/>
    <w:rsid w:val="54D723E8"/>
    <w:rsid w:val="550721D5"/>
    <w:rsid w:val="55195EBF"/>
    <w:rsid w:val="5566343D"/>
    <w:rsid w:val="55A47060"/>
    <w:rsid w:val="55AC636A"/>
    <w:rsid w:val="55C15CC7"/>
    <w:rsid w:val="55C40B66"/>
    <w:rsid w:val="55F3376F"/>
    <w:rsid w:val="56021356"/>
    <w:rsid w:val="56111690"/>
    <w:rsid w:val="563648E8"/>
    <w:rsid w:val="56765A9B"/>
    <w:rsid w:val="56872CC7"/>
    <w:rsid w:val="56A650A5"/>
    <w:rsid w:val="56B967C0"/>
    <w:rsid w:val="56BE67A9"/>
    <w:rsid w:val="56EE7782"/>
    <w:rsid w:val="57345015"/>
    <w:rsid w:val="576B0D91"/>
    <w:rsid w:val="57830686"/>
    <w:rsid w:val="57A473D1"/>
    <w:rsid w:val="57C96345"/>
    <w:rsid w:val="57D92384"/>
    <w:rsid w:val="58020827"/>
    <w:rsid w:val="581808D2"/>
    <w:rsid w:val="587755BE"/>
    <w:rsid w:val="58941028"/>
    <w:rsid w:val="58A10A12"/>
    <w:rsid w:val="58A44110"/>
    <w:rsid w:val="58C45C8C"/>
    <w:rsid w:val="58DE21CC"/>
    <w:rsid w:val="58E6455C"/>
    <w:rsid w:val="5927169E"/>
    <w:rsid w:val="59404CA7"/>
    <w:rsid w:val="597A346D"/>
    <w:rsid w:val="59C117BE"/>
    <w:rsid w:val="5A2C3413"/>
    <w:rsid w:val="5B201627"/>
    <w:rsid w:val="5B2616E5"/>
    <w:rsid w:val="5B3A4C3E"/>
    <w:rsid w:val="5B884B96"/>
    <w:rsid w:val="5C702399"/>
    <w:rsid w:val="5D090FC9"/>
    <w:rsid w:val="5D2D2247"/>
    <w:rsid w:val="5E733C7A"/>
    <w:rsid w:val="5E8C7702"/>
    <w:rsid w:val="5EB2544D"/>
    <w:rsid w:val="5F425685"/>
    <w:rsid w:val="5FA2526B"/>
    <w:rsid w:val="5FAA3C47"/>
    <w:rsid w:val="5FB850F5"/>
    <w:rsid w:val="5FB92779"/>
    <w:rsid w:val="5FEA2932"/>
    <w:rsid w:val="5FEF4361"/>
    <w:rsid w:val="5FF61953"/>
    <w:rsid w:val="600E54F4"/>
    <w:rsid w:val="605254D2"/>
    <w:rsid w:val="607B75C7"/>
    <w:rsid w:val="60805044"/>
    <w:rsid w:val="60A827A3"/>
    <w:rsid w:val="60D51A59"/>
    <w:rsid w:val="60E82224"/>
    <w:rsid w:val="60F575C1"/>
    <w:rsid w:val="610010C4"/>
    <w:rsid w:val="61147D5F"/>
    <w:rsid w:val="613926B5"/>
    <w:rsid w:val="61B17DFE"/>
    <w:rsid w:val="62070A08"/>
    <w:rsid w:val="621A2D61"/>
    <w:rsid w:val="62634C1E"/>
    <w:rsid w:val="62847EA7"/>
    <w:rsid w:val="62DB637F"/>
    <w:rsid w:val="62FA10BA"/>
    <w:rsid w:val="62FD5017"/>
    <w:rsid w:val="63296CF6"/>
    <w:rsid w:val="634624B2"/>
    <w:rsid w:val="63532130"/>
    <w:rsid w:val="638A25E5"/>
    <w:rsid w:val="63A948B2"/>
    <w:rsid w:val="63D615FE"/>
    <w:rsid w:val="640B7333"/>
    <w:rsid w:val="64367532"/>
    <w:rsid w:val="64582635"/>
    <w:rsid w:val="645D6AC4"/>
    <w:rsid w:val="6469117D"/>
    <w:rsid w:val="64871562"/>
    <w:rsid w:val="648D5C88"/>
    <w:rsid w:val="64EA7FB1"/>
    <w:rsid w:val="64EC6C5A"/>
    <w:rsid w:val="6530110F"/>
    <w:rsid w:val="653D7AF3"/>
    <w:rsid w:val="65441243"/>
    <w:rsid w:val="658D3BDA"/>
    <w:rsid w:val="65B119A5"/>
    <w:rsid w:val="65F916BF"/>
    <w:rsid w:val="6622535F"/>
    <w:rsid w:val="66565CBE"/>
    <w:rsid w:val="670E76D1"/>
    <w:rsid w:val="67326007"/>
    <w:rsid w:val="67574E33"/>
    <w:rsid w:val="67B506D8"/>
    <w:rsid w:val="67D77C44"/>
    <w:rsid w:val="68645048"/>
    <w:rsid w:val="690459DC"/>
    <w:rsid w:val="69076303"/>
    <w:rsid w:val="690B7AFD"/>
    <w:rsid w:val="69334FB5"/>
    <w:rsid w:val="69543567"/>
    <w:rsid w:val="697C746B"/>
    <w:rsid w:val="6A6D318E"/>
    <w:rsid w:val="6A822336"/>
    <w:rsid w:val="6A90444F"/>
    <w:rsid w:val="6A930078"/>
    <w:rsid w:val="6AA60D41"/>
    <w:rsid w:val="6AAB72C5"/>
    <w:rsid w:val="6AC5614D"/>
    <w:rsid w:val="6AFC4C50"/>
    <w:rsid w:val="6AFF6DD9"/>
    <w:rsid w:val="6B2031BA"/>
    <w:rsid w:val="6B274553"/>
    <w:rsid w:val="6B6721F6"/>
    <w:rsid w:val="6B713444"/>
    <w:rsid w:val="6B777044"/>
    <w:rsid w:val="6B7A60D6"/>
    <w:rsid w:val="6B9F6D44"/>
    <w:rsid w:val="6BF26F47"/>
    <w:rsid w:val="6C203A9A"/>
    <w:rsid w:val="6C223454"/>
    <w:rsid w:val="6C385BB0"/>
    <w:rsid w:val="6CA6506C"/>
    <w:rsid w:val="6CB75CCD"/>
    <w:rsid w:val="6D2D26D4"/>
    <w:rsid w:val="6D425E8D"/>
    <w:rsid w:val="6D550E72"/>
    <w:rsid w:val="6D57537F"/>
    <w:rsid w:val="6D6F7597"/>
    <w:rsid w:val="6D8E38BF"/>
    <w:rsid w:val="6DE74955"/>
    <w:rsid w:val="6E296D1B"/>
    <w:rsid w:val="6E411486"/>
    <w:rsid w:val="6E9303C1"/>
    <w:rsid w:val="6ECF03D4"/>
    <w:rsid w:val="6EEA4B30"/>
    <w:rsid w:val="6EEB1850"/>
    <w:rsid w:val="6EF5262D"/>
    <w:rsid w:val="6F313CA3"/>
    <w:rsid w:val="6FC02C16"/>
    <w:rsid w:val="6FE859EE"/>
    <w:rsid w:val="6FF6475E"/>
    <w:rsid w:val="70184EA3"/>
    <w:rsid w:val="70687850"/>
    <w:rsid w:val="70CB53E1"/>
    <w:rsid w:val="70E45041"/>
    <w:rsid w:val="714E12CF"/>
    <w:rsid w:val="71B86740"/>
    <w:rsid w:val="7209016D"/>
    <w:rsid w:val="72277C7E"/>
    <w:rsid w:val="7259341C"/>
    <w:rsid w:val="728B00C1"/>
    <w:rsid w:val="729B20AA"/>
    <w:rsid w:val="732C3BCC"/>
    <w:rsid w:val="73420A0F"/>
    <w:rsid w:val="734521A8"/>
    <w:rsid w:val="73707E67"/>
    <w:rsid w:val="73776F50"/>
    <w:rsid w:val="737D6BB3"/>
    <w:rsid w:val="739C34AF"/>
    <w:rsid w:val="73CD0149"/>
    <w:rsid w:val="741F0C23"/>
    <w:rsid w:val="743439CA"/>
    <w:rsid w:val="743851C6"/>
    <w:rsid w:val="748F3308"/>
    <w:rsid w:val="749F2A35"/>
    <w:rsid w:val="74AB5178"/>
    <w:rsid w:val="74BC7F66"/>
    <w:rsid w:val="74DD127A"/>
    <w:rsid w:val="7509001F"/>
    <w:rsid w:val="75354D44"/>
    <w:rsid w:val="753D1C2F"/>
    <w:rsid w:val="75686B98"/>
    <w:rsid w:val="7677072C"/>
    <w:rsid w:val="768076F4"/>
    <w:rsid w:val="76937428"/>
    <w:rsid w:val="76A00464"/>
    <w:rsid w:val="76A021B3"/>
    <w:rsid w:val="76B664D7"/>
    <w:rsid w:val="76BD0FA5"/>
    <w:rsid w:val="76E33575"/>
    <w:rsid w:val="76EB2B73"/>
    <w:rsid w:val="770B0914"/>
    <w:rsid w:val="775D41D3"/>
    <w:rsid w:val="77A33591"/>
    <w:rsid w:val="77D16924"/>
    <w:rsid w:val="782219A0"/>
    <w:rsid w:val="782C2784"/>
    <w:rsid w:val="78326601"/>
    <w:rsid w:val="783C5EB8"/>
    <w:rsid w:val="797F7147"/>
    <w:rsid w:val="79BE2A91"/>
    <w:rsid w:val="7A590988"/>
    <w:rsid w:val="7A992CC0"/>
    <w:rsid w:val="7B2965AD"/>
    <w:rsid w:val="7B3A50B0"/>
    <w:rsid w:val="7B7B235C"/>
    <w:rsid w:val="7B8B2C1D"/>
    <w:rsid w:val="7BCA3B47"/>
    <w:rsid w:val="7BD020E4"/>
    <w:rsid w:val="7C01614C"/>
    <w:rsid w:val="7C593FA7"/>
    <w:rsid w:val="7C8D1210"/>
    <w:rsid w:val="7D090215"/>
    <w:rsid w:val="7D2F0819"/>
    <w:rsid w:val="7D2F33BE"/>
    <w:rsid w:val="7D793C28"/>
    <w:rsid w:val="7D8C0F6F"/>
    <w:rsid w:val="7DD26D7D"/>
    <w:rsid w:val="7E0D3F64"/>
    <w:rsid w:val="7E517338"/>
    <w:rsid w:val="7E9771C1"/>
    <w:rsid w:val="7EB604BE"/>
    <w:rsid w:val="7EEF3669"/>
    <w:rsid w:val="7F6A5445"/>
    <w:rsid w:val="7FE30275"/>
    <w:rsid w:val="BEAF54AB"/>
    <w:rsid w:val="EF7D219C"/>
    <w:rsid w:val="F9FAB1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0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autoRedefine/>
    <w:semiHidden/>
    <w:unhideWhenUsed/>
    <w:qFormat/>
    <w:uiPriority w:val="1"/>
  </w:style>
  <w:style w:type="table" w:default="1" w:styleId="1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autoRedefine/>
    <w:qFormat/>
    <w:uiPriority w:val="0"/>
  </w:style>
  <w:style w:type="paragraph" w:styleId="6">
    <w:name w:val="Body Text"/>
    <w:basedOn w:val="1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8"/>
    <w:autoRedefine/>
    <w:qFormat/>
    <w:uiPriority w:val="0"/>
    <w:rPr>
      <w:sz w:val="18"/>
      <w:szCs w:val="18"/>
    </w:rPr>
  </w:style>
  <w:style w:type="paragraph" w:styleId="9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qFormat/>
    <w:uiPriority w:val="0"/>
    <w:rPr>
      <w:sz w:val="24"/>
    </w:rPr>
  </w:style>
  <w:style w:type="table" w:styleId="15">
    <w:name w:val="Table Grid"/>
    <w:basedOn w:val="14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Hyperlink"/>
    <w:basedOn w:val="16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9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0">
    <w:name w:val="Table Paragraph"/>
    <w:basedOn w:val="1"/>
    <w:autoRedefine/>
    <w:qFormat/>
    <w:uiPriority w:val="1"/>
  </w:style>
  <w:style w:type="table" w:customStyle="1" w:styleId="21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2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3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4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5">
    <w:name w:val="样式1"/>
    <w:basedOn w:val="2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6">
    <w:name w:val="lkgvc"/>
    <w:basedOn w:val="27"/>
    <w:autoRedefine/>
    <w:qFormat/>
    <w:uiPriority w:val="0"/>
    <w:pPr>
      <w:ind w:firstLine="0" w:firstLineChars="0"/>
      <w:jc w:val="right"/>
    </w:pPr>
    <w:rPr>
      <w:b w:val="0"/>
      <w:u w:val="single"/>
    </w:rPr>
  </w:style>
  <w:style w:type="paragraph" w:customStyle="1" w:styleId="27">
    <w:name w:val="P1"/>
    <w:basedOn w:val="1"/>
    <w:autoRedefine/>
    <w:qFormat/>
    <w:uiPriority w:val="0"/>
    <w:pPr>
      <w:ind w:firstLine="180" w:firstLineChars="100"/>
    </w:pPr>
    <w:rPr>
      <w:rFonts w:cs="微软雅黑"/>
      <w:b/>
      <w:color w:val="000000"/>
      <w:sz w:val="18"/>
      <w:szCs w:val="18"/>
    </w:rPr>
  </w:style>
  <w:style w:type="paragraph" w:customStyle="1" w:styleId="28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9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0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2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paragraph" w:styleId="33">
    <w:name w:val="List Paragraph"/>
    <w:basedOn w:val="1"/>
    <w:autoRedefine/>
    <w:qFormat/>
    <w:uiPriority w:val="99"/>
    <w:pPr>
      <w:ind w:firstLine="420" w:firstLineChars="200"/>
    </w:pPr>
  </w:style>
  <w:style w:type="table" w:customStyle="1" w:styleId="34">
    <w:name w:val="ffzstable0"/>
    <w:basedOn w:val="15"/>
    <w:autoRedefine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vAlign w:val="center"/>
    </w:tcPr>
  </w:style>
  <w:style w:type="table" w:customStyle="1" w:styleId="35">
    <w:name w:val="ffzstable1"/>
    <w:basedOn w:val="15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customStyle="1" w:styleId="36">
    <w:name w:val="WPSOffice手动目录 3"/>
    <w:autoRedefine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  <w:style w:type="table" w:customStyle="1" w:styleId="37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8">
    <w:name w:val="批注框文本 Char"/>
    <w:basedOn w:val="16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paragraph" w:customStyle="1" w:styleId="39">
    <w:name w:val="msolistparagraph"/>
    <w:basedOn w:val="1"/>
    <w:autoRedefine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40">
    <w:name w:val="标题 1 Char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41">
    <w:name w:val="basic"/>
    <w:basedOn w:val="1"/>
    <w:autoRedefine/>
    <w:qFormat/>
    <w:uiPriority w:val="0"/>
    <w:rPr>
      <w:rFonts w:ascii="微软雅黑" w:hAnsi="微软雅黑" w:eastAsia="微软雅黑" w:cs="Times New Roman"/>
      <w:b/>
      <w:color w:val="000000"/>
      <w:sz w:val="18"/>
      <w:szCs w:val="18"/>
    </w:rPr>
  </w:style>
  <w:style w:type="character" w:customStyle="1" w:styleId="42">
    <w:name w:val="qc5 Char"/>
    <w:basedOn w:val="16"/>
    <w:link w:val="43"/>
    <w:autoRedefine/>
    <w:qFormat/>
    <w:uiPriority w:val="0"/>
    <w:rPr>
      <w:rFonts w:ascii="微软雅黑" w:hAnsi="微软雅黑" w:cs="Times New Roman"/>
      <w:bCs/>
      <w:color w:val="000000"/>
      <w:sz w:val="18"/>
      <w:szCs w:val="18"/>
    </w:rPr>
  </w:style>
  <w:style w:type="paragraph" w:customStyle="1" w:styleId="43">
    <w:name w:val="qc5"/>
    <w:basedOn w:val="1"/>
    <w:link w:val="42"/>
    <w:autoRedefine/>
    <w:qFormat/>
    <w:uiPriority w:val="0"/>
    <w:pPr>
      <w:ind w:left="1050" w:leftChars="500"/>
    </w:pPr>
    <w:rPr>
      <w:rFonts w:ascii="微软雅黑" w:hAnsi="微软雅黑" w:cs="Times New Roman"/>
      <w:bCs/>
      <w:color w:val="000000"/>
      <w:sz w:val="18"/>
      <w:szCs w:val="18"/>
    </w:rPr>
  </w:style>
  <w:style w:type="table" w:customStyle="1" w:styleId="44">
    <w:name w:val="网格型15"/>
    <w:basedOn w:val="14"/>
    <w:autoRedefine/>
    <w:qFormat/>
    <w:uiPriority w:val="99"/>
    <w:pPr>
      <w:widowControl w:val="0"/>
      <w:jc w:val="both"/>
    </w:pPr>
    <w:rPr>
      <w:sz w:val="18"/>
      <w:szCs w:val="18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45">
    <w:name w:val="73a8eb6c-f7a4-4b27-8f86-ffa7c051b96f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46">
    <w:name w:val="hello1098"/>
    <w:basedOn w:val="1"/>
    <w:autoRedefine/>
    <w:qFormat/>
    <w:uiPriority w:val="0"/>
    <w:pPr>
      <w:spacing w:line="276" w:lineRule="auto"/>
      <w:jc w:val="center"/>
    </w:pPr>
    <w:rPr>
      <w:rFonts w:cs="Times New Roman"/>
      <w:kern w:val="0"/>
      <w:sz w:val="18"/>
      <w:szCs w:val="18"/>
    </w:rPr>
  </w:style>
  <w:style w:type="paragraph" w:customStyle="1" w:styleId="47">
    <w:name w:val="5_red"/>
    <w:basedOn w:val="46"/>
    <w:autoRedefine/>
    <w:qFormat/>
    <w:uiPriority w:val="0"/>
    <w:rPr>
      <w:color w:val="FF0000"/>
      <w:sz w:val="20"/>
    </w:rPr>
  </w:style>
  <w:style w:type="paragraph" w:customStyle="1" w:styleId="48">
    <w:name w:val="5_black"/>
    <w:basedOn w:val="47"/>
    <w:autoRedefine/>
    <w:qFormat/>
    <w:uiPriority w:val="0"/>
    <w:rPr>
      <w:color w:val="auto"/>
    </w:rPr>
  </w:style>
  <w:style w:type="paragraph" w:customStyle="1" w:styleId="49">
    <w:name w:val="样式10"/>
    <w:basedOn w:val="50"/>
    <w:autoRedefine/>
    <w:qFormat/>
    <w:uiPriority w:val="0"/>
    <w:pPr>
      <w:ind w:firstLine="333"/>
    </w:pPr>
    <w:rPr>
      <w:szCs w:val="18"/>
    </w:rPr>
  </w:style>
  <w:style w:type="paragraph" w:customStyle="1" w:styleId="50">
    <w:name w:val="样式3"/>
    <w:basedOn w:val="51"/>
    <w:autoRedefine/>
    <w:qFormat/>
    <w:uiPriority w:val="0"/>
    <w:rPr>
      <w:rFonts w:ascii="微软雅黑" w:hAnsi="微软雅黑" w:eastAsia="微软雅黑"/>
      <w:sz w:val="18"/>
    </w:rPr>
  </w:style>
  <w:style w:type="paragraph" w:customStyle="1" w:styleId="51">
    <w:name w:val="样式2"/>
    <w:basedOn w:val="1"/>
    <w:autoRedefine/>
    <w:qFormat/>
    <w:uiPriority w:val="0"/>
    <w:pPr>
      <w:ind w:left="158" w:leftChars="75" w:firstLine="388" w:firstLineChars="185"/>
    </w:pPr>
    <w:rPr>
      <w:rFonts w:ascii="Calibri" w:hAnsiTheme="minorHAnsi" w:eastAsiaTheme="minorEastAsia"/>
      <w:kern w:val="0"/>
    </w:rPr>
  </w:style>
  <w:style w:type="table" w:customStyle="1" w:styleId="52">
    <w:name w:val="3300a14f-dd40-4409-84a9-5d9488cb46c4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53">
    <w:name w:val="lll1"/>
    <w:basedOn w:val="1"/>
    <w:autoRedefine/>
    <w:qFormat/>
    <w:uiPriority w:val="0"/>
    <w:pPr>
      <w:jc w:val="center"/>
    </w:pPr>
    <w:rPr>
      <w:rFonts w:asciiTheme="minorHAnsi"/>
      <w:kern w:val="2"/>
    </w:rPr>
  </w:style>
  <w:style w:type="paragraph" w:customStyle="1" w:styleId="54">
    <w:name w:val="haha"/>
    <w:basedOn w:val="48"/>
    <w:autoRedefine/>
    <w:qFormat/>
    <w:uiPriority w:val="0"/>
    <w:rPr>
      <w:color w:val="FF0000"/>
    </w:rPr>
  </w:style>
  <w:style w:type="paragraph" w:customStyle="1" w:styleId="55">
    <w:name w:val="fgh345233"/>
    <w:basedOn w:val="1"/>
    <w:autoRedefine/>
    <w:qFormat/>
    <w:uiPriority w:val="0"/>
    <w:pPr>
      <w:jc w:val="center"/>
    </w:pPr>
    <w:rPr>
      <w:rFonts w:ascii="微软雅黑" w:hAnsi="微软雅黑" w:eastAsia="微软雅黑" w:cs="微软雅黑"/>
      <w:kern w:val="2"/>
      <w:sz w:val="18"/>
      <w:szCs w:val="18"/>
      <w:lang w:val="zh-CN"/>
    </w:rPr>
  </w:style>
  <w:style w:type="table" w:customStyle="1" w:styleId="56">
    <w:name w:val="网格型9"/>
    <w:basedOn w:val="14"/>
    <w:autoRedefine/>
    <w:qFormat/>
    <w:uiPriority w:val="59"/>
    <w:pPr>
      <w:widowControl w:val="0"/>
      <w:jc w:val="both"/>
    </w:pPr>
    <w:rPr>
      <w:rFonts w:ascii="Calibri" w:hAnsi="Calibri" w:cs="Arial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57">
    <w:name w:val="rpt"/>
    <w:basedOn w:val="1"/>
    <w:autoRedefine/>
    <w:qFormat/>
    <w:uiPriority w:val="0"/>
    <w:pPr>
      <w:framePr w:hSpace="113" w:wrap="around" w:vAnchor="page" w:hAnchor="text" w:xAlign="center" w:y="15027"/>
      <w:adjustRightInd w:val="0"/>
      <w:jc w:val="right"/>
    </w:pPr>
    <w:rPr>
      <w:rFonts w:ascii="Calibri" w:hAnsi="Calibri" w:eastAsia="宋体" w:cs="Arial"/>
      <w:b/>
      <w:color w:val="000000"/>
      <w:sz w:val="16"/>
      <w:szCs w:val="16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theme" Target="theme/theme1.xml"/><Relationship Id="rId6" Type="http://schemas.openxmlformats.org/officeDocument/2006/relationships/footer" Target="footer3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numbering" Target="numbering.xml"/><Relationship Id="rId15" Type="http://schemas.openxmlformats.org/officeDocument/2006/relationships/customXml" Target="../customXml/item1.xml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2.jpeg"/><Relationship Id="rId2" Type="http://schemas.openxmlformats.org/officeDocument/2006/relationships/image" Target="media/image11.jpeg"/><Relationship Id="rId1" Type="http://schemas.openxmlformats.org/officeDocument/2006/relationships/image" Target="media/image10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1446</Words>
  <Characters>2981</Characters>
  <Lines>399</Lines>
  <Paragraphs>112</Paragraphs>
  <TotalTime>0</TotalTime>
  <ScaleCrop>false</ScaleCrop>
  <LinksUpToDate>false</LinksUpToDate>
  <CharactersWithSpaces>3182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2021-04-22T17:08:00Z</dcterms:created>
  <dc:creator>86131</dc:creator>
  <cp:lastModifiedBy>tassles-L</cp:lastModifiedBy>
  <dcterms:modified xsi:type="dcterms:W3CDTF">2026-05-25T07:59:13Z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3DF5FEB73D0C4B6A9F07F7176AF1CF99_13</vt:lpwstr>
  </property>
  <property fmtid="{D5CDD505-2E9C-101B-9397-08002B2CF9AE}" pid="4" name="KSOTemplateDocerSaveRecord">
    <vt:lpwstr>eyJoZGlkIjoiY2Y2NjU5MGIzZGFmM2M5NTIxMmI2NjdmNGQ0NDdjMDUiLCJ1c2VySWQiOiI2MjE3NDUxNTQifQ==</vt:lpwstr>
  </property>
</Properties>
</file>