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3FAD4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eastAsia" w:eastAsia="宋体"/>
          <w:sz w:val="20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-645160</wp:posOffset>
            </wp:positionV>
            <wp:extent cx="7956550" cy="10721975"/>
            <wp:effectExtent l="0" t="0" r="13970" b="6985"/>
            <wp:wrapNone/>
            <wp:docPr id="20" name="图片 20" descr="20250320-刘建峰-宣传册封面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50320-刘建峰-宣传册封面-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6550" cy="1072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7954010</wp:posOffset>
                </wp:positionV>
                <wp:extent cx="4082415" cy="95758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957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ECA83">
                            <w:pP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{{ summaryOfRresults.binary | ci(</w:t>
                            </w:r>
                            <w:r>
                              <w:rPr>
                                <w:rFonts w:hint="eastAsia"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35.4</w:t>
                            </w: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,</w:t>
                            </w:r>
                            <w:r>
                              <w:rPr>
                                <w:rFonts w:hint="eastAsia"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35.4</w:t>
                            </w: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) }}</w:t>
                            </w:r>
                          </w:p>
                          <w:p w14:paraId="1841ACAB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  <w:t>扫码认证</w:t>
                            </w:r>
                          </w:p>
                          <w:p w14:paraId="6EA4ECA2">
                            <w:pPr>
                              <w:widowControl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  <w:t>请受检者接收本报告后务必通过扫描防伪二维码确认报告真实性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85pt;margin-top:626.3pt;height:75.4pt;width:321.45pt;z-index:251669504;mso-width-relative:page;mso-height-relative:page;" filled="f" stroked="f" coordsize="21600,21600" o:gfxdata="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XIi3+3AAAAAwBAAAPAAAAAAAAAAEAIAAAACIA&#10;AABkcnMvZG93bnJldi54bWxQSwECFAAUAAAACACHTuJA+ezOPD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4ECA83">
                      <w:pP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{{ summaryOfRresults.binary | ci(</w:t>
                      </w:r>
                      <w:r>
                        <w:rPr>
                          <w:rFonts w:hint="eastAsia"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35.4</w:t>
                      </w: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,</w:t>
                      </w:r>
                      <w:r>
                        <w:rPr>
                          <w:rFonts w:hint="eastAsia"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35.4</w:t>
                      </w: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) }}</w:t>
                      </w:r>
                    </w:p>
                    <w:p w14:paraId="1841ACAB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  <w:t>扫码认证</w:t>
                      </w:r>
                    </w:p>
                    <w:p w14:paraId="6EA4ECA2">
                      <w:pPr>
                        <w:widowControl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  <w:t>请受检者接收本报告后务必通过扫描防伪二维码确认报告真实性</w:t>
                      </w:r>
                    </w:p>
                  </w:txbxContent>
                </v:textbox>
              </v:shape>
            </w:pict>
          </mc:Fallback>
        </mc:AlternateContent>
      </w:r>
    </w:p>
    <w:p w14:paraId="44A3BB7C">
      <w:pPr>
        <w:rPr>
          <w:rFonts w:hint="default" w:ascii="Times New Roman" w:hAnsi="Times New Roman" w:eastAsia="微软雅黑" w:cs="Times New Roman"/>
          <w:sz w:val="20"/>
          <w:lang w:eastAsia="zh-CN"/>
        </w:rPr>
        <w:sectPr>
          <w:headerReference r:id="rId3" w:type="default"/>
          <w:footerReference r:id="rId4" w:type="default"/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3293110</wp:posOffset>
                </wp:positionV>
                <wp:extent cx="6316980" cy="23310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6980" cy="233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0B3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肿瘤个性化诊疗指导</w:t>
                            </w:r>
                          </w:p>
                          <w:p w14:paraId="167B5F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MET基因扩增检测报告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9pt;margin-top:259.3pt;height:183.55pt;width:497.4pt;z-index:251668480;v-text-anchor:middle;mso-width-relative:page;mso-height-relative:page;" filled="f" stroked="f" coordsize="21600,21600" o:gfxdata="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lraubZAAAACwEAAA8AAAAAAAAAAQAgAAAAIgAAAGRy&#10;cy9kb3ducmV2LnhtbFBLAQIUABQAAAAIAIdO4kBe0a3lPQIAAGk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A0B3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肿瘤个性化诊疗指导</w:t>
                      </w:r>
                    </w:p>
                    <w:p w14:paraId="167B5F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MET基因扩增检测报告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405CA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微软雅黑" w:cs="Times New Roman"/>
          <w:b/>
          <w:color w:val="0083C3"/>
          <w:sz w:val="52"/>
          <w:szCs w:val="5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0083C3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目录</w:t>
      </w:r>
    </w:p>
    <w:p w14:paraId="7BA24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sz w:val="36"/>
          <w:szCs w:val="36"/>
          <w:lang w:eastAsia="zh-CN"/>
        </w:rPr>
        <w:t>Content</w:t>
      </w:r>
    </w:p>
    <w:p w14:paraId="7D944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color w:val="0083C3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微软雅黑" w:cs="Times New Roman"/>
          <w:b/>
          <w:color w:val="0083C3"/>
          <w:sz w:val="22"/>
          <w:szCs w:val="24"/>
          <w:lang w:eastAsia="zh-CN"/>
        </w:rPr>
      </w:sdtEndPr>
      <w:sdtContent>
        <w:p w14:paraId="23B3A33B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b/>
              <w:color w:val="0083C3"/>
              <w:sz w:val="22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微软雅黑" w:cs="Times New Roman"/>
              <w:color w:val="0083C3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color w:val="0083C3"/>
              <w:sz w:val="24"/>
              <w:szCs w:val="24"/>
            </w:rPr>
            <w:instrText xml:space="preserve">TOC \o "1-2" \h \u </w:instrText>
          </w:r>
          <w:r>
            <w:rPr>
              <w:rFonts w:hint="default" w:ascii="Times New Roman" w:hAnsi="Times New Roman" w:eastAsia="微软雅黑" w:cs="Times New Roman"/>
              <w:color w:val="0083C3"/>
              <w:sz w:val="24"/>
              <w:szCs w:val="24"/>
            </w:rPr>
            <w:fldChar w:fldCharType="separate"/>
          </w:r>
        </w:p>
        <w:p w14:paraId="0B79BD0C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_Toc10370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样本信息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_Toc10370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7A83B428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_Toc28253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</w:t>
          </w:r>
          <w:r>
            <w:rPr>
              <w:rStyle w:val="18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项目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_Toc28253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1708645E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_Toc21268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检测图谱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_Toc21268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0EB9E496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_Toc20745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检测结果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_Toc20745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2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3DA0F466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_Toc9737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参考资料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_Toc9737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3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1A8D7605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color w:val="0083C3"/>
              <w:sz w:val="24"/>
              <w:szCs w:val="24"/>
              <w:lang w:eastAsia="zh-CN"/>
            </w:rPr>
          </w:pPr>
          <w:r>
            <w:rPr>
              <w:rFonts w:hint="default" w:ascii="Times New Roman" w:hAnsi="Times New Roman" w:eastAsia="微软雅黑" w:cs="Times New Roman"/>
              <w:b/>
              <w:color w:val="0083C3"/>
              <w:szCs w:val="24"/>
              <w:lang w:eastAsia="zh-CN"/>
            </w:rPr>
            <w:fldChar w:fldCharType="end"/>
          </w:r>
        </w:p>
      </w:sdtContent>
    </w:sdt>
    <w:p w14:paraId="61753331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1669"/>
      <w:bookmarkStart w:id="1" w:name="_Toc24397"/>
      <w:bookmarkStart w:id="2" w:name="_Toc32054"/>
      <w:bookmarkStart w:id="3" w:name="_Toc24178_WPSOffice_Level1"/>
      <w:bookmarkStart w:id="4" w:name="_Toc30143_WPSOffice_Level1"/>
      <w:bookmarkStart w:id="5" w:name="_Toc13806"/>
      <w:bookmarkStart w:id="6" w:name="_Toc21009_WPSOffice_Level1"/>
      <w:bookmarkStart w:id="7" w:name="_Toc27500"/>
    </w:p>
    <w:p w14:paraId="646237F4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5" w:type="default"/>
          <w:footerReference r:id="rId6" w:type="default"/>
          <w:pgSz w:w="11910" w:h="16840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equalWidth="0" w:num="1">
            <w:col w:w="9870"/>
          </w:cols>
          <w:docGrid w:linePitch="299" w:charSpace="0"/>
        </w:sectPr>
      </w:pPr>
    </w:p>
    <w:p w14:paraId="77309C92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10370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tbl>
      <w:tblPr>
        <w:tblStyle w:val="14"/>
        <w:tblpPr w:leftFromText="180" w:rightFromText="180" w:vertAnchor="text" w:horzAnchor="margin" w:tblpXSpec="center" w:tblpY="11"/>
        <w:tblW w:w="10268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9"/>
        <w:gridCol w:w="3323"/>
        <w:gridCol w:w="3316"/>
      </w:tblGrid>
      <w:tr w14:paraId="0EFC471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1BBBE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3D01F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6695C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E6BA85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E7F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321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941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1A67EC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FF8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F75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0C3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38A1494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3C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590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87A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609EB64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268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A25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</w:tr>
    </w:tbl>
    <w:p w14:paraId="4FB2A439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3A04B85C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28253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0083C3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tbl>
      <w:tblPr>
        <w:tblStyle w:val="14"/>
        <w:tblpPr w:leftFromText="180" w:rightFromText="180" w:vertAnchor="text" w:horzAnchor="margin" w:tblpXSpec="center" w:tblpY="11"/>
        <w:tblW w:w="10213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4"/>
        <w:gridCol w:w="6639"/>
      </w:tblGrid>
      <w:tr w14:paraId="28BB2C9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3574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bottom"/>
          </w:tcPr>
          <w:p w14:paraId="477F750E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bottom"/>
          </w:tcPr>
          <w:p w14:paraId="3B5B8F9F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C-MET基因扩增检测</w:t>
            </w:r>
          </w:p>
        </w:tc>
      </w:tr>
      <w:tr w14:paraId="606860B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093C39C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BF2CB13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4449571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957BFB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质量控制：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F442125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  <w:tr w14:paraId="582B3A9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359CED5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52DFDA7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</w:tbl>
    <w:p w14:paraId="2111FD1C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2148064A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135716C5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21268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检测图谱</w:t>
      </w:r>
      <w:bookmarkEnd w:id="10"/>
    </w:p>
    <w:tbl>
      <w:tblPr>
        <w:tblStyle w:val="4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1468E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03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190C8F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FISH</w:t>
            </w:r>
          </w:p>
        </w:tc>
      </w:tr>
      <w:tr w14:paraId="05081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  <w:jc w:val="center"/>
        </w:trPr>
        <w:tc>
          <w:tcPr>
            <w:tcW w:w="103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CC22A1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met.met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</w:tbl>
    <w:p w14:paraId="03E6B31D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3B21A463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20745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</w:p>
    <w:tbl>
      <w:tblPr>
        <w:tblStyle w:val="14"/>
        <w:tblpPr w:leftFromText="180" w:rightFromText="180" w:vertAnchor="text" w:horzAnchor="margin" w:tblpXSpec="center" w:tblpY="11"/>
        <w:tblW w:w="10242" w:type="dxa"/>
        <w:jc w:val="center"/>
        <w:tblBorders>
          <w:top w:val="single" w:color="0083C3" w:sz="24" w:space="0"/>
          <w:left w:val="none" w:color="auto" w:sz="0" w:space="0"/>
          <w:bottom w:val="none" w:color="auto" w:sz="0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75"/>
        <w:gridCol w:w="2250"/>
        <w:gridCol w:w="3264"/>
      </w:tblGrid>
      <w:tr w14:paraId="23FC956B">
        <w:tblPrEx>
          <w:tblBorders>
            <w:top w:val="single" w:color="0083C3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23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98EEA8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23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432441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DAE5BB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32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07CFD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检测结果</w:t>
            </w:r>
          </w:p>
        </w:tc>
      </w:tr>
      <w:tr w14:paraId="60DFD871">
        <w:tblPrEx>
          <w:tblBorders>
            <w:top w:val="single" w:color="0083C3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35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00015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C-MET 基因扩增</w:t>
            </w:r>
          </w:p>
        </w:tc>
        <w:tc>
          <w:tcPr>
            <w:tcW w:w="237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FEFF46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8A6886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</w:rPr>
              <w:t>C-MET/CEP7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={{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.her2_cep17 }}</w:t>
            </w:r>
          </w:p>
        </w:tc>
        <w:tc>
          <w:tcPr>
            <w:tcW w:w="326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393721">
            <w:pPr>
              <w:pStyle w:val="47"/>
              <w:rPr>
                <w:rFonts w:hint="default" w:ascii="Times New Roman" w:hAnsi="Times New Roman" w:eastAsia="微软雅黑" w:cs="Times New Roman"/>
                <w:color w:val="FF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{% if met.detection == 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FF0000"/>
                <w:kern w:val="0"/>
                <w:sz w:val="21"/>
                <w:szCs w:val="21"/>
                <w:lang w:val="en-US" w:eastAsia="zh-CN" w:bidi="ar-SA"/>
              </w:rPr>
              <w:t>阳性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{% else %}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00B050"/>
                <w:kern w:val="0"/>
                <w:sz w:val="21"/>
                <w:szCs w:val="21"/>
                <w:lang w:val="en-US" w:eastAsia="zh-CN" w:bidi="ar-SA"/>
              </w:rPr>
              <w:t>阴性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{% endif %}</w:t>
            </w:r>
          </w:p>
        </w:tc>
      </w:tr>
      <w:tr w14:paraId="79079A71">
        <w:tblPrEx>
          <w:tblBorders>
            <w:top w:val="single" w:color="0083C3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35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4D8ABD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7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AE87A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0C6648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C-MET/Cell ={{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.her2_cell }}</w:t>
            </w:r>
          </w:p>
        </w:tc>
        <w:tc>
          <w:tcPr>
            <w:tcW w:w="326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26A347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279EBD4D">
        <w:tblPrEx>
          <w:tblBorders>
            <w:top w:val="single" w:color="0083C3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35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466918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7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A6FC0E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309D59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CEP7/Cell ={{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.cep17_cell }}</w:t>
            </w:r>
          </w:p>
        </w:tc>
        <w:tc>
          <w:tcPr>
            <w:tcW w:w="326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7D0FA7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25AC1A01">
        <w:tblPrEx>
          <w:tblBorders>
            <w:top w:val="single" w:color="0083C3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8" w:hRule="atLeast"/>
          <w:jc w:val="center"/>
        </w:trPr>
        <w:tc>
          <w:tcPr>
            <w:tcW w:w="1024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278D81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3237FF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2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</w:rPr>
              <w:t xml:space="preserve">C-MET /CEP7≥2.0                            </w:t>
            </w:r>
            <w:r>
              <w:rPr>
                <w:rFonts w:hint="default" w:ascii="Times New Roman" w:hAnsi="Times New Roman" w:eastAsia="微软雅黑" w:cs="Times New Roman"/>
                <w:bCs/>
                <w:color w:val="FF0000"/>
                <w:sz w:val="21"/>
                <w:szCs w:val="21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</w:rPr>
              <w:t xml:space="preserve">                                                      </w:t>
            </w:r>
          </w:p>
          <w:p w14:paraId="7EAEF2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2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</w:rPr>
              <w:t xml:space="preserve">C-MET /CEP7&lt;2.0，c-MET /Cell≥5              </w:t>
            </w:r>
            <w:r>
              <w:rPr>
                <w:rFonts w:hint="default" w:ascii="Times New Roman" w:hAnsi="Times New Roman" w:eastAsia="微软雅黑" w:cs="Times New Roman"/>
                <w:bCs/>
                <w:color w:val="FF0000"/>
                <w:sz w:val="21"/>
                <w:szCs w:val="21"/>
              </w:rPr>
              <w:t>阳性</w:t>
            </w:r>
          </w:p>
          <w:p w14:paraId="0B5616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2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</w:rPr>
              <w:t>C-MET /CEP7&lt;2.0,  c-MET /Cell&lt;5             阴性</w:t>
            </w:r>
          </w:p>
        </w:tc>
      </w:tr>
    </w:tbl>
    <w:p w14:paraId="0FA96EFB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结果提示：</w:t>
      </w:r>
      <w:r>
        <w:rPr>
          <w:rFonts w:hint="eastAsia" w:ascii="Times New Roman" w:hAnsi="Times New Roman" w:eastAsia="微软雅黑" w:cs="Times New Roman"/>
          <w:lang w:val="en-US" w:eastAsia="zh-CN"/>
        </w:rPr>
        <w:t>{{ met.result }}</w:t>
      </w:r>
    </w:p>
    <w:p w14:paraId="0CA4B47D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备注：</w:t>
      </w:r>
    </w:p>
    <w:p w14:paraId="44F4FE5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20" w:lineRule="exact"/>
        <w:ind w:left="0" w:leftChars="0" w:firstLine="403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 w:val="0"/>
          <w:bCs/>
          <w:color w:val="000000"/>
          <w:kern w:val="0"/>
          <w:sz w:val="18"/>
          <w:szCs w:val="18"/>
        </w:rPr>
        <w:t>分子病理检测结果与样本的收集、处理及核酸质量等相关。本报告仅针对本次检测样本。</w:t>
      </w:r>
    </w:p>
    <w:p w14:paraId="35D6D3D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20" w:lineRule="exact"/>
        <w:ind w:left="0" w:leftChars="0" w:firstLine="403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 w:val="0"/>
          <w:bCs/>
          <w:color w:val="000000"/>
          <w:kern w:val="0"/>
          <w:sz w:val="18"/>
          <w:szCs w:val="18"/>
        </w:rPr>
        <w:t>分子病理检测结果为阴性，不排除样本质量、未知基因异常及极低丰度突变等原因。</w:t>
      </w:r>
    </w:p>
    <w:tbl>
      <w:tblPr>
        <w:tblStyle w:val="53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6467F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1C3D0B44">
            <w:pPr>
              <w:adjustRightInd w:val="0"/>
              <w:jc w:val="both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val="en-US" w:eastAsia="zh-CN" w:bidi="ar"/>
              </w:rPr>
              <w:t>met.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>examiner }}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00717D3A">
            <w:pPr>
              <w:adjustRightInd w:val="0"/>
              <w:jc w:val="both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4D13CF55">
            <w:pPr>
              <w:jc w:val="both"/>
              <w:rPr>
                <w:b/>
                <w:sz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{{"ty_tianjin2"|sign(</w:t>
            </w:r>
            <w:r>
              <w:rPr>
                <w:rFonts w:hint="eastAsia" w:ascii="Times New Roman" w:hAnsi="Times New Roman" w:cs="Times New Roman"/>
                <w:sz w:val="16"/>
                <w:szCs w:val="16"/>
                <w:lang w:val="en-US" w:eastAsia="zh-CN"/>
              </w:rPr>
              <w:t>39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,</w:t>
            </w:r>
            <w:r>
              <w:rPr>
                <w:rFonts w:hint="eastAsia" w:ascii="Times New Roman" w:hAnsi="Times New Roman" w:cs="Times New Roman"/>
                <w:sz w:val="16"/>
                <w:szCs w:val="16"/>
                <w:lang w:val="en-US" w:eastAsia="zh-CN"/>
              </w:rPr>
              <w:t>22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)}}</w:t>
            </w:r>
            <w:bookmarkStart w:id="13" w:name="_GoBack"/>
            <w:bookmarkEnd w:id="13"/>
          </w:p>
        </w:tc>
        <w:tc>
          <w:tcPr>
            <w:tcW w:w="3118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58AD3095">
            <w:pPr>
              <w:widowControl w:val="0"/>
              <w:adjustRightInd w:val="0"/>
              <w:jc w:val="right"/>
              <w:rPr>
                <w:rFonts w:ascii="Calibri" w:hAnsi="Calibri" w:eastAsia="宋体" w:cs="Arial"/>
                <w:b/>
                <w:color w:val="000000"/>
                <w:sz w:val="16"/>
                <w:szCs w:val="16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en-US" w:bidi="ar"/>
              </w:rPr>
              <w:t>报告日期：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>reportdate2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 }}</w:t>
            </w:r>
          </w:p>
        </w:tc>
      </w:tr>
      <w:tr w14:paraId="76502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0083C3" w:sz="12" w:space="0"/>
              <w:left w:val="nil"/>
              <w:bottom w:val="nil"/>
              <w:right w:val="nil"/>
            </w:tcBorders>
          </w:tcPr>
          <w:p w14:paraId="3AB6D31B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1B35CD24">
      <w:pPr>
        <w:rPr>
          <w:rFonts w:hint="default" w:ascii="Times New Roman" w:hAnsi="Times New Roman" w:eastAsia="微软雅黑" w:cs="Times New Roman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5020945</wp:posOffset>
            </wp:positionH>
            <wp:positionV relativeFrom="page">
              <wp:posOffset>8846820</wp:posOffset>
            </wp:positionV>
            <wp:extent cx="1443355" cy="1443355"/>
            <wp:effectExtent l="0" t="0" r="4445" b="444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br w:type="page"/>
      </w:r>
    </w:p>
    <w:p w14:paraId="63EB9531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9737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参考资料</w:t>
      </w:r>
      <w:bookmarkEnd w:id="12"/>
    </w:p>
    <w:p w14:paraId="6BE8D5D4">
      <w:pPr>
        <w:numPr>
          <w:ilvl w:val="0"/>
          <w:numId w:val="8"/>
        </w:numPr>
        <w:bidi w:val="0"/>
        <w:ind w:left="0" w:leftChars="0" w:firstLine="0" w:firstLineChars="0"/>
        <w:jc w:val="both"/>
        <w:rPr>
          <w:rFonts w:hint="default" w:ascii="Times New Roman" w:hAnsi="Times New Roman" w:eastAsia="微软雅黑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sz w:val="21"/>
          <w:szCs w:val="21"/>
        </w:rPr>
        <w:t>MET 基因扩增检测</w:t>
      </w:r>
    </w:p>
    <w:p w14:paraId="6C81B7EA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kern w:val="0"/>
          <w:sz w:val="21"/>
          <w:szCs w:val="21"/>
        </w:rPr>
        <w:t>原癌基因</w:t>
      </w:r>
      <w:r>
        <w:rPr>
          <w:rFonts w:hint="eastAsia" w:ascii="Times New Roman" w:hAnsi="Times New Roman" w:eastAsia="微软雅黑" w:cs="Times New Roman"/>
          <w:kern w:val="0"/>
          <w:sz w:val="21"/>
          <w:szCs w:val="21"/>
          <w:lang w:val="en-US" w:eastAsia="zh-CN"/>
        </w:rPr>
        <w:t>MET</w:t>
      </w:r>
      <w:r>
        <w:rPr>
          <w:rFonts w:hint="default" w:ascii="Times New Roman" w:hAnsi="Times New Roman" w:eastAsia="微软雅黑" w:cs="Times New Roman"/>
          <w:kern w:val="0"/>
          <w:sz w:val="21"/>
          <w:szCs w:val="21"/>
        </w:rPr>
        <w:t>位于人类第7号染色体7q31上，编码MET酪氨酸激酶。正常的生理条件下，MET酪氨酸激酶受体及其配体HGF（肝细胞生长因子）显著影响并控制组织内环境稳定。MET基因的突变类型有3种，分别是MET外显子14跳跃突变（1%~3%）、MET原发扩增（1%~5%）以及罕见的MET融合突变（＜1%）。</w:t>
      </w:r>
    </w:p>
    <w:p w14:paraId="71C977B6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kern w:val="0"/>
          <w:sz w:val="21"/>
          <w:szCs w:val="21"/>
        </w:rPr>
        <w:t>MET 常发生的变异主要包括14 号外显子跳跃突变，NCCN指南推荐克唑替尼、卡帕替尼用于治疗此类突变的非小细胞肺癌。MET拷贝数增加是EGFR抑制剂的重要抗药机制之一</w:t>
      </w:r>
      <w:r>
        <w:rPr>
          <w:rFonts w:hint="eastAsia" w:ascii="Times New Roman" w:hAnsi="Times New Roman" w:eastAsia="微软雅黑" w:cs="Times New Roman"/>
          <w:kern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微软雅黑" w:cs="Times New Roman"/>
          <w:kern w:val="0"/>
          <w:sz w:val="21"/>
          <w:szCs w:val="21"/>
        </w:rPr>
        <w:t>对此类耐药患者可考虑采取MET抑制剂与EGFR抑制剂靶向联合治疗，NCCN指南推荐克唑替尼。</w:t>
      </w:r>
    </w:p>
    <w:p w14:paraId="49EEBEBF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/>
          <w:kern w:val="0"/>
        </w:rPr>
      </w:pPr>
      <w:r>
        <w:rPr>
          <w:rFonts w:hint="default" w:ascii="Times New Roman" w:hAnsi="Times New Roman" w:eastAsia="微软雅黑" w:cs="Times New Roman"/>
          <w:kern w:val="0"/>
          <w:sz w:val="21"/>
          <w:szCs w:val="21"/>
        </w:rPr>
        <w:t>近年来，以MET激酶为靶标开发药物已经成为抗肿瘤治疗的重要方向。针对MET所开发的分子靶向药物主要分三类：（1）MET和HGF的生物拮抗剂：与MET/HGF结合，但是不激活其作用，进而起到拮抗的作用；（2）MET和HGF抗体：与MET/HGF结合后阻止其发挥作用；（3）小分子MET抑制剂：通过阻断酪氨酸磷酸化来阻止信号通路，进而抑制MET激酶作用。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br w:type="page"/>
      </w:r>
    </w:p>
    <w:p w14:paraId="1205A729">
      <w:pPr>
        <w:numPr>
          <w:ilvl w:val="0"/>
          <w:numId w:val="8"/>
        </w:numPr>
        <w:adjustRightInd w:val="0"/>
        <w:snapToGrid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微软雅黑" w:cs="Times New Roman"/>
          <w:b/>
          <w:kern w:val="0"/>
          <w:szCs w:val="21"/>
        </w:rPr>
      </w:pPr>
      <w:r>
        <w:rPr>
          <w:rFonts w:hint="default" w:ascii="Times New Roman" w:hAnsi="Times New Roman" w:eastAsia="微软雅黑" w:cs="Times New Roman"/>
          <w:b/>
          <w:kern w:val="0"/>
          <w:szCs w:val="21"/>
        </w:rPr>
        <w:t>参考文献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57B7F1D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>Frampton, G. M., Ali, S. M., Rosenzweig, M., Chmielecki, J., Lu, X., Bauer, T. M., Akimov, M., Bufill, J. A., Lee, C., Jentz, D.</w:t>
      </w:r>
      <w:r>
        <w:rPr>
          <w:rFonts w:hint="default" w:ascii="Times New Roman" w:hAnsi="Times New Roman" w:eastAsia="微软雅黑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, et al. </w:t>
      </w: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(2015). Activation of MET via diverse exon 14 splicing alterations occurs in multiple tumor types and confers clinical sensitivity to MET inhibitors. Cancer discovery </w:t>
      </w:r>
      <w:r>
        <w:rPr>
          <w:rFonts w:hint="default" w:ascii="Times New Roman" w:hAnsi="Times New Roman" w:eastAsia="微软雅黑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, 850-859. </w:t>
      </w:r>
    </w:p>
    <w:p w14:paraId="18EB69B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Paik, P. K., Drilon, A., Fan, P. D., Yu, H., Rekhtman, N., Ginsberg, M. S., Borsu, L., Schultz, N., Berger, M. F., Rudin, C. M., and Ladanyi, M. (2015). Response to MET inhibitors in patients with stage IV lung adenocarcinomas harboring MET mutations causing exon 14 skipping. Cancer discovery </w:t>
      </w:r>
      <w:r>
        <w:rPr>
          <w:rFonts w:hint="default" w:ascii="Times New Roman" w:hAnsi="Times New Roman" w:eastAsia="微软雅黑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, 842-849. </w:t>
      </w:r>
    </w:p>
    <w:p w14:paraId="0557A73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212121"/>
          <w:kern w:val="0"/>
          <w:sz w:val="21"/>
          <w:szCs w:val="21"/>
          <w:lang w:val="en-US" w:eastAsia="zh-CN" w:bidi="ar"/>
        </w:rPr>
        <w:t xml:space="preserve">Sanghui Park, Yoon-La Choi. </w:t>
      </w:r>
      <w:r>
        <w:rPr>
          <w:rFonts w:hint="default" w:ascii="Times New Roman" w:hAnsi="Times New Roman" w:eastAsia="微软雅黑" w:cs="Times New Roman"/>
          <w:i/>
          <w:iCs/>
          <w:color w:val="212121"/>
          <w:kern w:val="0"/>
          <w:sz w:val="21"/>
          <w:szCs w:val="21"/>
          <w:lang w:val="en-US" w:eastAsia="zh-CN" w:bidi="ar"/>
        </w:rPr>
        <w:t xml:space="preserve">et al. </w:t>
      </w:r>
      <w:r>
        <w:rPr>
          <w:rFonts w:hint="default" w:ascii="Times New Roman" w:hAnsi="Times New Roman" w:eastAsia="微软雅黑" w:cs="Times New Roman"/>
          <w:color w:val="212121"/>
          <w:kern w:val="0"/>
          <w:sz w:val="21"/>
          <w:szCs w:val="21"/>
          <w:lang w:val="en-US" w:eastAsia="zh-CN" w:bidi="ar"/>
        </w:rPr>
        <w:t>(2012). High MET copy number and MET overexpression: poor outcome in non-small cell lung cancer patients Histol Histopathol.</w:t>
      </w:r>
      <w:r>
        <w:rPr>
          <w:rFonts w:hint="default" w:ascii="Times New Roman" w:hAnsi="Times New Roman" w:eastAsia="微软雅黑" w:cs="Times New Roman"/>
          <w:i/>
          <w:iCs/>
          <w:color w:val="212121"/>
          <w:kern w:val="0"/>
          <w:sz w:val="21"/>
          <w:szCs w:val="21"/>
          <w:lang w:val="en-US" w:eastAsia="zh-CN" w:bidi="ar"/>
        </w:rPr>
        <w:t xml:space="preserve">2, </w:t>
      </w:r>
      <w:r>
        <w:rPr>
          <w:rFonts w:hint="default" w:ascii="Times New Roman" w:hAnsi="Times New Roman" w:eastAsia="微软雅黑" w:cs="Times New Roman"/>
          <w:color w:val="212121"/>
          <w:kern w:val="0"/>
          <w:sz w:val="21"/>
          <w:szCs w:val="21"/>
          <w:lang w:val="en-US" w:eastAsia="zh-CN" w:bidi="ar"/>
        </w:rPr>
        <w:t xml:space="preserve">197-207. </w:t>
      </w:r>
    </w:p>
    <w:p w14:paraId="7615A1F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212121"/>
          <w:kern w:val="0"/>
          <w:sz w:val="21"/>
          <w:szCs w:val="21"/>
          <w:lang w:val="en-US" w:eastAsia="zh-CN" w:bidi="ar"/>
        </w:rPr>
        <w:t xml:space="preserve">Dimou A, Non L, Chae YK, Tester WJ, Syrigos KN.MET gene copy number predicts worse overall survival in patients with non-small cell lung cancer (NSCLC); a systematic review and meta-analysis. (2012).PLoS One. </w:t>
      </w:r>
      <w:r>
        <w:rPr>
          <w:rFonts w:hint="default" w:ascii="Times New Roman" w:hAnsi="Times New Roman" w:eastAsia="微软雅黑" w:cs="Times New Roman"/>
          <w:i/>
          <w:iCs/>
          <w:color w:val="212121"/>
          <w:kern w:val="0"/>
          <w:sz w:val="21"/>
          <w:szCs w:val="21"/>
          <w:lang w:val="en-US" w:eastAsia="zh-CN" w:bidi="ar"/>
        </w:rPr>
        <w:t>9,</w:t>
      </w:r>
      <w:r>
        <w:rPr>
          <w:rFonts w:hint="default" w:ascii="Times New Roman" w:hAnsi="Times New Roman" w:eastAsia="微软雅黑" w:cs="Times New Roman"/>
          <w:color w:val="212121"/>
          <w:kern w:val="0"/>
          <w:sz w:val="21"/>
          <w:szCs w:val="21"/>
          <w:lang w:val="en-US" w:eastAsia="zh-CN" w:bidi="ar"/>
        </w:rPr>
        <w:t xml:space="preserve">e107677. </w:t>
      </w:r>
    </w:p>
    <w:p w14:paraId="5E77B00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Ou SH, Kwak EL, Siwak-Tapp C, et al. Activity of crizotinib (PF02341066), a dual mesenchymal-epithelial transition (MET) and anaplastic lymphoma kinase (ALK) inhibitor, in a non-small cell lung cancer patient with de novo MET amplification. J Thorac Oncol 2011;6:942-946. </w:t>
      </w:r>
    </w:p>
    <w:p w14:paraId="496F5688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Camidge RD, Ou S-HI, Shapiro G, et al. Efficacy and safety of crizotinib in patients with advanced c-MET-amplified non-small cell lung cancer. J Clin Oncol 2014;32(Suppl 5): Abstract 8001. </w:t>
      </w:r>
    </w:p>
    <w:p w14:paraId="6AAB897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Wolf J, Seto T, Han J-Y, et al. Capmatinib (INC280) in METΔex14-mutated advanced non-small cell lung cancer (NSCLC): Efficacy data from the phase II GEOMETRY mono-1 study [abstract]. J Clin Oncol 2019;37: Abstract 9004. </w:t>
      </w:r>
    </w:p>
    <w:p w14:paraId="6225DF8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>NCCN Clinical Practice Guidelines in Oncology</w:t>
      </w:r>
      <w:r>
        <w:rPr>
          <w:rFonts w:hint="eastAsia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 2025</w:t>
      </w: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>.</w:t>
      </w:r>
    </w:p>
    <w:p w14:paraId="6BC5CDCB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  <w:sectPr>
          <w:headerReference r:id="rId7" w:type="default"/>
          <w:footerReference r:id="rId8" w:type="default"/>
          <w:pgSz w:w="11906" w:h="16838"/>
          <w:pgMar w:top="850" w:right="850" w:bottom="850" w:left="850" w:header="283" w:footer="567" w:gutter="0"/>
          <w:pgNumType w:fmt="decimal" w:start="1"/>
          <w:cols w:space="425" w:num="1"/>
          <w:docGrid w:type="lines" w:linePitch="312" w:charSpace="0"/>
        </w:sectPr>
      </w:pPr>
    </w:p>
    <w:p w14:paraId="50C62D7D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6FF32E81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33AABAEB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34CFDB28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3C73C4AF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5ECC1613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3CA6B50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7B3C9810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522DB4E4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E37D158">
      <w:pPr>
        <w:pStyle w:val="13"/>
        <w:widowControl/>
        <w:rPr>
          <w:rFonts w:ascii="Times New Roman" w:hAnsi="Times New Roman" w:eastAsia="等线"/>
          <w:b w:val="0"/>
          <w:bCs w:val="0"/>
        </w:rPr>
      </w:pPr>
    </w:p>
    <w:p w14:paraId="793E0158">
      <w:pPr>
        <w:pStyle w:val="13"/>
        <w:widowControl/>
        <w:rPr>
          <w:rFonts w:ascii="Times New Roman" w:hAnsi="Times New Roman" w:eastAsia="等线"/>
        </w:rPr>
      </w:pPr>
    </w:p>
    <w:p w14:paraId="6BE6F873">
      <w:pPr>
        <w:pStyle w:val="13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5751F6B4">
      <w:pPr>
        <w:pStyle w:val="13"/>
        <w:widowControl/>
        <w:rPr>
          <w:rFonts w:ascii="Times New Roman" w:hAnsi="Times New Roman" w:eastAsia="等线"/>
        </w:rPr>
      </w:pPr>
    </w:p>
    <w:p w14:paraId="33431E61">
      <w:pPr>
        <w:pStyle w:val="13"/>
        <w:widowControl/>
        <w:rPr>
          <w:rFonts w:ascii="Times New Roman" w:hAnsi="Times New Roman" w:eastAsia="等线"/>
        </w:rPr>
      </w:pPr>
    </w:p>
    <w:p w14:paraId="210831FB">
      <w:pPr>
        <w:pStyle w:val="13"/>
        <w:widowControl/>
        <w:rPr>
          <w:rFonts w:ascii="Times New Roman" w:hAnsi="Times New Roman" w:eastAsia="等线"/>
        </w:rPr>
      </w:pPr>
    </w:p>
    <w:p w14:paraId="4258BE1B">
      <w:pPr>
        <w:pStyle w:val="13"/>
        <w:widowControl/>
        <w:rPr>
          <w:rFonts w:ascii="Times New Roman" w:hAnsi="Times New Roman" w:eastAsia="等线"/>
        </w:rPr>
      </w:pPr>
    </w:p>
    <w:p w14:paraId="3B3BA47C">
      <w:pPr>
        <w:pStyle w:val="13"/>
        <w:widowControl/>
        <w:rPr>
          <w:rFonts w:ascii="Times New Roman" w:hAnsi="Times New Roman" w:eastAsia="等线"/>
        </w:rPr>
      </w:pPr>
    </w:p>
    <w:p w14:paraId="4664E26B">
      <w:pPr>
        <w:pStyle w:val="13"/>
        <w:widowControl/>
        <w:rPr>
          <w:rFonts w:ascii="Times New Roman" w:hAnsi="Times New Roman" w:eastAsia="等线"/>
        </w:rPr>
      </w:pPr>
    </w:p>
    <w:p w14:paraId="3D524449">
      <w:pPr>
        <w:pStyle w:val="13"/>
        <w:widowControl/>
        <w:rPr>
          <w:rFonts w:ascii="Times New Roman" w:hAnsi="Times New Roman" w:eastAsia="等线"/>
        </w:rPr>
      </w:pPr>
    </w:p>
    <w:p w14:paraId="23536ACF">
      <w:pPr>
        <w:pStyle w:val="13"/>
        <w:widowControl/>
        <w:rPr>
          <w:rFonts w:ascii="Times New Roman" w:hAnsi="Times New Roman" w:eastAsia="等线"/>
        </w:rPr>
      </w:pPr>
    </w:p>
    <w:p w14:paraId="03A56188">
      <w:pPr>
        <w:pStyle w:val="13"/>
        <w:widowControl/>
        <w:rPr>
          <w:rFonts w:ascii="Times New Roman" w:hAnsi="Times New Roman" w:eastAsia="等线"/>
        </w:rPr>
      </w:pPr>
    </w:p>
    <w:p w14:paraId="25FBAD73">
      <w:pPr>
        <w:pStyle w:val="13"/>
        <w:widowControl/>
        <w:rPr>
          <w:rFonts w:ascii="Times New Roman" w:hAnsi="Times New Roman" w:eastAsia="等线"/>
        </w:rPr>
      </w:pPr>
    </w:p>
    <w:p w14:paraId="37CCD804">
      <w:pPr>
        <w:pStyle w:val="13"/>
        <w:widowControl/>
        <w:rPr>
          <w:rFonts w:ascii="Times New Roman" w:hAnsi="Times New Roman" w:eastAsia="等线"/>
        </w:rPr>
      </w:pPr>
    </w:p>
    <w:p w14:paraId="6AB4563B">
      <w:pPr>
        <w:pStyle w:val="13"/>
        <w:widowControl/>
        <w:rPr>
          <w:rFonts w:ascii="Times New Roman" w:hAnsi="Times New Roman" w:eastAsia="等线"/>
        </w:rPr>
      </w:pPr>
    </w:p>
    <w:p w14:paraId="6E1373ED">
      <w:pPr>
        <w:pStyle w:val="13"/>
        <w:widowControl/>
        <w:rPr>
          <w:rFonts w:ascii="Times New Roman" w:hAnsi="Times New Roman" w:eastAsia="等线"/>
        </w:rPr>
      </w:pPr>
    </w:p>
    <w:p w14:paraId="188C4AFC">
      <w:pPr>
        <w:pStyle w:val="13"/>
        <w:widowControl/>
        <w:rPr>
          <w:rFonts w:ascii="Times New Roman" w:hAnsi="Times New Roman" w:eastAsia="等线"/>
        </w:rPr>
      </w:pPr>
    </w:p>
    <w:p w14:paraId="50424D60">
      <w:pPr>
        <w:pStyle w:val="13"/>
        <w:widowControl/>
        <w:rPr>
          <w:rFonts w:ascii="Times New Roman" w:hAnsi="Times New Roman" w:eastAsia="等线"/>
        </w:rPr>
      </w:pPr>
    </w:p>
    <w:p w14:paraId="022A98F1">
      <w:pPr>
        <w:pStyle w:val="13"/>
        <w:widowControl/>
        <w:rPr>
          <w:rFonts w:ascii="Times New Roman" w:hAnsi="Times New Roman" w:eastAsia="等线"/>
        </w:rPr>
      </w:pPr>
    </w:p>
    <w:p w14:paraId="4DABCD4A">
      <w:pPr>
        <w:pStyle w:val="13"/>
        <w:widowControl/>
        <w:rPr>
          <w:rFonts w:hint="eastAsia"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</w:p>
    <w:p w14:paraId="0D46310A">
      <w:pPr>
        <w:pStyle w:val="13"/>
        <w:widowControl/>
        <w:rPr>
          <w:rFonts w:hint="eastAsia" w:ascii="Times New Roman" w:hAnsi="Times New Roman" w:eastAsia="等线"/>
          <w:lang w:eastAsia="zh-CN"/>
        </w:rPr>
      </w:pPr>
    </w:p>
    <w:p w14:paraId="56D0C4B5">
      <w:pPr>
        <w:pStyle w:val="13"/>
        <w:widowControl/>
        <w:rPr>
          <w:rFonts w:hint="eastAsia" w:ascii="Times New Roman" w:hAnsi="Times New Roman" w:eastAsia="等线"/>
          <w:lang w:eastAsia="zh-CN"/>
        </w:rPr>
      </w:pPr>
    </w:p>
    <w:p w14:paraId="25D5A532">
      <w:pPr>
        <w:pStyle w:val="13"/>
        <w:widowControl/>
        <w:rPr>
          <w:rFonts w:hint="eastAsia" w:ascii="微软雅黑" w:hAnsi="微软雅黑" w:eastAsia="微软雅黑" w:cs="微软雅黑"/>
          <w:b/>
          <w:bCs/>
          <w:color w:val="0083C3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83C3"/>
          <w:sz w:val="20"/>
          <w:szCs w:val="20"/>
          <w:lang w:eastAsia="zh-CN"/>
        </w:rPr>
        <w:t>诺禾医学   诺禾在线</w:t>
      </w:r>
    </w:p>
    <w:p w14:paraId="09D08F8D">
      <w:pPr>
        <w:pStyle w:val="13"/>
        <w:widowControl/>
        <w:rPr>
          <w:rFonts w:ascii="Times New Roman" w:hAnsi="Times New Roman" w:eastAsia="等线"/>
          <w:lang w:eastAsia="zh-CN"/>
        </w:rPr>
      </w:pPr>
      <w:r>
        <w:rPr>
          <w:rFonts w:ascii="Times New Roman" w:hAnsi="Times New Roman" w:eastAsia="等线"/>
          <w:b/>
          <w:bCs/>
          <w:color w:val="0083C3"/>
          <w:sz w:val="28"/>
          <w:szCs w:val="28"/>
        </w:rPr>
        <w:t>www.novogene.com</w:t>
      </w:r>
    </w:p>
    <w:p w14:paraId="5A819D99">
      <w:pPr>
        <w:pStyle w:val="13"/>
        <w:widowControl/>
        <w:rPr>
          <w:rFonts w:hint="eastAsia" w:ascii="微软雅黑" w:hAnsi="微软雅黑" w:eastAsia="微软雅黑" w:cs="微软雅黑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405F0DFB">
      <w:pPr>
        <w:pStyle w:val="13"/>
        <w:widowControl/>
        <w:rPr>
          <w:rFonts w:hint="default" w:ascii="Times New Roman" w:hAnsi="Times New Roman" w:eastAsia="等线"/>
          <w:sz w:val="22"/>
          <w:lang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9" w:type="default"/>
      <w:footerReference r:id="rId10" w:type="default"/>
      <w:pgSz w:w="11906" w:h="16838"/>
      <w:pgMar w:top="850" w:right="850" w:bottom="850" w:left="850" w:header="851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9397D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83BA5E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83BA5E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65C6C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A19E1F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012E5707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59264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A19E1F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012E5707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C2F6A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3200400</wp:posOffset>
              </wp:positionH>
              <wp:positionV relativeFrom="paragraph">
                <wp:posOffset>-10160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82EA23">
                          <w:pPr>
                            <w:pStyle w:val="9"/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2pt;margin-top:-0.8pt;height:144pt;width:144pt;mso-position-horizontal-relative:margin;mso-wrap-style:none;z-index:251662336;mso-width-relative:page;mso-height-relative:page;" filled="f" stroked="f" coordsize="21600,21600" o:gfxdata="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1M5Wr9gAAAAKAQAADwAAAAAAAAABACAAAAAiAAAAZHJzL2Rvd25yZXYueG1s&#10;UEsBAhQAFAAAAAgAh07iQOsAOHoxAgAAYwQAAA4AAAAAAAAAAQAgAAAAJ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82EA23">
                    <w:pPr>
                      <w:pStyle w:val="9"/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705EF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BF273">
    <w:pPr>
      <w:pStyle w:val="10"/>
    </w:pPr>
    <w:r>
      <w:rPr>
        <w:sz w:val="18"/>
      </w:rPr>
      <w:pict>
        <v:shape id="PowerPlusWaterMarkObject291817" o:spid="_x0000_s2049" o:spt="136" type="#_x0000_t136" style="position:absolute;left:0pt;height:48.3pt;width:166.5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55599">
    <w:pPr>
      <w:pStyle w:val="10"/>
      <w:jc w:val="right"/>
      <w:rPr>
        <w:lang w:eastAsia="zh-CN"/>
      </w:rPr>
    </w:pPr>
    <w:r>
      <w:rPr>
        <w:sz w:val="18"/>
      </w:rPr>
      <w:pict>
        <v:shape id="_x0000_s2050" o:spid="_x0000_s2050" o:spt="136" type="#_x0000_t136" style="position:absolute;left:0pt;height:48.3pt;width:166.5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  <w:r>
      <w:rPr>
        <w:color w:val="7F7F7F"/>
        <w:sz w:val="20"/>
        <w:szCs w:val="20"/>
        <w:shd w:val="clear" w:color="auto" w:fill="auto"/>
        <w:lang w:eastAsia="zh-CN"/>
      </w:rPr>
      <w:drawing>
        <wp:inline distT="0" distB="0" distL="0" distR="0">
          <wp:extent cx="1369060" cy="389255"/>
          <wp:effectExtent l="0" t="0" r="2540" b="0"/>
          <wp:docPr id="67" name="图片 67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图片 67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4A0F7">
    <w:pPr>
      <w:pStyle w:val="10"/>
      <w:jc w:val="right"/>
      <w:rPr>
        <w:lang w:eastAsia="zh-CN"/>
      </w:rPr>
    </w:pPr>
    <w:r>
      <w:rPr>
        <w:sz w:val="18"/>
      </w:rPr>
      <w:pict>
        <v:shape id="_x0000_s2051" o:spid="_x0000_s2051" o:spt="136" type="#_x0000_t136" style="position:absolute;left:0pt;height:48.3pt;width:166.5pt;mso-position-horizontal:center;mso-position-horizontal-relative:margin;mso-position-vertical:center;mso-position-vertical-relative:margin;rotation:-2949120f;z-index:-25165107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  <w:r>
      <w:rPr>
        <w:color w:val="7F7F7F"/>
        <w:sz w:val="20"/>
        <w:szCs w:val="20"/>
        <w:shd w:val="clear" w:color="auto" w:fill="auto"/>
        <w:lang w:eastAsia="zh-CN"/>
      </w:rPr>
      <w:drawing>
        <wp:inline distT="0" distB="0" distL="0" distR="0">
          <wp:extent cx="1369060" cy="389255"/>
          <wp:effectExtent l="0" t="0" r="2540" b="6350"/>
          <wp:docPr id="4" name="图片 4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06B17">
    <w:pPr>
      <w:pStyle w:val="10"/>
      <w:jc w:val="right"/>
      <w:rPr>
        <w:lang w:eastAsia="zh-CN"/>
      </w:rPr>
    </w:pPr>
    <w:r>
      <w:rPr>
        <w:sz w:val="18"/>
      </w:rPr>
      <w:pict>
        <v:shape id="_x0000_s2052" o:spid="_x0000_s2052" o:spt="136" type="#_x0000_t136" style="position:absolute;left:0pt;height:48.3pt;width:166.5pt;mso-position-horizontal:center;mso-position-horizontal-relative:margin;mso-position-vertical:center;mso-position-vertical-relative:margin;rotation:-2949120f;z-index:-25165004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0A16165"/>
    <w:multiLevelType w:val="singleLevel"/>
    <w:tmpl w:val="C0A1616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C389BF59"/>
    <w:multiLevelType w:val="singleLevel"/>
    <w:tmpl w:val="C389BF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72D806"/>
    <w:multiLevelType w:val="singleLevel"/>
    <w:tmpl w:val="0B72D80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8">
    <w:nsid w:val="7F0DB327"/>
    <w:multiLevelType w:val="singleLevel"/>
    <w:tmpl w:val="7F0DB32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  <w:b w:val="0"/>
        <w:bCs w:val="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HorizontalSpacing w:val="220"/>
  <w:drawingGridVerticalSpacing w:val="157"/>
  <w:displayHorizontalDrawingGridEvery w:val="1"/>
  <w:displayVerticalDrawingGridEvery w:val="2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1BD4F5A"/>
    <w:rsid w:val="01C56903"/>
    <w:rsid w:val="022E17E8"/>
    <w:rsid w:val="02337A11"/>
    <w:rsid w:val="02526926"/>
    <w:rsid w:val="0266438F"/>
    <w:rsid w:val="029E39F1"/>
    <w:rsid w:val="02CA5230"/>
    <w:rsid w:val="0329174C"/>
    <w:rsid w:val="033463D6"/>
    <w:rsid w:val="03567A42"/>
    <w:rsid w:val="035F23D0"/>
    <w:rsid w:val="03626BEB"/>
    <w:rsid w:val="038726D8"/>
    <w:rsid w:val="03AF089E"/>
    <w:rsid w:val="03C15E79"/>
    <w:rsid w:val="03E921F1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A61E8D"/>
    <w:rsid w:val="06E36A2C"/>
    <w:rsid w:val="06EB7F4D"/>
    <w:rsid w:val="06F67704"/>
    <w:rsid w:val="07332732"/>
    <w:rsid w:val="074043CC"/>
    <w:rsid w:val="07AB34E7"/>
    <w:rsid w:val="07D36A00"/>
    <w:rsid w:val="07DB59EB"/>
    <w:rsid w:val="08337B1F"/>
    <w:rsid w:val="0838135C"/>
    <w:rsid w:val="083F50A2"/>
    <w:rsid w:val="088D7FF0"/>
    <w:rsid w:val="08D31BFA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C0B736B"/>
    <w:rsid w:val="0C1768CC"/>
    <w:rsid w:val="0C3A0C95"/>
    <w:rsid w:val="0C3E5385"/>
    <w:rsid w:val="0C96240B"/>
    <w:rsid w:val="0D055CE8"/>
    <w:rsid w:val="0D0E2E15"/>
    <w:rsid w:val="0D5374B9"/>
    <w:rsid w:val="0D877621"/>
    <w:rsid w:val="0D8D61C7"/>
    <w:rsid w:val="0D9819F1"/>
    <w:rsid w:val="0DF02F5A"/>
    <w:rsid w:val="0E11445D"/>
    <w:rsid w:val="0E542351"/>
    <w:rsid w:val="0E632099"/>
    <w:rsid w:val="0EBF2A43"/>
    <w:rsid w:val="0EC91129"/>
    <w:rsid w:val="0ED843CC"/>
    <w:rsid w:val="0F1A5CDE"/>
    <w:rsid w:val="0F1B299B"/>
    <w:rsid w:val="0FB9297A"/>
    <w:rsid w:val="0FCB1589"/>
    <w:rsid w:val="0FEF6595"/>
    <w:rsid w:val="0FF26B15"/>
    <w:rsid w:val="0FFE1C1F"/>
    <w:rsid w:val="100920B1"/>
    <w:rsid w:val="10A519AE"/>
    <w:rsid w:val="11067689"/>
    <w:rsid w:val="110D3F98"/>
    <w:rsid w:val="12744159"/>
    <w:rsid w:val="12850E64"/>
    <w:rsid w:val="12963DA1"/>
    <w:rsid w:val="12F372F0"/>
    <w:rsid w:val="132612E4"/>
    <w:rsid w:val="13897526"/>
    <w:rsid w:val="13AB527B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D73C77"/>
    <w:rsid w:val="165063E4"/>
    <w:rsid w:val="16BD5BE8"/>
    <w:rsid w:val="16E67B0D"/>
    <w:rsid w:val="16EF32B7"/>
    <w:rsid w:val="16F8465A"/>
    <w:rsid w:val="179E5A16"/>
    <w:rsid w:val="17EF172D"/>
    <w:rsid w:val="17EF6030"/>
    <w:rsid w:val="18036692"/>
    <w:rsid w:val="184F5A03"/>
    <w:rsid w:val="188B1EE6"/>
    <w:rsid w:val="188E10A8"/>
    <w:rsid w:val="18954C50"/>
    <w:rsid w:val="18A5002C"/>
    <w:rsid w:val="19437087"/>
    <w:rsid w:val="1969147D"/>
    <w:rsid w:val="199369D8"/>
    <w:rsid w:val="19C00606"/>
    <w:rsid w:val="1B10343F"/>
    <w:rsid w:val="1B28649B"/>
    <w:rsid w:val="1BA36B7F"/>
    <w:rsid w:val="1BAD3E87"/>
    <w:rsid w:val="1C7A05D0"/>
    <w:rsid w:val="1C7E2CF4"/>
    <w:rsid w:val="1C98707F"/>
    <w:rsid w:val="1CCD19AC"/>
    <w:rsid w:val="1CFB3D7D"/>
    <w:rsid w:val="1D0B7646"/>
    <w:rsid w:val="1D103BE7"/>
    <w:rsid w:val="1D5D7143"/>
    <w:rsid w:val="1DB955BA"/>
    <w:rsid w:val="1E5B4AE9"/>
    <w:rsid w:val="1E5F5CBE"/>
    <w:rsid w:val="1E8474D2"/>
    <w:rsid w:val="1EAB0C6A"/>
    <w:rsid w:val="1EAF2912"/>
    <w:rsid w:val="1EEB2832"/>
    <w:rsid w:val="1F2B7CAE"/>
    <w:rsid w:val="1FB23A5A"/>
    <w:rsid w:val="1FC77337"/>
    <w:rsid w:val="20014799"/>
    <w:rsid w:val="20205A20"/>
    <w:rsid w:val="202D7F0F"/>
    <w:rsid w:val="20855B55"/>
    <w:rsid w:val="209432E5"/>
    <w:rsid w:val="20C205EB"/>
    <w:rsid w:val="20CA3A62"/>
    <w:rsid w:val="21491A1D"/>
    <w:rsid w:val="216F18A9"/>
    <w:rsid w:val="218960DE"/>
    <w:rsid w:val="21D55A39"/>
    <w:rsid w:val="22003639"/>
    <w:rsid w:val="22180203"/>
    <w:rsid w:val="228766DF"/>
    <w:rsid w:val="22A41FB0"/>
    <w:rsid w:val="22AB05F1"/>
    <w:rsid w:val="22BB36DF"/>
    <w:rsid w:val="22D11985"/>
    <w:rsid w:val="22D327D6"/>
    <w:rsid w:val="22D4409F"/>
    <w:rsid w:val="230A675E"/>
    <w:rsid w:val="232079E6"/>
    <w:rsid w:val="2322058C"/>
    <w:rsid w:val="234833B1"/>
    <w:rsid w:val="235C2C2A"/>
    <w:rsid w:val="239301B8"/>
    <w:rsid w:val="23A44CA6"/>
    <w:rsid w:val="23AE4FF1"/>
    <w:rsid w:val="23DC4798"/>
    <w:rsid w:val="23FF1819"/>
    <w:rsid w:val="240007AE"/>
    <w:rsid w:val="243036BC"/>
    <w:rsid w:val="243D05CE"/>
    <w:rsid w:val="244D2216"/>
    <w:rsid w:val="24691230"/>
    <w:rsid w:val="250E3D96"/>
    <w:rsid w:val="25233303"/>
    <w:rsid w:val="253036C5"/>
    <w:rsid w:val="255B3E43"/>
    <w:rsid w:val="255C038A"/>
    <w:rsid w:val="256C4478"/>
    <w:rsid w:val="26393298"/>
    <w:rsid w:val="2675513D"/>
    <w:rsid w:val="26976104"/>
    <w:rsid w:val="26FE539F"/>
    <w:rsid w:val="271A3FF4"/>
    <w:rsid w:val="271C165B"/>
    <w:rsid w:val="2786240A"/>
    <w:rsid w:val="27870460"/>
    <w:rsid w:val="280D4603"/>
    <w:rsid w:val="28855B91"/>
    <w:rsid w:val="28B63ACE"/>
    <w:rsid w:val="28B640D1"/>
    <w:rsid w:val="28B74238"/>
    <w:rsid w:val="28B83CA7"/>
    <w:rsid w:val="28D96631"/>
    <w:rsid w:val="28E502F9"/>
    <w:rsid w:val="28FF391E"/>
    <w:rsid w:val="290D27BA"/>
    <w:rsid w:val="292D0C40"/>
    <w:rsid w:val="29363F06"/>
    <w:rsid w:val="29476B15"/>
    <w:rsid w:val="296F5B95"/>
    <w:rsid w:val="29DE0525"/>
    <w:rsid w:val="29EF70C8"/>
    <w:rsid w:val="2A221D03"/>
    <w:rsid w:val="2A3716AB"/>
    <w:rsid w:val="2A51621C"/>
    <w:rsid w:val="2A9646DF"/>
    <w:rsid w:val="2ADE2A02"/>
    <w:rsid w:val="2B0025D7"/>
    <w:rsid w:val="2B485DBB"/>
    <w:rsid w:val="2B692B05"/>
    <w:rsid w:val="2B8C0A94"/>
    <w:rsid w:val="2BDE1876"/>
    <w:rsid w:val="2BF7758D"/>
    <w:rsid w:val="2C165FD1"/>
    <w:rsid w:val="2C180353"/>
    <w:rsid w:val="2C427C83"/>
    <w:rsid w:val="2CD31625"/>
    <w:rsid w:val="2D99461C"/>
    <w:rsid w:val="2E0C0EE9"/>
    <w:rsid w:val="2E2868F4"/>
    <w:rsid w:val="2E3D6CA4"/>
    <w:rsid w:val="2E7C3545"/>
    <w:rsid w:val="2EB35A8A"/>
    <w:rsid w:val="2F1809B2"/>
    <w:rsid w:val="2F28730D"/>
    <w:rsid w:val="2F311567"/>
    <w:rsid w:val="2F9768C8"/>
    <w:rsid w:val="2FF67B04"/>
    <w:rsid w:val="303F18CE"/>
    <w:rsid w:val="304642F6"/>
    <w:rsid w:val="304862D7"/>
    <w:rsid w:val="307F054F"/>
    <w:rsid w:val="30DA24F1"/>
    <w:rsid w:val="30E41C41"/>
    <w:rsid w:val="31033685"/>
    <w:rsid w:val="310959FE"/>
    <w:rsid w:val="3109732A"/>
    <w:rsid w:val="315E5833"/>
    <w:rsid w:val="31F97D80"/>
    <w:rsid w:val="32080EDC"/>
    <w:rsid w:val="323C7625"/>
    <w:rsid w:val="32AB7EAB"/>
    <w:rsid w:val="32B71D27"/>
    <w:rsid w:val="32DE07F1"/>
    <w:rsid w:val="32F01EBB"/>
    <w:rsid w:val="33323300"/>
    <w:rsid w:val="33725A73"/>
    <w:rsid w:val="338527AA"/>
    <w:rsid w:val="3395520D"/>
    <w:rsid w:val="33AE0711"/>
    <w:rsid w:val="33B80238"/>
    <w:rsid w:val="33D03FDB"/>
    <w:rsid w:val="33F059CD"/>
    <w:rsid w:val="346D24B1"/>
    <w:rsid w:val="34777EA9"/>
    <w:rsid w:val="348573AD"/>
    <w:rsid w:val="351C7717"/>
    <w:rsid w:val="354B10C4"/>
    <w:rsid w:val="357E5409"/>
    <w:rsid w:val="35945D5F"/>
    <w:rsid w:val="35B3556B"/>
    <w:rsid w:val="35F5325E"/>
    <w:rsid w:val="360630CA"/>
    <w:rsid w:val="360A76FC"/>
    <w:rsid w:val="369C274E"/>
    <w:rsid w:val="36F37161"/>
    <w:rsid w:val="37092813"/>
    <w:rsid w:val="371E73E3"/>
    <w:rsid w:val="37E81DE8"/>
    <w:rsid w:val="3848012E"/>
    <w:rsid w:val="38893921"/>
    <w:rsid w:val="38A6010A"/>
    <w:rsid w:val="38E26DA6"/>
    <w:rsid w:val="39334160"/>
    <w:rsid w:val="39525C52"/>
    <w:rsid w:val="399A5E65"/>
    <w:rsid w:val="39A64D30"/>
    <w:rsid w:val="3A202424"/>
    <w:rsid w:val="3AEF4843"/>
    <w:rsid w:val="3AF460F5"/>
    <w:rsid w:val="3B0C44A5"/>
    <w:rsid w:val="3B6E4C22"/>
    <w:rsid w:val="3B721C7C"/>
    <w:rsid w:val="3B9B0105"/>
    <w:rsid w:val="3BDD24FB"/>
    <w:rsid w:val="3BEA5380"/>
    <w:rsid w:val="3C3F24CA"/>
    <w:rsid w:val="3C5D7D9D"/>
    <w:rsid w:val="3CC95781"/>
    <w:rsid w:val="3D1C54C3"/>
    <w:rsid w:val="3D6C60E9"/>
    <w:rsid w:val="3D855C98"/>
    <w:rsid w:val="3DC8028C"/>
    <w:rsid w:val="3EC949BD"/>
    <w:rsid w:val="3F141D55"/>
    <w:rsid w:val="3F1D1FAD"/>
    <w:rsid w:val="3F484A69"/>
    <w:rsid w:val="3F4A5238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9377D3"/>
    <w:rsid w:val="41A24435"/>
    <w:rsid w:val="41C73588"/>
    <w:rsid w:val="41EC43CC"/>
    <w:rsid w:val="41FF695D"/>
    <w:rsid w:val="422B0E54"/>
    <w:rsid w:val="42300D9C"/>
    <w:rsid w:val="42D665BD"/>
    <w:rsid w:val="42F70CC1"/>
    <w:rsid w:val="43037B90"/>
    <w:rsid w:val="43370708"/>
    <w:rsid w:val="43821027"/>
    <w:rsid w:val="438A6A89"/>
    <w:rsid w:val="44C23006"/>
    <w:rsid w:val="452112A4"/>
    <w:rsid w:val="454A2BAB"/>
    <w:rsid w:val="459308E1"/>
    <w:rsid w:val="45A93012"/>
    <w:rsid w:val="45D4644E"/>
    <w:rsid w:val="46550A34"/>
    <w:rsid w:val="46B72EB2"/>
    <w:rsid w:val="477517FF"/>
    <w:rsid w:val="47A33F8A"/>
    <w:rsid w:val="480368AF"/>
    <w:rsid w:val="4811052D"/>
    <w:rsid w:val="48480CC1"/>
    <w:rsid w:val="488D69A4"/>
    <w:rsid w:val="48C5225E"/>
    <w:rsid w:val="48C65C4C"/>
    <w:rsid w:val="48F33103"/>
    <w:rsid w:val="49463453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AD97535"/>
    <w:rsid w:val="4B09298A"/>
    <w:rsid w:val="4B315A79"/>
    <w:rsid w:val="4BC14EAA"/>
    <w:rsid w:val="4BE42260"/>
    <w:rsid w:val="4C050246"/>
    <w:rsid w:val="4C0B1AE7"/>
    <w:rsid w:val="4C0F23A4"/>
    <w:rsid w:val="4C120763"/>
    <w:rsid w:val="4C190002"/>
    <w:rsid w:val="4C6263AC"/>
    <w:rsid w:val="4CBC4A3F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414BB2"/>
    <w:rsid w:val="4E7B3AA1"/>
    <w:rsid w:val="4ED24E8A"/>
    <w:rsid w:val="4ED75229"/>
    <w:rsid w:val="4ED81994"/>
    <w:rsid w:val="4F2C4F1E"/>
    <w:rsid w:val="4F5624CB"/>
    <w:rsid w:val="4F8A3F4D"/>
    <w:rsid w:val="4FB467F9"/>
    <w:rsid w:val="4FCB398E"/>
    <w:rsid w:val="4FD02F65"/>
    <w:rsid w:val="50833817"/>
    <w:rsid w:val="510D07DF"/>
    <w:rsid w:val="516C72A2"/>
    <w:rsid w:val="51967B24"/>
    <w:rsid w:val="519B28E7"/>
    <w:rsid w:val="52594F0F"/>
    <w:rsid w:val="52832C8D"/>
    <w:rsid w:val="52DB3A4A"/>
    <w:rsid w:val="52E57CC3"/>
    <w:rsid w:val="5312550A"/>
    <w:rsid w:val="53667193"/>
    <w:rsid w:val="53BA6F17"/>
    <w:rsid w:val="53D1543B"/>
    <w:rsid w:val="53DE69BF"/>
    <w:rsid w:val="541A0F48"/>
    <w:rsid w:val="541C0D17"/>
    <w:rsid w:val="541E45C6"/>
    <w:rsid w:val="54237750"/>
    <w:rsid w:val="542A6641"/>
    <w:rsid w:val="543E18F6"/>
    <w:rsid w:val="544B130D"/>
    <w:rsid w:val="547738E5"/>
    <w:rsid w:val="54CF254E"/>
    <w:rsid w:val="54D44608"/>
    <w:rsid w:val="54D723E8"/>
    <w:rsid w:val="550721D5"/>
    <w:rsid w:val="55195EBF"/>
    <w:rsid w:val="55A47060"/>
    <w:rsid w:val="55AC636A"/>
    <w:rsid w:val="55C15CC7"/>
    <w:rsid w:val="55D83373"/>
    <w:rsid w:val="55F3376F"/>
    <w:rsid w:val="56021356"/>
    <w:rsid w:val="56111690"/>
    <w:rsid w:val="563648E8"/>
    <w:rsid w:val="56872CC7"/>
    <w:rsid w:val="56A650A5"/>
    <w:rsid w:val="56B967C0"/>
    <w:rsid w:val="56BE67A9"/>
    <w:rsid w:val="56EE7782"/>
    <w:rsid w:val="57304F35"/>
    <w:rsid w:val="57345015"/>
    <w:rsid w:val="5748483A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DB1A53"/>
    <w:rsid w:val="58DE21CC"/>
    <w:rsid w:val="58E6455C"/>
    <w:rsid w:val="5927169E"/>
    <w:rsid w:val="59404CA7"/>
    <w:rsid w:val="5A1E7F3D"/>
    <w:rsid w:val="5A4E0F4C"/>
    <w:rsid w:val="5A575533"/>
    <w:rsid w:val="5AA74F94"/>
    <w:rsid w:val="5B201627"/>
    <w:rsid w:val="5B2616E5"/>
    <w:rsid w:val="5B3A4C3E"/>
    <w:rsid w:val="5B884B96"/>
    <w:rsid w:val="5C702399"/>
    <w:rsid w:val="5D090FC9"/>
    <w:rsid w:val="5D184CAE"/>
    <w:rsid w:val="5EB2544D"/>
    <w:rsid w:val="5EB81CFC"/>
    <w:rsid w:val="5EB83F62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A827A3"/>
    <w:rsid w:val="60D51A59"/>
    <w:rsid w:val="60E82224"/>
    <w:rsid w:val="60F575C1"/>
    <w:rsid w:val="610010C4"/>
    <w:rsid w:val="61147D5F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ED18FC"/>
    <w:rsid w:val="65F916BF"/>
    <w:rsid w:val="6622535F"/>
    <w:rsid w:val="66565CBE"/>
    <w:rsid w:val="670E76D1"/>
    <w:rsid w:val="67326007"/>
    <w:rsid w:val="67574E33"/>
    <w:rsid w:val="67D77C44"/>
    <w:rsid w:val="68645048"/>
    <w:rsid w:val="690459DC"/>
    <w:rsid w:val="690B7AFD"/>
    <w:rsid w:val="69334FB5"/>
    <w:rsid w:val="69543567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75CCD"/>
    <w:rsid w:val="6CE50B55"/>
    <w:rsid w:val="6D2D26D4"/>
    <w:rsid w:val="6D35017D"/>
    <w:rsid w:val="6D425E8D"/>
    <w:rsid w:val="6D550E72"/>
    <w:rsid w:val="6D6F7597"/>
    <w:rsid w:val="6D8E38BF"/>
    <w:rsid w:val="6DE74955"/>
    <w:rsid w:val="6E296D1B"/>
    <w:rsid w:val="6E411486"/>
    <w:rsid w:val="6E9303C1"/>
    <w:rsid w:val="6ECF03D4"/>
    <w:rsid w:val="6EE60768"/>
    <w:rsid w:val="6EEA4B30"/>
    <w:rsid w:val="6EEB1850"/>
    <w:rsid w:val="6EF5262D"/>
    <w:rsid w:val="6F313CA3"/>
    <w:rsid w:val="6F3E2352"/>
    <w:rsid w:val="6FC02C16"/>
    <w:rsid w:val="6FE859EE"/>
    <w:rsid w:val="6FF6475E"/>
    <w:rsid w:val="70184EA3"/>
    <w:rsid w:val="70687850"/>
    <w:rsid w:val="70CB53E1"/>
    <w:rsid w:val="70E45041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39C34AF"/>
    <w:rsid w:val="73CD0149"/>
    <w:rsid w:val="741F0C23"/>
    <w:rsid w:val="743439CA"/>
    <w:rsid w:val="748F3308"/>
    <w:rsid w:val="74AB5178"/>
    <w:rsid w:val="74BC7F66"/>
    <w:rsid w:val="74DD127A"/>
    <w:rsid w:val="7509001F"/>
    <w:rsid w:val="75354D44"/>
    <w:rsid w:val="753D1C2F"/>
    <w:rsid w:val="75686B98"/>
    <w:rsid w:val="76654669"/>
    <w:rsid w:val="7677072C"/>
    <w:rsid w:val="768076F4"/>
    <w:rsid w:val="76A00464"/>
    <w:rsid w:val="76A021B3"/>
    <w:rsid w:val="76B664D7"/>
    <w:rsid w:val="76E33575"/>
    <w:rsid w:val="76EB2B73"/>
    <w:rsid w:val="770B0914"/>
    <w:rsid w:val="775D41D3"/>
    <w:rsid w:val="77A33591"/>
    <w:rsid w:val="77D16924"/>
    <w:rsid w:val="782C2784"/>
    <w:rsid w:val="78326601"/>
    <w:rsid w:val="783C5EB8"/>
    <w:rsid w:val="797F7147"/>
    <w:rsid w:val="79BE2A91"/>
    <w:rsid w:val="7A590988"/>
    <w:rsid w:val="7A7E7572"/>
    <w:rsid w:val="7A992CC0"/>
    <w:rsid w:val="7B0918A9"/>
    <w:rsid w:val="7B3A50B0"/>
    <w:rsid w:val="7B7B235C"/>
    <w:rsid w:val="7B8B2C1D"/>
    <w:rsid w:val="7BC818FC"/>
    <w:rsid w:val="7BCA3B47"/>
    <w:rsid w:val="7BD020E4"/>
    <w:rsid w:val="7C01614C"/>
    <w:rsid w:val="7C644B37"/>
    <w:rsid w:val="7C8D1210"/>
    <w:rsid w:val="7C9C658A"/>
    <w:rsid w:val="7D2F0819"/>
    <w:rsid w:val="7D2F33BE"/>
    <w:rsid w:val="7D793C28"/>
    <w:rsid w:val="7D8C0F6F"/>
    <w:rsid w:val="7DE40569"/>
    <w:rsid w:val="7E517338"/>
    <w:rsid w:val="7E9771C1"/>
    <w:rsid w:val="7EB604BE"/>
    <w:rsid w:val="7F1135E0"/>
    <w:rsid w:val="7F653236"/>
    <w:rsid w:val="7F6A5445"/>
    <w:rsid w:val="7F833F4C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2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lkgvc"/>
    <w:basedOn w:val="27"/>
    <w:autoRedefine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7">
    <w:name w:val="P1"/>
    <w:basedOn w:val="1"/>
    <w:autoRedefine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5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7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9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0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1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2">
    <w:name w:val="qc5 Char"/>
    <w:basedOn w:val="16"/>
    <w:link w:val="43"/>
    <w:autoRedefine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3">
    <w:name w:val="qc5"/>
    <w:basedOn w:val="1"/>
    <w:link w:val="42"/>
    <w:autoRedefine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4">
    <w:name w:val="网格型15"/>
    <w:basedOn w:val="14"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73a8eb6c-f7a4-4b27-8f86-ffa7c051b96f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hello1098"/>
    <w:basedOn w:val="1"/>
    <w:autoRedefine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7">
    <w:name w:val="5_red"/>
    <w:basedOn w:val="46"/>
    <w:autoRedefine/>
    <w:qFormat/>
    <w:uiPriority w:val="0"/>
    <w:rPr>
      <w:color w:val="FF0000"/>
      <w:sz w:val="20"/>
    </w:rPr>
  </w:style>
  <w:style w:type="paragraph" w:customStyle="1" w:styleId="48">
    <w:name w:val="5_black"/>
    <w:basedOn w:val="47"/>
    <w:autoRedefine/>
    <w:qFormat/>
    <w:uiPriority w:val="0"/>
    <w:rPr>
      <w:color w:val="auto"/>
    </w:rPr>
  </w:style>
  <w:style w:type="paragraph" w:customStyle="1" w:styleId="49">
    <w:name w:val="样式10"/>
    <w:basedOn w:val="50"/>
    <w:autoRedefine/>
    <w:qFormat/>
    <w:uiPriority w:val="0"/>
    <w:pPr>
      <w:ind w:firstLine="333"/>
    </w:pPr>
    <w:rPr>
      <w:szCs w:val="18"/>
    </w:rPr>
  </w:style>
  <w:style w:type="paragraph" w:customStyle="1" w:styleId="50">
    <w:name w:val="样式3"/>
    <w:basedOn w:val="51"/>
    <w:autoRedefine/>
    <w:qFormat/>
    <w:uiPriority w:val="0"/>
    <w:rPr>
      <w:rFonts w:ascii="微软雅黑" w:hAnsi="微软雅黑" w:eastAsia="微软雅黑"/>
      <w:sz w:val="18"/>
    </w:rPr>
  </w:style>
  <w:style w:type="paragraph" w:customStyle="1" w:styleId="51">
    <w:name w:val="样式2"/>
    <w:basedOn w:val="1"/>
    <w:autoRedefine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2">
    <w:name w:val="3300a14f-dd40-4409-84a9-5d9488cb46c4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网格型9"/>
    <w:basedOn w:val="14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4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26" textRotate="1"/>
    <customShpInfo spid="_x0000_s2050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1216</Words>
  <Characters>2938</Characters>
  <Lines>399</Lines>
  <Paragraphs>112</Paragraphs>
  <TotalTime>0</TotalTime>
  <ScaleCrop>false</ScaleCrop>
  <LinksUpToDate>false</LinksUpToDate>
  <CharactersWithSpaces>3417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2026-05-25T05:13:28Z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571A23818E774FF9BECB798EE15A8D8C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