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D55FA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93F4F2">
            <w:pPr>
              <w:rPr>
                <w:b/>
                <w:kern w:val="0"/>
                <w:szCs w:val="20"/>
              </w:rPr>
            </w:pPr>
          </w:p>
        </w:tc>
        <w:tc>
          <w:tcPr>
            <w:tcW w:w="7338" w:type="dxa"/>
            <w:tcBorders>
              <w:left w:val="single" w:color="23656F" w:sz="18" w:space="0"/>
              <w:right w:val="nil"/>
            </w:tcBorders>
            <w:shd w:val="clear" w:color="auto" w:fill="auto"/>
          </w:tcPr>
          <w:p w14:paraId="188A5177">
            <w:pPr>
              <w:ind w:left="400" w:leftChars="200"/>
              <w:rPr>
                <w:rFonts w:hint="default"/>
                <w:color w:val="3F3F3F"/>
                <w:kern w:val="0"/>
                <w:sz w:val="21"/>
                <w:szCs w:val="21"/>
                <w:lang w:val="en-US" w:eastAsia="zh-CN"/>
              </w:rPr>
            </w:pPr>
            <w:r>
              <w:rPr>
                <w:rFonts w:hint="eastAsia"/>
                <w:color w:val="3F3F3F"/>
                <w:sz w:val="21"/>
                <w:szCs w:val="21"/>
                <w:lang w:val="en-US" w:eastAsia="zh-CN"/>
              </w:rPr>
              <w:t>{{note.cancerTitle}}</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r>
              <w:rPr>
                <w:rFonts w:hint="eastAsia" w:ascii="Times New Roman" w:hAnsi="Times New Roman" w:eastAsia="微软雅黑" w:cs="Times New Roman"/>
                <w:color w:val="3F3F3F"/>
                <w:sz w:val="21"/>
                <w:szCs w:val="21"/>
                <w:lang w:eastAsia="zh-CN"/>
              </w:rPr>
              <w:t xml:space="preserve">{%if </w:t>
            </w:r>
            <w:r>
              <w:rPr>
                <w:rFonts w:hint="default" w:ascii="Times New Roman" w:hAnsi="Times New Roman" w:eastAsia="微软雅黑" w:cs="Times New Roman"/>
                <w:color w:val="3F3F3F"/>
                <w:sz w:val="21"/>
                <w:szCs w:val="21"/>
                <w:lang w:val="en-US" w:eastAsia="zh-CN"/>
              </w:rPr>
              <w:t>2531</w:t>
            </w:r>
            <w:r>
              <w:rPr>
                <w:rFonts w:hint="eastAsia" w:ascii="Times New Roman" w:hAnsi="Times New Roman" w:eastAsia="微软雅黑" w:cs="Times New Roman"/>
                <w:color w:val="3F3F3F"/>
                <w:sz w:val="21"/>
                <w:szCs w:val="21"/>
                <w:lang w:val="en-US" w:eastAsia="zh-CN"/>
              </w:rPr>
              <w:t xml:space="preserve"> not in </w:t>
            </w:r>
            <w:r>
              <w:rPr>
                <w:rFonts w:hint="eastAsia" w:ascii="Times New Roman" w:hAnsi="Times New Roman" w:eastAsia="微软雅黑" w:cs="Times New Roman"/>
                <w:color w:val="3F3F3F"/>
                <w:sz w:val="21"/>
                <w:szCs w:val="21"/>
                <w:lang w:eastAsia="zh-CN"/>
              </w:rPr>
              <w:t>diseaseIdList %}</w:t>
            </w:r>
          </w:p>
        </w:tc>
      </w:tr>
      <w:tr w14:paraId="03511BD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10E148">
            <w:pPr>
              <w:rPr>
                <w:b/>
                <w:bCs/>
                <w:kern w:val="0"/>
                <w:szCs w:val="20"/>
              </w:rPr>
            </w:pPr>
          </w:p>
        </w:tc>
        <w:tc>
          <w:tcPr>
            <w:tcW w:w="7338" w:type="dxa"/>
            <w:tcBorders>
              <w:left w:val="single" w:color="23656F" w:sz="18" w:space="0"/>
              <w:right w:val="nil"/>
            </w:tcBorders>
            <w:shd w:val="clear" w:color="auto" w:fill="auto"/>
          </w:tcPr>
          <w:p w14:paraId="2871C43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val="en-US" w:eastAsia="zh-CN"/>
              </w:rPr>
              <w:t>本癌种FDA/NMPA获批的其他可选靶向药物</w:t>
            </w:r>
            <w:r>
              <w:rPr>
                <w:rFonts w:hint="default" w:ascii="Times New Roman" w:hAnsi="Times New Roman" w:eastAsia="微软雅黑" w:cs="Times New Roman"/>
                <w:color w:val="3F3F3F"/>
                <w:sz w:val="21"/>
                <w:szCs w:val="21"/>
                <w:lang w:eastAsia="zh-CN"/>
              </w:rPr>
              <w:t>{% endif %}</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08FD60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516DA6F">
            <w:pPr>
              <w:rPr>
                <w:b/>
                <w:bCs/>
                <w:kern w:val="0"/>
                <w:szCs w:val="20"/>
              </w:rPr>
            </w:pPr>
          </w:p>
        </w:tc>
        <w:tc>
          <w:tcPr>
            <w:tcW w:w="7338" w:type="dxa"/>
            <w:tcBorders>
              <w:left w:val="single" w:color="23656F" w:sz="18" w:space="0"/>
              <w:right w:val="nil"/>
            </w:tcBorders>
            <w:shd w:val="clear" w:color="auto" w:fill="auto"/>
            <w:vAlign w:val="top"/>
          </w:tcPr>
          <w:p w14:paraId="430A989A">
            <w:pPr>
              <w:ind w:left="200" w:leftChars="100"/>
              <w:rPr>
                <w:rFonts w:hint="eastAsia"/>
                <w:color w:val="3F3F3F"/>
                <w:sz w:val="21"/>
                <w:szCs w:val="21"/>
              </w:rPr>
            </w:pPr>
            <w:r>
              <w:rPr>
                <w:rFonts w:hint="eastAsia"/>
                <w:color w:val="3F3F3F"/>
                <w:sz w:val="21"/>
                <w:szCs w:val="21"/>
              </w:rPr>
              <w:t>HRR及其它相关基因说明</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5C1813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47632B00">
            <w:pPr>
              <w:rPr>
                <w:b/>
                <w:bCs/>
                <w:kern w:val="0"/>
                <w:szCs w:val="20"/>
              </w:rPr>
            </w:pPr>
          </w:p>
        </w:tc>
        <w:tc>
          <w:tcPr>
            <w:tcW w:w="7338" w:type="dxa"/>
            <w:tcBorders>
              <w:left w:val="single" w:color="23656F" w:sz="18" w:space="0"/>
              <w:right w:val="nil"/>
            </w:tcBorders>
            <w:shd w:val="clear" w:color="auto" w:fill="auto"/>
            <w:vAlign w:val="top"/>
          </w:tcPr>
          <w:p w14:paraId="66BC66B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7E6BED3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送检项目：DNA损伤修复</w:t>
            </w:r>
            <w:r>
              <w:rPr>
                <w:rFonts w:hint="eastAsia" w:cs="Times New Roman"/>
                <w:color w:val="262626"/>
                <w:sz w:val="20"/>
                <w:lang w:val="en-US" w:eastAsia="zh-CN"/>
              </w:rPr>
              <w:t>45</w:t>
            </w:r>
            <w:r>
              <w:rPr>
                <w:rFonts w:hint="eastAsia" w:ascii="微软雅黑" w:hAnsi="微软雅黑" w:eastAsia="微软雅黑" w:cs="Times New Roman"/>
                <w:color w:val="262626"/>
                <w:sz w:val="20"/>
              </w:rPr>
              <w:t>+HRD基因检测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8"/>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49752576">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7"/>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3DBD359F">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{{n}}{% endfor %}</w:t>
      </w:r>
      <w:r>
        <w:rPr>
          <w:rFonts w:hint="eastAsia" w:ascii="Times New Roman" w:hAnsi="Times New Roman" w:eastAsia="微软雅黑" w:cs="Times New Roman"/>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7240"/>
      <w:bookmarkStart w:id="4" w:name="_Toc13492"/>
      <w:bookmarkStart w:id="5" w:name="_Toc107825551"/>
      <w:bookmarkStart w:id="6" w:name="_Toc23434"/>
      <w:bookmarkStart w:id="7" w:name="_Toc149837258"/>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cs="Times New Roman"/>
                <w:sz w:val="21"/>
                <w:lang w:val="en-US" w:eastAsia="zh-CN"/>
              </w:rPr>
              <w:t>失活变异</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8"/>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59E1620">
      <w:pPr>
        <w:pStyle w:val="7"/>
        <w:numPr>
          <w:ilvl w:val="0"/>
          <w:numId w:val="6"/>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9"/>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8"/>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7"/>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5"/>
        </w:numPr>
        <w:bidi w:val="0"/>
        <w:ind w:left="425" w:leftChars="0" w:hanging="425" w:firstLineChars="0"/>
        <w:rPr>
          <w:rFonts w:hint="eastAsia"/>
          <w:lang w:eastAsia="zh-CN"/>
        </w:rPr>
      </w:pPr>
      <w:bookmarkStart w:id="8" w:name="_Toc149837259"/>
      <w:bookmarkStart w:id="9" w:name="_Toc7697"/>
      <w:r>
        <w:rPr>
          <w:rFonts w:hint="eastAsia"/>
          <w:lang w:eastAsia="zh-CN"/>
        </w:rPr>
        <w:t>胚系变异结果提示</w:t>
      </w:r>
      <w:bookmarkEnd w:id="8"/>
      <w:bookmarkEnd w:id="9"/>
    </w:p>
    <w:p w14:paraId="477C8806">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9"/>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8"/>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8"/>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8"/>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8"/>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8"/>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9"/>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PrEx>
        <w:trPr>
          <w:trHeight w:val="510" w:hRule="atLeast"/>
          <w:tblHeader/>
          <w:jc w:val="center"/>
        </w:trPr>
        <w:tc>
          <w:tcPr>
            <w:tcW w:w="646" w:type="pct"/>
            <w:tcBorders>
              <w:tl2br w:val="nil"/>
              <w:tr2bl w:val="nil"/>
            </w:tcBorders>
            <w:shd w:val="clear" w:color="auto" w:fill="DAEEF3"/>
            <w:vAlign w:val="center"/>
          </w:tcPr>
          <w:p w14:paraId="45502468">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7456"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7456;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LgWm3QQ4AADwOAAAVAAAAZHJzL21lZGlh&#10;L2ltYWdlMS5qcGVnATwOw/H/2P/gABBKRklGAAEBAQDcANwAAP/bAEMACAYGBwYFCAcHBwkJCAoM&#10;FA0MCwsMGRITDxQdGh8eHRocHCAkLicgIiwjHBwoNyksMDE0NDQfJzk9ODI8LjM0Mv/bAEMBCQkJ&#10;DAsMGA0NGDIhHCEyMjIyMjIyMjIyMjIyMjIyMjIyMjIyMjIyMjIyMjIyMjIyMjIyMjIyMjIyMjIy&#10;MjIyMv/AABEIAK0A9w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MB4AABkcnMvbWVkaWEvaW1hZ2UxLmpwZWdQSwECFAAUAAAACACHTuJAnuAC5gl0AAAE&#10;dAAAFAAAAAAAAAABACAAAACFBA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8480"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8480;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yy4egb0AAADb&#10;AAAADwAAAGRycy9kb3ducmV2LnhtbEVPTWsCMRC9F/wPYQq91aylLcvWKFQotFKlatHrsBk3i5vJ&#10;mkRX/fVGKPQ2j/c5w/HJNuJIPtSOFQz6GQji0umaKwW/q4/HHESIyBobx6TgTAHGo97dEAvtOl7Q&#10;cRkrkUI4FKjAxNgWUobSkMXQdy1x4rbOW4wJ+kpqj10Kt418yrJXabHm1GCwpYmhcrc8WAX7Hz9f&#10;b7qvb/O+zquZ3U6fL/leqYf7QfYGItIp/ov/3J86zX+B2y/pADm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h6BvQAA&#10;ANsAAAAPAAAAAAAAAAEAIAAAACIAAABkcnMvZG93bnJldi54bWxQSwECFAAUAAAACACHTuJAMy8F&#10;njsAAAA5AAAAEAAAAAAAAAABACAAAAAMAQAAZHJzL3NoYXBleG1sLnhtbFBLBQYAAAAABgAGAFsB&#10;AAC2AwAAA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0A19660A">
      <w:pPr>
        <w:widowControl/>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6FAEBC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10" w:name="_Toc15882"/>
      <w:bookmarkStart w:id="11" w:name="_Toc149837260"/>
      <w:r>
        <w:rPr>
          <w:rFonts w:hint="eastAsia"/>
          <w:lang w:val="en-US" w:eastAsia="zh-CN"/>
        </w:rPr>
        <w:t>本癌种FDA/NMPA获批的其他可选靶向药物</w:t>
      </w:r>
      <w:bookmarkEnd w:id="10"/>
      <w:bookmarkEnd w:id="1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337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0E2CFC72">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3CD0D3">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78AC16">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E44BCDE">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7265D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5D4A08A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19AA4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C31B54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7AE6A90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714A7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6E2CDF3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82F6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68EE94D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val="zh-CN" w:eastAsia="zh-CN"/>
        </w:rPr>
        <w:br w:type="page"/>
      </w:r>
      <w:r>
        <w:rPr>
          <w:rFonts w:hint="default" w:ascii="Times New Roman" w:hAnsi="Times New Roman" w:eastAsia="微软雅黑" w:cs="Times New Roman"/>
          <w:sz w:val="21"/>
          <w:szCs w:val="21"/>
          <w:lang w:eastAsia="zh-CN"/>
        </w:rPr>
        <w:t>{% endif %}</w:t>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sz w:val="24"/>
          <w:szCs w:val="24"/>
          <w:lang w:val="en-US" w:eastAsia="zh-CN"/>
        </w:rPr>
        <w:t>有害</w:t>
      </w:r>
      <w:r>
        <w:rPr>
          <w:rFonts w:ascii="微软雅黑" w:hAnsi="微软雅黑" w:eastAsia="微软雅黑"/>
          <w:sz w:val="24"/>
          <w:szCs w:val="24"/>
          <w:lang w:eastAsia="zh-CN"/>
        </w:rPr>
        <w:t>或可能</w:t>
      </w:r>
      <w:r>
        <w:rPr>
          <w:rFonts w:hint="eastAsia"/>
          <w:sz w:val="24"/>
          <w:szCs w:val="24"/>
          <w:lang w:val="en-US" w:eastAsia="zh-CN"/>
        </w:rPr>
        <w:t>有害</w:t>
      </w:r>
      <w:bookmarkStart w:id="39" w:name="_GoBack"/>
      <w:bookmarkEnd w:id="39"/>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2" w:name="_Toc17537"/>
      <w:bookmarkStart w:id="13" w:name="_Toc289"/>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2"/>
      <w:bookmarkEnd w:id="13"/>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974"/>
        <w:gridCol w:w="1974"/>
        <w:gridCol w:w="1974"/>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974"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1974" w:type="dxa"/>
            <w:shd w:val="clear" w:color="auto" w:fill="DAEEF3"/>
            <w:vAlign w:val="center"/>
          </w:tcPr>
          <w:p w14:paraId="2289C73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p>
        </w:tc>
        <w:tc>
          <w:tcPr>
            <w:tcW w:w="1974"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5C8FB2C7">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.Gene }}</w:t>
            </w:r>
          </w:p>
          <w:p w14:paraId="40096C89">
            <w:pPr>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w:t>
            </w:r>
            <w:r>
              <w:rPr>
                <w:rFonts w:ascii="Times New Roman" w:hAnsi="Times New Roman" w:eastAsia="微软雅黑"/>
                <w:color w:val="262626"/>
                <w:sz w:val="18"/>
              </w:rPr>
              <w:t>Transcript</w:t>
            </w:r>
            <w:r>
              <w:rPr>
                <w:rFonts w:hint="eastAsia" w:ascii="Times New Roman" w:hAnsi="Times New Roman" w:eastAsia="微软雅黑"/>
                <w:color w:val="262626"/>
                <w:sz w:val="18"/>
              </w:rPr>
              <w:t>}}</w:t>
            </w:r>
          </w:p>
        </w:tc>
        <w:tc>
          <w:tcPr>
            <w:tcW w:w="1974" w:type="dxa"/>
            <w:vAlign w:val="center"/>
          </w:tcPr>
          <w:p w14:paraId="182B016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.Exon }}</w:t>
            </w:r>
          </w:p>
          <w:p w14:paraId="26C3AEE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.cHGVS }}</w:t>
            </w:r>
          </w:p>
        </w:tc>
        <w:tc>
          <w:tcPr>
            <w:tcW w:w="1974"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1974"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974"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4" w:name="_Toc31324"/>
      <w:bookmarkStart w:id="15" w:name="_Toc26395"/>
    </w:p>
    <w:bookmarkEnd w:id="14"/>
    <w:bookmarkEnd w:id="15"/>
    <w:p w14:paraId="4301401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7"/>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6" w:name="_Toc25365"/>
      <w:r>
        <w:rPr>
          <w:rFonts w:hint="eastAsia"/>
          <w:b/>
          <w:bCs/>
          <w:color w:val="31849B"/>
          <w:sz w:val="24"/>
          <w:szCs w:val="32"/>
          <w:lang w:eastAsia="zh-CN"/>
        </w:rPr>
        <w:t>胚系变异结果解析</w:t>
      </w:r>
      <w:bookmarkEnd w:id="16"/>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9"/>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4DE5B805">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342" w:type="dxa"/>
            <w:tcBorders>
              <w:tl2br w:val="nil"/>
              <w:tr2bl w:val="nil"/>
            </w:tcBorders>
            <w:shd w:val="clear" w:color="auto" w:fill="auto"/>
            <w:vAlign w:val="center"/>
          </w:tcPr>
          <w:p w14:paraId="5406002C">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74E53650">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5ED2C5A6">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342" w:type="dxa"/>
            <w:tcBorders>
              <w:tl2br w:val="nil"/>
              <w:tr2bl w:val="nil"/>
            </w:tcBorders>
            <w:shd w:val="clear" w:color="auto" w:fill="DAEEF3"/>
            <w:vAlign w:val="center"/>
          </w:tcPr>
          <w:p w14:paraId="5DA1E09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 else %}不合格{% endif %}</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09164829">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5E469434">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HRD Score平均测序深度</w:t>
            </w:r>
          </w:p>
        </w:tc>
        <w:tc>
          <w:tcPr>
            <w:tcW w:w="3342" w:type="dxa"/>
            <w:tcBorders>
              <w:tl2br w:val="nil"/>
              <w:tr2bl w:val="nil"/>
            </w:tcBorders>
            <w:shd w:val="clear" w:color="auto" w:fill="auto"/>
            <w:vAlign w:val="center"/>
          </w:tcPr>
          <w:p w14:paraId="603EC8B6">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113A9EC2">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HRD Score</w:t>
            </w:r>
            <w:r>
              <w:rPr>
                <w:rFonts w:hint="eastAsia" w:ascii="Times New Roman" w:hAnsi="Times New Roman" w:eastAsia="微软雅黑" w:cs="Times New Roman"/>
                <w:bCs/>
                <w:color w:val="262626"/>
                <w:sz w:val="21"/>
                <w:lang w:eastAsia="zh-CN"/>
              </w:rPr>
              <w:t>覆盖均一性</w:t>
            </w:r>
          </w:p>
        </w:tc>
        <w:tc>
          <w:tcPr>
            <w:tcW w:w="3342" w:type="dxa"/>
            <w:tcBorders>
              <w:tl2br w:val="nil"/>
              <w:tr2bl w:val="nil"/>
            </w:tcBorders>
            <w:shd w:val="clear" w:color="auto" w:fill="auto"/>
            <w:vAlign w:val="center"/>
          </w:tcPr>
          <w:p w14:paraId="32EDC9D1">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59A7C90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53767C34">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AD4A83B">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基因平均测序深度</w:t>
            </w:r>
          </w:p>
        </w:tc>
        <w:tc>
          <w:tcPr>
            <w:tcW w:w="3342" w:type="dxa"/>
            <w:tcBorders>
              <w:tl2br w:val="nil"/>
              <w:tr2bl w:val="nil"/>
            </w:tcBorders>
            <w:shd w:val="clear" w:color="auto" w:fill="auto"/>
            <w:vAlign w:val="center"/>
          </w:tcPr>
          <w:p w14:paraId="5C1E6495">
            <w:pPr>
              <w:autoSpaceDE w:val="0"/>
              <w:ind w:left="100" w:leftChars="5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sequencing_depth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597A32B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7C0F2F7C">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1BB0497">
            <w:pPr>
              <w:ind w:left="119" w:leftChars="0"/>
              <w:jc w:val="center"/>
              <w:rPr>
                <w:rFonts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基因覆盖均一性</w:t>
            </w:r>
          </w:p>
        </w:tc>
        <w:tc>
          <w:tcPr>
            <w:tcW w:w="3342" w:type="dxa"/>
            <w:tcBorders>
              <w:tl2br w:val="nil"/>
              <w:tr2bl w:val="nil"/>
            </w:tcBorders>
            <w:shd w:val="clear" w:color="auto" w:fill="auto"/>
            <w:vAlign w:val="center"/>
          </w:tcPr>
          <w:p w14:paraId="4078BF78">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90 %}合格{% else %}不合格{% endif %}</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7AA61C4D">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342" w:type="dxa"/>
            <w:tcBorders>
              <w:tl2br w:val="nil"/>
              <w:tr2bl w:val="nil"/>
            </w:tcBorders>
            <w:shd w:val="clear" w:color="auto" w:fill="auto"/>
            <w:vAlign w:val="center"/>
          </w:tcPr>
          <w:p w14:paraId="36348DC1">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05263F2E">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342" w:type="dxa"/>
            <w:tcBorders>
              <w:tl2br w:val="nil"/>
              <w:tr2bl w:val="nil"/>
            </w:tcBorders>
            <w:shd w:val="clear" w:color="auto" w:fill="auto"/>
            <w:vAlign w:val="center"/>
          </w:tcPr>
          <w:p w14:paraId="6DFC6871">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000000"/>
                <w:sz w:val="21"/>
                <w:szCs w:val="21"/>
                <w:lang w:eastAsia="zh-CN"/>
              </w:rPr>
              <w:t>{{ sequencing_depth | oqa(500,400) }}</w:t>
            </w:r>
          </w:p>
        </w:tc>
      </w:tr>
    </w:tbl>
    <w:p w14:paraId="6A58CFE8">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27DFBA00">
      <w:pPr>
        <w:numPr>
          <w:ilvl w:val="0"/>
          <w:numId w:val="0"/>
        </w:numPr>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note.qcNoteList %}{{n}}</w:t>
      </w:r>
    </w:p>
    <w:p w14:paraId="180C920A">
      <w:pPr>
        <w:numPr>
          <w:ilvl w:val="0"/>
          <w:numId w:val="0"/>
        </w:numPr>
        <w:spacing w:before="53" w:line="301" w:lineRule="exact"/>
        <w:rPr>
          <w:rFonts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val="en-US" w:eastAsia="zh-CN"/>
        </w:rPr>
        <w:t>{% endfor %}</w:t>
      </w:r>
    </w:p>
    <w:p w14:paraId="2B4437A8">
      <w:pPr>
        <w:rPr>
          <w:sz w:val="21"/>
          <w:szCs w:val="21"/>
        </w:rPr>
      </w:pPr>
      <w:r>
        <w:br w:type="page"/>
      </w:r>
    </w:p>
    <w:p w14:paraId="1CF2EDCB">
      <w:pPr>
        <w:pStyle w:val="3"/>
        <w:keepNext/>
        <w:keepLines/>
        <w:pageBreakBefore w:val="0"/>
        <w:widowControl w:val="0"/>
        <w:numPr>
          <w:ilvl w:val="0"/>
          <w:numId w:val="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7" w:name="_Toc23742"/>
      <w:bookmarkStart w:id="18" w:name="_Toc9502"/>
      <w:r>
        <w:rPr>
          <w:rFonts w:ascii="Times New Roman" w:hAnsi="Times New Roman" w:eastAsia="微软雅黑" w:cs="Times New Roman"/>
          <w:b/>
          <w:bCs/>
          <w:color w:val="auto"/>
          <w:sz w:val="24"/>
          <w:szCs w:val="24"/>
          <w:lang w:eastAsia="zh-CN"/>
        </w:rPr>
        <w:t>BRCA1&amp;BRCA2基因说明及用药提示</w:t>
      </w:r>
      <w:bookmarkEnd w:id="17"/>
      <w:bookmarkEnd w:id="18"/>
      <w:bookmarkStart w:id="19" w:name="_Hlk33179213"/>
    </w:p>
    <w:bookmarkEnd w:id="19"/>
    <w:tbl>
      <w:tblPr>
        <w:tblStyle w:val="17"/>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8"/>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8"/>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8"/>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8"/>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8"/>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8"/>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6"/>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9"/>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9"/>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68A99B75">
      <w:pPr>
        <w:pStyle w:val="3"/>
        <w:numPr>
          <w:ilvl w:val="0"/>
          <w:numId w:val="9"/>
        </w:numPr>
        <w:spacing w:before="156" w:after="156"/>
        <w:ind w:left="425" w:leftChars="0" w:hanging="425" w:firstLineChars="0"/>
        <w:rPr>
          <w:rFonts w:hint="eastAsia"/>
          <w:lang w:val="en-US" w:eastAsia="zh-CN"/>
        </w:rPr>
      </w:pPr>
      <w:r>
        <w:rPr>
          <w:rFonts w:ascii="Times New Roman" w:hAnsi="Times New Roman" w:eastAsia="微软雅黑" w:cs="Times New Roman"/>
          <w:lang w:eastAsia="zh-CN"/>
        </w:rPr>
        <w:br w:type="page"/>
      </w:r>
      <w:bookmarkStart w:id="20" w:name="_Toc25944"/>
      <w:r>
        <w:rPr>
          <w:rFonts w:hint="eastAsia"/>
          <w:lang w:val="en-US" w:eastAsia="zh-CN"/>
        </w:rPr>
        <w:t>HRR及其它相关基因说明</w:t>
      </w:r>
      <w:bookmarkEnd w:id="20"/>
    </w:p>
    <w:tbl>
      <w:tblPr>
        <w:tblStyle w:val="18"/>
        <w:tblpPr w:leftFromText="181" w:rightFromText="181" w:vertAnchor="text" w:horzAnchor="page" w:tblpXSpec="center" w:tblpY="1"/>
        <w:tblOverlap w:val="never"/>
        <w:tblW w:w="10113"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1015"/>
        <w:gridCol w:w="9098"/>
      </w:tblGrid>
      <w:tr w14:paraId="3A0E4D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DAEEF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31849B"/>
                <w:sz w:val="18"/>
                <w:szCs w:val="18"/>
              </w:rPr>
            </w:pPr>
            <w:r>
              <w:rPr>
                <w:rFonts w:ascii="Times New Roman" w:hAnsi="Times New Roman" w:eastAsia="微软雅黑" w:cs="Times New Roman"/>
                <w:b/>
                <w:bCs/>
                <w:color w:val="31849B"/>
                <w:sz w:val="18"/>
                <w:szCs w:val="18"/>
              </w:rPr>
              <w:t>基因</w:t>
            </w:r>
          </w:p>
        </w:tc>
        <w:tc>
          <w:tcPr>
            <w:tcW w:w="9098" w:type="dxa"/>
            <w:tcBorders>
              <w:tl2br w:val="nil"/>
              <w:tr2bl w:val="nil"/>
            </w:tcBorders>
            <w:shd w:val="clear" w:color="auto" w:fill="DAEEF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基因说明</w:t>
            </w:r>
          </w:p>
        </w:tc>
      </w:tr>
      <w:tr w14:paraId="153436B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ATM</w:t>
            </w:r>
          </w:p>
        </w:tc>
        <w:tc>
          <w:tcPr>
            <w:tcW w:w="9098" w:type="dxa"/>
            <w:tcBorders>
              <w:tl2br w:val="nil"/>
              <w:tr2bl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ATR</w:t>
            </w:r>
          </w:p>
        </w:tc>
        <w:tc>
          <w:tcPr>
            <w:tcW w:w="9098" w:type="dxa"/>
            <w:tcBorders>
              <w:tl2br w:val="nil"/>
              <w:tr2bl w:val="nil"/>
            </w:tcBorders>
            <w:vAlign w:val="center"/>
          </w:tcPr>
          <w:p w14:paraId="4238111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BARD1</w:t>
            </w:r>
          </w:p>
        </w:tc>
        <w:tc>
          <w:tcPr>
            <w:tcW w:w="9098" w:type="dxa"/>
            <w:tcBorders>
              <w:tl2br w:val="nil"/>
              <w:tr2bl w:val="nil"/>
            </w:tcBorders>
            <w:vAlign w:val="center"/>
          </w:tcPr>
          <w:p w14:paraId="3260AA8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BRIP1</w:t>
            </w:r>
          </w:p>
        </w:tc>
        <w:tc>
          <w:tcPr>
            <w:tcW w:w="9098" w:type="dxa"/>
            <w:tcBorders>
              <w:tl2br w:val="nil"/>
              <w:tr2bl w:val="nil"/>
            </w:tcBorders>
            <w:vAlign w:val="center"/>
          </w:tcPr>
          <w:p w14:paraId="5FE4226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CDK12</w:t>
            </w:r>
          </w:p>
        </w:tc>
        <w:tc>
          <w:tcPr>
            <w:tcW w:w="9098" w:type="dxa"/>
            <w:tcBorders>
              <w:tl2br w:val="nil"/>
              <w:tr2bl w:val="nil"/>
            </w:tcBorders>
            <w:vAlign w:val="center"/>
          </w:tcPr>
          <w:p w14:paraId="01436F4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CHEK1</w:t>
            </w:r>
          </w:p>
        </w:tc>
        <w:tc>
          <w:tcPr>
            <w:tcW w:w="9098" w:type="dxa"/>
            <w:tcBorders>
              <w:tl2br w:val="nil"/>
              <w:tr2bl w:val="nil"/>
            </w:tcBorders>
            <w:vAlign w:val="center"/>
          </w:tcPr>
          <w:p w14:paraId="3194FE0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CHEK2</w:t>
            </w:r>
          </w:p>
        </w:tc>
        <w:tc>
          <w:tcPr>
            <w:tcW w:w="9098" w:type="dxa"/>
            <w:tcBorders>
              <w:tl2br w:val="nil"/>
              <w:tr2bl w:val="nil"/>
            </w:tcBorders>
            <w:vAlign w:val="center"/>
          </w:tcPr>
          <w:p w14:paraId="2C22DF4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ERCC3</w:t>
            </w:r>
          </w:p>
        </w:tc>
        <w:tc>
          <w:tcPr>
            <w:tcW w:w="9098" w:type="dxa"/>
            <w:tcBorders>
              <w:tl2br w:val="nil"/>
              <w:tr2bl w:val="nil"/>
            </w:tcBorders>
            <w:vAlign w:val="center"/>
          </w:tcPr>
          <w:p w14:paraId="32FBC4E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ABRAXAS1</w:t>
            </w:r>
          </w:p>
        </w:tc>
        <w:tc>
          <w:tcPr>
            <w:tcW w:w="9098" w:type="dxa"/>
            <w:tcBorders>
              <w:tl2br w:val="nil"/>
              <w:tr2bl w:val="nil"/>
            </w:tcBorders>
            <w:vAlign w:val="center"/>
          </w:tcPr>
          <w:p w14:paraId="6E295E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262626"/>
                <w:sz w:val="18"/>
                <w:szCs w:val="18"/>
                <w:lang w:eastAsia="zh-CN"/>
              </w:rPr>
              <w:t>[PMID: 31630195]</w:t>
            </w:r>
            <w:r>
              <w:rPr>
                <w:rFonts w:ascii="Times New Roman" w:hAnsi="Times New Roman" w:eastAsia="微软雅黑" w:cs="Times New Roman"/>
                <w:color w:val="262626"/>
                <w:sz w:val="18"/>
                <w:szCs w:val="18"/>
                <w:lang w:eastAsia="zh-CN"/>
              </w:rPr>
              <w:t>。</w:t>
            </w:r>
          </w:p>
        </w:tc>
      </w:tr>
      <w:tr w14:paraId="090599A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FANCA</w:t>
            </w:r>
          </w:p>
        </w:tc>
        <w:tc>
          <w:tcPr>
            <w:tcW w:w="9098" w:type="dxa"/>
            <w:tcBorders>
              <w:tl2br w:val="nil"/>
              <w:tr2bl w:val="nil"/>
            </w:tcBorders>
            <w:vAlign w:val="center"/>
          </w:tcPr>
          <w:p w14:paraId="1DC6ECB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262626"/>
                <w:sz w:val="18"/>
                <w:szCs w:val="18"/>
                <w:lang w:eastAsia="zh-CN"/>
              </w:rPr>
              <w:t>[PMID: 27318168]</w:t>
            </w:r>
            <w:r>
              <w:rPr>
                <w:rFonts w:ascii="Times New Roman" w:hAnsi="Times New Roman" w:eastAsia="微软雅黑" w:cs="Times New Roman"/>
                <w:color w:val="262626"/>
                <w:sz w:val="18"/>
                <w:szCs w:val="18"/>
                <w:lang w:eastAsia="zh-CN"/>
              </w:rPr>
              <w:t>。</w:t>
            </w:r>
          </w:p>
        </w:tc>
      </w:tr>
      <w:tr w14:paraId="4E5855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FANCL</w:t>
            </w:r>
          </w:p>
        </w:tc>
        <w:tc>
          <w:tcPr>
            <w:tcW w:w="9098" w:type="dxa"/>
            <w:tcBorders>
              <w:tl2br w:val="nil"/>
              <w:tr2bl w:val="nil"/>
            </w:tcBorders>
            <w:vAlign w:val="center"/>
          </w:tcPr>
          <w:p w14:paraId="5D7AED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FANCM</w:t>
            </w:r>
          </w:p>
        </w:tc>
        <w:tc>
          <w:tcPr>
            <w:tcW w:w="9098" w:type="dxa"/>
            <w:tcBorders>
              <w:tl2br w:val="nil"/>
              <w:tr2bl w:val="nil"/>
            </w:tcBorders>
            <w:vAlign w:val="center"/>
          </w:tcPr>
          <w:p w14:paraId="5863D79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GEN1</w:t>
            </w:r>
          </w:p>
        </w:tc>
        <w:tc>
          <w:tcPr>
            <w:tcW w:w="9098" w:type="dxa"/>
            <w:tcBorders>
              <w:tl2br w:val="nil"/>
              <w:tr2bl w:val="nil"/>
            </w:tcBorders>
            <w:vAlign w:val="center"/>
          </w:tcPr>
          <w:p w14:paraId="47475AC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262626"/>
                <w:sz w:val="18"/>
                <w:szCs w:val="18"/>
                <w:lang w:eastAsia="zh-CN"/>
              </w:rPr>
              <w:t>[PMID: 20512659]</w:t>
            </w:r>
            <w:r>
              <w:rPr>
                <w:rFonts w:ascii="Times New Roman" w:hAnsi="Times New Roman" w:eastAsia="微软雅黑" w:cs="Times New Roman"/>
                <w:color w:val="262626"/>
                <w:sz w:val="18"/>
                <w:szCs w:val="18"/>
                <w:lang w:eastAsia="zh-CN"/>
              </w:rPr>
              <w:t>。</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rPr>
              <w:t>GEN1相关的疾病包括着色性干皮病、Tick-BorneRelapsingFever等。</w:t>
            </w:r>
          </w:p>
        </w:tc>
      </w:tr>
      <w:tr w14:paraId="763D9C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HDAC2</w:t>
            </w:r>
          </w:p>
        </w:tc>
        <w:tc>
          <w:tcPr>
            <w:tcW w:w="9098" w:type="dxa"/>
            <w:tcBorders>
              <w:tl2br w:val="nil"/>
              <w:tr2bl w:val="nil"/>
            </w:tcBorders>
            <w:vAlign w:val="center"/>
          </w:tcPr>
          <w:p w14:paraId="563C5A6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MRE11</w:t>
            </w:r>
          </w:p>
        </w:tc>
        <w:tc>
          <w:tcPr>
            <w:tcW w:w="9098" w:type="dxa"/>
            <w:tcBorders>
              <w:tl2br w:val="nil"/>
              <w:tr2bl w:val="nil"/>
            </w:tcBorders>
            <w:vAlign w:val="center"/>
          </w:tcPr>
          <w:p w14:paraId="679B7CF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MLH3</w:t>
            </w:r>
          </w:p>
        </w:tc>
        <w:tc>
          <w:tcPr>
            <w:tcW w:w="9098" w:type="dxa"/>
            <w:tcBorders>
              <w:tl2br w:val="nil"/>
              <w:tr2bl w:val="nil"/>
            </w:tcBorders>
            <w:vAlign w:val="center"/>
          </w:tcPr>
          <w:p w14:paraId="228DDA6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MSH2</w:t>
            </w:r>
          </w:p>
        </w:tc>
        <w:tc>
          <w:tcPr>
            <w:tcW w:w="9098" w:type="dxa"/>
            <w:tcBorders>
              <w:tl2br w:val="nil"/>
              <w:tr2bl w:val="nil"/>
            </w:tcBorders>
            <w:vAlign w:val="center"/>
          </w:tcPr>
          <w:p w14:paraId="2C4066D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MSH6</w:t>
            </w:r>
          </w:p>
        </w:tc>
        <w:tc>
          <w:tcPr>
            <w:tcW w:w="9098" w:type="dxa"/>
            <w:tcBorders>
              <w:tl2br w:val="nil"/>
              <w:tr2bl w:val="nil"/>
            </w:tcBorders>
            <w:vAlign w:val="center"/>
          </w:tcPr>
          <w:p w14:paraId="7A6407B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262626"/>
                <w:sz w:val="18"/>
                <w:szCs w:val="18"/>
              </w:rPr>
              <w:t>与MSH6相关的疾病包括结直肠癌等。</w:t>
            </w:r>
          </w:p>
        </w:tc>
      </w:tr>
      <w:tr w14:paraId="61D553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NBN</w:t>
            </w:r>
          </w:p>
        </w:tc>
        <w:tc>
          <w:tcPr>
            <w:tcW w:w="9098" w:type="dxa"/>
            <w:tcBorders>
              <w:tl2br w:val="nil"/>
              <w:tr2bl w:val="nil"/>
            </w:tcBorders>
            <w:vAlign w:val="center"/>
          </w:tcPr>
          <w:p w14:paraId="2DCCFDD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PALB2</w:t>
            </w:r>
          </w:p>
        </w:tc>
        <w:tc>
          <w:tcPr>
            <w:tcW w:w="9098" w:type="dxa"/>
            <w:tcBorders>
              <w:tl2br w:val="nil"/>
              <w:tr2bl w:val="nil"/>
            </w:tcBorders>
            <w:vAlign w:val="center"/>
          </w:tcPr>
          <w:p w14:paraId="55BEA35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PMS2</w:t>
            </w:r>
          </w:p>
        </w:tc>
        <w:tc>
          <w:tcPr>
            <w:tcW w:w="9098" w:type="dxa"/>
            <w:tcBorders>
              <w:tl2br w:val="nil"/>
              <w:tr2bl w:val="nil"/>
            </w:tcBorders>
            <w:vAlign w:val="center"/>
          </w:tcPr>
          <w:p w14:paraId="6F59586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PMS2定位于染色体7p22.2，编码蛋白参与DNA错配修复。可与MLH1形成异源二聚体复合物MutL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PPM1D</w:t>
            </w:r>
          </w:p>
        </w:tc>
        <w:tc>
          <w:tcPr>
            <w:tcW w:w="9098" w:type="dxa"/>
            <w:tcBorders>
              <w:tl2br w:val="nil"/>
              <w:tr2bl w:val="nil"/>
            </w:tcBorders>
            <w:vAlign w:val="center"/>
          </w:tcPr>
          <w:p w14:paraId="78138C2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PPP2R2A</w:t>
            </w:r>
          </w:p>
        </w:tc>
        <w:tc>
          <w:tcPr>
            <w:tcW w:w="9098" w:type="dxa"/>
            <w:tcBorders>
              <w:tl2br w:val="nil"/>
              <w:tr2bl w:val="nil"/>
            </w:tcBorders>
            <w:vAlign w:val="center"/>
          </w:tcPr>
          <w:p w14:paraId="129B57F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PPP2R2A编码丝氨酸/苏氨酸蛋白磷酸酶2A55kda调节亚基B亚型，参与负调控细胞增殖和分裂。该基因与ERK和AKT信号通路。</w:t>
            </w:r>
          </w:p>
        </w:tc>
      </w:tr>
      <w:tr w14:paraId="2479865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PTEN</w:t>
            </w:r>
          </w:p>
        </w:tc>
        <w:tc>
          <w:tcPr>
            <w:tcW w:w="9098" w:type="dxa"/>
            <w:tcBorders>
              <w:tl2br w:val="nil"/>
              <w:tr2bl w:val="nil"/>
            </w:tcBorders>
            <w:vAlign w:val="center"/>
          </w:tcPr>
          <w:p w14:paraId="22C3EA1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RAD50</w:t>
            </w:r>
          </w:p>
        </w:tc>
        <w:tc>
          <w:tcPr>
            <w:tcW w:w="9098" w:type="dxa"/>
            <w:tcBorders>
              <w:tl2br w:val="nil"/>
              <w:tr2bl w:val="nil"/>
            </w:tcBorders>
            <w:vAlign w:val="center"/>
          </w:tcPr>
          <w:p w14:paraId="25AA281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RAD51B</w:t>
            </w:r>
          </w:p>
        </w:tc>
        <w:tc>
          <w:tcPr>
            <w:tcW w:w="9098" w:type="dxa"/>
            <w:tcBorders>
              <w:tl2br w:val="nil"/>
              <w:tr2bl w:val="nil"/>
            </w:tcBorders>
            <w:vAlign w:val="center"/>
          </w:tcPr>
          <w:p w14:paraId="400BB73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RAD51C</w:t>
            </w:r>
          </w:p>
        </w:tc>
        <w:tc>
          <w:tcPr>
            <w:tcW w:w="9098" w:type="dxa"/>
            <w:tcBorders>
              <w:tl2br w:val="nil"/>
              <w:tr2bl w:val="nil"/>
            </w:tcBorders>
            <w:vAlign w:val="center"/>
          </w:tcPr>
          <w:p w14:paraId="211269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RAD51D</w:t>
            </w:r>
          </w:p>
        </w:tc>
        <w:tc>
          <w:tcPr>
            <w:tcW w:w="9098" w:type="dxa"/>
            <w:tcBorders>
              <w:tl2br w:val="nil"/>
              <w:tr2bl w:val="nil"/>
            </w:tcBorders>
            <w:vAlign w:val="center"/>
          </w:tcPr>
          <w:p w14:paraId="7BD49B3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RAD54L</w:t>
            </w:r>
          </w:p>
        </w:tc>
        <w:tc>
          <w:tcPr>
            <w:tcW w:w="9098" w:type="dxa"/>
            <w:tcBorders>
              <w:tl2br w:val="nil"/>
              <w:tr2bl w:val="nil"/>
            </w:tcBorders>
            <w:vAlign w:val="center"/>
          </w:tcPr>
          <w:p w14:paraId="11BE5B2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lang w:eastAsia="zh-CN"/>
              </w:rPr>
              <w:t>RAD54L相关的疾病包括家族性非霍金奇型淋巴瘤、结肠腺癌等。</w:t>
            </w:r>
          </w:p>
        </w:tc>
      </w:tr>
      <w:tr w14:paraId="229FFC7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TP53</w:t>
            </w:r>
          </w:p>
        </w:tc>
        <w:tc>
          <w:tcPr>
            <w:tcW w:w="9098" w:type="dxa"/>
            <w:tcBorders>
              <w:tl2br w:val="nil"/>
              <w:tr2bl w:val="nil"/>
            </w:tcBorders>
            <w:vAlign w:val="center"/>
          </w:tcPr>
          <w:p w14:paraId="6EE592D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CDH1</w:t>
            </w:r>
          </w:p>
        </w:tc>
        <w:tc>
          <w:tcPr>
            <w:tcW w:w="9098" w:type="dxa"/>
            <w:tcBorders>
              <w:tl2br w:val="nil"/>
              <w:tr2bl w:val="nil"/>
            </w:tcBorders>
            <w:vAlign w:val="center"/>
          </w:tcPr>
          <w:p w14:paraId="493DB854">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EPCAM</w:t>
            </w:r>
          </w:p>
        </w:tc>
        <w:tc>
          <w:tcPr>
            <w:tcW w:w="9098" w:type="dxa"/>
            <w:tcBorders>
              <w:tl2br w:val="nil"/>
              <w:tr2bl w:val="nil"/>
            </w:tcBorders>
            <w:vAlign w:val="center"/>
          </w:tcPr>
          <w:p w14:paraId="5452593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MLH1</w:t>
            </w:r>
          </w:p>
        </w:tc>
        <w:tc>
          <w:tcPr>
            <w:tcW w:w="9098" w:type="dxa"/>
            <w:tcBorders>
              <w:tl2br w:val="nil"/>
              <w:tr2bl w:val="nil"/>
            </w:tcBorders>
            <w:vAlign w:val="center"/>
          </w:tcPr>
          <w:p w14:paraId="5CBE630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MLH1与PMS2结合形成MutL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NF1</w:t>
            </w:r>
          </w:p>
        </w:tc>
        <w:tc>
          <w:tcPr>
            <w:tcW w:w="9098" w:type="dxa"/>
            <w:tcBorders>
              <w:tl2br w:val="nil"/>
              <w:tr2bl w:val="nil"/>
            </w:tcBorders>
            <w:vAlign w:val="center"/>
          </w:tcPr>
          <w:p w14:paraId="2EE79CC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STK11</w:t>
            </w:r>
          </w:p>
        </w:tc>
        <w:tc>
          <w:tcPr>
            <w:tcW w:w="9098" w:type="dxa"/>
            <w:tcBorders>
              <w:tl2br w:val="nil"/>
              <w:tr2bl w:val="nil"/>
            </w:tcBorders>
            <w:vAlign w:val="center"/>
          </w:tcPr>
          <w:p w14:paraId="114F465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262626"/>
                <w:sz w:val="18"/>
                <w:szCs w:val="18"/>
              </w:rPr>
              <w:t>与STK11相关的疾病包括Peutz-Jeghers综合征、睾丸生殖细胞肿瘤等。</w:t>
            </w:r>
          </w:p>
        </w:tc>
      </w:tr>
      <w:tr w14:paraId="04184B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APC</w:t>
            </w:r>
          </w:p>
        </w:tc>
        <w:tc>
          <w:tcPr>
            <w:tcW w:w="9098" w:type="dxa"/>
            <w:tcBorders>
              <w:tl2br w:val="nil"/>
              <w:tr2bl w:val="nil"/>
            </w:tcBorders>
            <w:vAlign w:val="center"/>
          </w:tcPr>
          <w:p w14:paraId="60804CF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MUTYH</w:t>
            </w:r>
          </w:p>
        </w:tc>
        <w:tc>
          <w:tcPr>
            <w:tcW w:w="9098" w:type="dxa"/>
            <w:tcBorders>
              <w:tl2br w:val="nil"/>
              <w:tr2bl w:val="nil"/>
            </w:tcBorders>
            <w:vAlign w:val="center"/>
          </w:tcPr>
          <w:p w14:paraId="228D3C7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AR</w:t>
            </w:r>
          </w:p>
        </w:tc>
        <w:tc>
          <w:tcPr>
            <w:tcW w:w="9098" w:type="dxa"/>
            <w:tcBorders>
              <w:tl2br w:val="nil"/>
              <w:tr2bl w:val="nil"/>
            </w:tcBorders>
            <w:vAlign w:val="center"/>
          </w:tcPr>
          <w:p w14:paraId="106C7C1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ESR1</w:t>
            </w:r>
          </w:p>
        </w:tc>
        <w:tc>
          <w:tcPr>
            <w:tcW w:w="9098" w:type="dxa"/>
            <w:tcBorders>
              <w:tl2br w:val="nil"/>
              <w:tr2bl w:val="nil"/>
            </w:tcBorders>
            <w:vAlign w:val="center"/>
          </w:tcPr>
          <w:p w14:paraId="6E7CC63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ERBB2</w:t>
            </w:r>
          </w:p>
        </w:tc>
        <w:tc>
          <w:tcPr>
            <w:tcW w:w="9098" w:type="dxa"/>
            <w:tcBorders>
              <w:tl2br w:val="nil"/>
              <w:tr2bl w:val="nil"/>
            </w:tcBorders>
            <w:vAlign w:val="center"/>
          </w:tcPr>
          <w:p w14:paraId="569105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PIK3CA</w:t>
            </w:r>
          </w:p>
        </w:tc>
        <w:tc>
          <w:tcPr>
            <w:tcW w:w="9098" w:type="dxa"/>
            <w:tcBorders>
              <w:tl2br w:val="nil"/>
              <w:tr2bl w:val="nil"/>
            </w:tcBorders>
            <w:vAlign w:val="center"/>
          </w:tcPr>
          <w:p w14:paraId="724EE2B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TSC1</w:t>
            </w:r>
          </w:p>
        </w:tc>
        <w:tc>
          <w:tcPr>
            <w:tcW w:w="9098" w:type="dxa"/>
            <w:tcBorders>
              <w:tl2br w:val="nil"/>
              <w:tr2bl w:val="nil"/>
            </w:tcBorders>
            <w:vAlign w:val="center"/>
          </w:tcPr>
          <w:p w14:paraId="6477317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262626"/>
                <w:sz w:val="18"/>
                <w:szCs w:val="18"/>
              </w:rPr>
              <w:t>β</w:t>
            </w:r>
            <w:r>
              <w:rPr>
                <w:rFonts w:ascii="Times New Roman" w:hAnsi="Times New Roman" w:eastAsia="微软雅黑" w:cs="Times New Roman"/>
                <w:color w:val="262626"/>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TSC2</w:t>
            </w:r>
          </w:p>
        </w:tc>
        <w:tc>
          <w:tcPr>
            <w:tcW w:w="9098" w:type="dxa"/>
            <w:tcBorders>
              <w:tl2br w:val="nil"/>
              <w:tr2bl w:val="nil"/>
            </w:tcBorders>
            <w:vAlign w:val="center"/>
          </w:tcPr>
          <w:p w14:paraId="13869C5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3665058">
      <w:pPr>
        <w:rPr>
          <w:rFonts w:ascii="Times New Roman" w:hAnsi="Times New Roman" w:eastAsia="微软雅黑" w:cs="Times New Roman"/>
          <w:lang w:eastAsia="zh-CN"/>
        </w:rPr>
      </w:pPr>
      <w:r>
        <w:rPr>
          <w:rFonts w:ascii="Times New Roman" w:hAnsi="Times New Roman" w:eastAsia="微软雅黑" w:cs="Times New Roman"/>
          <w:sz w:val="24"/>
          <w:szCs w:val="24"/>
          <w:lang w:eastAsia="zh-CN"/>
        </w:rPr>
        <w:br w:type="page"/>
      </w:r>
    </w:p>
    <w:p w14:paraId="3AE0BAAB">
      <w:pPr>
        <w:pStyle w:val="3"/>
        <w:numPr>
          <w:ilvl w:val="0"/>
          <w:numId w:val="9"/>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21" w:name="_Toc15830"/>
      <w:bookmarkStart w:id="22" w:name="_Toc23705"/>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21"/>
      <w:bookmarkEnd w:id="22"/>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3" w:name="_Toc3846"/>
      <w:bookmarkStart w:id="24" w:name="_Toc32060"/>
      <w:bookmarkStart w:id="25" w:name="_Toc331"/>
      <w:bookmarkStart w:id="26" w:name="_Toc5400"/>
      <w:r>
        <w:rPr>
          <w:rFonts w:ascii="Times New Roman" w:hAnsi="Times New Roman" w:eastAsia="微软雅黑" w:cs="Times New Roman"/>
          <w:lang w:eastAsia="zh-CN"/>
        </w:rPr>
        <w:t>1 40岁以上，同时伴有≥1项下述者</w:t>
      </w:r>
      <w:bookmarkEnd w:id="23"/>
      <w:bookmarkEnd w:id="24"/>
      <w:bookmarkEnd w:id="25"/>
      <w:bookmarkEnd w:id="26"/>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7" w:name="_Toc10299"/>
      <w:bookmarkStart w:id="28" w:name="_Toc22196"/>
      <w:bookmarkStart w:id="29" w:name="_Toc126"/>
      <w:bookmarkStart w:id="30" w:name="_Toc5423"/>
      <w:r>
        <w:rPr>
          <w:rFonts w:ascii="Times New Roman" w:hAnsi="Times New Roman" w:eastAsia="微软雅黑" w:cs="Times New Roman"/>
          <w:lang w:eastAsia="zh-CN"/>
        </w:rPr>
        <w:t>2 有胰腺癌家族史、糖尿病史</w:t>
      </w:r>
      <w:bookmarkEnd w:id="27"/>
      <w:bookmarkEnd w:id="28"/>
      <w:bookmarkEnd w:id="29"/>
      <w:bookmarkEnd w:id="30"/>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8BC9206">
      <w:pPr>
        <w:pStyle w:val="3"/>
        <w:numPr>
          <w:ilvl w:val="0"/>
          <w:numId w:val="9"/>
        </w:numPr>
        <w:spacing w:before="156" w:after="156"/>
        <w:ind w:left="425" w:leftChars="0" w:hanging="425" w:firstLineChars="0"/>
        <w:rPr>
          <w:rFonts w:hint="eastAsia"/>
        </w:rPr>
      </w:pPr>
      <w:r>
        <w:rPr>
          <w:rFonts w:hint="eastAsia"/>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31" w:name="_Toc17111_WPSOffice_Level2"/>
      <w:bookmarkStart w:id="32" w:name="_Toc3488_WPSOffice_Level2"/>
      <w:bookmarkStart w:id="33" w:name="_Toc31515_WPSOffice_Level2"/>
      <w:bookmarkStart w:id="34" w:name="_Toc11193_WPSOffice_Level2"/>
      <w:bookmarkStart w:id="35" w:name="_Toc6304_WPSOffice_Level2"/>
      <w:bookmarkStart w:id="36" w:name="_Toc19280_WPSOffice_Level2"/>
      <w:bookmarkStart w:id="37"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31"/>
      <w:bookmarkEnd w:id="32"/>
      <w:bookmarkEnd w:id="33"/>
      <w:bookmarkEnd w:id="34"/>
      <w:bookmarkEnd w:id="35"/>
      <w:bookmarkEnd w:id="36"/>
      <w:bookmarkEnd w:id="3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9"/>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6307E316">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AA314B1">
      <w:pPr>
        <w:pStyle w:val="3"/>
        <w:numPr>
          <w:ilvl w:val="0"/>
          <w:numId w:val="9"/>
        </w:numPr>
        <w:spacing w:before="156" w:after="156"/>
        <w:ind w:left="425" w:leftChars="0" w:hanging="425" w:firstLineChars="0"/>
        <w:rPr>
          <w:color w:val="31849B"/>
          <w:sz w:val="24"/>
          <w:szCs w:val="24"/>
          <w:highlight w:val="none"/>
          <w:lang w:eastAsia="zh-CN"/>
        </w:rPr>
      </w:pPr>
      <w:bookmarkStart w:id="38" w:name="_Toc18978"/>
      <w:r>
        <w:rPr>
          <w:rFonts w:hint="eastAsia"/>
          <w:color w:val="31849B"/>
          <w:sz w:val="24"/>
          <w:szCs w:val="24"/>
          <w:highlight w:val="none"/>
          <w:lang w:eastAsia="zh-CN"/>
        </w:rPr>
        <w:t>检测方法与局限性</w:t>
      </w:r>
      <w:bookmarkEnd w:id="3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2"/>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5"/>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5">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5"/>
  </w:num>
  <w:num w:numId="4">
    <w:abstractNumId w:val="3"/>
  </w:num>
  <w:num w:numId="5">
    <w:abstractNumId w:val="9"/>
  </w:num>
  <w:num w:numId="6">
    <w:abstractNumId w:val="8"/>
  </w:num>
  <w:num w:numId="7">
    <w:abstractNumId w:val="7"/>
  </w:num>
  <w:num w:numId="8">
    <w:abstractNumId w:val="11"/>
  </w:num>
  <w:num w:numId="9">
    <w:abstractNumId w:val="2"/>
  </w:num>
  <w:num w:numId="10">
    <w:abstractNumId w:val="6"/>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725DFB"/>
    <w:rsid w:val="0E894D74"/>
    <w:rsid w:val="0EFD52CE"/>
    <w:rsid w:val="0F2D43BE"/>
    <w:rsid w:val="0F865DF7"/>
    <w:rsid w:val="10597D75"/>
    <w:rsid w:val="11987B90"/>
    <w:rsid w:val="11C6025A"/>
    <w:rsid w:val="11CE40B6"/>
    <w:rsid w:val="12847BF6"/>
    <w:rsid w:val="12AA7B7B"/>
    <w:rsid w:val="133533A0"/>
    <w:rsid w:val="133E6661"/>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D00E88"/>
    <w:rsid w:val="18FB3186"/>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A4A0F"/>
    <w:rsid w:val="208D1D32"/>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EA272C"/>
    <w:rsid w:val="29B11398"/>
    <w:rsid w:val="2A6E5730"/>
    <w:rsid w:val="2AEE6D7A"/>
    <w:rsid w:val="2B4032AA"/>
    <w:rsid w:val="2BD65279"/>
    <w:rsid w:val="2BFB4B4C"/>
    <w:rsid w:val="2CDC497D"/>
    <w:rsid w:val="2D850759"/>
    <w:rsid w:val="2DDB22FD"/>
    <w:rsid w:val="2E342143"/>
    <w:rsid w:val="2E9574DA"/>
    <w:rsid w:val="2F0E1BCD"/>
    <w:rsid w:val="2F256978"/>
    <w:rsid w:val="2F394CAA"/>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71469F"/>
    <w:rsid w:val="3A914FF9"/>
    <w:rsid w:val="3AAC2335"/>
    <w:rsid w:val="3ACC06CC"/>
    <w:rsid w:val="3B3E385A"/>
    <w:rsid w:val="3B616481"/>
    <w:rsid w:val="3B802E42"/>
    <w:rsid w:val="3BB5071F"/>
    <w:rsid w:val="3BE51D20"/>
    <w:rsid w:val="3C397B76"/>
    <w:rsid w:val="3C954A8C"/>
    <w:rsid w:val="3CCF6D49"/>
    <w:rsid w:val="3D7006EC"/>
    <w:rsid w:val="3D946D56"/>
    <w:rsid w:val="3DAE1A1E"/>
    <w:rsid w:val="3DCB0599"/>
    <w:rsid w:val="3E083824"/>
    <w:rsid w:val="3E201D96"/>
    <w:rsid w:val="3E3B313C"/>
    <w:rsid w:val="3EEE5EE0"/>
    <w:rsid w:val="3FD0746F"/>
    <w:rsid w:val="3FD958AF"/>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0848DC"/>
    <w:rsid w:val="493F4F1F"/>
    <w:rsid w:val="495963C1"/>
    <w:rsid w:val="495C2C76"/>
    <w:rsid w:val="4A384869"/>
    <w:rsid w:val="4A653DAC"/>
    <w:rsid w:val="4ACF647F"/>
    <w:rsid w:val="4AD1533A"/>
    <w:rsid w:val="4AD8375B"/>
    <w:rsid w:val="4B2C615A"/>
    <w:rsid w:val="4B7342A7"/>
    <w:rsid w:val="4C5058C9"/>
    <w:rsid w:val="4CF24597"/>
    <w:rsid w:val="4D023B34"/>
    <w:rsid w:val="4EA970ED"/>
    <w:rsid w:val="4EBE3A8B"/>
    <w:rsid w:val="4F1704D1"/>
    <w:rsid w:val="4F18517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76A71"/>
    <w:rsid w:val="5C0C0D58"/>
    <w:rsid w:val="5C2A240A"/>
    <w:rsid w:val="5C4001D5"/>
    <w:rsid w:val="5C9F2D5E"/>
    <w:rsid w:val="5CCC18B7"/>
    <w:rsid w:val="5D403159"/>
    <w:rsid w:val="5D461E6D"/>
    <w:rsid w:val="5D656E41"/>
    <w:rsid w:val="5D7A42CF"/>
    <w:rsid w:val="5DE973E1"/>
    <w:rsid w:val="5ED66BCF"/>
    <w:rsid w:val="5EEF12AC"/>
    <w:rsid w:val="5F5079A7"/>
    <w:rsid w:val="5F69359F"/>
    <w:rsid w:val="605C728F"/>
    <w:rsid w:val="605F6E50"/>
    <w:rsid w:val="609E18C5"/>
    <w:rsid w:val="60A800F7"/>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C3AEB"/>
    <w:rsid w:val="74722963"/>
    <w:rsid w:val="748126EC"/>
    <w:rsid w:val="74AE1D28"/>
    <w:rsid w:val="74EE65C9"/>
    <w:rsid w:val="752C0E9F"/>
    <w:rsid w:val="753F3F20"/>
    <w:rsid w:val="764B0603"/>
    <w:rsid w:val="76ED6308"/>
    <w:rsid w:val="788947D3"/>
    <w:rsid w:val="78BE4504"/>
    <w:rsid w:val="79264FF8"/>
    <w:rsid w:val="793020E7"/>
    <w:rsid w:val="798259F2"/>
    <w:rsid w:val="798F63DB"/>
    <w:rsid w:val="79F24D77"/>
    <w:rsid w:val="7AAB2A8E"/>
    <w:rsid w:val="7ADB3377"/>
    <w:rsid w:val="7AE5221C"/>
    <w:rsid w:val="7AEF2DA3"/>
    <w:rsid w:val="7B09319D"/>
    <w:rsid w:val="7B1C44EF"/>
    <w:rsid w:val="7B546B24"/>
    <w:rsid w:val="7B73126E"/>
    <w:rsid w:val="7BDE7397"/>
    <w:rsid w:val="7CEA36A3"/>
    <w:rsid w:val="7D347480"/>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6.xml"/><Relationship Id="rId21" Type="http://schemas.openxmlformats.org/officeDocument/2006/relationships/customXml" Target="../customXml/item5.xml"/><Relationship Id="rId20" Type="http://schemas.openxmlformats.org/officeDocument/2006/relationships/customXml" Target="../customXml/item4.xml"/><Relationship Id="rId2" Type="http://schemas.openxmlformats.org/officeDocument/2006/relationships/settings" Target="settings.xml"/><Relationship Id="rId19" Type="http://schemas.openxmlformats.org/officeDocument/2006/relationships/customXml" Target="../customXml/item3.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3959</Words>
  <Characters>15351</Characters>
  <Lines>502</Lines>
  <Paragraphs>141</Paragraphs>
  <TotalTime>0</TotalTime>
  <ScaleCrop>false</ScaleCrop>
  <LinksUpToDate>false</LinksUpToDate>
  <CharactersWithSpaces>16863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2025-12-22T07:23:55Z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