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2E311">
      <w:pPr>
        <w:pStyle w:val="2"/>
        <w:numPr>
          <w:ilvl w:val="255"/>
          <w:numId w:val="0"/>
        </w:numPr>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0" w:name="_Toc23086"/>
      <w:bookmarkStart w:id="1" w:name="_Toc5428"/>
      <w:bookmarkStart w:id="2" w:name="_Toc28456"/>
      <w:bookmarkStart w:id="3" w:name="_Toc11015_WPSOffice_Level1"/>
      <w:bookmarkStart w:id="4" w:name="_Toc17451"/>
      <w:bookmarkStart w:id="5" w:name="_Toc7021_WPSOffice_Level1"/>
      <w:bookmarkStart w:id="6" w:name="_Toc26731"/>
      <w:bookmarkStart w:id="7" w:name="_Toc18062_WPSOffice_Level1"/>
      <w:bookmarkStart w:id="8" w:name="_Toc3823"/>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样本信息</w:t>
      </w:r>
      <w:bookmarkEnd w:id="0"/>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570"/>
        <w:gridCol w:w="3720"/>
        <w:gridCol w:w="2580"/>
      </w:tblGrid>
      <w:tr w14:paraId="32BA441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570" w:type="dxa"/>
            <w:tcBorders>
              <w:top w:val="single" w:color="62BC41" w:sz="24" w:space="0"/>
              <w:tl2br w:val="nil"/>
              <w:tr2bl w:val="nil"/>
            </w:tcBorders>
            <w:shd w:val="clear" w:color="auto" w:fill="auto"/>
            <w:vAlign w:val="center"/>
          </w:tcPr>
          <w:p w14:paraId="2DFC01B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720" w:type="dxa"/>
            <w:tcBorders>
              <w:top w:val="single" w:color="62BC41" w:sz="24" w:space="0"/>
              <w:tl2br w:val="nil"/>
              <w:tr2bl w:val="nil"/>
            </w:tcBorders>
            <w:shd w:val="clear" w:color="auto" w:fill="auto"/>
            <w:vAlign w:val="center"/>
          </w:tcPr>
          <w:p w14:paraId="2D12D25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2580" w:type="dxa"/>
            <w:tcBorders>
              <w:top w:val="single" w:color="62BC41" w:sz="24" w:space="0"/>
              <w:tl2br w:val="nil"/>
              <w:tr2bl w:val="nil"/>
            </w:tcBorders>
            <w:shd w:val="clear" w:color="auto" w:fill="auto"/>
            <w:vAlign w:val="center"/>
          </w:tcPr>
          <w:p w14:paraId="38D0EC27">
            <w:pPr>
              <w:jc w:val="both"/>
              <w:rPr>
                <w:rFonts w:hint="default" w:ascii="Times New Roman" w:hAnsi="Times New Roman" w:eastAsia="微软雅黑" w:cs="Times New Roman"/>
                <w:bCs/>
                <w:color w:val="000000"/>
                <w:sz w:val="21"/>
                <w:szCs w:val="21"/>
                <w:lang w:val="en-US" w:eastAsia="zh-CN"/>
              </w:rPr>
            </w:pPr>
            <w:r>
              <w:rPr>
                <w:rFonts w:hint="default" w:ascii="Times New Roman" w:hAnsi="Times New Roman" w:eastAsia="微软雅黑" w:cs="Times New Roman"/>
                <w:bCs/>
                <w:color w:val="000000"/>
                <w:sz w:val="21"/>
                <w:szCs w:val="21"/>
                <w:lang w:eastAsia="zh-CN"/>
              </w:rPr>
              <w:t>年龄：{{ age }}</w:t>
            </w:r>
          </w:p>
        </w:tc>
      </w:tr>
      <w:tr w14:paraId="5A4465A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570" w:type="dxa"/>
            <w:tcBorders>
              <w:tl2br w:val="nil"/>
              <w:tr2bl w:val="nil"/>
            </w:tcBorders>
            <w:shd w:val="clear" w:color="auto" w:fill="auto"/>
            <w:vAlign w:val="center"/>
          </w:tcPr>
          <w:p w14:paraId="229939BC">
            <w:pPr>
              <w:jc w:val="both"/>
              <w:rPr>
                <w:rFonts w:hint="default" w:ascii="Times New Roman" w:hAnsi="Times New Roman" w:eastAsia="微软雅黑" w:cs="Times New Roman"/>
                <w:bCs/>
                <w:color w:val="000000"/>
                <w:sz w:val="21"/>
                <w:szCs w:val="21"/>
                <w:lang w:val="en-US" w:eastAsia="zh-CN"/>
              </w:rPr>
            </w:pPr>
            <w:r>
              <w:rPr>
                <w:rFonts w:hint="default" w:ascii="Times New Roman" w:hAnsi="Times New Roman" w:eastAsia="微软雅黑" w:cs="Times New Roman"/>
                <w:bCs/>
                <w:color w:val="000000"/>
                <w:sz w:val="21"/>
                <w:szCs w:val="21"/>
                <w:lang w:eastAsia="zh-CN"/>
              </w:rPr>
              <w:t>病理号：</w:t>
            </w:r>
          </w:p>
        </w:tc>
        <w:tc>
          <w:tcPr>
            <w:tcW w:w="3720" w:type="dxa"/>
            <w:tcBorders>
              <w:tl2br w:val="nil"/>
              <w:tr2bl w:val="nil"/>
            </w:tcBorders>
            <w:shd w:val="clear" w:color="auto" w:fill="auto"/>
            <w:vAlign w:val="center"/>
          </w:tcPr>
          <w:p w14:paraId="451195C6">
            <w:pPr>
              <w:jc w:val="both"/>
              <w:rPr>
                <w:rFonts w:hint="default" w:ascii="Times New Roman" w:hAnsi="Times New Roman" w:eastAsia="微软雅黑" w:cs="Times New Roman"/>
                <w:color w:val="000000"/>
                <w:sz w:val="21"/>
                <w:szCs w:val="21"/>
                <w:lang w:val="en-US" w:eastAsia="zh-CN"/>
              </w:rPr>
            </w:pPr>
            <w:r>
              <w:rPr>
                <w:rFonts w:hint="default" w:ascii="Times New Roman" w:hAnsi="Times New Roman" w:eastAsia="微软雅黑" w:cs="Times New Roman"/>
                <w:color w:val="000000"/>
                <w:sz w:val="21"/>
                <w:szCs w:val="21"/>
                <w:lang w:val="en-US" w:eastAsia="zh-CN"/>
              </w:rPr>
              <w:t>门诊</w:t>
            </w:r>
            <w:r>
              <w:rPr>
                <w:rFonts w:hint="default" w:ascii="Times New Roman" w:hAnsi="Times New Roman" w:eastAsia="微软雅黑" w:cs="Times New Roman"/>
                <w:color w:val="000000"/>
                <w:sz w:val="21"/>
                <w:szCs w:val="21"/>
                <w:lang w:eastAsia="zh-CN"/>
              </w:rPr>
              <w:t>号：</w:t>
            </w:r>
            <w:r>
              <w:rPr>
                <w:rFonts w:hint="default" w:ascii="Times New Roman" w:hAnsi="Times New Roman" w:eastAsia="微软雅黑" w:cs="Times New Roman"/>
                <w:bCs/>
                <w:color w:val="000000"/>
                <w:sz w:val="21"/>
                <w:szCs w:val="21"/>
                <w:lang w:eastAsia="zh-CN"/>
              </w:rPr>
              <w:t>{{ room }}</w:t>
            </w:r>
          </w:p>
        </w:tc>
        <w:tc>
          <w:tcPr>
            <w:tcW w:w="2580" w:type="dxa"/>
            <w:tcBorders>
              <w:tl2br w:val="nil"/>
              <w:tr2bl w:val="nil"/>
            </w:tcBorders>
            <w:shd w:val="clear" w:color="auto" w:fill="auto"/>
            <w:vAlign w:val="center"/>
          </w:tcPr>
          <w:p w14:paraId="79FF349F">
            <w:pPr>
              <w:jc w:val="both"/>
              <w:rPr>
                <w:rFonts w:hint="default" w:ascii="Times New Roman" w:hAnsi="Times New Roman" w:eastAsia="微软雅黑" w:cs="Times New Roman"/>
                <w:bCs/>
                <w:color w:val="000000"/>
                <w:sz w:val="21"/>
                <w:szCs w:val="21"/>
                <w:lang w:val="en-US" w:eastAsia="zh-CN"/>
              </w:rPr>
            </w:pPr>
            <w:r>
              <w:rPr>
                <w:rFonts w:hint="default" w:ascii="Times New Roman" w:hAnsi="Times New Roman" w:eastAsia="微软雅黑" w:cs="Times New Roman"/>
                <w:color w:val="000000"/>
                <w:sz w:val="21"/>
                <w:szCs w:val="21"/>
                <w:lang w:eastAsia="zh-CN"/>
              </w:rPr>
              <w:t>送检科室：{{ locationname }}</w:t>
            </w:r>
          </w:p>
        </w:tc>
      </w:tr>
      <w:tr w14:paraId="220AD01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570" w:type="dxa"/>
            <w:tcBorders>
              <w:tl2br w:val="nil"/>
              <w:tr2bl w:val="nil"/>
            </w:tcBorders>
            <w:shd w:val="clear" w:color="auto" w:fill="auto"/>
            <w:vAlign w:val="center"/>
          </w:tcPr>
          <w:p w14:paraId="303FA16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病理诊断：{{ diseaseName }}</w:t>
            </w:r>
          </w:p>
        </w:tc>
        <w:tc>
          <w:tcPr>
            <w:tcW w:w="3720" w:type="dxa"/>
            <w:tcBorders>
              <w:tl2br w:val="nil"/>
              <w:tr2bl w:val="nil"/>
            </w:tcBorders>
            <w:shd w:val="clear" w:color="auto" w:fill="auto"/>
            <w:vAlign w:val="center"/>
          </w:tcPr>
          <w:p w14:paraId="447D6469">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2580" w:type="dxa"/>
            <w:tcBorders>
              <w:tl2br w:val="nil"/>
              <w:tr2bl w:val="nil"/>
            </w:tcBorders>
            <w:shd w:val="clear" w:color="auto" w:fill="auto"/>
            <w:vAlign w:val="center"/>
          </w:tcPr>
          <w:p w14:paraId="34C6D2A7">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119A0A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47C01BDC">
            <w:pPr>
              <w:jc w:val="both"/>
              <w:rPr>
                <w:rFonts w:hint="default" w:ascii="Times New Roman" w:hAnsi="Times New Roman" w:eastAsia="微软雅黑" w:cs="Times New Roman"/>
                <w:bCs/>
                <w:color w:val="000000"/>
                <w:sz w:val="21"/>
                <w:szCs w:val="21"/>
                <w:lang w:val="en-US" w:eastAsia="zh-CN"/>
              </w:rPr>
            </w:pPr>
            <w:r>
              <w:rPr>
                <w:rFonts w:hint="default" w:ascii="Times New Roman" w:hAnsi="Times New Roman" w:eastAsia="微软雅黑" w:cs="Times New Roman"/>
                <w:bCs/>
                <w:color w:val="000000"/>
                <w:sz w:val="21"/>
                <w:szCs w:val="21"/>
                <w:lang w:eastAsia="zh-CN"/>
              </w:rPr>
              <w:t>检测项目：乳腺癌21基因检测</w:t>
            </w:r>
          </w:p>
        </w:tc>
      </w:tr>
      <w:bookmarkEnd w:id="1"/>
      <w:bookmarkEnd w:id="2"/>
      <w:bookmarkEnd w:id="3"/>
      <w:bookmarkEnd w:id="4"/>
      <w:bookmarkEnd w:id="5"/>
      <w:bookmarkEnd w:id="6"/>
      <w:bookmarkEnd w:id="7"/>
    </w:tbl>
    <w:p w14:paraId="128435F2">
      <w:pPr>
        <w:pStyle w:val="2"/>
        <w:numPr>
          <w:ilvl w:val="255"/>
          <w:numId w:val="0"/>
        </w:numPr>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9" w:name="_Toc14112"/>
    </w:p>
    <w:p w14:paraId="50C9E425">
      <w:pPr>
        <w:pStyle w:val="2"/>
        <w:numPr>
          <w:ilvl w:val="255"/>
          <w:numId w:val="0"/>
        </w:numPr>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检测项目简介</w:t>
      </w:r>
      <w:bookmarkEnd w:id="9"/>
    </w:p>
    <w:p w14:paraId="308CE58A">
      <w:pPr>
        <w:spacing w:line="276" w:lineRule="auto"/>
        <w:ind w:firstLine="420" w:firstLineChars="200"/>
        <w:jc w:val="both"/>
        <w:rPr>
          <w:rFonts w:hint="default" w:ascii="Times New Roman" w:hAnsi="Times New Roman" w:eastAsia="微软雅黑" w:cs="Times New Roman"/>
          <w:bCs/>
          <w:sz w:val="21"/>
          <w:szCs w:val="21"/>
          <w:lang w:eastAsia="zh-CN"/>
        </w:rPr>
      </w:pPr>
      <w:bookmarkStart w:id="10" w:name="_Toc534807930"/>
      <w:r>
        <w:rPr>
          <w:rFonts w:hint="default" w:ascii="Times New Roman" w:hAnsi="Times New Roman" w:eastAsia="微软雅黑" w:cs="Times New Roman"/>
          <w:bCs/>
          <w:sz w:val="21"/>
          <w:szCs w:val="21"/>
          <w:lang w:eastAsia="zh-CN"/>
        </w:rPr>
        <w:t>利用RT-PCR技术，通过检测16个肿瘤相关基因（增殖、侵袭、HER2和激素等相关基因）和5个参考基因的表达情况，将检测结果量化为复发评分（Recurrence Score, RS），从而预测10年内远期复发风险和化疗获益。RS从0-100，分数越高，复发的可能性越大，也越能从化疗获益。{% if PDInfo != undefined %}通过免疫组化检测PD-L1表达。{% endif %}</w:t>
      </w:r>
    </w:p>
    <w:p w14:paraId="75C3FD9E">
      <w:pPr>
        <w:numPr>
          <w:ilvl w:val="255"/>
          <w:numId w:val="0"/>
        </w:numPr>
        <w:jc w:val="both"/>
        <w:outlineLvl w:val="0"/>
        <w:rPr>
          <w:rStyle w:val="41"/>
          <w:rFonts w:hint="default" w:ascii="Times New Roman" w:hAnsi="Times New Roman" w:eastAsia="微软雅黑" w:cs="Times New Roman"/>
          <w:color w:val="62B541"/>
          <w:sz w:val="32"/>
          <w:szCs w:val="40"/>
          <w:lang w:eastAsia="zh-CN"/>
          <w14:shadow w14:blurRad="50800" w14:dist="38100" w14:dir="10800000" w14:sx="100000" w14:sy="100000" w14:kx="0" w14:ky="0" w14:algn="r">
            <w14:srgbClr w14:val="62B541">
              <w14:alpha w14:val="60000"/>
            </w14:srgbClr>
          </w14:shadow>
        </w:rPr>
      </w:pPr>
      <w:bookmarkStart w:id="11" w:name="_Toc31865"/>
      <w:bookmarkStart w:id="12" w:name="_Toc68"/>
      <w:bookmarkStart w:id="13" w:name="_Toc149837254"/>
    </w:p>
    <w:p w14:paraId="4F9DD48A">
      <w:pPr>
        <w:numPr>
          <w:ilvl w:val="255"/>
          <w:numId w:val="0"/>
        </w:numPr>
        <w:jc w:val="both"/>
        <w:outlineLvl w:val="0"/>
        <w:rPr>
          <w:rStyle w:val="41"/>
          <w:rFonts w:hint="default" w:ascii="Times New Roman" w:hAnsi="Times New Roman" w:eastAsia="微软雅黑" w:cs="Times New Roman"/>
          <w:color w:val="62B541"/>
          <w:sz w:val="32"/>
          <w:szCs w:val="40"/>
          <w:lang w:eastAsia="zh-CN"/>
          <w14:shadow w14:blurRad="50800" w14:dist="38100" w14:dir="10800000" w14:sx="100000" w14:sy="100000" w14:kx="0" w14:ky="0" w14:algn="r">
            <w14:srgbClr w14:val="62B541">
              <w14:alpha w14:val="60000"/>
            </w14:srgbClr>
          </w14:shadow>
        </w:rPr>
      </w:pPr>
      <w:bookmarkStart w:id="73" w:name="_GoBack"/>
      <w:bookmarkEnd w:id="73"/>
      <w:r>
        <w:rPr>
          <w:rStyle w:val="41"/>
          <w:rFonts w:hint="default" w:ascii="Times New Roman" w:hAnsi="Times New Roman" w:eastAsia="微软雅黑" w:cs="Times New Roman"/>
          <w:color w:val="62B541"/>
          <w:sz w:val="32"/>
          <w:szCs w:val="40"/>
          <w:lang w:eastAsia="zh-CN"/>
          <w14:shadow w14:blurRad="50800" w14:dist="38100" w14:dir="10800000" w14:sx="100000" w14:sy="100000" w14:kx="0" w14:ky="0" w14:algn="r">
            <w14:srgbClr w14:val="62B541">
              <w14:alpha w14:val="60000"/>
            </w14:srgbClr>
          </w14:shadow>
        </w:rPr>
        <w:t>检测结果小结</w:t>
      </w:r>
      <w:bookmarkEnd w:id="11"/>
      <w:bookmarkEnd w:id="12"/>
      <w:bookmarkEnd w:id="13"/>
    </w:p>
    <w:tbl>
      <w:tblPr>
        <w:tblStyle w:val="14"/>
        <w:tblpPr w:leftFromText="181" w:rightFromText="181" w:vertAnchor="text" w:horzAnchor="page" w:tblpXSpec="center" w:tblpY="1"/>
        <w:tblOverlap w:val="never"/>
        <w:tblW w:w="9852"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1"/>
        <w:gridCol w:w="5311"/>
      </w:tblGrid>
      <w:tr w14:paraId="1212C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541" w:type="dxa"/>
            <w:tcBorders>
              <w:top w:val="nil"/>
              <w:bottom w:val="nil"/>
              <w:right w:val="single" w:color="FFFFFF" w:sz="18" w:space="0"/>
            </w:tcBorders>
            <w:shd w:val="clear" w:color="auto" w:fill="62BC41"/>
            <w:vAlign w:val="center"/>
          </w:tcPr>
          <w:p w14:paraId="73A0928A">
            <w:pPr>
              <w:jc w:val="center"/>
              <w:rPr>
                <w:rFonts w:hint="default" w:ascii="Times New Roman" w:hAnsi="Times New Roman" w:eastAsia="微软雅黑" w:cs="Times New Roman"/>
                <w:b/>
                <w:color w:val="FFFFFF" w:themeColor="background1"/>
                <w:sz w:val="21"/>
                <w14:textFill>
                  <w14:solidFill>
                    <w14:schemeClr w14:val="bg1"/>
                  </w14:solidFill>
                </w14:textFill>
              </w:rPr>
            </w:pPr>
            <w:r>
              <w:rPr>
                <w:rFonts w:hint="default"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default" w:ascii="Times New Roman" w:hAnsi="Times New Roman" w:eastAsia="微软雅黑" w:cs="Times New Roman"/>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700D8C7">
            <w:pPr>
              <w:jc w:val="center"/>
              <w:rPr>
                <w:rFonts w:hint="default" w:ascii="Times New Roman" w:hAnsi="Times New Roman" w:eastAsia="微软雅黑" w:cs="Times New Roman"/>
                <w:b/>
                <w:color w:val="FFFFFF" w:themeColor="background1"/>
                <w14:textFill>
                  <w14:solidFill>
                    <w14:schemeClr w14:val="bg1"/>
                  </w14:solidFill>
                </w14:textFill>
              </w:rPr>
            </w:pPr>
            <w:r>
              <w:rPr>
                <w:rFonts w:hint="default" w:ascii="Times New Roman" w:hAnsi="Times New Roman" w:eastAsia="微软雅黑" w:cs="Times New Roman"/>
                <w:b/>
                <w:color w:val="FFFFFF" w:themeColor="background1"/>
                <w:sz w:val="21"/>
                <w14:textFill>
                  <w14:solidFill>
                    <w14:schemeClr w14:val="bg1"/>
                  </w14:solidFill>
                </w14:textFill>
              </w:rPr>
              <w:t>检测结果</w:t>
            </w:r>
          </w:p>
        </w:tc>
      </w:tr>
      <w:tr w14:paraId="12ED3C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541" w:type="dxa"/>
            <w:tcBorders>
              <w:top w:val="nil"/>
              <w:tl2br w:val="nil"/>
              <w:tr2bl w:val="nil"/>
            </w:tcBorders>
            <w:shd w:val="clear" w:color="auto" w:fill="auto"/>
            <w:vAlign w:val="center"/>
          </w:tcPr>
          <w:p w14:paraId="0960A389">
            <w:pPr>
              <w:jc w:val="center"/>
              <w:rPr>
                <w:rFonts w:hint="default" w:ascii="Times New Roman" w:hAnsi="Times New Roman" w:eastAsia="微软雅黑" w:cs="Times New Roman"/>
                <w:b/>
                <w:bCs/>
                <w:sz w:val="21"/>
                <w:szCs w:val="22"/>
                <w:highlight w:val="yellow"/>
                <w:lang w:val="en-US" w:eastAsia="zh-CN" w:bidi="ar-SA"/>
              </w:rPr>
            </w:pPr>
            <w:r>
              <w:rPr>
                <w:rFonts w:hint="default" w:ascii="Times New Roman" w:hAnsi="Times New Roman" w:eastAsia="微软雅黑" w:cs="Times New Roman"/>
                <w:b/>
                <w:bCs/>
                <w:sz w:val="21"/>
                <w:szCs w:val="21"/>
                <w:lang w:eastAsia="zh-CN"/>
              </w:rPr>
              <w:t>乳腺癌复发分数（RS）</w:t>
            </w:r>
          </w:p>
        </w:tc>
        <w:tc>
          <w:tcPr>
            <w:tcW w:w="5311" w:type="dxa"/>
            <w:tcBorders>
              <w:top w:val="nil"/>
              <w:tl2br w:val="nil"/>
              <w:tr2bl w:val="nil"/>
            </w:tcBorders>
            <w:shd w:val="clear" w:color="auto" w:fill="auto"/>
            <w:vAlign w:val="center"/>
          </w:tcPr>
          <w:p w14:paraId="5C21694E">
            <w:pPr>
              <w:jc w:val="center"/>
              <w:rPr>
                <w:rFonts w:hint="default" w:ascii="Times New Roman" w:hAnsi="Times New Roman" w:eastAsia="微软雅黑" w:cs="Times New Roman"/>
                <w:sz w:val="21"/>
                <w:szCs w:val="21"/>
                <w:highlight w:val="yellow"/>
                <w:lang w:val="en-US" w:eastAsia="zh-CN" w:bidi="ar-SA"/>
              </w:rPr>
            </w:pPr>
            <w:r>
              <w:rPr>
                <w:rFonts w:hint="default" w:ascii="Times New Roman" w:hAnsi="Times New Roman" w:eastAsia="微软雅黑" w:cs="Times New Roman"/>
                <w:b/>
                <w:color w:val="FF0000"/>
                <w:sz w:val="21"/>
                <w:szCs w:val="21"/>
                <w:lang w:eastAsia="zh-CN"/>
              </w:rPr>
              <w:t>{{ bc.aScore }}</w:t>
            </w:r>
          </w:p>
        </w:tc>
      </w:tr>
      <w:tr w14:paraId="0C91FC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852" w:type="dxa"/>
            <w:gridSpan w:val="2"/>
            <w:tcBorders>
              <w:tl2br w:val="nil"/>
              <w:tr2bl w:val="nil"/>
            </w:tcBorders>
            <w:shd w:val="clear" w:color="auto" w:fill="auto"/>
            <w:vAlign w:val="center"/>
          </w:tcPr>
          <w:p w14:paraId="7ACAA4FA">
            <w:pPr>
              <w:pStyle w:val="20"/>
              <w:spacing w:before="77"/>
              <w:ind w:left="119" w:leftChars="0" w:right="119" w:rightChars="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val="en-US" w:eastAsia="zh-CN" w:bidi="ar-SA"/>
              </w:rPr>
              <w:t>{%tr if PDInfo != undefined %}</w:t>
            </w:r>
          </w:p>
        </w:tc>
      </w:tr>
      <w:tr w14:paraId="39A889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4541" w:type="dxa"/>
            <w:tcBorders>
              <w:tl2br w:val="nil"/>
              <w:tr2bl w:val="nil"/>
            </w:tcBorders>
            <w:shd w:val="clear" w:color="auto" w:fill="auto"/>
            <w:vAlign w:val="center"/>
          </w:tcPr>
          <w:p w14:paraId="3A8BB375">
            <w:pPr>
              <w:pStyle w:val="20"/>
              <w:keepNext w:val="0"/>
              <w:keepLines w:val="0"/>
              <w:pageBreakBefore w:val="0"/>
              <w:widowControl w:val="0"/>
              <w:kinsoku/>
              <w:wordWrap/>
              <w:overflowPunct/>
              <w:topLinePunct w:val="0"/>
              <w:autoSpaceDE/>
              <w:autoSpaceDN/>
              <w:bidi w:val="0"/>
              <w:adjustRightInd/>
              <w:snapToGrid/>
              <w:ind w:left="0" w:leftChars="0"/>
              <w:jc w:val="center"/>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5414EBD">
            <w:pPr>
              <w:pStyle w:val="20"/>
              <w:keepNext w:val="0"/>
              <w:keepLines w:val="0"/>
              <w:pageBreakBefore w:val="0"/>
              <w:widowControl w:val="0"/>
              <w:kinsoku/>
              <w:wordWrap/>
              <w:overflowPunct/>
              <w:topLinePunct w:val="0"/>
              <w:autoSpaceDE/>
              <w:autoSpaceDN/>
              <w:bidi w:val="0"/>
              <w:adjustRightInd/>
              <w:snapToGrid/>
              <w:ind w:left="119" w:leftChars="0" w:right="119" w:rightChars="0"/>
              <w:jc w:val="center"/>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auto"/>
                <w:sz w:val="21"/>
                <w:szCs w:val="21"/>
                <w:lang w:eastAsia="zh-CN"/>
              </w:rPr>
              <w:t>使用{{ PDInfo.Detect_antibody }}抗体；TPS: {{ PDInfo.TPS }}， CPS : {{ PDInfo.CPS }}</w:t>
            </w:r>
          </w:p>
        </w:tc>
      </w:tr>
      <w:tr w14:paraId="6B3468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852" w:type="dxa"/>
            <w:gridSpan w:val="2"/>
            <w:tcBorders>
              <w:tl2br w:val="nil"/>
              <w:tr2bl w:val="nil"/>
            </w:tcBorders>
            <w:shd w:val="clear" w:color="auto" w:fill="auto"/>
            <w:vAlign w:val="center"/>
          </w:tcPr>
          <w:p w14:paraId="78CF4364">
            <w:pPr>
              <w:pStyle w:val="20"/>
              <w:spacing w:before="77"/>
              <w:ind w:left="119" w:leftChars="0" w:right="119" w:rightChars="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val="en-US" w:eastAsia="zh-CN" w:bidi="ar-SA"/>
              </w:rPr>
              <w:t>{%tr endif %}</w:t>
            </w:r>
          </w:p>
        </w:tc>
      </w:tr>
    </w:tbl>
    <w:p w14:paraId="5E323313">
      <w:pPr>
        <w:ind w:firstLine="220" w:firstLineChars="122"/>
        <w:outlineLvl w:val="0"/>
        <w:rPr>
          <w:rFonts w:hint="default" w:ascii="Times New Roman" w:hAnsi="Times New Roman" w:eastAsia="微软雅黑" w:cs="Times New Roman"/>
          <w:b/>
          <w:bCs/>
          <w:sz w:val="18"/>
          <w:szCs w:val="18"/>
          <w:lang w:eastAsia="zh-CN" w:bidi="ar"/>
        </w:rPr>
      </w:pPr>
      <w:r>
        <w:rPr>
          <w:rFonts w:hint="default" w:ascii="Times New Roman" w:hAnsi="Times New Roman" w:eastAsia="微软雅黑" w:cs="Times New Roman"/>
          <w:b/>
          <w:bCs/>
          <w:sz w:val="18"/>
          <w:szCs w:val="18"/>
          <w:lang w:val="en-US" w:eastAsia="zh-CN" w:bidi="ar"/>
        </w:rPr>
        <w:t>注</w:t>
      </w:r>
      <w:r>
        <w:rPr>
          <w:rFonts w:hint="default" w:ascii="Times New Roman" w:hAnsi="Times New Roman" w:eastAsia="微软雅黑" w:cs="Times New Roman"/>
          <w:b/>
          <w:bCs/>
          <w:sz w:val="18"/>
          <w:szCs w:val="18"/>
          <w:lang w:eastAsia="zh-CN" w:bidi="ar"/>
        </w:rPr>
        <w:t>：</w:t>
      </w:r>
      <w:bookmarkStart w:id="14" w:name="_Toc19024"/>
      <w:bookmarkStart w:id="15" w:name="_Toc14264"/>
      <w:bookmarkStart w:id="16" w:name="_Toc18552"/>
      <w:bookmarkStart w:id="17" w:name="_Toc25603"/>
      <w:bookmarkStart w:id="18" w:name="_Toc8800"/>
      <w:bookmarkStart w:id="19" w:name="_Toc16466"/>
    </w:p>
    <w:p w14:paraId="73264CCC">
      <w:pPr>
        <w:ind w:firstLine="219" w:firstLineChars="122"/>
        <w:outlineLvl w:val="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1. 报告结果只对本次送检样本负责，结果仅供临床参考。</w:t>
      </w:r>
      <w:bookmarkEnd w:id="14"/>
      <w:bookmarkEnd w:id="15"/>
      <w:bookmarkEnd w:id="16"/>
      <w:bookmarkEnd w:id="17"/>
      <w:bookmarkEnd w:id="18"/>
      <w:bookmarkEnd w:id="19"/>
    </w:p>
    <w:p w14:paraId="29729FD8">
      <w:pPr>
        <w:ind w:firstLine="219" w:firstLineChars="122"/>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2. 本报告临床经验总结的结果只适用于早期、淋巴结阴性、激素受体阳性、HER2阴性或淋巴结阳性（1-3个腋窝淋巴结转移）、激素受体阳性、HER2阴性的浸润性乳腺癌患者，目前还不清楚是否适用于这个标准以外的患者。</w:t>
      </w:r>
    </w:p>
    <w:p w14:paraId="2625DDC8">
      <w:pPr>
        <w:ind w:firstLine="219" w:firstLineChars="122"/>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3. 检测结果的解释及治疗策略的选择，请咨询相关医院专科医师。</w:t>
      </w:r>
    </w:p>
    <w:p w14:paraId="7AD2BD57">
      <w:pPr>
        <w:ind w:firstLine="219" w:firstLineChars="122"/>
        <w:outlineLvl w:val="0"/>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rPr>
        <w:t>4. 本报告出具的用药建议是根据现有技术及研究结果而提出的，因用药方案、个体用药耐受程度以及病情进展有所不同，故不对药物疗效做保证，用药建议仍需在临床医师指导下进行。</w:t>
      </w:r>
    </w:p>
    <w:tbl>
      <w:tblPr>
        <w:tblStyle w:val="15"/>
        <w:tblpPr w:leftFromText="181" w:rightFromText="181" w:vertAnchor="page" w:horzAnchor="page" w:tblpX="1369" w:tblpY="15099"/>
        <w:tblOverlap w:val="never"/>
        <w:tblW w:w="92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70"/>
        <w:gridCol w:w="2958"/>
        <w:gridCol w:w="2962"/>
      </w:tblGrid>
      <w:tr w14:paraId="5EBB0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56CCC392">
            <w:pPr>
              <w:jc w:val="both"/>
              <w:rPr>
                <w:rFonts w:hint="default" w:ascii="Times New Roman" w:hAnsi="Times New Roman" w:eastAsia="微软雅黑" w:cs="Times New Roman"/>
                <w:b/>
                <w:bCs/>
                <w:color w:val="244061"/>
                <w:sz w:val="24"/>
                <w:szCs w:val="32"/>
                <w:lang w:val="en-US" w:eastAsia="zh-CN"/>
              </w:rPr>
            </w:pPr>
            <w:r>
              <w:rPr>
                <w:rFonts w:hint="default" w:ascii="Times New Roman" w:hAnsi="Times New Roman" w:eastAsia="微软雅黑" w:cs="Times New Roman"/>
                <w:snapToGrid w:val="0"/>
                <w:spacing w:val="6"/>
                <w:sz w:val="18"/>
                <w:szCs w:val="18"/>
              </w:rPr>
              <w:t>检测医生：</w:t>
            </w:r>
            <w:r>
              <w:rPr>
                <w:rFonts w:hint="default" w:ascii="Times New Roman" w:hAnsi="Times New Roman" w:eastAsia="微软雅黑" w:cs="Times New Roman"/>
                <w:snapToGrid w:val="0"/>
                <w:spacing w:val="6"/>
                <w:sz w:val="18"/>
                <w:szCs w:val="18"/>
                <w:lang w:val="en-US" w:eastAsia="zh-CN"/>
              </w:rPr>
              <w:t>李飞凤</w:t>
            </w:r>
          </w:p>
        </w:tc>
        <w:tc>
          <w:tcPr>
            <w:tcW w:w="2958" w:type="dxa"/>
          </w:tcPr>
          <w:p w14:paraId="05FF4E1D">
            <w:pPr>
              <w:jc w:val="both"/>
              <w:rPr>
                <w:rFonts w:hint="default" w:ascii="Times New Roman" w:hAnsi="Times New Roman" w:eastAsia="微软雅黑" w:cs="Times New Roman"/>
                <w:b/>
                <w:bCs/>
                <w:color w:val="244061"/>
                <w:sz w:val="24"/>
                <w:szCs w:val="32"/>
                <w:lang w:val="en-US" w:eastAsia="zh-CN"/>
              </w:rPr>
            </w:pPr>
            <w:r>
              <w:rPr>
                <w:rFonts w:hint="default" w:ascii="Times New Roman" w:hAnsi="Times New Roman" w:eastAsia="微软雅黑" w:cs="Times New Roman"/>
                <w:snapToGrid w:val="0"/>
                <w:spacing w:val="6"/>
                <w:sz w:val="18"/>
                <w:szCs w:val="18"/>
              </w:rPr>
              <w:t>审核医生：</w:t>
            </w:r>
            <w:r>
              <w:rPr>
                <w:rFonts w:hint="default" w:ascii="Times New Roman" w:hAnsi="Times New Roman" w:eastAsia="微软雅黑" w:cs="Times New Roman"/>
                <w:snapToGrid w:val="0"/>
                <w:spacing w:val="6"/>
                <w:sz w:val="18"/>
                <w:szCs w:val="18"/>
                <w:lang w:val="en-US" w:eastAsia="zh-CN"/>
              </w:rPr>
              <w:t>肖盛</w:t>
            </w:r>
          </w:p>
        </w:tc>
        <w:tc>
          <w:tcPr>
            <w:tcW w:w="2962" w:type="dxa"/>
          </w:tcPr>
          <w:p w14:paraId="7728DC9F">
            <w:pPr>
              <w:jc w:val="both"/>
              <w:rPr>
                <w:rFonts w:hint="default" w:ascii="Times New Roman" w:hAnsi="Times New Roman" w:eastAsia="微软雅黑" w:cs="Times New Roman"/>
                <w:b/>
                <w:bCs/>
                <w:color w:val="244061"/>
                <w:sz w:val="24"/>
                <w:szCs w:val="32"/>
                <w:lang w:eastAsia="zh-CN"/>
              </w:rPr>
            </w:pPr>
            <w:r>
              <w:rPr>
                <w:rFonts w:hint="default" w:ascii="Times New Roman" w:hAnsi="Times New Roman" w:eastAsia="微软雅黑" w:cs="Times New Roman"/>
                <w:snapToGrid w:val="0"/>
                <w:spacing w:val="6"/>
                <w:sz w:val="18"/>
                <w:szCs w:val="18"/>
              </w:rPr>
              <w:t>报告日期：</w:t>
            </w:r>
            <w:r>
              <w:rPr>
                <w:rFonts w:hint="default" w:ascii="Times New Roman" w:hAnsi="Times New Roman" w:eastAsia="微软雅黑" w:cs="Times New Roman"/>
                <w:snapToGrid w:val="0"/>
                <w:spacing w:val="6"/>
                <w:sz w:val="18"/>
                <w:szCs w:val="18"/>
                <w:lang w:eastAsia="zh-CN"/>
              </w:rPr>
              <w:t>{{ reportdate }}</w:t>
            </w:r>
          </w:p>
        </w:tc>
      </w:tr>
    </w:tbl>
    <w:p w14:paraId="3C40AAF8">
      <w:pPr>
        <w:rPr>
          <w:rFonts w:hint="default" w:ascii="Times New Roman" w:hAnsi="Times New Roman" w:eastAsia="微软雅黑" w:cs="Times New Roman"/>
          <w:lang w:eastAsia="zh-CN"/>
        </w:rPr>
      </w:pPr>
      <w:r>
        <w:rPr>
          <w:rFonts w:hint="default" w:ascii="Times New Roman" w:hAnsi="Times New Roman" w:eastAsia="微软雅黑" w:cs="Times New Roman"/>
          <w:b/>
          <w:bCs/>
          <w:color w:val="00B050"/>
          <w:sz w:val="28"/>
          <w:szCs w:val="36"/>
          <w:lang w:eastAsia="zh-CN"/>
        </w:rPr>
        <w:br w:type="page"/>
      </w:r>
    </w:p>
    <w:p w14:paraId="5566FB94">
      <w:pPr>
        <w:numPr>
          <w:ilvl w:val="255"/>
          <w:numId w:val="0"/>
        </w:numPr>
        <w:jc w:val="both"/>
        <w:outlineLvl w:val="0"/>
        <w:rPr>
          <w:rStyle w:val="41"/>
          <w:rFonts w:hint="default" w:ascii="Times New Roman" w:hAnsi="Times New Roman" w:eastAsia="微软雅黑" w:cs="Times New Roman"/>
          <w:color w:val="62B541"/>
          <w:sz w:val="32"/>
          <w:szCs w:val="40"/>
          <w:lang w:eastAsia="zh-CN"/>
          <w14:shadow w14:blurRad="50800" w14:dist="38100" w14:dir="10800000" w14:sx="100000" w14:sy="100000" w14:kx="0" w14:ky="0" w14:algn="r">
            <w14:srgbClr w14:val="62B541">
              <w14:alpha w14:val="60000"/>
            </w14:srgbClr>
          </w14:shadow>
        </w:rPr>
      </w:pPr>
      <w:bookmarkStart w:id="20" w:name="_Toc20136_WPSOffice_Level1"/>
      <w:bookmarkStart w:id="21" w:name="_Toc19898_WPSOffice_Level1"/>
      <w:bookmarkStart w:id="22" w:name="_Toc24235"/>
      <w:bookmarkStart w:id="23" w:name="_Toc6057"/>
      <w:bookmarkStart w:id="24" w:name="_Toc2781"/>
      <w:bookmarkStart w:id="25" w:name="_Toc22132"/>
      <w:r>
        <w:rPr>
          <w:rStyle w:val="41"/>
          <w:rFonts w:hint="default" w:ascii="Times New Roman" w:hAnsi="Times New Roman" w:eastAsia="微软雅黑" w:cs="Times New Roman"/>
          <w:color w:val="62B541"/>
          <w:sz w:val="32"/>
          <w:szCs w:val="40"/>
          <w:lang w:eastAsia="zh-CN"/>
          <w14:shadow w14:blurRad="50800" w14:dist="38100" w14:dir="10800000" w14:sx="100000" w14:sy="100000" w14:kx="0" w14:ky="0" w14:algn="r">
            <w14:srgbClr w14:val="62B541">
              <w14:alpha w14:val="60000"/>
            </w14:srgbClr>
          </w14:shadow>
        </w:rPr>
        <w:t>检测结果总览</w:t>
      </w:r>
    </w:p>
    <w:p w14:paraId="0E3715E7">
      <w:pPr>
        <w:pStyle w:val="3"/>
        <w:numPr>
          <w:ilvl w:val="255"/>
          <w:numId w:val="0"/>
        </w:numPr>
        <w:jc w:val="left"/>
        <w:rPr>
          <w:rFonts w:hint="default" w:ascii="Times New Roman" w:hAnsi="Times New Roman" w:eastAsia="微软雅黑" w:cs="Times New Roman"/>
          <w:color w:val="auto"/>
          <w:sz w:val="30"/>
          <w:lang w:eastAsia="zh-CN"/>
        </w:rPr>
      </w:pPr>
      <w:r>
        <w:rPr>
          <w:rFonts w:hint="default" w:ascii="Times New Roman" w:hAnsi="Times New Roman" w:eastAsia="微软雅黑" w:cs="Times New Roman"/>
          <w:color w:val="auto"/>
          <w:sz w:val="30"/>
          <w:lang w:eastAsia="zh-CN"/>
        </w:rPr>
        <w:t>基因检测详情</w:t>
      </w:r>
    </w:p>
    <w:tbl>
      <w:tblPr>
        <w:tblStyle w:val="14"/>
        <w:tblW w:w="9631" w:type="dxa"/>
        <w:jc w:val="center"/>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018"/>
        <w:gridCol w:w="3075"/>
        <w:gridCol w:w="3538"/>
      </w:tblGrid>
      <w:tr w14:paraId="233D246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PrEx>
        <w:trPr>
          <w:cantSplit/>
          <w:trHeight w:val="590" w:hRule="atLeast"/>
          <w:tblHeader/>
          <w:jc w:val="center"/>
        </w:trPr>
        <w:tc>
          <w:tcPr>
            <w:tcW w:w="3018" w:type="dxa"/>
            <w:tcBorders>
              <w:top w:val="nil"/>
              <w:left w:val="nil"/>
              <w:bottom w:val="nil"/>
              <w:right w:val="single" w:color="FFFFFF" w:sz="18" w:space="0"/>
            </w:tcBorders>
            <w:shd w:val="clear" w:color="auto" w:fill="62BC41"/>
            <w:vAlign w:val="center"/>
          </w:tcPr>
          <w:p w14:paraId="624A0C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基因种类</w:t>
            </w:r>
          </w:p>
        </w:tc>
        <w:tc>
          <w:tcPr>
            <w:tcW w:w="3075" w:type="dxa"/>
            <w:tcBorders>
              <w:top w:val="nil"/>
              <w:left w:val="single" w:color="FFFFFF" w:sz="18" w:space="0"/>
              <w:bottom w:val="nil"/>
              <w:right w:val="single" w:color="FFFFFF" w:sz="18" w:space="0"/>
            </w:tcBorders>
            <w:shd w:val="clear" w:color="auto" w:fill="62BC41"/>
            <w:vAlign w:val="center"/>
          </w:tcPr>
          <w:p w14:paraId="19934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538" w:type="dxa"/>
            <w:tcBorders>
              <w:top w:val="nil"/>
              <w:left w:val="single" w:color="FFFFFF" w:sz="18" w:space="0"/>
              <w:bottom w:val="nil"/>
              <w:right w:val="nil"/>
            </w:tcBorders>
            <w:shd w:val="clear" w:color="auto" w:fill="62BC41"/>
            <w:vAlign w:val="center"/>
          </w:tcPr>
          <w:p w14:paraId="586B8F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Ct值</w:t>
            </w:r>
          </w:p>
        </w:tc>
      </w:tr>
      <w:tr w14:paraId="5CED70D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restart"/>
            <w:tcBorders>
              <w:top w:val="nil"/>
              <w:left w:val="nil"/>
            </w:tcBorders>
            <w:shd w:val="clear" w:color="auto" w:fill="auto"/>
            <w:vAlign w:val="center"/>
          </w:tcPr>
          <w:p w14:paraId="47179109">
            <w:pPr>
              <w:spacing w:line="240" w:lineRule="auto"/>
              <w:ind w:left="1" w:leftChars="-4" w:hanging="10" w:hangingChars="5"/>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21"/>
                <w:szCs w:val="21"/>
                <w:lang w:eastAsia="zh-CN"/>
              </w:rPr>
              <w:t>参考基因</w:t>
            </w:r>
          </w:p>
        </w:tc>
        <w:tc>
          <w:tcPr>
            <w:tcW w:w="3075" w:type="dxa"/>
            <w:tcBorders>
              <w:top w:val="nil"/>
              <w:right w:val="nil"/>
            </w:tcBorders>
            <w:shd w:val="clear" w:color="auto" w:fill="auto"/>
            <w:vAlign w:val="center"/>
          </w:tcPr>
          <w:p w14:paraId="772041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i/>
                <w:iCs/>
                <w:color w:val="000000"/>
                <w:sz w:val="21"/>
                <w:szCs w:val="21"/>
                <w:lang w:eastAsia="zh-CN"/>
              </w:rPr>
              <w:t xml:space="preserve">Beta-Actin </w:t>
            </w:r>
          </w:p>
        </w:tc>
        <w:tc>
          <w:tcPr>
            <w:tcW w:w="3538" w:type="dxa"/>
            <w:tcBorders>
              <w:top w:val="nil"/>
              <w:right w:val="nil"/>
            </w:tcBorders>
            <w:shd w:val="clear" w:color="auto" w:fill="auto"/>
            <w:vAlign w:val="center"/>
          </w:tcPr>
          <w:p w14:paraId="4B6E67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bc.Beta_Actin }}</w:t>
            </w:r>
          </w:p>
        </w:tc>
      </w:tr>
      <w:tr w14:paraId="1C58CF6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BF2E5EA">
            <w:pPr>
              <w:spacing w:after="120" w:afterLines="50" w:line="360" w:lineRule="exact"/>
              <w:jc w:val="center"/>
              <w:rPr>
                <w:rFonts w:hint="default" w:ascii="Times New Roman" w:hAnsi="Times New Roman" w:eastAsia="微软雅黑" w:cs="Times New Roman"/>
              </w:rPr>
            </w:pPr>
          </w:p>
        </w:tc>
        <w:tc>
          <w:tcPr>
            <w:tcW w:w="3075" w:type="dxa"/>
            <w:tcBorders>
              <w:right w:val="nil"/>
            </w:tcBorders>
            <w:shd w:val="clear" w:color="auto" w:fill="auto"/>
            <w:vAlign w:val="center"/>
          </w:tcPr>
          <w:p w14:paraId="5D284F2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rPr>
            </w:pPr>
            <w:r>
              <w:rPr>
                <w:rFonts w:hint="default" w:ascii="Times New Roman" w:hAnsi="Times New Roman" w:eastAsia="微软雅黑" w:cs="Times New Roman"/>
                <w:i/>
                <w:iCs/>
                <w:color w:val="000000"/>
                <w:sz w:val="21"/>
                <w:szCs w:val="21"/>
                <w:lang w:eastAsia="zh-CN"/>
              </w:rPr>
              <w:t>GAPDH</w:t>
            </w:r>
          </w:p>
        </w:tc>
        <w:tc>
          <w:tcPr>
            <w:tcW w:w="3538" w:type="dxa"/>
            <w:tcBorders>
              <w:right w:val="nil"/>
            </w:tcBorders>
            <w:shd w:val="clear" w:color="auto" w:fill="auto"/>
            <w:vAlign w:val="center"/>
          </w:tcPr>
          <w:p w14:paraId="716AD0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bc.GAPDH }}</w:t>
            </w:r>
          </w:p>
        </w:tc>
      </w:tr>
      <w:tr w14:paraId="3EA2E69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E0BC751">
            <w:pPr>
              <w:spacing w:after="120" w:afterLines="50" w:line="360" w:lineRule="exact"/>
              <w:jc w:val="center"/>
              <w:rPr>
                <w:rFonts w:hint="default" w:ascii="Times New Roman" w:hAnsi="Times New Roman" w:eastAsia="微软雅黑" w:cs="Times New Roman"/>
                <w:color w:val="FF0000"/>
                <w:sz w:val="21"/>
                <w:szCs w:val="21"/>
                <w:lang w:eastAsia="zh-CN"/>
              </w:rPr>
            </w:pPr>
          </w:p>
        </w:tc>
        <w:tc>
          <w:tcPr>
            <w:tcW w:w="3075" w:type="dxa"/>
            <w:tcBorders>
              <w:right w:val="nil"/>
            </w:tcBorders>
            <w:shd w:val="clear" w:color="auto" w:fill="auto"/>
            <w:vAlign w:val="center"/>
          </w:tcPr>
          <w:p w14:paraId="6F0166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i/>
                <w:iCs/>
                <w:color w:val="000000"/>
                <w:sz w:val="21"/>
                <w:szCs w:val="21"/>
                <w:lang w:eastAsia="zh-CN"/>
              </w:rPr>
              <w:t>GUS</w:t>
            </w:r>
          </w:p>
        </w:tc>
        <w:tc>
          <w:tcPr>
            <w:tcW w:w="3538" w:type="dxa"/>
            <w:tcBorders>
              <w:right w:val="nil"/>
            </w:tcBorders>
            <w:shd w:val="clear" w:color="auto" w:fill="auto"/>
            <w:vAlign w:val="center"/>
          </w:tcPr>
          <w:p w14:paraId="0B8C5B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bc.GUS }}</w:t>
            </w:r>
          </w:p>
        </w:tc>
      </w:tr>
      <w:tr w14:paraId="7A7CACC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B9AB96D">
            <w:pPr>
              <w:spacing w:after="120" w:afterLines="50" w:line="360" w:lineRule="exact"/>
              <w:jc w:val="center"/>
              <w:rPr>
                <w:rFonts w:hint="default" w:ascii="Times New Roman" w:hAnsi="Times New Roman" w:eastAsia="微软雅黑" w:cs="Times New Roman"/>
                <w:color w:val="FF0000"/>
                <w:sz w:val="21"/>
                <w:szCs w:val="21"/>
                <w:lang w:eastAsia="zh-CN"/>
              </w:rPr>
            </w:pPr>
          </w:p>
        </w:tc>
        <w:tc>
          <w:tcPr>
            <w:tcW w:w="3075" w:type="dxa"/>
            <w:tcBorders>
              <w:right w:val="nil"/>
            </w:tcBorders>
            <w:shd w:val="clear" w:color="auto" w:fill="auto"/>
            <w:vAlign w:val="center"/>
          </w:tcPr>
          <w:p w14:paraId="055EFD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i/>
                <w:iCs/>
                <w:color w:val="000000"/>
                <w:sz w:val="21"/>
                <w:szCs w:val="21"/>
                <w:lang w:eastAsia="zh-CN"/>
              </w:rPr>
              <w:t>RPLPO</w:t>
            </w:r>
          </w:p>
        </w:tc>
        <w:tc>
          <w:tcPr>
            <w:tcW w:w="3538" w:type="dxa"/>
            <w:tcBorders>
              <w:right w:val="nil"/>
            </w:tcBorders>
            <w:shd w:val="clear" w:color="auto" w:fill="auto"/>
            <w:vAlign w:val="center"/>
          </w:tcPr>
          <w:p w14:paraId="57AE8D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bc.RPLPO }}</w:t>
            </w:r>
          </w:p>
        </w:tc>
      </w:tr>
      <w:tr w14:paraId="429AD24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34F0EDF">
            <w:pPr>
              <w:spacing w:after="120" w:afterLines="50" w:line="360" w:lineRule="exact"/>
              <w:jc w:val="center"/>
              <w:rPr>
                <w:rFonts w:hint="default" w:ascii="Times New Roman" w:hAnsi="Times New Roman" w:eastAsia="微软雅黑" w:cs="Times New Roman"/>
                <w:color w:val="FF0000"/>
                <w:sz w:val="21"/>
                <w:szCs w:val="21"/>
                <w:lang w:eastAsia="zh-CN"/>
              </w:rPr>
            </w:pPr>
          </w:p>
        </w:tc>
        <w:tc>
          <w:tcPr>
            <w:tcW w:w="3075" w:type="dxa"/>
            <w:tcBorders>
              <w:right w:val="nil"/>
            </w:tcBorders>
            <w:shd w:val="clear" w:color="auto" w:fill="auto"/>
            <w:vAlign w:val="center"/>
          </w:tcPr>
          <w:p w14:paraId="167ED5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i/>
                <w:iCs/>
                <w:color w:val="000000"/>
                <w:sz w:val="21"/>
                <w:szCs w:val="21"/>
                <w:lang w:eastAsia="zh-CN"/>
              </w:rPr>
              <w:t>TFRC</w:t>
            </w:r>
          </w:p>
        </w:tc>
        <w:tc>
          <w:tcPr>
            <w:tcW w:w="3538" w:type="dxa"/>
            <w:tcBorders>
              <w:right w:val="nil"/>
            </w:tcBorders>
            <w:shd w:val="clear" w:color="auto" w:fill="auto"/>
            <w:vAlign w:val="center"/>
          </w:tcPr>
          <w:p w14:paraId="6B5DF5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bc.TFRC }}</w:t>
            </w:r>
          </w:p>
        </w:tc>
      </w:tr>
      <w:tr w14:paraId="1A12FDB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31" w:hRule="atLeast"/>
          <w:jc w:val="center"/>
        </w:trPr>
        <w:tc>
          <w:tcPr>
            <w:tcW w:w="3018" w:type="dxa"/>
            <w:vMerge w:val="restart"/>
            <w:tcBorders>
              <w:left w:val="nil"/>
            </w:tcBorders>
            <w:shd w:val="clear" w:color="auto" w:fill="auto"/>
            <w:vAlign w:val="center"/>
          </w:tcPr>
          <w:p w14:paraId="47ACF884">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增殖相关</w:t>
            </w:r>
          </w:p>
        </w:tc>
        <w:tc>
          <w:tcPr>
            <w:tcW w:w="3075" w:type="dxa"/>
            <w:shd w:val="clear" w:color="auto" w:fill="auto"/>
            <w:vAlign w:val="center"/>
          </w:tcPr>
          <w:p w14:paraId="2D96EC6C">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CCNB1</w:t>
            </w:r>
          </w:p>
        </w:tc>
        <w:tc>
          <w:tcPr>
            <w:tcW w:w="3538" w:type="dxa"/>
            <w:tcBorders>
              <w:right w:val="nil"/>
            </w:tcBorders>
            <w:shd w:val="clear" w:color="auto" w:fill="auto"/>
            <w:vAlign w:val="center"/>
          </w:tcPr>
          <w:p w14:paraId="12EE91A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bc.CCNB1 }}</w:t>
            </w:r>
          </w:p>
        </w:tc>
      </w:tr>
      <w:tr w14:paraId="641E61B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C2917ED">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p>
        </w:tc>
        <w:tc>
          <w:tcPr>
            <w:tcW w:w="3075" w:type="dxa"/>
            <w:shd w:val="clear" w:color="auto" w:fill="auto"/>
            <w:vAlign w:val="center"/>
          </w:tcPr>
          <w:p w14:paraId="433A6175">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Ki-67</w:t>
            </w:r>
          </w:p>
        </w:tc>
        <w:tc>
          <w:tcPr>
            <w:tcW w:w="3538" w:type="dxa"/>
            <w:tcBorders>
              <w:right w:val="nil"/>
            </w:tcBorders>
            <w:shd w:val="clear" w:color="auto" w:fill="auto"/>
            <w:vAlign w:val="center"/>
          </w:tcPr>
          <w:p w14:paraId="03DA9E1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bc.Ki_67 }}</w:t>
            </w:r>
          </w:p>
        </w:tc>
      </w:tr>
      <w:tr w14:paraId="279487B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825838F">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p>
        </w:tc>
        <w:tc>
          <w:tcPr>
            <w:tcW w:w="3075" w:type="dxa"/>
            <w:shd w:val="clear" w:color="auto" w:fill="auto"/>
            <w:vAlign w:val="center"/>
          </w:tcPr>
          <w:p w14:paraId="333CA42E">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MYBL2</w:t>
            </w:r>
          </w:p>
        </w:tc>
        <w:tc>
          <w:tcPr>
            <w:tcW w:w="3538" w:type="dxa"/>
            <w:tcBorders>
              <w:right w:val="nil"/>
            </w:tcBorders>
            <w:shd w:val="clear" w:color="auto" w:fill="auto"/>
            <w:vAlign w:val="center"/>
          </w:tcPr>
          <w:p w14:paraId="5B8B380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bc.MYBL2 }}</w:t>
            </w:r>
          </w:p>
        </w:tc>
      </w:tr>
      <w:tr w14:paraId="320F2B6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1" w:hRule="atLeast"/>
          <w:jc w:val="center"/>
        </w:trPr>
        <w:tc>
          <w:tcPr>
            <w:tcW w:w="3018" w:type="dxa"/>
            <w:vMerge w:val="continue"/>
            <w:tcBorders>
              <w:left w:val="nil"/>
            </w:tcBorders>
            <w:shd w:val="clear" w:color="auto" w:fill="auto"/>
            <w:vAlign w:val="center"/>
          </w:tcPr>
          <w:p w14:paraId="4399B105">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p>
        </w:tc>
        <w:tc>
          <w:tcPr>
            <w:tcW w:w="3075" w:type="dxa"/>
            <w:shd w:val="clear" w:color="auto" w:fill="auto"/>
            <w:vAlign w:val="center"/>
          </w:tcPr>
          <w:p w14:paraId="125BE086">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STK15</w:t>
            </w:r>
          </w:p>
        </w:tc>
        <w:tc>
          <w:tcPr>
            <w:tcW w:w="3538" w:type="dxa"/>
            <w:tcBorders>
              <w:right w:val="nil"/>
            </w:tcBorders>
            <w:shd w:val="clear" w:color="auto" w:fill="auto"/>
            <w:vAlign w:val="center"/>
          </w:tcPr>
          <w:p w14:paraId="15E345C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bc.STK15 }}</w:t>
            </w:r>
          </w:p>
        </w:tc>
      </w:tr>
      <w:tr w14:paraId="3C158CA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383DA58">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p>
        </w:tc>
        <w:tc>
          <w:tcPr>
            <w:tcW w:w="3075" w:type="dxa"/>
            <w:shd w:val="clear" w:color="auto" w:fill="auto"/>
            <w:vAlign w:val="center"/>
          </w:tcPr>
          <w:p w14:paraId="196E2246">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SURV</w:t>
            </w:r>
          </w:p>
        </w:tc>
        <w:tc>
          <w:tcPr>
            <w:tcW w:w="3538" w:type="dxa"/>
            <w:tcBorders>
              <w:right w:val="nil"/>
            </w:tcBorders>
            <w:shd w:val="clear" w:color="auto" w:fill="auto"/>
            <w:vAlign w:val="center"/>
          </w:tcPr>
          <w:p w14:paraId="37D443E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bc.SURV }}</w:t>
            </w:r>
          </w:p>
        </w:tc>
      </w:tr>
      <w:tr w14:paraId="365763E4">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19" w:hRule="atLeast"/>
          <w:jc w:val="center"/>
        </w:trPr>
        <w:tc>
          <w:tcPr>
            <w:tcW w:w="3018" w:type="dxa"/>
            <w:vMerge w:val="restart"/>
            <w:tcBorders>
              <w:left w:val="nil"/>
            </w:tcBorders>
            <w:shd w:val="clear" w:color="auto" w:fill="auto"/>
            <w:vAlign w:val="center"/>
          </w:tcPr>
          <w:p w14:paraId="4CD1DF5F">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侵袭相关</w:t>
            </w:r>
          </w:p>
        </w:tc>
        <w:tc>
          <w:tcPr>
            <w:tcW w:w="3075" w:type="dxa"/>
            <w:shd w:val="clear" w:color="auto" w:fill="auto"/>
            <w:vAlign w:val="center"/>
          </w:tcPr>
          <w:p w14:paraId="1B380E81">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CTSL2</w:t>
            </w:r>
          </w:p>
        </w:tc>
        <w:tc>
          <w:tcPr>
            <w:tcW w:w="3538" w:type="dxa"/>
            <w:tcBorders>
              <w:right w:val="nil"/>
            </w:tcBorders>
            <w:shd w:val="clear" w:color="auto" w:fill="auto"/>
            <w:vAlign w:val="center"/>
          </w:tcPr>
          <w:p w14:paraId="59B8723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bc.CTSL2 }}</w:t>
            </w:r>
          </w:p>
        </w:tc>
      </w:tr>
      <w:tr w14:paraId="155984B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19AEA22A">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p>
        </w:tc>
        <w:tc>
          <w:tcPr>
            <w:tcW w:w="3075" w:type="dxa"/>
            <w:shd w:val="clear" w:color="auto" w:fill="auto"/>
            <w:vAlign w:val="center"/>
          </w:tcPr>
          <w:p w14:paraId="4D8082FA">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STMY3</w:t>
            </w:r>
          </w:p>
        </w:tc>
        <w:tc>
          <w:tcPr>
            <w:tcW w:w="3538" w:type="dxa"/>
            <w:tcBorders>
              <w:right w:val="nil"/>
            </w:tcBorders>
            <w:shd w:val="clear" w:color="auto" w:fill="auto"/>
            <w:vAlign w:val="center"/>
          </w:tcPr>
          <w:p w14:paraId="1C605FE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bc.STMY3 }}</w:t>
            </w:r>
          </w:p>
        </w:tc>
      </w:tr>
      <w:tr w14:paraId="6761909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94" w:hRule="atLeast"/>
          <w:jc w:val="center"/>
        </w:trPr>
        <w:tc>
          <w:tcPr>
            <w:tcW w:w="3018" w:type="dxa"/>
            <w:vMerge w:val="restart"/>
            <w:tcBorders>
              <w:left w:val="nil"/>
            </w:tcBorders>
            <w:shd w:val="clear" w:color="auto" w:fill="auto"/>
            <w:vAlign w:val="center"/>
          </w:tcPr>
          <w:p w14:paraId="792294CF">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雌激素相关</w:t>
            </w:r>
          </w:p>
        </w:tc>
        <w:tc>
          <w:tcPr>
            <w:tcW w:w="3075" w:type="dxa"/>
            <w:shd w:val="clear" w:color="auto" w:fill="auto"/>
            <w:vAlign w:val="center"/>
          </w:tcPr>
          <w:p w14:paraId="1A29EA99">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BCL2</w:t>
            </w:r>
          </w:p>
        </w:tc>
        <w:tc>
          <w:tcPr>
            <w:tcW w:w="3538" w:type="dxa"/>
            <w:tcBorders>
              <w:right w:val="nil"/>
            </w:tcBorders>
            <w:shd w:val="clear" w:color="auto" w:fill="auto"/>
            <w:vAlign w:val="center"/>
          </w:tcPr>
          <w:p w14:paraId="42B6317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bc.BCL2 }}</w:t>
            </w:r>
          </w:p>
        </w:tc>
      </w:tr>
      <w:tr w14:paraId="46E8C31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04" w:hRule="atLeast"/>
          <w:jc w:val="center"/>
        </w:trPr>
        <w:tc>
          <w:tcPr>
            <w:tcW w:w="3018" w:type="dxa"/>
            <w:vMerge w:val="continue"/>
            <w:tcBorders>
              <w:left w:val="nil"/>
            </w:tcBorders>
            <w:shd w:val="clear" w:color="auto" w:fill="auto"/>
            <w:vAlign w:val="center"/>
          </w:tcPr>
          <w:p w14:paraId="0880BDE9">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p>
        </w:tc>
        <w:tc>
          <w:tcPr>
            <w:tcW w:w="3075" w:type="dxa"/>
            <w:shd w:val="clear" w:color="auto" w:fill="auto"/>
            <w:vAlign w:val="center"/>
          </w:tcPr>
          <w:p w14:paraId="3D279E93">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SCUBE2</w:t>
            </w:r>
          </w:p>
        </w:tc>
        <w:tc>
          <w:tcPr>
            <w:tcW w:w="3538" w:type="dxa"/>
            <w:tcBorders>
              <w:right w:val="nil"/>
            </w:tcBorders>
            <w:shd w:val="clear" w:color="auto" w:fill="auto"/>
            <w:vAlign w:val="center"/>
          </w:tcPr>
          <w:p w14:paraId="4956371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bc.SCUBE2 }}</w:t>
            </w:r>
          </w:p>
        </w:tc>
      </w:tr>
      <w:tr w14:paraId="667F2D6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2" w:hRule="atLeast"/>
          <w:jc w:val="center"/>
        </w:trPr>
        <w:tc>
          <w:tcPr>
            <w:tcW w:w="3018" w:type="dxa"/>
            <w:vMerge w:val="continue"/>
            <w:tcBorders>
              <w:left w:val="nil"/>
            </w:tcBorders>
            <w:shd w:val="clear" w:color="auto" w:fill="auto"/>
            <w:vAlign w:val="center"/>
          </w:tcPr>
          <w:p w14:paraId="6AFE4CF2">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p>
        </w:tc>
        <w:tc>
          <w:tcPr>
            <w:tcW w:w="3075" w:type="dxa"/>
            <w:shd w:val="clear" w:color="auto" w:fill="auto"/>
            <w:vAlign w:val="center"/>
          </w:tcPr>
          <w:p w14:paraId="5F7A39B8">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ESR1</w:t>
            </w:r>
          </w:p>
        </w:tc>
        <w:tc>
          <w:tcPr>
            <w:tcW w:w="3538" w:type="dxa"/>
            <w:tcBorders>
              <w:right w:val="nil"/>
            </w:tcBorders>
            <w:shd w:val="clear" w:color="auto" w:fill="auto"/>
            <w:vAlign w:val="center"/>
          </w:tcPr>
          <w:p w14:paraId="16B3D4C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bc.ESR1 }}</w:t>
            </w:r>
          </w:p>
        </w:tc>
      </w:tr>
      <w:tr w14:paraId="30E09A6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2" w:hRule="atLeast"/>
          <w:jc w:val="center"/>
        </w:trPr>
        <w:tc>
          <w:tcPr>
            <w:tcW w:w="3018" w:type="dxa"/>
            <w:vMerge w:val="continue"/>
            <w:tcBorders>
              <w:left w:val="nil"/>
            </w:tcBorders>
            <w:shd w:val="clear" w:color="auto" w:fill="auto"/>
            <w:vAlign w:val="center"/>
          </w:tcPr>
          <w:p w14:paraId="43C40A5E">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p>
        </w:tc>
        <w:tc>
          <w:tcPr>
            <w:tcW w:w="3075" w:type="dxa"/>
            <w:shd w:val="clear" w:color="auto" w:fill="auto"/>
            <w:vAlign w:val="center"/>
          </w:tcPr>
          <w:p w14:paraId="78814E8F">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PGR</w:t>
            </w:r>
          </w:p>
        </w:tc>
        <w:tc>
          <w:tcPr>
            <w:tcW w:w="3538" w:type="dxa"/>
            <w:tcBorders>
              <w:right w:val="nil"/>
            </w:tcBorders>
            <w:shd w:val="clear" w:color="auto" w:fill="auto"/>
            <w:vAlign w:val="center"/>
          </w:tcPr>
          <w:p w14:paraId="64C4BF9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bc.PGR }}</w:t>
            </w:r>
          </w:p>
        </w:tc>
      </w:tr>
      <w:tr w14:paraId="650F450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32D0DF95">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HER2相关</w:t>
            </w:r>
          </w:p>
        </w:tc>
        <w:tc>
          <w:tcPr>
            <w:tcW w:w="3075" w:type="dxa"/>
            <w:shd w:val="clear" w:color="auto" w:fill="auto"/>
            <w:vAlign w:val="center"/>
          </w:tcPr>
          <w:p w14:paraId="7492FFA0">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GRB7</w:t>
            </w:r>
          </w:p>
        </w:tc>
        <w:tc>
          <w:tcPr>
            <w:tcW w:w="3538" w:type="dxa"/>
            <w:tcBorders>
              <w:right w:val="nil"/>
            </w:tcBorders>
            <w:shd w:val="clear" w:color="auto" w:fill="auto"/>
            <w:vAlign w:val="center"/>
          </w:tcPr>
          <w:p w14:paraId="73342B0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bc.GRB7 }}</w:t>
            </w:r>
          </w:p>
        </w:tc>
      </w:tr>
      <w:tr w14:paraId="17936C0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0F2AEA1F">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p>
        </w:tc>
        <w:tc>
          <w:tcPr>
            <w:tcW w:w="3075" w:type="dxa"/>
            <w:shd w:val="clear" w:color="auto" w:fill="auto"/>
            <w:vAlign w:val="center"/>
          </w:tcPr>
          <w:p w14:paraId="3BEF0A0F">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HER2</w:t>
            </w:r>
          </w:p>
        </w:tc>
        <w:tc>
          <w:tcPr>
            <w:tcW w:w="3538" w:type="dxa"/>
            <w:tcBorders>
              <w:right w:val="nil"/>
            </w:tcBorders>
            <w:shd w:val="clear" w:color="auto" w:fill="auto"/>
            <w:vAlign w:val="center"/>
          </w:tcPr>
          <w:p w14:paraId="0B36AF3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bc.HER2 }}</w:t>
            </w:r>
          </w:p>
        </w:tc>
      </w:tr>
      <w:tr w14:paraId="18881125">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747234D1">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其他相关</w:t>
            </w:r>
          </w:p>
        </w:tc>
        <w:tc>
          <w:tcPr>
            <w:tcW w:w="3075" w:type="dxa"/>
            <w:shd w:val="clear" w:color="auto" w:fill="auto"/>
            <w:vAlign w:val="center"/>
          </w:tcPr>
          <w:p w14:paraId="4D5899F7">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BAG1</w:t>
            </w:r>
          </w:p>
        </w:tc>
        <w:tc>
          <w:tcPr>
            <w:tcW w:w="3538" w:type="dxa"/>
            <w:tcBorders>
              <w:right w:val="nil"/>
            </w:tcBorders>
            <w:shd w:val="clear" w:color="auto" w:fill="auto"/>
            <w:vAlign w:val="center"/>
          </w:tcPr>
          <w:p w14:paraId="050A754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bc.BAG1 }}</w:t>
            </w:r>
          </w:p>
        </w:tc>
      </w:tr>
      <w:tr w14:paraId="53F263D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1529BFA0">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p>
        </w:tc>
        <w:tc>
          <w:tcPr>
            <w:tcW w:w="3075" w:type="dxa"/>
            <w:shd w:val="clear" w:color="auto" w:fill="auto"/>
            <w:vAlign w:val="center"/>
          </w:tcPr>
          <w:p w14:paraId="68FD7895">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CD68</w:t>
            </w:r>
          </w:p>
        </w:tc>
        <w:tc>
          <w:tcPr>
            <w:tcW w:w="3538" w:type="dxa"/>
            <w:tcBorders>
              <w:right w:val="nil"/>
            </w:tcBorders>
            <w:shd w:val="clear" w:color="auto" w:fill="auto"/>
            <w:vAlign w:val="center"/>
          </w:tcPr>
          <w:p w14:paraId="3F65135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bc.CD68 }}</w:t>
            </w:r>
          </w:p>
        </w:tc>
      </w:tr>
      <w:tr w14:paraId="5640F40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7721EB91">
            <w:pPr>
              <w:spacing w:line="206" w:lineRule="exact"/>
              <w:ind w:left="1" w:leftChars="-4" w:hanging="10" w:hangingChars="5"/>
              <w:jc w:val="center"/>
              <w:rPr>
                <w:rFonts w:hint="default" w:ascii="Times New Roman" w:hAnsi="Times New Roman" w:eastAsia="微软雅黑" w:cs="Times New Roman"/>
                <w:color w:val="000000"/>
                <w:sz w:val="21"/>
                <w:szCs w:val="21"/>
                <w:lang w:eastAsia="zh-CN"/>
              </w:rPr>
            </w:pPr>
          </w:p>
        </w:tc>
        <w:tc>
          <w:tcPr>
            <w:tcW w:w="3075" w:type="dxa"/>
            <w:shd w:val="clear" w:color="auto" w:fill="auto"/>
            <w:vAlign w:val="center"/>
          </w:tcPr>
          <w:p w14:paraId="3BD67A6D">
            <w:pPr>
              <w:spacing w:after="120" w:afterLines="50" w:line="360" w:lineRule="exact"/>
              <w:jc w:val="center"/>
              <w:rPr>
                <w:rFonts w:hint="default" w:ascii="Times New Roman" w:hAnsi="Times New Roman" w:eastAsia="微软雅黑" w:cs="Times New Roman"/>
                <w:i/>
                <w:iCs/>
                <w:color w:val="000000"/>
                <w:sz w:val="21"/>
                <w:szCs w:val="21"/>
                <w:lang w:eastAsia="zh-CN"/>
              </w:rPr>
            </w:pPr>
            <w:r>
              <w:rPr>
                <w:rFonts w:hint="default" w:ascii="Times New Roman" w:hAnsi="Times New Roman" w:eastAsia="微软雅黑" w:cs="Times New Roman"/>
                <w:i/>
                <w:iCs/>
                <w:color w:val="000000"/>
                <w:sz w:val="21"/>
                <w:szCs w:val="21"/>
                <w:lang w:eastAsia="zh-CN"/>
              </w:rPr>
              <w:t>GSTM1</w:t>
            </w:r>
          </w:p>
        </w:tc>
        <w:tc>
          <w:tcPr>
            <w:tcW w:w="3538" w:type="dxa"/>
            <w:tcBorders>
              <w:right w:val="nil"/>
            </w:tcBorders>
            <w:shd w:val="clear" w:color="auto" w:fill="auto"/>
            <w:vAlign w:val="center"/>
          </w:tcPr>
          <w:p w14:paraId="1833AC1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default" w:ascii="Times New Roman" w:hAnsi="Times New Roman" w:eastAsia="微软雅黑" w:cs="Times New Roman"/>
                <w:color w:val="FF0000"/>
                <w:sz w:val="21"/>
                <w:szCs w:val="21"/>
                <w:lang w:eastAsia="zh-CN"/>
              </w:rPr>
            </w:pPr>
            <w:r>
              <w:rPr>
                <w:rFonts w:hint="default" w:ascii="Times New Roman" w:hAnsi="Times New Roman" w:eastAsia="微软雅黑" w:cs="Times New Roman"/>
                <w:color w:val="FF0000"/>
                <w:sz w:val="21"/>
                <w:szCs w:val="21"/>
                <w:lang w:eastAsia="zh-CN"/>
              </w:rPr>
              <w:t>{{ bc.GSTM1 }}</w:t>
            </w:r>
          </w:p>
        </w:tc>
      </w:tr>
    </w:tbl>
    <w:p w14:paraId="5CD12AE8">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default" w:ascii="Times New Roman" w:hAnsi="Times New Roman" w:eastAsia="微软雅黑" w:cs="Times New Roman"/>
          <w:sz w:val="18"/>
          <w:lang w:eastAsia="zh-CN"/>
        </w:rPr>
      </w:pPr>
    </w:p>
    <w:p w14:paraId="07028677">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sz w:val="18"/>
          <w:lang w:eastAsia="zh-CN"/>
        </w:rPr>
      </w:pPr>
      <w:r>
        <w:rPr>
          <w:rFonts w:hint="default" w:ascii="Times New Roman" w:hAnsi="Times New Roman" w:eastAsia="微软雅黑" w:cs="Times New Roman"/>
          <w:color w:val="62B541"/>
          <w:sz w:val="32"/>
          <w:lang w:eastAsia="zh-CN"/>
          <w14:shadow w14:blurRad="50800" w14:dist="38100" w14:dir="10800000" w14:sx="100000" w14:sy="100000" w14:kx="0" w14:ky="0" w14:algn="r">
            <w14:srgbClr w14:val="62B541">
              <w14:alpha w14:val="60000"/>
            </w14:srgbClr>
          </w14:shadow>
        </w:rPr>
        <w:br w:type="page"/>
      </w:r>
    </w:p>
    <w:bookmarkEnd w:id="10"/>
    <w:bookmarkEnd w:id="20"/>
    <w:bookmarkEnd w:id="21"/>
    <w:bookmarkEnd w:id="22"/>
    <w:bookmarkEnd w:id="23"/>
    <w:bookmarkEnd w:id="24"/>
    <w:bookmarkEnd w:id="25"/>
    <w:p w14:paraId="24C18BD0">
      <w:pPr>
        <w:pStyle w:val="3"/>
        <w:numPr>
          <w:ilvl w:val="255"/>
          <w:numId w:val="0"/>
        </w:numPr>
        <w:jc w:val="left"/>
        <w:rPr>
          <w:rFonts w:hint="default" w:ascii="Times New Roman" w:hAnsi="Times New Roman" w:eastAsia="微软雅黑" w:cs="Times New Roman"/>
          <w:color w:val="auto"/>
          <w:sz w:val="30"/>
          <w:lang w:eastAsia="zh-CN"/>
        </w:rPr>
      </w:pPr>
      <w:r>
        <w:rPr>
          <w:rFonts w:hint="default" w:ascii="Times New Roman" w:hAnsi="Times New Roman" w:eastAsia="微软雅黑" w:cs="Times New Roman"/>
          <w:color w:val="auto"/>
          <w:sz w:val="30"/>
          <w:lang w:val="en-US" w:eastAsia="zh-CN"/>
        </w:rPr>
        <w:t>实时荧光定量PCR基因表达检测结果图</w:t>
      </w:r>
    </w:p>
    <w:p w14:paraId="09160859">
      <w:pPr>
        <w:spacing w:before="29" w:line="360" w:lineRule="auto"/>
        <w:rPr>
          <w:rFonts w:hint="default" w:ascii="Times New Roman" w:hAnsi="Times New Roman" w:eastAsia="微软雅黑" w:cs="Times New Roman"/>
          <w:b/>
          <w:sz w:val="21"/>
          <w:szCs w:val="21"/>
          <w:lang w:eastAsia="zh-CN"/>
        </w:rPr>
      </w:pPr>
    </w:p>
    <w:p w14:paraId="04B676AA">
      <w:pPr>
        <w:jc w:val="center"/>
        <w:rPr>
          <w:rFonts w:hint="default" w:ascii="Times New Roman" w:hAnsi="Times New Roman" w:eastAsia="微软雅黑" w:cs="Times New Roman"/>
          <w:b/>
          <w:sz w:val="24"/>
          <w:szCs w:val="24"/>
        </w:rPr>
      </w:pPr>
      <w:r>
        <w:rPr>
          <w:rFonts w:hint="default" w:ascii="Times New Roman" w:hAnsi="Times New Roman" w:eastAsia="微软雅黑" w:cs="Times New Roman"/>
          <w:b/>
          <w:szCs w:val="21"/>
        </w:rPr>
        <w:t xml:space="preserve">{% if </w:t>
      </w:r>
      <w:r>
        <w:rPr>
          <w:rFonts w:hint="default" w:ascii="Times New Roman" w:hAnsi="Times New Roman" w:eastAsia="微软雅黑" w:cs="Times New Roman"/>
          <w:b/>
          <w:szCs w:val="21"/>
          <w:lang w:eastAsia="zh-CN"/>
        </w:rPr>
        <w:t>bc</w:t>
      </w:r>
      <w:r>
        <w:rPr>
          <w:rFonts w:hint="default" w:ascii="Times New Roman" w:hAnsi="Times New Roman" w:eastAsia="微软雅黑" w:cs="Times New Roman"/>
          <w:b/>
          <w:szCs w:val="21"/>
        </w:rPr>
        <w:t xml:space="preserve">.image1Pic_status %}{{ </w:t>
      </w:r>
      <w:r>
        <w:rPr>
          <w:rFonts w:hint="default" w:ascii="Times New Roman" w:hAnsi="Times New Roman" w:eastAsia="微软雅黑" w:cs="Times New Roman"/>
          <w:b/>
          <w:szCs w:val="21"/>
          <w:lang w:eastAsia="zh-CN"/>
        </w:rPr>
        <w:t>bc</w:t>
      </w:r>
      <w:r>
        <w:rPr>
          <w:rFonts w:hint="default" w:ascii="Times New Roman" w:hAnsi="Times New Roman" w:eastAsia="微软雅黑" w:cs="Times New Roman"/>
          <w:b/>
          <w:szCs w:val="21"/>
        </w:rPr>
        <w:t xml:space="preserve">.image1Pic | </w:t>
      </w:r>
      <w:r>
        <w:rPr>
          <w:rFonts w:hint="default" w:ascii="Times New Roman" w:hAnsi="Times New Roman" w:eastAsia="微软雅黑" w:cs="Times New Roman"/>
          <w:b/>
          <w:szCs w:val="21"/>
          <w:lang w:eastAsia="zh-CN"/>
        </w:rPr>
        <w:t>c</w:t>
      </w:r>
      <w:r>
        <w:rPr>
          <w:rFonts w:hint="default" w:ascii="Times New Roman" w:hAnsi="Times New Roman" w:eastAsia="微软雅黑" w:cs="Times New Roman"/>
          <w:b/>
          <w:szCs w:val="21"/>
        </w:rPr>
        <w:t>i(</w:t>
      </w:r>
      <w:r>
        <w:rPr>
          <w:rFonts w:hint="default" w:ascii="Times New Roman" w:hAnsi="Times New Roman" w:eastAsia="微软雅黑" w:cs="Times New Roman"/>
          <w:b/>
          <w:szCs w:val="21"/>
          <w:lang w:eastAsia="zh-CN"/>
        </w:rPr>
        <w:t>435</w:t>
      </w:r>
      <w:r>
        <w:rPr>
          <w:rFonts w:hint="default" w:ascii="Times New Roman" w:hAnsi="Times New Roman" w:eastAsia="微软雅黑" w:cs="Times New Roman"/>
          <w:b/>
          <w:szCs w:val="21"/>
        </w:rPr>
        <w:t>,</w:t>
      </w:r>
      <w:r>
        <w:rPr>
          <w:rFonts w:hint="default" w:ascii="Times New Roman" w:hAnsi="Times New Roman" w:eastAsia="微软雅黑" w:cs="Times New Roman"/>
          <w:b/>
          <w:szCs w:val="21"/>
          <w:lang w:eastAsia="zh-CN"/>
        </w:rPr>
        <w:t>210</w:t>
      </w:r>
      <w:r>
        <w:rPr>
          <w:rFonts w:hint="default" w:ascii="Times New Roman" w:hAnsi="Times New Roman" w:eastAsia="微软雅黑" w:cs="Times New Roman"/>
          <w:b/>
          <w:szCs w:val="21"/>
        </w:rPr>
        <w:t>) }}{% endif %}</w:t>
      </w:r>
    </w:p>
    <w:p w14:paraId="0B5C33AD">
      <w:pPr>
        <w:jc w:val="center"/>
        <w:rPr>
          <w:rFonts w:hint="default" w:ascii="Times New Roman" w:hAnsi="Times New Roman" w:eastAsia="微软雅黑" w:cs="Times New Roman"/>
          <w:b/>
          <w:szCs w:val="21"/>
          <w:lang w:eastAsia="zh-CN"/>
        </w:rPr>
      </w:pPr>
      <w:r>
        <w:rPr>
          <w:rFonts w:hint="default" w:ascii="Times New Roman" w:hAnsi="Times New Roman" w:eastAsia="微软雅黑" w:cs="Times New Roman"/>
          <w:b/>
          <w:szCs w:val="21"/>
          <w:lang w:eastAsia="zh-CN"/>
        </w:rPr>
        <w:t>图1</w:t>
      </w:r>
    </w:p>
    <w:p w14:paraId="076B647D">
      <w:pPr>
        <w:spacing w:line="300" w:lineRule="auto"/>
        <w:jc w:val="cente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Cs w:val="21"/>
        </w:rPr>
        <w:t xml:space="preserve">{% if </w:t>
      </w:r>
      <w:r>
        <w:rPr>
          <w:rFonts w:hint="default" w:ascii="Times New Roman" w:hAnsi="Times New Roman" w:eastAsia="微软雅黑" w:cs="Times New Roman"/>
          <w:b/>
          <w:szCs w:val="21"/>
          <w:lang w:eastAsia="zh-CN"/>
        </w:rPr>
        <w:t>bc</w:t>
      </w:r>
      <w:r>
        <w:rPr>
          <w:rFonts w:hint="default" w:ascii="Times New Roman" w:hAnsi="Times New Roman" w:eastAsia="微软雅黑" w:cs="Times New Roman"/>
          <w:b/>
          <w:szCs w:val="21"/>
        </w:rPr>
        <w:t>.image</w:t>
      </w:r>
      <w:r>
        <w:rPr>
          <w:rFonts w:hint="default" w:ascii="Times New Roman" w:hAnsi="Times New Roman" w:eastAsia="微软雅黑" w:cs="Times New Roman"/>
          <w:b/>
          <w:szCs w:val="21"/>
          <w:lang w:eastAsia="zh-CN"/>
        </w:rPr>
        <w:t>4</w:t>
      </w:r>
      <w:r>
        <w:rPr>
          <w:rFonts w:hint="default" w:ascii="Times New Roman" w:hAnsi="Times New Roman" w:eastAsia="微软雅黑" w:cs="Times New Roman"/>
          <w:b/>
          <w:szCs w:val="21"/>
        </w:rPr>
        <w:t xml:space="preserve">Pic_status %}{{ </w:t>
      </w:r>
      <w:r>
        <w:rPr>
          <w:rFonts w:hint="default" w:ascii="Times New Roman" w:hAnsi="Times New Roman" w:eastAsia="微软雅黑" w:cs="Times New Roman"/>
          <w:b/>
          <w:szCs w:val="21"/>
          <w:lang w:eastAsia="zh-CN"/>
        </w:rPr>
        <w:t>bc</w:t>
      </w:r>
      <w:r>
        <w:rPr>
          <w:rFonts w:hint="default" w:ascii="Times New Roman" w:hAnsi="Times New Roman" w:eastAsia="微软雅黑" w:cs="Times New Roman"/>
          <w:b/>
          <w:szCs w:val="21"/>
        </w:rPr>
        <w:t>.image</w:t>
      </w:r>
      <w:r>
        <w:rPr>
          <w:rFonts w:hint="default" w:ascii="Times New Roman" w:hAnsi="Times New Roman" w:eastAsia="微软雅黑" w:cs="Times New Roman"/>
          <w:b/>
          <w:szCs w:val="21"/>
          <w:lang w:eastAsia="zh-CN"/>
        </w:rPr>
        <w:t>4</w:t>
      </w:r>
      <w:r>
        <w:rPr>
          <w:rFonts w:hint="default" w:ascii="Times New Roman" w:hAnsi="Times New Roman" w:eastAsia="微软雅黑" w:cs="Times New Roman"/>
          <w:b/>
          <w:szCs w:val="21"/>
        </w:rPr>
        <w:t xml:space="preserve">Pic | </w:t>
      </w:r>
      <w:r>
        <w:rPr>
          <w:rFonts w:hint="default" w:ascii="Times New Roman" w:hAnsi="Times New Roman" w:eastAsia="微软雅黑" w:cs="Times New Roman"/>
          <w:b/>
          <w:szCs w:val="21"/>
          <w:lang w:eastAsia="zh-CN"/>
        </w:rPr>
        <w:t>c</w:t>
      </w:r>
      <w:r>
        <w:rPr>
          <w:rFonts w:hint="default" w:ascii="Times New Roman" w:hAnsi="Times New Roman" w:eastAsia="微软雅黑" w:cs="Times New Roman"/>
          <w:b/>
          <w:szCs w:val="21"/>
        </w:rPr>
        <w:t>i(</w:t>
      </w:r>
      <w:r>
        <w:rPr>
          <w:rFonts w:hint="default" w:ascii="Times New Roman" w:hAnsi="Times New Roman" w:eastAsia="微软雅黑" w:cs="Times New Roman"/>
          <w:b/>
          <w:szCs w:val="21"/>
          <w:lang w:eastAsia="zh-CN"/>
        </w:rPr>
        <w:t>435</w:t>
      </w:r>
      <w:r>
        <w:rPr>
          <w:rFonts w:hint="default" w:ascii="Times New Roman" w:hAnsi="Times New Roman" w:eastAsia="微软雅黑" w:cs="Times New Roman"/>
          <w:b/>
          <w:szCs w:val="21"/>
        </w:rPr>
        <w:t>,</w:t>
      </w:r>
      <w:r>
        <w:rPr>
          <w:rFonts w:hint="default" w:ascii="Times New Roman" w:hAnsi="Times New Roman" w:eastAsia="微软雅黑" w:cs="Times New Roman"/>
          <w:b/>
          <w:szCs w:val="21"/>
          <w:lang w:eastAsia="zh-CN"/>
        </w:rPr>
        <w:t>210</w:t>
      </w:r>
      <w:r>
        <w:rPr>
          <w:rFonts w:hint="default" w:ascii="Times New Roman" w:hAnsi="Times New Roman" w:eastAsia="微软雅黑" w:cs="Times New Roman"/>
          <w:b/>
          <w:szCs w:val="21"/>
        </w:rPr>
        <w:t>) }}{% endif %}</w:t>
      </w:r>
    </w:p>
    <w:p w14:paraId="7B614E4E">
      <w:pPr>
        <w:jc w:val="cente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Cs w:val="21"/>
          <w:lang w:eastAsia="zh-CN"/>
        </w:rPr>
        <w:t>图2</w:t>
      </w:r>
    </w:p>
    <w:p w14:paraId="22CE798C">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084FC2E3">
      <w:pPr>
        <w:rPr>
          <w:rFonts w:hint="default" w:ascii="Times New Roman" w:hAnsi="Times New Roman" w:eastAsia="微软雅黑" w:cs="Times New Roman"/>
          <w:sz w:val="30"/>
          <w:lang w:eastAsia="zh-CN"/>
        </w:rPr>
      </w:pPr>
      <w:bookmarkStart w:id="26" w:name="_Toc32443_WPSOffice_Level1"/>
      <w:bookmarkStart w:id="27" w:name="_Toc23846_WPSOffice_Level1"/>
      <w:bookmarkStart w:id="28" w:name="_Toc180"/>
      <w:bookmarkStart w:id="29" w:name="_Toc27255"/>
      <w:bookmarkStart w:id="30" w:name="_Toc4331_WPSOffice_Level1"/>
      <w:bookmarkStart w:id="31" w:name="_Toc25727"/>
      <w:bookmarkStart w:id="32" w:name="_Toc23903"/>
      <w:r>
        <w:rPr>
          <w:rFonts w:hint="default" w:ascii="Times New Roman" w:hAnsi="Times New Roman" w:eastAsia="微软雅黑" w:cs="Times New Roman"/>
          <w:sz w:val="24"/>
          <w:szCs w:val="24"/>
          <w:lang w:eastAsia="zh-CN"/>
        </w:rPr>
        <w:t>{%if PDInfo != undefined %}</w:t>
      </w:r>
    </w:p>
    <w:p w14:paraId="6592B0F8">
      <w:pPr>
        <w:pStyle w:val="3"/>
        <w:numPr>
          <w:ilvl w:val="255"/>
          <w:numId w:val="0"/>
        </w:numPr>
        <w:jc w:val="left"/>
        <w:rPr>
          <w:rFonts w:hint="default" w:ascii="Times New Roman" w:hAnsi="Times New Roman" w:eastAsia="微软雅黑" w:cs="Times New Roman"/>
          <w:color w:val="auto"/>
          <w:sz w:val="30"/>
          <w:lang w:eastAsia="zh-CN"/>
        </w:rPr>
      </w:pPr>
      <w:bookmarkStart w:id="33" w:name="_Toc20034"/>
      <w:bookmarkStart w:id="34" w:name="_Toc10223"/>
      <w:bookmarkStart w:id="35" w:name="_Toc5567"/>
      <w:bookmarkStart w:id="36" w:name="_Toc106719764"/>
      <w:bookmarkStart w:id="37" w:name="_Toc12945"/>
      <w:bookmarkStart w:id="38" w:name="_Toc149837262"/>
      <w:r>
        <w:rPr>
          <w:rFonts w:hint="default" w:ascii="Times New Roman" w:hAnsi="Times New Roman" w:eastAsia="微软雅黑" w:cs="Times New Roman"/>
          <w:color w:val="auto"/>
          <w:sz w:val="30"/>
          <w:lang w:eastAsia="zh-CN"/>
        </w:rPr>
        <w:t>PD-L1检测结果</w:t>
      </w:r>
      <w:bookmarkEnd w:id="33"/>
      <w:bookmarkEnd w:id="34"/>
      <w:bookmarkEnd w:id="35"/>
      <w:bookmarkEnd w:id="36"/>
      <w:bookmarkEnd w:id="37"/>
      <w:bookmarkEnd w:id="38"/>
    </w:p>
    <w:p w14:paraId="18D95819">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FF9543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37C4A0C">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7FC9A9D">
            <w:pPr>
              <w:pStyle w:val="43"/>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00EDE13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C910979">
            <w:pPr>
              <w:pStyle w:val="44"/>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15BE6119">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14EEBFB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B27FCBD">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1DA2105E">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681277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6D3F562">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7806E8F">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F3BEBAF">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E20E39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3133AC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9879E9D">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49A1B91">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7CF7AA1">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627E6A25">
            <w:pPr>
              <w:pStyle w:val="45"/>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408797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19290BB">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102735C">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514E93C">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C89540D">
            <w:pPr>
              <w:pStyle w:val="45"/>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0A2F262">
      <w:pPr>
        <w:spacing w:line="276" w:lineRule="auto"/>
        <w:ind w:right="449" w:rightChars="204"/>
        <w:rPr>
          <w:rFonts w:hint="default" w:ascii="Times New Roman" w:hAnsi="Times New Roman" w:eastAsia="微软雅黑" w:cs="Times New Roman"/>
          <w:b/>
          <w:color w:val="000000"/>
          <w:sz w:val="18"/>
          <w:szCs w:val="18"/>
        </w:rPr>
      </w:pPr>
    </w:p>
    <w:p w14:paraId="1B76562B">
      <w:pPr>
        <w:ind w:firstLine="240" w:firstLineChars="100"/>
        <w:rPr>
          <w:rFonts w:hint="default" w:ascii="Times New Roman" w:hAnsi="Times New Roman" w:eastAsia="微软雅黑" w:cs="Times New Roman"/>
          <w:b/>
          <w:bCs/>
          <w:color w:val="033F86"/>
          <w:sz w:val="24"/>
          <w:szCs w:val="30"/>
          <w:lang w:eastAsia="zh-CN"/>
        </w:rPr>
      </w:pPr>
      <w:r>
        <w:rPr>
          <w:rFonts w:hint="default" w:ascii="Times New Roman" w:hAnsi="Times New Roman" w:eastAsia="微软雅黑" w:cs="Times New Roman"/>
          <w:b/>
          <w:bCs/>
          <w:color w:val="62B541"/>
          <w:sz w:val="24"/>
          <w:szCs w:val="30"/>
          <w:lang w:eastAsia="zh-CN"/>
        </w:rPr>
        <w:t>检测图谱：</w:t>
      </w:r>
      <w:r>
        <w:rPr>
          <w:rFonts w:hint="default" w:ascii="Times New Roman" w:hAnsi="Times New Roman" w:eastAsia="微软雅黑" w:cs="Times New Roman"/>
          <w:b/>
          <w:bCs/>
          <w:color w:val="033F86"/>
          <w:sz w:val="24"/>
          <w:szCs w:val="30"/>
          <w:lang w:eastAsia="zh-CN"/>
        </w:rPr>
        <w:t xml:space="preserve"> </w:t>
      </w:r>
    </w:p>
    <w:p w14:paraId="1B54EC6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7F2D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C443C9C">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2FDB58D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037C0998">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56F6E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0F7A4A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68508AD1">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7947FAA7">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236BC1DC">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FB44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147DB9B">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006A275">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0817D3AF">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56EA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3D9BAF6">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0DF7645">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13CE75D">
            <w:pPr>
              <w:spacing w:line="276" w:lineRule="auto"/>
              <w:jc w:val="left"/>
              <w:rPr>
                <w:rFonts w:hint="default" w:ascii="Times New Roman" w:hAnsi="Times New Roman" w:eastAsia="微软雅黑" w:cs="Times New Roman"/>
                <w:sz w:val="18"/>
                <w:szCs w:val="18"/>
                <w:shd w:val="clear" w:color="auto" w:fill="FFFFFF"/>
                <w:lang w:eastAsia="zh-CN"/>
              </w:rPr>
            </w:pPr>
          </w:p>
        </w:tc>
      </w:tr>
      <w:tr w14:paraId="733EA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5272D1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70B7736">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37BBC4E">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73599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FEF88EE">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79A5198">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7F68FB6">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402A0B9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3ACDB3C6">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0CB464A">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6BEA5E75">
      <w:pPr>
        <w:ind w:firstLine="240" w:firstLineChars="100"/>
        <w:rPr>
          <w:rFonts w:hint="default" w:ascii="Times New Roman" w:hAnsi="Times New Roman" w:eastAsia="微软雅黑" w:cs="Times New Roman"/>
          <w:b/>
          <w:sz w:val="6"/>
        </w:rPr>
      </w:pPr>
      <w:r>
        <w:rPr>
          <w:rFonts w:hint="default" w:ascii="Times New Roman" w:hAnsi="Times New Roman" w:eastAsia="微软雅黑" w:cs="Times New Roman"/>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148BB2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1B624F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C1BCF5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A5E776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35DCF17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2EC7FFE">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6A7CC66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8CC0F9F">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2709EDD">
            <w:pPr>
              <w:pStyle w:val="20"/>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FAD082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E0BCAD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5288562">
            <w:pPr>
              <w:pStyle w:val="20"/>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52A10AE">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6CB11005">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：美国食品药品管理局。信息来源：FDA/NMPA官网、药企官网发布信息。</w:t>
      </w:r>
    </w:p>
    <w:p w14:paraId="1CDD46DE">
      <w:pPr>
        <w:widowControl/>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p>
    <w:p w14:paraId="1B4A04C5">
      <w:pPr>
        <w:pStyle w:val="2"/>
        <w:numPr>
          <w:ilvl w:val="255"/>
          <w:numId w:val="0"/>
        </w:numPr>
        <w:jc w:val="left"/>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bookmarkStart w:id="39" w:name="_Toc2649"/>
      <w: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t>基因检测结果解析</w:t>
      </w:r>
      <w:bookmarkEnd w:id="26"/>
      <w:bookmarkEnd w:id="27"/>
      <w:bookmarkEnd w:id="28"/>
      <w:bookmarkEnd w:id="29"/>
      <w:bookmarkEnd w:id="30"/>
      <w:bookmarkEnd w:id="31"/>
      <w:bookmarkEnd w:id="32"/>
      <w:bookmarkEnd w:id="39"/>
    </w:p>
    <w:p w14:paraId="0589C8EA">
      <w:pPr>
        <w:pStyle w:val="48"/>
        <w:snapToGrid w:val="0"/>
        <w:spacing w:before="120" w:beforeLines="50" w:after="120" w:afterLines="50" w:line="360" w:lineRule="auto"/>
        <w:rPr>
          <w:rFonts w:hint="default" w:ascii="Times New Roman" w:hAnsi="Times New Roman" w:eastAsia="微软雅黑" w:cs="Times New Roman"/>
          <w:color w:val="auto"/>
          <w:sz w:val="21"/>
          <w:szCs w:val="21"/>
          <w:lang w:eastAsia="zh-CN"/>
        </w:rPr>
      </w:pPr>
      <w:bookmarkStart w:id="40" w:name="_Toc28240"/>
      <w:bookmarkStart w:id="41" w:name="_Toc13698"/>
      <w:bookmarkStart w:id="42" w:name="_Toc1707_WPSOffice_Level1"/>
      <w:bookmarkStart w:id="43" w:name="_Toc27302"/>
      <w:bookmarkStart w:id="44" w:name="_Toc9560"/>
      <w:bookmarkStart w:id="45" w:name="_Toc13196_WPSOffice_Level1"/>
      <w:bookmarkStart w:id="46" w:name="_Toc1706"/>
      <w:bookmarkStart w:id="47" w:name="_Toc21764_WPSOffice_Level1"/>
      <w:r>
        <w:rPr>
          <w:rFonts w:hint="default" w:ascii="Times New Roman" w:hAnsi="Times New Roman" w:eastAsia="微软雅黑" w:cs="Times New Roman"/>
          <w:color w:val="auto"/>
          <w:sz w:val="21"/>
          <w:szCs w:val="21"/>
          <w:lang w:eastAsia="zh-CN"/>
        </w:rPr>
        <w:t>复发分数（RS）范围0-100，复发分数越大，复发风险越高，越能从化疗获益。</w:t>
      </w:r>
    </w:p>
    <w:p w14:paraId="0938D8CE">
      <w:pPr>
        <w:pStyle w:val="48"/>
        <w:numPr>
          <w:ilvl w:val="0"/>
          <w:numId w:val="7"/>
        </w:numPr>
        <w:snapToGrid w:val="0"/>
        <w:spacing w:before="120" w:beforeLines="50" w:after="120" w:afterLines="50" w:line="360" w:lineRule="auto"/>
        <w:outlineLvl w:val="0"/>
        <w:rPr>
          <w:rFonts w:hint="default" w:ascii="Times New Roman" w:hAnsi="Times New Roman" w:eastAsia="微软雅黑" w:cs="Times New Roman"/>
          <w:b/>
          <w:color w:val="auto"/>
          <w:sz w:val="24"/>
          <w:szCs w:val="24"/>
          <w:lang w:val="en-US" w:eastAsia="zh-CN" w:bidi="ar"/>
        </w:rPr>
      </w:pPr>
      <w:bookmarkStart w:id="48" w:name="_Toc21629"/>
      <w:bookmarkStart w:id="49" w:name="_Toc6632"/>
      <w:bookmarkStart w:id="50" w:name="_Toc15964"/>
      <w:bookmarkStart w:id="51" w:name="_Toc27020"/>
      <w:bookmarkStart w:id="52" w:name="_Toc28070"/>
      <w:r>
        <w:rPr>
          <w:rFonts w:hint="default" w:ascii="Times New Roman" w:hAnsi="Times New Roman" w:eastAsia="微软雅黑" w:cs="Times New Roman"/>
          <w:b/>
          <w:color w:val="auto"/>
          <w:sz w:val="24"/>
          <w:szCs w:val="24"/>
          <w:lang w:val="en-US" w:eastAsia="zh-CN" w:bidi="ar"/>
        </w:rPr>
        <w:t>复发风险预测</w:t>
      </w:r>
      <w:bookmarkEnd w:id="48"/>
      <w:bookmarkEnd w:id="49"/>
      <w:bookmarkEnd w:id="50"/>
      <w:bookmarkEnd w:id="51"/>
      <w:bookmarkEnd w:id="52"/>
    </w:p>
    <w:p w14:paraId="4F219A8A">
      <w:pPr>
        <w:pStyle w:val="48"/>
        <w:snapToGrid w:val="0"/>
        <w:spacing w:before="120" w:beforeLines="50" w:after="120" w:afterLines="50" w:line="360" w:lineRule="auto"/>
        <w:rPr>
          <w:rFonts w:hint="default" w:ascii="Times New Roman" w:hAnsi="Times New Roman" w:eastAsia="微软雅黑" w:cs="Times New Roman"/>
          <w:color w:val="auto"/>
          <w:sz w:val="21"/>
          <w:szCs w:val="21"/>
          <w:lang w:eastAsia="zh-CN"/>
        </w:rPr>
      </w:pPr>
      <w:r>
        <w:rPr>
          <w:rFonts w:hint="default" w:ascii="Times New Roman" w:hAnsi="Times New Roman" w:eastAsia="微软雅黑" w:cs="Times New Roman"/>
          <w:color w:val="auto"/>
          <w:sz w:val="21"/>
          <w:szCs w:val="21"/>
          <w:lang w:eastAsia="zh-CN"/>
        </w:rPr>
        <w:t>A、若患者为早期、淋巴结阴性、激素受体阳性、</w:t>
      </w:r>
      <w:r>
        <w:rPr>
          <w:rFonts w:hint="default" w:ascii="Times New Roman" w:hAnsi="Times New Roman" w:eastAsia="微软雅黑" w:cs="Times New Roman"/>
          <w:sz w:val="21"/>
          <w:szCs w:val="21"/>
          <w:lang w:eastAsia="zh-CN"/>
        </w:rPr>
        <w:t>HER2阴性</w:t>
      </w:r>
      <w:r>
        <w:rPr>
          <w:rFonts w:hint="default" w:ascii="Times New Roman" w:hAnsi="Times New Roman" w:eastAsia="微软雅黑" w:cs="Times New Roman"/>
          <w:color w:val="auto"/>
          <w:sz w:val="21"/>
          <w:szCs w:val="21"/>
          <w:lang w:eastAsia="zh-CN"/>
        </w:rPr>
        <w:t>的浸润性乳腺癌患者：</w:t>
      </w:r>
    </w:p>
    <w:p w14:paraId="363EF351">
      <w:pPr>
        <w:pStyle w:val="48"/>
        <w:snapToGrid w:val="0"/>
        <w:spacing w:before="120" w:beforeLines="50" w:after="120" w:afterLines="50" w:line="360" w:lineRule="auto"/>
        <w:rPr>
          <w:rFonts w:hint="default" w:ascii="Times New Roman" w:hAnsi="Times New Roman" w:eastAsia="微软雅黑" w:cs="Times New Roman"/>
          <w:b/>
          <w:color w:val="0000FF"/>
          <w:sz w:val="21"/>
          <w:szCs w:val="21"/>
          <w:lang w:eastAsia="zh-CN"/>
        </w:rPr>
      </w:pPr>
      <w:r>
        <w:rPr>
          <w:rFonts w:hint="default" w:ascii="Times New Roman" w:hAnsi="Times New Roman" w:eastAsia="微软雅黑" w:cs="Times New Roman"/>
          <w:b/>
          <w:sz w:val="21"/>
          <w:szCs w:val="21"/>
          <w:lang w:eastAsia="zh-CN"/>
        </w:rPr>
        <w:t>当复发分数为</w:t>
      </w:r>
      <w:r>
        <w:rPr>
          <w:rFonts w:hint="default" w:ascii="Times New Roman" w:hAnsi="Times New Roman" w:eastAsia="微软雅黑" w:cs="Times New Roman"/>
          <w:b/>
          <w:color w:val="FF0000"/>
          <w:sz w:val="21"/>
          <w:szCs w:val="21"/>
          <w:lang w:eastAsia="zh-CN"/>
        </w:rPr>
        <w:t>{{ bc.aScore }}</w:t>
      </w:r>
      <w:r>
        <w:rPr>
          <w:rFonts w:hint="default" w:ascii="Times New Roman" w:hAnsi="Times New Roman" w:eastAsia="微软雅黑" w:cs="Times New Roman"/>
          <w:sz w:val="21"/>
          <w:szCs w:val="21"/>
          <w:lang w:eastAsia="zh-CN"/>
        </w:rPr>
        <w:t>，其</w:t>
      </w:r>
      <w:r>
        <w:rPr>
          <w:rFonts w:hint="default" w:ascii="Times New Roman" w:hAnsi="Times New Roman" w:eastAsia="微软雅黑" w:cs="Times New Roman"/>
          <w:b/>
          <w:sz w:val="21"/>
          <w:szCs w:val="21"/>
          <w:lang w:eastAsia="zh-CN"/>
        </w:rPr>
        <w:t>10年平均远期复发率约</w:t>
      </w:r>
      <w:r>
        <w:rPr>
          <w:rFonts w:hint="default" w:ascii="Times New Roman" w:hAnsi="Times New Roman" w:eastAsia="微软雅黑" w:cs="Times New Roman"/>
          <w:b/>
          <w:color w:val="FF0000"/>
          <w:sz w:val="21"/>
          <w:szCs w:val="21"/>
          <w:lang w:eastAsia="zh-CN"/>
        </w:rPr>
        <w:t>{{ bc.aRisk }}</w:t>
      </w:r>
      <w:r>
        <w:rPr>
          <w:rFonts w:hint="default" w:ascii="Times New Roman" w:hAnsi="Times New Roman" w:eastAsia="微软雅黑" w:cs="Times New Roman"/>
          <w:b/>
          <w:color w:val="auto"/>
          <w:sz w:val="21"/>
          <w:szCs w:val="21"/>
          <w:lang w:eastAsia="zh-CN"/>
        </w:rPr>
        <w:t>。</w:t>
      </w:r>
    </w:p>
    <w:p w14:paraId="39C28DE9">
      <w:pPr>
        <w:pStyle w:val="48"/>
        <w:snapToGrid w:val="0"/>
        <w:spacing w:before="120" w:beforeLines="50" w:after="120" w:afterLines="50" w:line="360" w:lineRule="auto"/>
        <w:rPr>
          <w:rFonts w:hint="default" w:ascii="Times New Roman" w:hAnsi="Times New Roman" w:eastAsia="微软雅黑" w:cs="Times New Roman"/>
          <w:color w:val="auto"/>
          <w:sz w:val="21"/>
          <w:szCs w:val="21"/>
          <w:lang w:eastAsia="zh-CN"/>
        </w:rPr>
      </w:pPr>
      <w:r>
        <w:rPr>
          <w:rFonts w:hint="default" w:ascii="Times New Roman" w:hAnsi="Times New Roman" w:eastAsia="微软雅黑" w:cs="Times New Roman"/>
          <w:color w:val="auto"/>
          <w:sz w:val="21"/>
          <w:szCs w:val="21"/>
          <w:lang w:eastAsia="zh-CN"/>
        </w:rPr>
        <w:t>B、若患者为淋巴结阳性（1-3个腋窝淋巴结转移）、激素受体阳性、HER2阴性的浸润性乳腺癌患者：</w:t>
      </w:r>
    </w:p>
    <w:p w14:paraId="1F62E888">
      <w:pPr>
        <w:pStyle w:val="48"/>
        <w:snapToGrid w:val="0"/>
        <w:spacing w:before="120" w:beforeLines="50" w:after="120" w:afterLines="50" w:line="360" w:lineRule="auto"/>
        <w:rPr>
          <w:rFonts w:hint="default" w:ascii="Times New Roman" w:hAnsi="Times New Roman" w:eastAsia="微软雅黑" w:cs="Times New Roman"/>
          <w:b/>
          <w:color w:val="0000FF"/>
          <w:sz w:val="21"/>
          <w:szCs w:val="21"/>
          <w:lang w:eastAsia="zh-CN"/>
        </w:rPr>
      </w:pPr>
      <w:r>
        <w:rPr>
          <w:rFonts w:hint="default" w:ascii="Times New Roman" w:hAnsi="Times New Roman" w:eastAsia="微软雅黑" w:cs="Times New Roman"/>
          <w:b/>
          <w:sz w:val="21"/>
          <w:szCs w:val="21"/>
          <w:lang w:eastAsia="zh-CN"/>
        </w:rPr>
        <w:t>当复发分数为</w:t>
      </w:r>
      <w:r>
        <w:rPr>
          <w:rFonts w:hint="default" w:ascii="Times New Roman" w:hAnsi="Times New Roman" w:eastAsia="微软雅黑" w:cs="Times New Roman"/>
          <w:b/>
          <w:color w:val="FF0000"/>
          <w:sz w:val="21"/>
          <w:szCs w:val="21"/>
          <w:lang w:eastAsia="zh-CN"/>
        </w:rPr>
        <w:t>{{ bc.bScore }}</w:t>
      </w:r>
      <w:r>
        <w:rPr>
          <w:rFonts w:hint="default" w:ascii="Times New Roman" w:hAnsi="Times New Roman" w:eastAsia="微软雅黑" w:cs="Times New Roman"/>
          <w:sz w:val="21"/>
          <w:szCs w:val="21"/>
          <w:lang w:eastAsia="zh-CN"/>
        </w:rPr>
        <w:t>，其</w:t>
      </w:r>
      <w:r>
        <w:rPr>
          <w:rFonts w:hint="default" w:ascii="Times New Roman" w:hAnsi="Times New Roman" w:eastAsia="微软雅黑" w:cs="Times New Roman"/>
          <w:b/>
          <w:bCs/>
          <w:sz w:val="21"/>
          <w:szCs w:val="21"/>
          <w:lang w:eastAsia="zh-CN"/>
        </w:rPr>
        <w:t>9年</w:t>
      </w:r>
      <w:r>
        <w:rPr>
          <w:rFonts w:hint="default" w:ascii="Times New Roman" w:hAnsi="Times New Roman" w:eastAsia="微软雅黑" w:cs="Times New Roman"/>
          <w:b/>
          <w:sz w:val="21"/>
          <w:szCs w:val="21"/>
          <w:lang w:eastAsia="zh-CN"/>
        </w:rPr>
        <w:t>平均远期复发率约</w:t>
      </w:r>
      <w:r>
        <w:rPr>
          <w:rFonts w:hint="default" w:ascii="Times New Roman" w:hAnsi="Times New Roman" w:eastAsia="微软雅黑" w:cs="Times New Roman"/>
          <w:b/>
          <w:color w:val="FF0000"/>
          <w:sz w:val="21"/>
          <w:szCs w:val="21"/>
          <w:lang w:eastAsia="zh-CN"/>
        </w:rPr>
        <w:t>{{ bc.bRisk }}</w:t>
      </w:r>
      <w:r>
        <w:rPr>
          <w:rFonts w:hint="default" w:ascii="Times New Roman" w:hAnsi="Times New Roman" w:eastAsia="微软雅黑" w:cs="Times New Roman"/>
          <w:b/>
          <w:color w:val="auto"/>
          <w:sz w:val="21"/>
          <w:szCs w:val="21"/>
          <w:lang w:eastAsia="zh-CN"/>
        </w:rPr>
        <w:t>。</w:t>
      </w:r>
    </w:p>
    <w:p w14:paraId="67E84D46">
      <w:pPr>
        <w:pStyle w:val="48"/>
        <w:numPr>
          <w:ilvl w:val="0"/>
          <w:numId w:val="7"/>
        </w:numPr>
        <w:snapToGrid w:val="0"/>
        <w:spacing w:before="120" w:beforeLines="50" w:after="120" w:afterLines="50" w:line="360" w:lineRule="auto"/>
        <w:outlineLvl w:val="0"/>
        <w:rPr>
          <w:rFonts w:hint="default" w:ascii="Times New Roman" w:hAnsi="Times New Roman" w:eastAsia="微软雅黑" w:cs="Times New Roman"/>
          <w:b/>
          <w:color w:val="auto"/>
          <w:sz w:val="24"/>
          <w:szCs w:val="24"/>
          <w:lang w:val="en-US" w:eastAsia="zh-CN" w:bidi="ar"/>
        </w:rPr>
      </w:pPr>
      <w:bookmarkStart w:id="53" w:name="_Toc30450"/>
      <w:bookmarkStart w:id="54" w:name="_Toc8902"/>
      <w:bookmarkStart w:id="55" w:name="_Toc8282"/>
      <w:bookmarkStart w:id="56" w:name="_Toc22405"/>
      <w:bookmarkStart w:id="57" w:name="_Toc30210"/>
      <w:r>
        <w:rPr>
          <w:rFonts w:hint="default" w:ascii="Times New Roman" w:hAnsi="Times New Roman" w:eastAsia="微软雅黑" w:cs="Times New Roman"/>
          <w:b/>
          <w:color w:val="auto"/>
          <w:sz w:val="24"/>
          <w:szCs w:val="24"/>
          <w:lang w:val="en-US" w:eastAsia="zh-CN" w:bidi="ar"/>
        </w:rPr>
        <w:t>化疗获益预测</w:t>
      </w:r>
      <w:bookmarkEnd w:id="53"/>
      <w:bookmarkEnd w:id="54"/>
      <w:bookmarkEnd w:id="55"/>
      <w:bookmarkEnd w:id="56"/>
      <w:bookmarkEnd w:id="57"/>
    </w:p>
    <w:tbl>
      <w:tblPr>
        <w:tblStyle w:val="14"/>
        <w:tblW w:w="9726" w:type="dxa"/>
        <w:tblInd w:w="0" w:type="dxa"/>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38"/>
        <w:gridCol w:w="1412"/>
        <w:gridCol w:w="1425"/>
        <w:gridCol w:w="2275"/>
        <w:gridCol w:w="2276"/>
      </w:tblGrid>
      <w:tr w14:paraId="52675C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trPr>
        <w:tc>
          <w:tcPr>
            <w:tcW w:w="2338" w:type="dxa"/>
            <w:tcBorders>
              <w:top w:val="nil"/>
              <w:bottom w:val="nil"/>
              <w:right w:val="single" w:color="FFFFFF" w:sz="18" w:space="0"/>
            </w:tcBorders>
            <w:shd w:val="clear" w:color="auto" w:fill="62BC41"/>
            <w:vAlign w:val="center"/>
          </w:tcPr>
          <w:p w14:paraId="1D004422">
            <w:pPr>
              <w:pStyle w:val="13"/>
              <w:jc w:val="both"/>
              <w:rPr>
                <w:rFonts w:hint="default"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bidi="ar-SA"/>
                <w14:textFill>
                  <w14:solidFill>
                    <w14:schemeClr w14:val="bg1"/>
                  </w14:solidFill>
                </w14:textFill>
              </w:rPr>
              <w:t>人群</w:t>
            </w:r>
          </w:p>
        </w:tc>
        <w:tc>
          <w:tcPr>
            <w:tcW w:w="1412" w:type="dxa"/>
            <w:tcBorders>
              <w:top w:val="nil"/>
              <w:left w:val="single" w:color="FFFFFF" w:sz="18" w:space="0"/>
              <w:bottom w:val="nil"/>
              <w:right w:val="single" w:color="FFFFFF" w:sz="18" w:space="0"/>
            </w:tcBorders>
            <w:shd w:val="clear" w:color="auto" w:fill="62BC41"/>
            <w:vAlign w:val="center"/>
          </w:tcPr>
          <w:p w14:paraId="6D0D8031">
            <w:pPr>
              <w:pStyle w:val="13"/>
              <w:jc w:val="both"/>
              <w:rPr>
                <w:rFonts w:hint="default"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bidi="ar-SA"/>
                <w14:textFill>
                  <w14:solidFill>
                    <w14:schemeClr w14:val="bg1"/>
                  </w14:solidFill>
                </w14:textFill>
              </w:rPr>
              <w:t>RS值</w:t>
            </w:r>
          </w:p>
        </w:tc>
        <w:tc>
          <w:tcPr>
            <w:tcW w:w="1425" w:type="dxa"/>
            <w:tcBorders>
              <w:top w:val="nil"/>
              <w:left w:val="single" w:color="FFFFFF" w:sz="18" w:space="0"/>
              <w:bottom w:val="nil"/>
              <w:right w:val="single" w:color="FFFFFF" w:sz="18" w:space="0"/>
            </w:tcBorders>
            <w:shd w:val="clear" w:color="auto" w:fill="62BC41"/>
            <w:vAlign w:val="center"/>
          </w:tcPr>
          <w:p w14:paraId="4A1347D0">
            <w:pPr>
              <w:pStyle w:val="13"/>
              <w:jc w:val="both"/>
              <w:rPr>
                <w:rFonts w:hint="default"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bidi="ar-SA"/>
                <w14:textFill>
                  <w14:solidFill>
                    <w14:schemeClr w14:val="bg1"/>
                  </w14:solidFill>
                </w14:textFill>
              </w:rPr>
              <w:t>化疗获益</w:t>
            </w:r>
          </w:p>
        </w:tc>
        <w:tc>
          <w:tcPr>
            <w:tcW w:w="2275" w:type="dxa"/>
            <w:tcBorders>
              <w:top w:val="nil"/>
              <w:left w:val="single" w:color="FFFFFF" w:sz="18" w:space="0"/>
              <w:bottom w:val="nil"/>
              <w:right w:val="single" w:color="FFFFFF" w:sz="18" w:space="0"/>
            </w:tcBorders>
            <w:shd w:val="clear" w:color="auto" w:fill="62BC41"/>
            <w:vAlign w:val="center"/>
          </w:tcPr>
          <w:p w14:paraId="6C8D0C52">
            <w:pPr>
              <w:pStyle w:val="13"/>
              <w:jc w:val="both"/>
              <w:rPr>
                <w:rFonts w:hint="default"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bidi="ar-SA"/>
                <w14:textFill>
                  <w14:solidFill>
                    <w14:schemeClr w14:val="bg1"/>
                  </w14:solidFill>
                </w14:textFill>
              </w:rPr>
              <w:t>临床意义</w:t>
            </w:r>
          </w:p>
        </w:tc>
        <w:tc>
          <w:tcPr>
            <w:tcW w:w="2276" w:type="dxa"/>
            <w:tcBorders>
              <w:top w:val="nil"/>
              <w:left w:val="single" w:color="FFFFFF" w:sz="18" w:space="0"/>
              <w:bottom w:val="nil"/>
            </w:tcBorders>
            <w:shd w:val="clear" w:color="auto" w:fill="62BC41"/>
            <w:vAlign w:val="center"/>
          </w:tcPr>
          <w:p w14:paraId="3BD63ECF">
            <w:pPr>
              <w:pStyle w:val="13"/>
              <w:jc w:val="both"/>
              <w:rPr>
                <w:rFonts w:hint="default"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bidi="ar-SA"/>
                <w14:textFill>
                  <w14:solidFill>
                    <w14:schemeClr w14:val="bg1"/>
                  </w14:solidFill>
                </w14:textFill>
              </w:rPr>
              <w:t>NCCN（2024V4）证据等级</w:t>
            </w:r>
          </w:p>
        </w:tc>
      </w:tr>
      <w:tr w14:paraId="2ABC2F89">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22" w:hRule="atLeast"/>
        </w:trPr>
        <w:tc>
          <w:tcPr>
            <w:tcW w:w="2338" w:type="dxa"/>
            <w:vMerge w:val="restart"/>
            <w:shd w:val="clear" w:color="auto" w:fill="auto"/>
            <w:vAlign w:val="center"/>
          </w:tcPr>
          <w:p w14:paraId="605298A0">
            <w:pPr>
              <w:pStyle w:val="13"/>
              <w:jc w:val="both"/>
              <w:rPr>
                <w:rFonts w:hint="default" w:ascii="Times New Roman" w:hAnsi="Times New Roman" w:eastAsia="微软雅黑" w:cs="Times New Roman"/>
              </w:rPr>
            </w:pPr>
            <w:r>
              <w:rPr>
                <w:rFonts w:hint="default" w:ascii="Times New Roman" w:hAnsi="Times New Roman" w:eastAsia="微软雅黑" w:cs="Times New Roman"/>
                <w:sz w:val="21"/>
                <w:szCs w:val="21"/>
                <w:lang w:eastAsia="zh-CN"/>
              </w:rPr>
              <w:t>绝经后、HR（+）、HER2（-）、N0或N+（1-3个阳性）患者</w:t>
            </w:r>
          </w:p>
        </w:tc>
        <w:tc>
          <w:tcPr>
            <w:tcW w:w="1412" w:type="dxa"/>
            <w:shd w:val="clear" w:color="auto" w:fill="auto"/>
            <w:vAlign w:val="center"/>
          </w:tcPr>
          <w:p w14:paraId="2E0107DC">
            <w:pPr>
              <w:pStyle w:val="13"/>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RS&lt;26</w:t>
            </w:r>
          </w:p>
        </w:tc>
        <w:tc>
          <w:tcPr>
            <w:tcW w:w="1425" w:type="dxa"/>
            <w:shd w:val="clear" w:color="auto" w:fill="auto"/>
            <w:vAlign w:val="center"/>
          </w:tcPr>
          <w:p w14:paraId="25918D4B">
            <w:pPr>
              <w:pStyle w:val="13"/>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rPr>
              <w:t>获益小</w:t>
            </w:r>
          </w:p>
        </w:tc>
        <w:tc>
          <w:tcPr>
            <w:tcW w:w="2275" w:type="dxa"/>
            <w:shd w:val="clear" w:color="auto" w:fill="auto"/>
            <w:vAlign w:val="center"/>
          </w:tcPr>
          <w:p w14:paraId="09AD5C83">
            <w:pPr>
              <w:pStyle w:val="13"/>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rPr>
              <w:t>不推荐化疗</w:t>
            </w:r>
          </w:p>
        </w:tc>
        <w:tc>
          <w:tcPr>
            <w:tcW w:w="2276" w:type="dxa"/>
            <w:vMerge w:val="restart"/>
            <w:shd w:val="clear" w:color="auto" w:fill="auto"/>
            <w:vAlign w:val="center"/>
          </w:tcPr>
          <w:p w14:paraId="50CC255F">
            <w:pPr>
              <w:spacing w:before="13" w:line="252" w:lineRule="auto"/>
              <w:jc w:val="left"/>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val="en-US" w:eastAsia="zh-CN"/>
              </w:rPr>
              <w:t>1</w:t>
            </w:r>
          </w:p>
        </w:tc>
      </w:tr>
      <w:tr w14:paraId="5A787A3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trPr>
        <w:tc>
          <w:tcPr>
            <w:tcW w:w="2338" w:type="dxa"/>
            <w:vMerge w:val="continue"/>
            <w:shd w:val="clear" w:color="auto" w:fill="auto"/>
            <w:vAlign w:val="center"/>
          </w:tcPr>
          <w:p w14:paraId="4F3A1C7F">
            <w:pPr>
              <w:pStyle w:val="13"/>
              <w:jc w:val="both"/>
              <w:rPr>
                <w:rFonts w:hint="default" w:ascii="Times New Roman" w:hAnsi="Times New Roman" w:eastAsia="微软雅黑" w:cs="Times New Roman"/>
                <w:sz w:val="21"/>
                <w:szCs w:val="21"/>
                <w:lang w:eastAsia="zh-CN"/>
              </w:rPr>
            </w:pPr>
          </w:p>
        </w:tc>
        <w:tc>
          <w:tcPr>
            <w:tcW w:w="1412" w:type="dxa"/>
            <w:shd w:val="clear" w:color="auto" w:fill="auto"/>
            <w:vAlign w:val="center"/>
          </w:tcPr>
          <w:p w14:paraId="368A12EA">
            <w:pPr>
              <w:pStyle w:val="13"/>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RS≥26</w:t>
            </w:r>
          </w:p>
        </w:tc>
        <w:tc>
          <w:tcPr>
            <w:tcW w:w="1425" w:type="dxa"/>
            <w:shd w:val="clear" w:color="auto" w:fill="auto"/>
            <w:vAlign w:val="center"/>
          </w:tcPr>
          <w:p w14:paraId="28632F5D">
            <w:pPr>
              <w:pStyle w:val="13"/>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获益显著</w:t>
            </w:r>
          </w:p>
        </w:tc>
        <w:tc>
          <w:tcPr>
            <w:tcW w:w="2275" w:type="dxa"/>
            <w:shd w:val="clear" w:color="auto" w:fill="auto"/>
            <w:vAlign w:val="center"/>
          </w:tcPr>
          <w:p w14:paraId="52AF4245">
            <w:pPr>
              <w:pStyle w:val="13"/>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推荐进行化疗</w:t>
            </w:r>
          </w:p>
        </w:tc>
        <w:tc>
          <w:tcPr>
            <w:tcW w:w="2276" w:type="dxa"/>
            <w:vMerge w:val="continue"/>
            <w:shd w:val="clear" w:color="auto" w:fill="auto"/>
            <w:vAlign w:val="center"/>
          </w:tcPr>
          <w:p w14:paraId="717380F1">
            <w:pPr>
              <w:spacing w:before="13" w:line="252" w:lineRule="auto"/>
              <w:jc w:val="center"/>
              <w:rPr>
                <w:rFonts w:hint="default" w:ascii="Times New Roman" w:hAnsi="Times New Roman" w:eastAsia="微软雅黑" w:cs="Times New Roman"/>
                <w:sz w:val="21"/>
                <w:szCs w:val="21"/>
                <w:lang w:eastAsia="zh-CN"/>
              </w:rPr>
            </w:pPr>
          </w:p>
        </w:tc>
      </w:tr>
      <w:tr w14:paraId="0AA060F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63C395A7">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绝经前、HR（+）、HER2（-）、N0患者</w:t>
            </w:r>
          </w:p>
        </w:tc>
        <w:tc>
          <w:tcPr>
            <w:tcW w:w="1412" w:type="dxa"/>
            <w:shd w:val="clear" w:color="auto" w:fill="auto"/>
            <w:vAlign w:val="center"/>
          </w:tcPr>
          <w:p w14:paraId="0B9D227F">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RS≤15</w:t>
            </w:r>
          </w:p>
        </w:tc>
        <w:tc>
          <w:tcPr>
            <w:tcW w:w="1425" w:type="dxa"/>
            <w:shd w:val="clear" w:color="auto" w:fill="auto"/>
            <w:vAlign w:val="center"/>
          </w:tcPr>
          <w:p w14:paraId="2AF9DA0C">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获益小</w:t>
            </w:r>
          </w:p>
        </w:tc>
        <w:tc>
          <w:tcPr>
            <w:tcW w:w="2275" w:type="dxa"/>
            <w:shd w:val="clear" w:color="auto" w:fill="auto"/>
            <w:vAlign w:val="center"/>
          </w:tcPr>
          <w:p w14:paraId="78AB22E5">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不推荐化疗</w:t>
            </w:r>
          </w:p>
        </w:tc>
        <w:tc>
          <w:tcPr>
            <w:tcW w:w="2276" w:type="dxa"/>
            <w:vMerge w:val="restart"/>
            <w:shd w:val="clear" w:color="auto" w:fill="auto"/>
            <w:vAlign w:val="center"/>
          </w:tcPr>
          <w:p w14:paraId="1BC6F3A5">
            <w:pPr>
              <w:spacing w:before="13" w:line="252" w:lineRule="auto"/>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1</w:t>
            </w:r>
          </w:p>
        </w:tc>
      </w:tr>
      <w:tr w14:paraId="048C05B6">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624B369">
            <w:pPr>
              <w:pStyle w:val="13"/>
              <w:jc w:val="both"/>
              <w:rPr>
                <w:rFonts w:hint="default" w:ascii="Times New Roman" w:hAnsi="Times New Roman" w:eastAsia="微软雅黑" w:cs="Times New Roman"/>
                <w:sz w:val="21"/>
                <w:szCs w:val="21"/>
                <w:lang w:eastAsia="zh-CN"/>
              </w:rPr>
            </w:pPr>
          </w:p>
        </w:tc>
        <w:tc>
          <w:tcPr>
            <w:tcW w:w="1412" w:type="dxa"/>
            <w:shd w:val="clear" w:color="auto" w:fill="auto"/>
            <w:vAlign w:val="center"/>
          </w:tcPr>
          <w:p w14:paraId="4B9E0045">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1</w:t>
            </w:r>
            <w:r>
              <w:rPr>
                <w:rFonts w:hint="default" w:ascii="Times New Roman" w:hAnsi="Times New Roman" w:eastAsia="微软雅黑" w:cs="Times New Roman"/>
                <w:sz w:val="21"/>
                <w:szCs w:val="21"/>
                <w:lang w:val="en-US" w:eastAsia="zh-CN"/>
              </w:rPr>
              <w:t>6</w:t>
            </w:r>
            <w:r>
              <w:rPr>
                <w:rFonts w:hint="default" w:ascii="Times New Roman" w:hAnsi="Times New Roman" w:eastAsia="微软雅黑" w:cs="Times New Roman"/>
                <w:sz w:val="21"/>
                <w:szCs w:val="21"/>
              </w:rPr>
              <w:t>≤RS≤25</w:t>
            </w:r>
          </w:p>
        </w:tc>
        <w:tc>
          <w:tcPr>
            <w:tcW w:w="1425" w:type="dxa"/>
            <w:shd w:val="clear" w:color="auto" w:fill="auto"/>
            <w:vAlign w:val="center"/>
          </w:tcPr>
          <w:p w14:paraId="41530769">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有获益</w:t>
            </w:r>
          </w:p>
        </w:tc>
        <w:tc>
          <w:tcPr>
            <w:tcW w:w="2275" w:type="dxa"/>
            <w:shd w:val="clear" w:color="auto" w:fill="auto"/>
            <w:vAlign w:val="center"/>
          </w:tcPr>
          <w:p w14:paraId="163E02DD">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建议结合其他临床及病理指标综合选择治疗方案</w:t>
            </w:r>
          </w:p>
        </w:tc>
        <w:tc>
          <w:tcPr>
            <w:tcW w:w="2276" w:type="dxa"/>
            <w:vMerge w:val="continue"/>
            <w:shd w:val="clear" w:color="auto" w:fill="auto"/>
            <w:vAlign w:val="center"/>
          </w:tcPr>
          <w:p w14:paraId="5D5F2AA8">
            <w:pPr>
              <w:spacing w:before="13" w:line="252" w:lineRule="auto"/>
              <w:jc w:val="center"/>
              <w:rPr>
                <w:rFonts w:hint="default" w:ascii="Times New Roman" w:hAnsi="Times New Roman" w:eastAsia="微软雅黑" w:cs="Times New Roman"/>
                <w:sz w:val="21"/>
                <w:szCs w:val="21"/>
                <w:lang w:val="en-US" w:eastAsia="zh-CN"/>
              </w:rPr>
            </w:pPr>
          </w:p>
        </w:tc>
      </w:tr>
      <w:tr w14:paraId="069339AC">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3128C232">
            <w:pPr>
              <w:pStyle w:val="13"/>
              <w:jc w:val="both"/>
              <w:rPr>
                <w:rFonts w:hint="default" w:ascii="Times New Roman" w:hAnsi="Times New Roman" w:eastAsia="微软雅黑" w:cs="Times New Roman"/>
                <w:sz w:val="21"/>
                <w:szCs w:val="21"/>
                <w:lang w:eastAsia="zh-CN"/>
              </w:rPr>
            </w:pPr>
          </w:p>
        </w:tc>
        <w:tc>
          <w:tcPr>
            <w:tcW w:w="1412" w:type="dxa"/>
            <w:shd w:val="clear" w:color="auto" w:fill="auto"/>
            <w:vAlign w:val="center"/>
          </w:tcPr>
          <w:p w14:paraId="2FCEBE36">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RS≥26</w:t>
            </w:r>
          </w:p>
        </w:tc>
        <w:tc>
          <w:tcPr>
            <w:tcW w:w="1425" w:type="dxa"/>
            <w:shd w:val="clear" w:color="auto" w:fill="auto"/>
            <w:vAlign w:val="center"/>
          </w:tcPr>
          <w:p w14:paraId="13C4F6B1">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获益显著</w:t>
            </w:r>
          </w:p>
        </w:tc>
        <w:tc>
          <w:tcPr>
            <w:tcW w:w="2275" w:type="dxa"/>
            <w:shd w:val="clear" w:color="auto" w:fill="auto"/>
            <w:vAlign w:val="center"/>
          </w:tcPr>
          <w:p w14:paraId="75DF7E83">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推荐进行化疗</w:t>
            </w:r>
          </w:p>
        </w:tc>
        <w:tc>
          <w:tcPr>
            <w:tcW w:w="2276" w:type="dxa"/>
            <w:vMerge w:val="continue"/>
            <w:shd w:val="clear" w:color="auto" w:fill="auto"/>
            <w:vAlign w:val="center"/>
          </w:tcPr>
          <w:p w14:paraId="0DFFF437">
            <w:pPr>
              <w:spacing w:before="13" w:line="252" w:lineRule="auto"/>
              <w:jc w:val="center"/>
              <w:rPr>
                <w:rFonts w:hint="default" w:ascii="Times New Roman" w:hAnsi="Times New Roman" w:eastAsia="微软雅黑" w:cs="Times New Roman"/>
                <w:sz w:val="21"/>
                <w:szCs w:val="21"/>
                <w:lang w:eastAsia="zh-CN"/>
              </w:rPr>
            </w:pPr>
          </w:p>
        </w:tc>
      </w:tr>
      <w:tr w14:paraId="332D546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74CA3CDE">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绝经前、HR（+）、HER2（-）、N+(1-3个阳性)患者</w:t>
            </w:r>
          </w:p>
        </w:tc>
        <w:tc>
          <w:tcPr>
            <w:tcW w:w="1412" w:type="dxa"/>
            <w:shd w:val="clear" w:color="auto" w:fill="auto"/>
            <w:vAlign w:val="center"/>
          </w:tcPr>
          <w:p w14:paraId="210A8712">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RS&lt;26</w:t>
            </w:r>
          </w:p>
        </w:tc>
        <w:tc>
          <w:tcPr>
            <w:tcW w:w="1425" w:type="dxa"/>
            <w:shd w:val="clear" w:color="auto" w:fill="auto"/>
            <w:vAlign w:val="center"/>
          </w:tcPr>
          <w:p w14:paraId="083FC759">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有获益</w:t>
            </w:r>
          </w:p>
        </w:tc>
        <w:tc>
          <w:tcPr>
            <w:tcW w:w="2275" w:type="dxa"/>
            <w:shd w:val="clear" w:color="auto" w:fill="auto"/>
            <w:vAlign w:val="center"/>
          </w:tcPr>
          <w:p w14:paraId="062F4F09">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建议结合其他临床及病理指标综合选择治疗方案</w:t>
            </w:r>
          </w:p>
        </w:tc>
        <w:tc>
          <w:tcPr>
            <w:tcW w:w="2276" w:type="dxa"/>
            <w:vMerge w:val="restart"/>
            <w:shd w:val="clear" w:color="auto" w:fill="auto"/>
            <w:vAlign w:val="center"/>
          </w:tcPr>
          <w:p w14:paraId="6C7A15B0">
            <w:pPr>
              <w:spacing w:before="13" w:line="252" w:lineRule="auto"/>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2A</w:t>
            </w:r>
          </w:p>
        </w:tc>
      </w:tr>
      <w:tr w14:paraId="66D57AF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3ABC6BA">
            <w:pPr>
              <w:pStyle w:val="13"/>
              <w:jc w:val="both"/>
              <w:rPr>
                <w:rFonts w:hint="default" w:ascii="Times New Roman" w:hAnsi="Times New Roman" w:eastAsia="微软雅黑" w:cs="Times New Roman"/>
                <w:sz w:val="21"/>
                <w:szCs w:val="21"/>
                <w:lang w:eastAsia="zh-CN"/>
              </w:rPr>
            </w:pPr>
          </w:p>
        </w:tc>
        <w:tc>
          <w:tcPr>
            <w:tcW w:w="1412" w:type="dxa"/>
            <w:shd w:val="clear" w:color="auto" w:fill="auto"/>
            <w:vAlign w:val="center"/>
          </w:tcPr>
          <w:p w14:paraId="6A57E084">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RS≥26</w:t>
            </w:r>
          </w:p>
        </w:tc>
        <w:tc>
          <w:tcPr>
            <w:tcW w:w="1425" w:type="dxa"/>
            <w:shd w:val="clear" w:color="auto" w:fill="auto"/>
            <w:vAlign w:val="center"/>
          </w:tcPr>
          <w:p w14:paraId="11643811">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获益显著</w:t>
            </w:r>
          </w:p>
        </w:tc>
        <w:tc>
          <w:tcPr>
            <w:tcW w:w="2275" w:type="dxa"/>
            <w:shd w:val="clear" w:color="auto" w:fill="auto"/>
            <w:vAlign w:val="center"/>
          </w:tcPr>
          <w:p w14:paraId="0117B83E">
            <w:pPr>
              <w:pStyle w:val="13"/>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rPr>
              <w:t>推荐进行化疗</w:t>
            </w:r>
          </w:p>
        </w:tc>
        <w:tc>
          <w:tcPr>
            <w:tcW w:w="2276" w:type="dxa"/>
            <w:vMerge w:val="continue"/>
            <w:shd w:val="clear" w:color="auto" w:fill="auto"/>
            <w:vAlign w:val="center"/>
          </w:tcPr>
          <w:p w14:paraId="206F4B08">
            <w:pPr>
              <w:spacing w:before="13" w:line="252" w:lineRule="auto"/>
              <w:jc w:val="center"/>
              <w:rPr>
                <w:rFonts w:hint="default" w:ascii="Times New Roman" w:hAnsi="Times New Roman" w:eastAsia="微软雅黑" w:cs="Times New Roman"/>
                <w:sz w:val="21"/>
                <w:szCs w:val="21"/>
                <w:lang w:eastAsia="zh-CN"/>
              </w:rPr>
            </w:pPr>
          </w:p>
        </w:tc>
      </w:tr>
    </w:tbl>
    <w:p w14:paraId="77B7D90A">
      <w:pPr>
        <w:rPr>
          <w:rStyle w:val="41"/>
          <w:rFonts w:hint="default" w:ascii="Times New Roman" w:hAnsi="Times New Roman" w:eastAsia="微软雅黑" w:cs="Times New Roman"/>
          <w:color w:val="62B541"/>
          <w:sz w:val="32"/>
          <w:szCs w:val="32"/>
          <w14:shadow w14:blurRad="50800" w14:dist="38100" w14:dir="10800000" w14:sx="100000" w14:sy="100000" w14:kx="0" w14:ky="0" w14:algn="r">
            <w14:srgbClr w14:val="62B541">
              <w14:alpha w14:val="60000"/>
            </w14:srgbClr>
          </w14:shadow>
        </w:rPr>
      </w:pPr>
      <w:r>
        <w:rPr>
          <w:rStyle w:val="41"/>
          <w:rFonts w:hint="default" w:ascii="Times New Roman" w:hAnsi="Times New Roman" w:eastAsia="微软雅黑" w:cs="Times New Roman"/>
          <w:color w:val="62B541"/>
          <w:sz w:val="32"/>
          <w:szCs w:val="32"/>
          <w14:shadow w14:blurRad="50800" w14:dist="38100" w14:dir="10800000" w14:sx="100000" w14:sy="100000" w14:kx="0" w14:ky="0" w14:algn="r">
            <w14:srgbClr w14:val="62B541">
              <w14:alpha w14:val="60000"/>
            </w14:srgbClr>
          </w14:shadow>
        </w:rPr>
        <w:br w:type="page"/>
      </w:r>
    </w:p>
    <w:p w14:paraId="2694DF0A">
      <w:pPr>
        <w:numPr>
          <w:ilvl w:val="255"/>
          <w:numId w:val="0"/>
        </w:numPr>
        <w:jc w:val="both"/>
        <w:outlineLvl w:val="0"/>
        <w:rPr>
          <w:rStyle w:val="41"/>
          <w:rFonts w:hint="default" w:ascii="Times New Roman" w:hAnsi="Times New Roman" w:eastAsia="微软雅黑" w:cs="Times New Roman"/>
          <w:color w:val="62B541"/>
          <w:sz w:val="32"/>
          <w:szCs w:val="32"/>
          <w:lang w:val="en-US" w:eastAsia="zh-CN"/>
          <w14:shadow w14:blurRad="50800" w14:dist="38100" w14:dir="10800000" w14:sx="100000" w14:sy="100000" w14:kx="0" w14:ky="0" w14:algn="r">
            <w14:srgbClr w14:val="62B541">
              <w14:alpha w14:val="60000"/>
            </w14:srgbClr>
          </w14:shadow>
        </w:rPr>
      </w:pPr>
      <w:bookmarkStart w:id="58" w:name="_Toc30531"/>
      <w:bookmarkStart w:id="59" w:name="_Toc81326590"/>
      <w:r>
        <w:rPr>
          <w:rStyle w:val="41"/>
          <w:rFonts w:hint="default" w:ascii="Times New Roman" w:hAnsi="Times New Roman" w:eastAsia="微软雅黑" w:cs="Times New Roman"/>
          <w:color w:val="62B541"/>
          <w:sz w:val="32"/>
          <w:szCs w:val="32"/>
          <w:lang w:val="en-US" w:eastAsia="zh-CN"/>
          <w14:shadow w14:blurRad="50800" w14:dist="38100" w14:dir="10800000" w14:sx="100000" w14:sy="100000" w14:kx="0" w14:ky="0" w14:algn="r">
            <w14:srgbClr w14:val="62B541">
              <w14:alpha w14:val="60000"/>
            </w14:srgbClr>
          </w14:shadow>
        </w:rPr>
        <w:t>结果解释说明</w:t>
      </w:r>
      <w:bookmarkEnd w:id="58"/>
      <w:bookmarkEnd w:id="59"/>
    </w:p>
    <w:p w14:paraId="6080BC96">
      <w:pPr>
        <w:pStyle w:val="48"/>
        <w:numPr>
          <w:ilvl w:val="0"/>
          <w:numId w:val="0"/>
        </w:numPr>
        <w:snapToGrid w:val="0"/>
        <w:spacing w:before="120" w:beforeLines="50" w:after="120" w:afterLines="50" w:line="360" w:lineRule="auto"/>
        <w:outlineLvl w:val="0"/>
        <w:rPr>
          <w:rFonts w:hint="default" w:ascii="Times New Roman" w:hAnsi="Times New Roman" w:eastAsia="微软雅黑" w:cs="Times New Roman"/>
          <w:b/>
          <w:color w:val="auto"/>
          <w:sz w:val="24"/>
          <w:szCs w:val="24"/>
          <w:lang w:val="en-US" w:eastAsia="zh-CN" w:bidi="ar"/>
        </w:rPr>
      </w:pPr>
      <w:bookmarkStart w:id="60" w:name="_Toc24511"/>
      <w:bookmarkStart w:id="61" w:name="_Toc7932"/>
      <w:bookmarkStart w:id="62" w:name="_Toc19396"/>
      <w:bookmarkStart w:id="63" w:name="_Toc10597"/>
      <w:bookmarkStart w:id="64" w:name="_Toc7994"/>
      <w:r>
        <w:rPr>
          <w:rFonts w:hint="default" w:ascii="Times New Roman" w:hAnsi="Times New Roman" w:eastAsia="微软雅黑" w:cs="Times New Roman"/>
          <w:b/>
          <w:color w:val="auto"/>
          <w:sz w:val="24"/>
          <w:szCs w:val="24"/>
          <w:lang w:val="en-US" w:eastAsia="zh-CN" w:bidi="ar"/>
        </w:rPr>
        <w:t>1.预后情况分析</w:t>
      </w:r>
      <w:bookmarkEnd w:id="60"/>
      <w:bookmarkEnd w:id="61"/>
      <w:bookmarkEnd w:id="62"/>
      <w:bookmarkEnd w:id="63"/>
      <w:bookmarkEnd w:id="64"/>
    </w:p>
    <w:p w14:paraId="77A0FB04">
      <w:pPr>
        <w:pStyle w:val="48"/>
        <w:snapToGrid w:val="0"/>
        <w:spacing w:before="120" w:beforeLines="50" w:after="120" w:afterLines="50"/>
        <w:rPr>
          <w:rFonts w:hint="default" w:ascii="Times New Roman" w:hAnsi="Times New Roman" w:eastAsia="微软雅黑" w:cs="Times New Roman"/>
          <w:b/>
          <w:color w:val="0000FF"/>
          <w:sz w:val="21"/>
          <w:szCs w:val="21"/>
          <w:lang w:eastAsia="zh-CN"/>
        </w:rPr>
      </w:pPr>
      <w:r>
        <w:rPr>
          <w:rFonts w:hint="default" w:ascii="Times New Roman" w:hAnsi="Times New Roman" w:eastAsia="微软雅黑" w:cs="Times New Roman"/>
          <w:lang w:eastAsia="zh-CN"/>
        </w:rPr>
        <w:t>A、</w:t>
      </w:r>
      <w:r>
        <w:rPr>
          <w:rFonts w:hint="default" w:ascii="Times New Roman" w:hAnsi="Times New Roman" w:eastAsia="微软雅黑" w:cs="Times New Roman"/>
          <w:sz w:val="21"/>
          <w:szCs w:val="21"/>
          <w:lang w:eastAsia="zh-CN"/>
        </w:rPr>
        <w:t>根据NSABP B-14临床研究结果，I/II期、淋巴结阴性、雌激素受体阳性的浸润性乳腺癌患者，接受他莫昔芬治疗5年后的复发风险随着复发分数增大而增大。</w:t>
      </w:r>
    </w:p>
    <w:p w14:paraId="629E1701">
      <w:pPr>
        <w:pStyle w:val="48"/>
        <w:spacing w:before="120" w:beforeLines="50"/>
        <w:ind w:right="-52"/>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Cs w:val="21"/>
        </w:rPr>
        <w:t xml:space="preserve">{% if </w:t>
      </w:r>
      <w:r>
        <w:rPr>
          <w:rFonts w:hint="default" w:ascii="Times New Roman" w:hAnsi="Times New Roman" w:eastAsia="微软雅黑" w:cs="Times New Roman"/>
          <w:b/>
          <w:szCs w:val="21"/>
          <w:lang w:eastAsia="zh-CN"/>
        </w:rPr>
        <w:t>bc</w:t>
      </w:r>
      <w:r>
        <w:rPr>
          <w:rFonts w:hint="default" w:ascii="Times New Roman" w:hAnsi="Times New Roman" w:eastAsia="微软雅黑" w:cs="Times New Roman"/>
          <w:b/>
          <w:szCs w:val="21"/>
        </w:rPr>
        <w:t xml:space="preserve">.nnmAPic_status %}{{ </w:t>
      </w:r>
      <w:r>
        <w:rPr>
          <w:rFonts w:hint="default" w:ascii="Times New Roman" w:hAnsi="Times New Roman" w:eastAsia="微软雅黑" w:cs="Times New Roman"/>
          <w:b/>
          <w:szCs w:val="21"/>
          <w:lang w:eastAsia="zh-CN"/>
        </w:rPr>
        <w:t>bc</w:t>
      </w:r>
      <w:r>
        <w:rPr>
          <w:rFonts w:hint="default" w:ascii="Times New Roman" w:hAnsi="Times New Roman" w:eastAsia="微软雅黑" w:cs="Times New Roman"/>
          <w:b/>
          <w:szCs w:val="21"/>
        </w:rPr>
        <w:t xml:space="preserve">.nnmAPic | </w:t>
      </w:r>
      <w:r>
        <w:rPr>
          <w:rFonts w:hint="default" w:ascii="Times New Roman" w:hAnsi="Times New Roman" w:eastAsia="微软雅黑" w:cs="Times New Roman"/>
          <w:b/>
          <w:szCs w:val="21"/>
          <w:lang w:eastAsia="zh-CN"/>
        </w:rPr>
        <w:t>c</w:t>
      </w:r>
      <w:r>
        <w:rPr>
          <w:rFonts w:hint="default" w:ascii="Times New Roman" w:hAnsi="Times New Roman" w:eastAsia="微软雅黑" w:cs="Times New Roman"/>
          <w:b/>
          <w:szCs w:val="21"/>
        </w:rPr>
        <w:t>i(</w:t>
      </w:r>
      <w:r>
        <w:rPr>
          <w:rFonts w:hint="default" w:ascii="Times New Roman" w:hAnsi="Times New Roman" w:eastAsia="微软雅黑" w:cs="Times New Roman"/>
          <w:b/>
          <w:szCs w:val="21"/>
          <w:lang w:eastAsia="zh-CN"/>
        </w:rPr>
        <w:t>435</w:t>
      </w:r>
      <w:r>
        <w:rPr>
          <w:rFonts w:hint="default" w:ascii="Times New Roman" w:hAnsi="Times New Roman" w:eastAsia="微软雅黑" w:cs="Times New Roman"/>
          <w:b/>
          <w:szCs w:val="21"/>
        </w:rPr>
        <w:t>,</w:t>
      </w:r>
      <w:r>
        <w:rPr>
          <w:rFonts w:hint="default" w:ascii="Times New Roman" w:hAnsi="Times New Roman" w:eastAsia="微软雅黑" w:cs="Times New Roman"/>
          <w:b/>
          <w:szCs w:val="21"/>
          <w:lang w:eastAsia="zh-CN"/>
        </w:rPr>
        <w:t>210</w:t>
      </w:r>
      <w:r>
        <w:rPr>
          <w:rFonts w:hint="default" w:ascii="Times New Roman" w:hAnsi="Times New Roman" w:eastAsia="微软雅黑" w:cs="Times New Roman"/>
          <w:b/>
          <w:szCs w:val="21"/>
        </w:rPr>
        <w:t>) }}{% endif %}</w:t>
      </w:r>
    </w:p>
    <w:p w14:paraId="18B07BFC">
      <w:pPr>
        <w:pStyle w:val="48"/>
        <w:snapToGrid w:val="0"/>
        <w:spacing w:before="120" w:beforeLines="50" w:after="120" w:afterLines="50" w:line="360" w:lineRule="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lang w:eastAsia="zh-CN"/>
        </w:rPr>
        <w:t>B、</w:t>
      </w:r>
      <w:r>
        <w:rPr>
          <w:rFonts w:hint="default" w:ascii="Times New Roman" w:hAnsi="Times New Roman" w:eastAsia="微软雅黑" w:cs="Times New Roman"/>
          <w:sz w:val="21"/>
          <w:szCs w:val="21"/>
          <w:lang w:eastAsia="zh-CN"/>
        </w:rPr>
        <w:t>根据ATAC临床研究结果，淋巴结阳性（1-3个腋窝淋巴结转移）、激素受体阳性的、绝经后浸润性乳腺癌患者，接受他莫昔芬或阿那曲唑治疗</w:t>
      </w:r>
      <w:r>
        <w:rPr>
          <w:rFonts w:hint="default" w:ascii="Times New Roman" w:hAnsi="Times New Roman" w:eastAsia="微软雅黑" w:cs="Times New Roman"/>
          <w:sz w:val="21"/>
          <w:szCs w:val="21"/>
          <w:lang w:val="en-US" w:eastAsia="zh-CN"/>
        </w:rPr>
        <w:t>9</w:t>
      </w:r>
      <w:r>
        <w:rPr>
          <w:rFonts w:hint="default" w:ascii="Times New Roman" w:hAnsi="Times New Roman" w:eastAsia="微软雅黑" w:cs="Times New Roman"/>
          <w:sz w:val="21"/>
          <w:szCs w:val="21"/>
          <w:lang w:eastAsia="zh-CN"/>
        </w:rPr>
        <w:t>年后的复发风险随着复发分数增大而增大。</w:t>
      </w:r>
    </w:p>
    <w:p w14:paraId="7DA249E9">
      <w:pPr>
        <w:pStyle w:val="48"/>
        <w:snapToGrid w:val="0"/>
        <w:spacing w:before="120" w:beforeLines="50" w:after="120" w:afterLines="50" w:line="360"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Cs w:val="21"/>
        </w:rPr>
        <w:t xml:space="preserve">{% if </w:t>
      </w:r>
      <w:r>
        <w:rPr>
          <w:rFonts w:hint="default" w:ascii="Times New Roman" w:hAnsi="Times New Roman" w:eastAsia="微软雅黑" w:cs="Times New Roman"/>
          <w:b/>
          <w:szCs w:val="21"/>
          <w:lang w:eastAsia="zh-CN"/>
        </w:rPr>
        <w:t>bc</w:t>
      </w:r>
      <w:r>
        <w:rPr>
          <w:rFonts w:hint="default" w:ascii="Times New Roman" w:hAnsi="Times New Roman" w:eastAsia="微软雅黑" w:cs="Times New Roman"/>
          <w:b/>
          <w:szCs w:val="21"/>
        </w:rPr>
        <w:t>.nnm</w:t>
      </w:r>
      <w:r>
        <w:rPr>
          <w:rFonts w:hint="default" w:ascii="Times New Roman" w:hAnsi="Times New Roman" w:eastAsia="微软雅黑" w:cs="Times New Roman"/>
          <w:b/>
          <w:szCs w:val="21"/>
          <w:lang w:eastAsia="zh-CN"/>
        </w:rPr>
        <w:t>B</w:t>
      </w:r>
      <w:r>
        <w:rPr>
          <w:rFonts w:hint="default" w:ascii="Times New Roman" w:hAnsi="Times New Roman" w:eastAsia="微软雅黑" w:cs="Times New Roman"/>
          <w:b/>
          <w:szCs w:val="21"/>
        </w:rPr>
        <w:t xml:space="preserve">Pic_status %}{{ </w:t>
      </w:r>
      <w:r>
        <w:rPr>
          <w:rFonts w:hint="default" w:ascii="Times New Roman" w:hAnsi="Times New Roman" w:eastAsia="微软雅黑" w:cs="Times New Roman"/>
          <w:b/>
          <w:szCs w:val="21"/>
          <w:lang w:eastAsia="zh-CN"/>
        </w:rPr>
        <w:t>bc</w:t>
      </w:r>
      <w:r>
        <w:rPr>
          <w:rFonts w:hint="default" w:ascii="Times New Roman" w:hAnsi="Times New Roman" w:eastAsia="微软雅黑" w:cs="Times New Roman"/>
          <w:b/>
          <w:szCs w:val="21"/>
        </w:rPr>
        <w:t>.nnm</w:t>
      </w:r>
      <w:r>
        <w:rPr>
          <w:rFonts w:hint="default" w:ascii="Times New Roman" w:hAnsi="Times New Roman" w:eastAsia="微软雅黑" w:cs="Times New Roman"/>
          <w:b/>
          <w:szCs w:val="21"/>
          <w:lang w:eastAsia="zh-CN"/>
        </w:rPr>
        <w:t>B</w:t>
      </w:r>
      <w:r>
        <w:rPr>
          <w:rFonts w:hint="default" w:ascii="Times New Roman" w:hAnsi="Times New Roman" w:eastAsia="微软雅黑" w:cs="Times New Roman"/>
          <w:b/>
          <w:szCs w:val="21"/>
        </w:rPr>
        <w:t xml:space="preserve">Pic | </w:t>
      </w:r>
      <w:r>
        <w:rPr>
          <w:rFonts w:hint="default" w:ascii="Times New Roman" w:hAnsi="Times New Roman" w:eastAsia="微软雅黑" w:cs="Times New Roman"/>
          <w:b/>
          <w:szCs w:val="21"/>
          <w:lang w:eastAsia="zh-CN"/>
        </w:rPr>
        <w:t>c</w:t>
      </w:r>
      <w:r>
        <w:rPr>
          <w:rFonts w:hint="default" w:ascii="Times New Roman" w:hAnsi="Times New Roman" w:eastAsia="微软雅黑" w:cs="Times New Roman"/>
          <w:b/>
          <w:szCs w:val="21"/>
        </w:rPr>
        <w:t>i(</w:t>
      </w:r>
      <w:r>
        <w:rPr>
          <w:rFonts w:hint="default" w:ascii="Times New Roman" w:hAnsi="Times New Roman" w:eastAsia="微软雅黑" w:cs="Times New Roman"/>
          <w:b/>
          <w:szCs w:val="21"/>
          <w:lang w:eastAsia="zh-CN"/>
        </w:rPr>
        <w:t>435</w:t>
      </w:r>
      <w:r>
        <w:rPr>
          <w:rFonts w:hint="default" w:ascii="Times New Roman" w:hAnsi="Times New Roman" w:eastAsia="微软雅黑" w:cs="Times New Roman"/>
          <w:b/>
          <w:szCs w:val="21"/>
        </w:rPr>
        <w:t>,</w:t>
      </w:r>
      <w:r>
        <w:rPr>
          <w:rFonts w:hint="default" w:ascii="Times New Roman" w:hAnsi="Times New Roman" w:eastAsia="微软雅黑" w:cs="Times New Roman"/>
          <w:b/>
          <w:szCs w:val="21"/>
          <w:lang w:eastAsia="zh-CN"/>
        </w:rPr>
        <w:t>210</w:t>
      </w:r>
      <w:r>
        <w:rPr>
          <w:rFonts w:hint="default" w:ascii="Times New Roman" w:hAnsi="Times New Roman" w:eastAsia="微软雅黑" w:cs="Times New Roman"/>
          <w:b/>
          <w:szCs w:val="21"/>
        </w:rPr>
        <w:t>) }}{% endif %}</w:t>
      </w:r>
    </w:p>
    <w:p w14:paraId="4976FB97">
      <w:pPr>
        <w:rPr>
          <w:rFonts w:hint="default" w:ascii="Times New Roman" w:hAnsi="Times New Roman" w:eastAsia="微软雅黑" w:cs="Times New Roman"/>
          <w:b/>
          <w:bCs/>
          <w:color w:val="00B050"/>
          <w:sz w:val="28"/>
          <w:szCs w:val="36"/>
          <w:lang w:eastAsia="zh-CN"/>
        </w:rPr>
      </w:pPr>
      <w:r>
        <w:rPr>
          <w:rFonts w:hint="default" w:ascii="Times New Roman" w:hAnsi="Times New Roman" w:eastAsia="微软雅黑" w:cs="Times New Roman"/>
          <w:b/>
          <w:bCs/>
          <w:color w:val="00B050"/>
          <w:sz w:val="28"/>
          <w:szCs w:val="36"/>
          <w:lang w:eastAsia="zh-CN"/>
        </w:rPr>
        <w:br w:type="page"/>
      </w:r>
    </w:p>
    <w:p w14:paraId="056297A4">
      <w:pPr>
        <w:pStyle w:val="48"/>
        <w:numPr>
          <w:ilvl w:val="0"/>
          <w:numId w:val="0"/>
        </w:numPr>
        <w:snapToGrid w:val="0"/>
        <w:spacing w:before="120" w:beforeLines="50" w:after="120" w:afterLines="50" w:line="360" w:lineRule="auto"/>
        <w:outlineLvl w:val="0"/>
        <w:rPr>
          <w:rFonts w:hint="default" w:ascii="Times New Roman" w:hAnsi="Times New Roman" w:eastAsia="微软雅黑" w:cs="Times New Roman"/>
          <w:b/>
          <w:color w:val="auto"/>
          <w:sz w:val="24"/>
          <w:szCs w:val="24"/>
          <w:lang w:val="en-US" w:eastAsia="zh-CN" w:bidi="ar"/>
        </w:rPr>
      </w:pPr>
      <w:bookmarkStart w:id="65" w:name="_Toc18423"/>
      <w:bookmarkStart w:id="66" w:name="_Toc15763"/>
      <w:bookmarkStart w:id="67" w:name="_Toc19443"/>
      <w:bookmarkStart w:id="68" w:name="_Toc13439"/>
      <w:bookmarkStart w:id="69" w:name="_Toc8857"/>
      <w:r>
        <w:rPr>
          <w:rFonts w:hint="default" w:ascii="Times New Roman" w:hAnsi="Times New Roman" w:eastAsia="微软雅黑" w:cs="Times New Roman"/>
          <w:b/>
          <w:color w:val="auto"/>
          <w:sz w:val="24"/>
          <w:szCs w:val="24"/>
          <w:lang w:val="en-US" w:eastAsia="zh-CN" w:bidi="ar"/>
        </w:rPr>
        <w:t>2.化疗获益分析</w:t>
      </w:r>
      <w:bookmarkEnd w:id="65"/>
      <w:bookmarkEnd w:id="66"/>
      <w:bookmarkEnd w:id="67"/>
      <w:bookmarkEnd w:id="68"/>
      <w:bookmarkEnd w:id="69"/>
    </w:p>
    <w:p w14:paraId="25E2D85F">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化疗获益分析参考</w:t>
      </w:r>
      <w:r>
        <w:rPr>
          <w:rFonts w:hint="default" w:ascii="Times New Roman" w:hAnsi="Times New Roman" w:eastAsia="微软雅黑" w:cs="Times New Roman"/>
          <w:lang w:eastAsia="zh-CN"/>
        </w:rPr>
        <w:t>2024V4</w:t>
      </w:r>
      <w:r>
        <w:rPr>
          <w:rFonts w:hint="default" w:ascii="Times New Roman" w:hAnsi="Times New Roman" w:eastAsia="微软雅黑" w:cs="Times New Roman"/>
          <w:bCs/>
          <w:sz w:val="21"/>
          <w:szCs w:val="21"/>
          <w:lang w:eastAsia="zh-CN"/>
        </w:rPr>
        <w:t>版乳腺癌NCCN指南：</w:t>
      </w:r>
    </w:p>
    <w:tbl>
      <w:tblPr>
        <w:tblStyle w:val="14"/>
        <w:tblW w:w="9557"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4849"/>
      </w:tblGrid>
      <w:tr w14:paraId="3E14BC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14:paraId="0F1578F3">
            <w:pPr>
              <w:pStyle w:val="49"/>
              <w:spacing w:line="320" w:lineRule="exact"/>
              <w:jc w:val="center"/>
              <w:rPr>
                <w:rFonts w:hint="default"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default"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分类</w:t>
            </w:r>
          </w:p>
        </w:tc>
        <w:tc>
          <w:tcPr>
            <w:tcW w:w="2721" w:type="dxa"/>
            <w:tcBorders>
              <w:top w:val="nil"/>
              <w:left w:val="single" w:color="FFFFFF" w:sz="18" w:space="0"/>
              <w:bottom w:val="nil"/>
              <w:right w:val="single" w:color="FFFFFF" w:sz="18" w:space="0"/>
            </w:tcBorders>
            <w:shd w:val="clear" w:color="auto" w:fill="62BC41"/>
            <w:vAlign w:val="center"/>
          </w:tcPr>
          <w:p w14:paraId="457507CB">
            <w:pPr>
              <w:pStyle w:val="49"/>
              <w:spacing w:line="320" w:lineRule="exact"/>
              <w:jc w:val="center"/>
              <w:rPr>
                <w:rFonts w:hint="default"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default"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复发分数</w:t>
            </w:r>
          </w:p>
        </w:tc>
        <w:tc>
          <w:tcPr>
            <w:tcW w:w="4849" w:type="dxa"/>
            <w:tcBorders>
              <w:top w:val="nil"/>
              <w:left w:val="single" w:color="FFFFFF" w:sz="18" w:space="0"/>
              <w:bottom w:val="nil"/>
              <w:right w:val="nil"/>
            </w:tcBorders>
            <w:shd w:val="clear" w:color="auto" w:fill="62BC41"/>
            <w:vAlign w:val="center"/>
          </w:tcPr>
          <w:p w14:paraId="2C361C5D">
            <w:pPr>
              <w:pStyle w:val="49"/>
              <w:spacing w:line="320" w:lineRule="exact"/>
              <w:jc w:val="center"/>
              <w:rPr>
                <w:rFonts w:hint="default"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default"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治疗指导意义</w:t>
            </w:r>
          </w:p>
        </w:tc>
      </w:tr>
      <w:tr w14:paraId="40A3D5E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452" w:hRule="atLeast"/>
        </w:trPr>
        <w:tc>
          <w:tcPr>
            <w:tcW w:w="1987" w:type="dxa"/>
            <w:vMerge w:val="restart"/>
            <w:tcBorders>
              <w:top w:val="nil"/>
              <w:left w:val="nil"/>
            </w:tcBorders>
            <w:vAlign w:val="center"/>
          </w:tcPr>
          <w:p w14:paraId="54B2B0DB">
            <w:pPr>
              <w:pStyle w:val="49"/>
              <w:spacing w:line="320" w:lineRule="exact"/>
              <w:rPr>
                <w:rFonts w:hint="default" w:ascii="Times New Roman" w:hAnsi="Times New Roman" w:eastAsia="微软雅黑" w:cs="Times New Roman"/>
                <w:b/>
                <w:bCs w:val="0"/>
                <w:color w:val="auto"/>
                <w:sz w:val="21"/>
                <w:lang w:eastAsia="zh-CN"/>
              </w:rPr>
            </w:pPr>
            <w:r>
              <w:rPr>
                <w:rFonts w:hint="default" w:ascii="Times New Roman" w:hAnsi="Times New Roman" w:eastAsia="微软雅黑" w:cs="Times New Roman"/>
                <w:kern w:val="0"/>
                <w:sz w:val="21"/>
                <w:szCs w:val="21"/>
              </w:rPr>
              <w:t>绝经后，pN0和pN1 (1-3个淋巴结阳性)</w:t>
            </w:r>
            <w:r>
              <w:rPr>
                <w:rFonts w:hint="default" w:ascii="Times New Roman" w:hAnsi="Times New Roman" w:eastAsia="微软雅黑" w:cs="Times New Roman"/>
                <w:kern w:val="0"/>
                <w:sz w:val="21"/>
                <w:szCs w:val="21"/>
                <w:vertAlign w:val="superscript"/>
              </w:rPr>
              <w:t>3</w:t>
            </w:r>
          </w:p>
        </w:tc>
        <w:tc>
          <w:tcPr>
            <w:tcW w:w="2721" w:type="dxa"/>
            <w:tcBorders>
              <w:top w:val="nil"/>
            </w:tcBorders>
            <w:vAlign w:val="center"/>
          </w:tcPr>
          <w:p w14:paraId="2EDFC5E7">
            <w:pPr>
              <w:pStyle w:val="49"/>
              <w:spacing w:line="320" w:lineRule="exact"/>
              <w:rPr>
                <w:rFonts w:hint="default" w:ascii="Times New Roman" w:hAnsi="Times New Roman" w:eastAsia="微软雅黑" w:cs="Times New Roman"/>
                <w:bCs/>
                <w:sz w:val="21"/>
              </w:rPr>
            </w:pPr>
            <w:r>
              <w:rPr>
                <w:rFonts w:hint="default" w:ascii="Times New Roman" w:hAnsi="Times New Roman" w:eastAsia="微软雅黑" w:cs="Times New Roman"/>
                <w:kern w:val="0"/>
                <w:sz w:val="21"/>
                <w:szCs w:val="21"/>
                <w:lang w:eastAsia="en-US"/>
              </w:rPr>
              <w:t>&lt;26</w:t>
            </w:r>
          </w:p>
        </w:tc>
        <w:tc>
          <w:tcPr>
            <w:tcW w:w="4849" w:type="dxa"/>
            <w:tcBorders>
              <w:top w:val="nil"/>
              <w:right w:val="nil"/>
            </w:tcBorders>
            <w:vAlign w:val="center"/>
          </w:tcPr>
          <w:p w14:paraId="5E7D5D34">
            <w:pPr>
              <w:pStyle w:val="49"/>
              <w:spacing w:line="320" w:lineRule="exact"/>
              <w:rPr>
                <w:rFonts w:hint="default" w:ascii="Times New Roman" w:hAnsi="Times New Roman" w:eastAsia="微软雅黑" w:cs="Times New Roman"/>
                <w:kern w:val="0"/>
                <w:sz w:val="21"/>
                <w:szCs w:val="21"/>
              </w:rPr>
            </w:pPr>
            <w:r>
              <w:rPr>
                <w:rFonts w:hint="default" w:ascii="Times New Roman" w:hAnsi="Times New Roman" w:eastAsia="微软雅黑" w:cs="Times New Roman"/>
                <w:kern w:val="0"/>
                <w:sz w:val="21"/>
                <w:szCs w:val="21"/>
              </w:rPr>
              <w:t>T1b/c-2、pN0、HR阳性、HER2阴性的肿瘤患者：复发分数(RS)在0-10之间，远期复发风险&lt;4%，而RS在11-25的患者，在TAILORx前瞻性研究中，化疗结合内分泌治疗未见获益。</w:t>
            </w:r>
          </w:p>
          <w:p w14:paraId="3404BCF5">
            <w:pPr>
              <w:pStyle w:val="49"/>
              <w:spacing w:line="320" w:lineRule="exact"/>
              <w:rPr>
                <w:rFonts w:hint="default" w:ascii="Times New Roman" w:hAnsi="Times New Roman" w:eastAsia="微软雅黑" w:cs="Times New Roman"/>
                <w:bCs/>
                <w:sz w:val="21"/>
                <w:lang w:eastAsia="zh-CN"/>
              </w:rPr>
            </w:pPr>
            <w:r>
              <w:rPr>
                <w:rFonts w:hint="default" w:ascii="Times New Roman" w:hAnsi="Times New Roman" w:eastAsia="微软雅黑" w:cs="Times New Roman"/>
                <w:kern w:val="0"/>
                <w:sz w:val="21"/>
                <w:szCs w:val="21"/>
              </w:rPr>
              <w:t>在RxPONDER前瞻性研究中，pT1-3、pN1、HR阳性、HER2阴性、RS &lt;26的绝经后患者在内分泌结合化疗也未见明显疗效改变。</w:t>
            </w:r>
          </w:p>
        </w:tc>
      </w:tr>
      <w:tr w14:paraId="439BF0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60" w:hRule="atLeast"/>
        </w:trPr>
        <w:tc>
          <w:tcPr>
            <w:tcW w:w="1987" w:type="dxa"/>
            <w:vMerge w:val="continue"/>
            <w:tcBorders>
              <w:left w:val="nil"/>
            </w:tcBorders>
            <w:vAlign w:val="center"/>
          </w:tcPr>
          <w:p w14:paraId="629BB551">
            <w:pPr>
              <w:pStyle w:val="49"/>
              <w:spacing w:line="320" w:lineRule="exact"/>
              <w:rPr>
                <w:rFonts w:hint="default" w:ascii="Times New Roman" w:hAnsi="Times New Roman" w:eastAsia="微软雅黑" w:cs="Times New Roman"/>
                <w:b/>
                <w:bCs w:val="0"/>
                <w:color w:val="auto"/>
                <w:sz w:val="21"/>
              </w:rPr>
            </w:pPr>
          </w:p>
        </w:tc>
        <w:tc>
          <w:tcPr>
            <w:tcW w:w="2721" w:type="dxa"/>
            <w:vAlign w:val="center"/>
          </w:tcPr>
          <w:p w14:paraId="13414282">
            <w:pPr>
              <w:pStyle w:val="49"/>
              <w:spacing w:line="320" w:lineRule="exact"/>
              <w:rPr>
                <w:rFonts w:hint="default" w:ascii="Times New Roman" w:hAnsi="Times New Roman" w:eastAsia="微软雅黑" w:cs="Times New Roman"/>
                <w:bCs/>
                <w:sz w:val="21"/>
              </w:rPr>
            </w:pPr>
            <w:r>
              <w:rPr>
                <w:rFonts w:hint="default" w:ascii="Times New Roman" w:hAnsi="Times New Roman" w:eastAsia="微软雅黑" w:cs="Times New Roman"/>
                <w:kern w:val="0"/>
                <w:sz w:val="21"/>
                <w:szCs w:val="21"/>
              </w:rPr>
              <w:t>≥</w:t>
            </w:r>
            <w:r>
              <w:rPr>
                <w:rFonts w:hint="default" w:ascii="Times New Roman" w:hAnsi="Times New Roman" w:eastAsia="微软雅黑" w:cs="Times New Roman"/>
                <w:kern w:val="0"/>
                <w:sz w:val="21"/>
                <w:szCs w:val="21"/>
                <w:lang w:eastAsia="en-US"/>
              </w:rPr>
              <w:t>26</w:t>
            </w:r>
          </w:p>
        </w:tc>
        <w:tc>
          <w:tcPr>
            <w:tcW w:w="4849" w:type="dxa"/>
            <w:tcBorders>
              <w:right w:val="nil"/>
            </w:tcBorders>
            <w:vAlign w:val="center"/>
          </w:tcPr>
          <w:p w14:paraId="3523F1DB">
            <w:pPr>
              <w:pStyle w:val="49"/>
              <w:spacing w:line="320" w:lineRule="exact"/>
              <w:rPr>
                <w:rFonts w:hint="default" w:ascii="Times New Roman" w:hAnsi="Times New Roman" w:eastAsia="微软雅黑" w:cs="Times New Roman"/>
                <w:bCs/>
                <w:sz w:val="21"/>
                <w:lang w:eastAsia="zh-CN"/>
              </w:rPr>
            </w:pPr>
            <w:r>
              <w:rPr>
                <w:rFonts w:hint="default" w:ascii="Times New Roman" w:hAnsi="Times New Roman" w:eastAsia="微软雅黑" w:cs="Times New Roman"/>
                <w:kern w:val="0"/>
                <w:sz w:val="21"/>
                <w:szCs w:val="21"/>
              </w:rPr>
              <w:t>pT1-3、HR阳性、HER2阴性、pN0和pN1（1-3个淋巴结阳性)肿瘤且RS≥26的绝经后患者，建议在内分泌治疗中加入化疗。</w:t>
            </w:r>
          </w:p>
        </w:tc>
      </w:tr>
      <w:tr w14:paraId="1E755D7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23" w:hRule="atLeast"/>
        </w:trPr>
        <w:tc>
          <w:tcPr>
            <w:tcW w:w="1987" w:type="dxa"/>
            <w:vMerge w:val="restart"/>
            <w:tcBorders>
              <w:left w:val="nil"/>
            </w:tcBorders>
            <w:vAlign w:val="center"/>
          </w:tcPr>
          <w:p w14:paraId="6ACBA560">
            <w:pPr>
              <w:pStyle w:val="49"/>
              <w:spacing w:line="320" w:lineRule="exact"/>
              <w:rPr>
                <w:rFonts w:hint="default" w:ascii="Times New Roman" w:hAnsi="Times New Roman" w:eastAsia="微软雅黑" w:cs="Times New Roman"/>
                <w:b/>
                <w:bCs w:val="0"/>
                <w:color w:val="auto"/>
                <w:sz w:val="21"/>
              </w:rPr>
            </w:pPr>
            <w:r>
              <w:rPr>
                <w:rFonts w:hint="default" w:ascii="Times New Roman" w:hAnsi="Times New Roman" w:eastAsia="微软雅黑" w:cs="Times New Roman"/>
                <w:kern w:val="0"/>
                <w:sz w:val="21"/>
                <w:szCs w:val="21"/>
                <w:lang w:eastAsia="en-US"/>
              </w:rPr>
              <w:t>绝经</w:t>
            </w:r>
            <w:r>
              <w:rPr>
                <w:rFonts w:hint="default" w:ascii="Times New Roman" w:hAnsi="Times New Roman" w:eastAsia="微软雅黑" w:cs="Times New Roman"/>
                <w:kern w:val="0"/>
                <w:sz w:val="21"/>
                <w:szCs w:val="21"/>
              </w:rPr>
              <w:t>前</w:t>
            </w:r>
            <w:r>
              <w:rPr>
                <w:rFonts w:hint="default" w:ascii="Times New Roman" w:hAnsi="Times New Roman" w:eastAsia="微软雅黑" w:cs="Times New Roman"/>
                <w:kern w:val="0"/>
                <w:sz w:val="21"/>
                <w:szCs w:val="21"/>
                <w:lang w:eastAsia="en-US"/>
              </w:rPr>
              <w:t>pN0</w:t>
            </w:r>
          </w:p>
        </w:tc>
        <w:tc>
          <w:tcPr>
            <w:tcW w:w="2721" w:type="dxa"/>
            <w:vAlign w:val="center"/>
          </w:tcPr>
          <w:p w14:paraId="194CFE6A">
            <w:pPr>
              <w:pStyle w:val="49"/>
              <w:spacing w:line="320" w:lineRule="exact"/>
              <w:rPr>
                <w:rFonts w:hint="default" w:ascii="Times New Roman" w:hAnsi="Times New Roman" w:eastAsia="微软雅黑" w:cs="Times New Roman"/>
                <w:bCs/>
                <w:sz w:val="21"/>
              </w:rPr>
            </w:pPr>
            <w:r>
              <w:rPr>
                <w:rFonts w:hint="default" w:ascii="Times New Roman" w:hAnsi="Times New Roman" w:eastAsia="微软雅黑" w:cs="Times New Roman"/>
                <w:kern w:val="0"/>
                <w:sz w:val="21"/>
                <w:szCs w:val="21"/>
              </w:rPr>
              <w:t>≤</w:t>
            </w:r>
            <w:r>
              <w:rPr>
                <w:rFonts w:hint="default" w:ascii="Times New Roman" w:hAnsi="Times New Roman" w:eastAsia="微软雅黑" w:cs="Times New Roman"/>
                <w:kern w:val="0"/>
                <w:sz w:val="21"/>
                <w:szCs w:val="21"/>
                <w:lang w:eastAsia="en-US"/>
              </w:rPr>
              <w:t>15</w:t>
            </w:r>
          </w:p>
        </w:tc>
        <w:tc>
          <w:tcPr>
            <w:tcW w:w="4849" w:type="dxa"/>
            <w:tcBorders>
              <w:right w:val="nil"/>
            </w:tcBorders>
            <w:vAlign w:val="center"/>
          </w:tcPr>
          <w:p w14:paraId="743647FF">
            <w:pPr>
              <w:pStyle w:val="49"/>
              <w:spacing w:line="320" w:lineRule="exact"/>
              <w:rPr>
                <w:rFonts w:hint="default" w:ascii="Times New Roman" w:hAnsi="Times New Roman" w:eastAsia="微软雅黑" w:cs="Times New Roman"/>
                <w:bCs/>
                <w:sz w:val="21"/>
                <w:lang w:eastAsia="zh-CN"/>
              </w:rPr>
            </w:pPr>
            <w:r>
              <w:rPr>
                <w:rFonts w:hint="default" w:ascii="Times New Roman" w:hAnsi="Times New Roman" w:eastAsia="微软雅黑" w:cs="Times New Roman"/>
                <w:kern w:val="0"/>
                <w:sz w:val="21"/>
                <w:szCs w:val="21"/>
              </w:rPr>
              <w:t>在TAlLORx前瞻性研究中，T1b/c -2，pN0，HR阳性、HER2阴性，且RS &lt;16的绝经前肿瘤患者未从内分泌治疗结合化疗中取得明显疗效改善。</w:t>
            </w:r>
          </w:p>
        </w:tc>
      </w:tr>
      <w:tr w14:paraId="632698F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580" w:hRule="atLeast"/>
        </w:trPr>
        <w:tc>
          <w:tcPr>
            <w:tcW w:w="1987" w:type="dxa"/>
            <w:vMerge w:val="continue"/>
            <w:tcBorders>
              <w:left w:val="nil"/>
            </w:tcBorders>
            <w:vAlign w:val="center"/>
          </w:tcPr>
          <w:p w14:paraId="78A8B0E3">
            <w:pPr>
              <w:pStyle w:val="49"/>
              <w:spacing w:line="320" w:lineRule="exact"/>
              <w:rPr>
                <w:rFonts w:hint="default" w:ascii="Times New Roman" w:hAnsi="Times New Roman" w:eastAsia="微软雅黑" w:cs="Times New Roman"/>
                <w:b/>
                <w:bCs w:val="0"/>
                <w:color w:val="auto"/>
                <w:sz w:val="21"/>
              </w:rPr>
            </w:pPr>
          </w:p>
        </w:tc>
        <w:tc>
          <w:tcPr>
            <w:tcW w:w="2721" w:type="dxa"/>
            <w:vAlign w:val="center"/>
          </w:tcPr>
          <w:p w14:paraId="06EEB772">
            <w:pPr>
              <w:pStyle w:val="49"/>
              <w:spacing w:line="320" w:lineRule="exact"/>
              <w:rPr>
                <w:rFonts w:hint="default" w:ascii="Times New Roman" w:hAnsi="Times New Roman" w:eastAsia="微软雅黑" w:cs="Times New Roman"/>
                <w:bCs/>
                <w:sz w:val="21"/>
              </w:rPr>
            </w:pPr>
            <w:r>
              <w:rPr>
                <w:rFonts w:hint="default" w:ascii="Times New Roman" w:hAnsi="Times New Roman" w:eastAsia="微软雅黑" w:cs="Times New Roman"/>
                <w:kern w:val="0"/>
                <w:sz w:val="21"/>
                <w:szCs w:val="21"/>
                <w:lang w:eastAsia="en-US"/>
              </w:rPr>
              <w:t>16-25</w:t>
            </w:r>
          </w:p>
        </w:tc>
        <w:tc>
          <w:tcPr>
            <w:tcW w:w="4849" w:type="dxa"/>
            <w:tcBorders>
              <w:right w:val="nil"/>
            </w:tcBorders>
            <w:vAlign w:val="center"/>
          </w:tcPr>
          <w:p w14:paraId="63090023">
            <w:pPr>
              <w:pStyle w:val="49"/>
              <w:spacing w:line="320" w:lineRule="exact"/>
              <w:rPr>
                <w:rFonts w:hint="default" w:ascii="Times New Roman" w:hAnsi="Times New Roman" w:eastAsia="微软雅黑" w:cs="Times New Roman"/>
                <w:bCs/>
                <w:sz w:val="21"/>
                <w:lang w:eastAsia="zh-CN"/>
              </w:rPr>
            </w:pPr>
            <w:r>
              <w:rPr>
                <w:rFonts w:hint="default" w:ascii="Times New Roman" w:hAnsi="Times New Roman" w:eastAsia="微软雅黑" w:cs="Times New Roman"/>
                <w:kern w:val="0"/>
                <w:sz w:val="21"/>
                <w:szCs w:val="21"/>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229867D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990" w:hRule="atLeast"/>
        </w:trPr>
        <w:tc>
          <w:tcPr>
            <w:tcW w:w="1987" w:type="dxa"/>
            <w:vMerge w:val="continue"/>
            <w:tcBorders>
              <w:left w:val="nil"/>
            </w:tcBorders>
            <w:vAlign w:val="center"/>
          </w:tcPr>
          <w:p w14:paraId="39EDCE7C">
            <w:pPr>
              <w:pStyle w:val="49"/>
              <w:spacing w:line="320" w:lineRule="exact"/>
              <w:rPr>
                <w:rFonts w:hint="default" w:ascii="Times New Roman" w:hAnsi="Times New Roman" w:eastAsia="微软雅黑" w:cs="Times New Roman"/>
                <w:b/>
                <w:bCs w:val="0"/>
                <w:color w:val="auto"/>
                <w:sz w:val="21"/>
              </w:rPr>
            </w:pPr>
          </w:p>
        </w:tc>
        <w:tc>
          <w:tcPr>
            <w:tcW w:w="2721" w:type="dxa"/>
            <w:vAlign w:val="center"/>
          </w:tcPr>
          <w:p w14:paraId="125EECDB">
            <w:pPr>
              <w:pStyle w:val="49"/>
              <w:spacing w:line="320" w:lineRule="exact"/>
              <w:rPr>
                <w:rFonts w:hint="default" w:ascii="Times New Roman" w:hAnsi="Times New Roman" w:eastAsia="微软雅黑" w:cs="Times New Roman"/>
                <w:bCs/>
                <w:sz w:val="21"/>
              </w:rPr>
            </w:pPr>
            <w:r>
              <w:rPr>
                <w:rFonts w:hint="default" w:ascii="Times New Roman" w:hAnsi="Times New Roman" w:eastAsia="微软雅黑" w:cs="Times New Roman"/>
                <w:kern w:val="0"/>
                <w:sz w:val="21"/>
                <w:szCs w:val="21"/>
              </w:rPr>
              <w:t>≥</w:t>
            </w:r>
            <w:r>
              <w:rPr>
                <w:rFonts w:hint="default" w:ascii="Times New Roman" w:hAnsi="Times New Roman" w:eastAsia="微软雅黑" w:cs="Times New Roman"/>
                <w:kern w:val="0"/>
                <w:sz w:val="21"/>
                <w:szCs w:val="21"/>
                <w:lang w:eastAsia="en-US"/>
              </w:rPr>
              <w:t>26</w:t>
            </w:r>
          </w:p>
        </w:tc>
        <w:tc>
          <w:tcPr>
            <w:tcW w:w="4849" w:type="dxa"/>
            <w:tcBorders>
              <w:right w:val="nil"/>
            </w:tcBorders>
            <w:vAlign w:val="center"/>
          </w:tcPr>
          <w:p w14:paraId="6AD93987">
            <w:pPr>
              <w:pStyle w:val="49"/>
              <w:spacing w:line="320" w:lineRule="exact"/>
              <w:rPr>
                <w:rFonts w:hint="default" w:ascii="Times New Roman" w:hAnsi="Times New Roman" w:eastAsia="微软雅黑" w:cs="Times New Roman"/>
                <w:bCs/>
                <w:sz w:val="21"/>
                <w:lang w:eastAsia="zh-CN"/>
              </w:rPr>
            </w:pPr>
            <w:r>
              <w:rPr>
                <w:rFonts w:hint="default" w:ascii="Times New Roman" w:hAnsi="Times New Roman" w:eastAsia="微软雅黑" w:cs="Times New Roman"/>
                <w:kern w:val="0"/>
                <w:sz w:val="21"/>
                <w:szCs w:val="21"/>
              </w:rPr>
              <w:t>HR阳性，HER2阴性，pN0且RS≥26的绝经前肿瘤患者，建议在内分泌治疗中加入化疗。</w:t>
            </w:r>
          </w:p>
        </w:tc>
      </w:tr>
      <w:tr w14:paraId="42D0EA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108" w:hRule="atLeast"/>
        </w:trPr>
        <w:tc>
          <w:tcPr>
            <w:tcW w:w="1987" w:type="dxa"/>
            <w:vMerge w:val="restart"/>
            <w:tcBorders>
              <w:left w:val="nil"/>
            </w:tcBorders>
            <w:vAlign w:val="center"/>
          </w:tcPr>
          <w:p w14:paraId="7D7F798E">
            <w:pPr>
              <w:pStyle w:val="49"/>
              <w:spacing w:line="320" w:lineRule="exact"/>
              <w:rPr>
                <w:rFonts w:hint="default" w:ascii="Times New Roman" w:hAnsi="Times New Roman" w:eastAsia="微软雅黑" w:cs="Times New Roman"/>
                <w:kern w:val="0"/>
                <w:sz w:val="21"/>
                <w:szCs w:val="21"/>
                <w:lang w:val="en-US" w:eastAsia="zh-CN" w:bidi="ar-SA"/>
              </w:rPr>
            </w:pPr>
            <w:r>
              <w:rPr>
                <w:rFonts w:hint="default" w:ascii="Times New Roman" w:hAnsi="Times New Roman" w:eastAsia="微软雅黑" w:cs="Times New Roman"/>
                <w:kern w:val="0"/>
                <w:sz w:val="21"/>
                <w:szCs w:val="21"/>
              </w:rPr>
              <w:t>绝经前1-3个淋巴结阳性</w:t>
            </w:r>
          </w:p>
        </w:tc>
        <w:tc>
          <w:tcPr>
            <w:tcW w:w="2721" w:type="dxa"/>
            <w:vAlign w:val="center"/>
          </w:tcPr>
          <w:p w14:paraId="266E6B56">
            <w:pPr>
              <w:pStyle w:val="49"/>
              <w:spacing w:line="320" w:lineRule="exact"/>
              <w:rPr>
                <w:rFonts w:hint="default" w:ascii="Times New Roman" w:hAnsi="Times New Roman" w:eastAsia="微软雅黑" w:cs="Times New Roman"/>
                <w:kern w:val="0"/>
                <w:sz w:val="21"/>
                <w:szCs w:val="21"/>
                <w:lang w:val="en-US" w:eastAsia="zh-CN" w:bidi="ar-SA"/>
              </w:rPr>
            </w:pPr>
            <w:r>
              <w:rPr>
                <w:rFonts w:hint="default" w:ascii="Times New Roman" w:hAnsi="Times New Roman" w:eastAsia="微软雅黑" w:cs="Times New Roman"/>
                <w:kern w:val="0"/>
                <w:sz w:val="21"/>
                <w:szCs w:val="21"/>
              </w:rPr>
              <w:t>＜</w:t>
            </w:r>
            <w:r>
              <w:rPr>
                <w:rFonts w:hint="default" w:ascii="Times New Roman" w:hAnsi="Times New Roman" w:eastAsia="微软雅黑" w:cs="Times New Roman"/>
                <w:kern w:val="0"/>
                <w:sz w:val="21"/>
                <w:szCs w:val="21"/>
                <w:lang w:eastAsia="en-US"/>
              </w:rPr>
              <w:t>26</w:t>
            </w:r>
          </w:p>
        </w:tc>
        <w:tc>
          <w:tcPr>
            <w:tcW w:w="4849" w:type="dxa"/>
            <w:tcBorders>
              <w:right w:val="nil"/>
            </w:tcBorders>
            <w:vAlign w:val="center"/>
          </w:tcPr>
          <w:p w14:paraId="210F8365">
            <w:pPr>
              <w:pStyle w:val="49"/>
              <w:spacing w:line="320" w:lineRule="exact"/>
              <w:rPr>
                <w:rFonts w:hint="default" w:ascii="Times New Roman" w:hAnsi="Times New Roman" w:eastAsia="微软雅黑" w:cs="Times New Roman"/>
                <w:kern w:val="0"/>
                <w:sz w:val="21"/>
                <w:szCs w:val="21"/>
                <w:lang w:val="en-US" w:eastAsia="zh-CN" w:bidi="ar-SA"/>
              </w:rPr>
            </w:pPr>
            <w:r>
              <w:rPr>
                <w:rFonts w:hint="default" w:ascii="Times New Roman" w:hAnsi="Times New Roman" w:eastAsia="微软雅黑" w:cs="Times New Roman"/>
                <w:kern w:val="0"/>
                <w:sz w:val="21"/>
                <w:szCs w:val="21"/>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p>
        </w:tc>
      </w:tr>
      <w:tr w14:paraId="6CE6DB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315" w:hRule="atLeast"/>
        </w:trPr>
        <w:tc>
          <w:tcPr>
            <w:tcW w:w="1987" w:type="dxa"/>
            <w:vMerge w:val="continue"/>
            <w:tcBorders>
              <w:left w:val="nil"/>
            </w:tcBorders>
            <w:vAlign w:val="center"/>
          </w:tcPr>
          <w:p w14:paraId="6934E441">
            <w:pPr>
              <w:pStyle w:val="49"/>
              <w:spacing w:line="320" w:lineRule="exact"/>
              <w:rPr>
                <w:rFonts w:hint="default" w:ascii="Times New Roman" w:hAnsi="Times New Roman" w:eastAsia="微软雅黑" w:cs="Times New Roman"/>
                <w:b/>
                <w:bCs w:val="0"/>
                <w:color w:val="auto"/>
                <w:sz w:val="21"/>
              </w:rPr>
            </w:pPr>
          </w:p>
        </w:tc>
        <w:tc>
          <w:tcPr>
            <w:tcW w:w="2721" w:type="dxa"/>
            <w:vAlign w:val="center"/>
          </w:tcPr>
          <w:p w14:paraId="4CF7D6B8">
            <w:pPr>
              <w:pStyle w:val="49"/>
              <w:spacing w:line="320" w:lineRule="exact"/>
              <w:rPr>
                <w:rFonts w:hint="default" w:ascii="Times New Roman" w:hAnsi="Times New Roman" w:eastAsia="微软雅黑" w:cs="Times New Roman"/>
                <w:kern w:val="0"/>
                <w:sz w:val="21"/>
                <w:szCs w:val="21"/>
                <w:lang w:val="en-US" w:eastAsia="zh-CN" w:bidi="ar-SA"/>
              </w:rPr>
            </w:pPr>
            <w:r>
              <w:rPr>
                <w:rFonts w:hint="default" w:ascii="Times New Roman" w:hAnsi="Times New Roman" w:eastAsia="微软雅黑" w:cs="Times New Roman"/>
                <w:kern w:val="0"/>
                <w:sz w:val="21"/>
                <w:szCs w:val="21"/>
              </w:rPr>
              <w:t>≥</w:t>
            </w:r>
            <w:r>
              <w:rPr>
                <w:rFonts w:hint="default" w:ascii="Times New Roman" w:hAnsi="Times New Roman" w:eastAsia="微软雅黑" w:cs="Times New Roman"/>
                <w:kern w:val="0"/>
                <w:sz w:val="21"/>
                <w:szCs w:val="21"/>
                <w:lang w:eastAsia="en-US"/>
              </w:rPr>
              <w:t>26</w:t>
            </w:r>
          </w:p>
        </w:tc>
        <w:tc>
          <w:tcPr>
            <w:tcW w:w="4849" w:type="dxa"/>
            <w:tcBorders>
              <w:right w:val="nil"/>
            </w:tcBorders>
            <w:vAlign w:val="center"/>
          </w:tcPr>
          <w:p w14:paraId="7370FBE6">
            <w:pPr>
              <w:pStyle w:val="49"/>
              <w:spacing w:line="320" w:lineRule="exact"/>
              <w:rPr>
                <w:rFonts w:hint="default" w:ascii="Times New Roman" w:hAnsi="Times New Roman" w:eastAsia="微软雅黑" w:cs="Times New Roman"/>
                <w:kern w:val="0"/>
                <w:sz w:val="21"/>
                <w:szCs w:val="21"/>
                <w:lang w:val="en-US" w:eastAsia="zh-CN" w:bidi="ar-SA"/>
              </w:rPr>
            </w:pPr>
            <w:r>
              <w:rPr>
                <w:rFonts w:hint="default" w:ascii="Times New Roman" w:hAnsi="Times New Roman" w:eastAsia="微软雅黑" w:cs="Times New Roman"/>
                <w:kern w:val="0"/>
                <w:sz w:val="21"/>
                <w:szCs w:val="21"/>
              </w:rPr>
              <w:t>HR阳性、HER2阴性、pT1-3和pN1 (1-3个淋巴结阳性)且RS≥26的绝经前肿瘤患者，建议化疗结合内分泌治疗。</w:t>
            </w:r>
          </w:p>
        </w:tc>
      </w:tr>
    </w:tbl>
    <w:p w14:paraId="46D5DF41">
      <w:pPr>
        <w:pStyle w:val="49"/>
        <w:spacing w:line="320" w:lineRule="exact"/>
        <w:ind w:left="178" w:leftChars="81" w:firstLine="0" w:firstLineChars="0"/>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1.基因表达分析提供了预后和治疗预测信息，补充了肿瘤TNM分期和生物标志物信息。分期不需要使用这些分析。21基因检测法（癌型Dx）是NCCN乳腺癌小组用于预后和预测化疗益处的首选方法。</w:t>
      </w:r>
    </w:p>
    <w:p w14:paraId="0C871B1A">
      <w:pPr>
        <w:pStyle w:val="49"/>
        <w:spacing w:line="320" w:lineRule="exact"/>
        <w:ind w:left="178" w:leftChars="81" w:firstLine="0" w:firstLineChars="0"/>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2.其他预后基因表达检测可以提供预后信息，但预测化疗益处的能力尚不清楚。参见男性乳腺癌的特殊注意事项（出生时性别为男性）BINV-J。</w:t>
      </w:r>
    </w:p>
    <w:p w14:paraId="20D74088">
      <w:pPr>
        <w:pStyle w:val="49"/>
        <w:spacing w:line="320" w:lineRule="exact"/>
        <w:ind w:firstLine="180" w:firstLineChars="100"/>
        <w:rPr>
          <w:rFonts w:hint="default" w:ascii="Times New Roman" w:hAnsi="Times New Roman" w:eastAsia="微软雅黑" w:cs="Times New Roman"/>
          <w:kern w:val="0"/>
          <w:sz w:val="18"/>
          <w:szCs w:val="18"/>
        </w:rPr>
      </w:pPr>
      <w:r>
        <w:rPr>
          <w:rFonts w:hint="default" w:ascii="Times New Roman" w:hAnsi="Times New Roman" w:eastAsia="微软雅黑" w:cs="Times New Roman"/>
          <w:kern w:val="0"/>
          <w:sz w:val="18"/>
          <w:szCs w:val="18"/>
        </w:rPr>
        <w:t>3.在RxPONDER试验的总体研究人群中。10.3%有高分级，9.2%有3个受累淋巴结。</w:t>
      </w:r>
    </w:p>
    <w:p w14:paraId="4764F432">
      <w:pPr>
        <w:keepNext w:val="0"/>
        <w:keepLines w:val="0"/>
        <w:pageBreakBefore w:val="0"/>
        <w:widowControl w:val="0"/>
        <w:kinsoku/>
        <w:wordWrap/>
        <w:overflowPunct/>
        <w:topLinePunct w:val="0"/>
        <w:autoSpaceDE/>
        <w:autoSpaceDN/>
        <w:bidi w:val="0"/>
        <w:adjustRightInd/>
        <w:snapToGrid/>
        <w:ind w:left="119"/>
        <w:jc w:val="both"/>
        <w:textAlignment w:val="auto"/>
        <w:rPr>
          <w:rFonts w:hint="default" w:ascii="Times New Roman" w:hAnsi="Times New Roman" w:eastAsia="微软雅黑" w:cs="Times New Roman"/>
          <w:b/>
          <w:bCs/>
          <w:color w:val="00B050"/>
          <w:sz w:val="28"/>
          <w:szCs w:val="36"/>
          <w:lang w:eastAsia="zh-CN"/>
        </w:rPr>
      </w:pPr>
      <w:r>
        <w:rPr>
          <w:rFonts w:hint="default" w:ascii="Times New Roman" w:hAnsi="Times New Roman" w:eastAsia="微软雅黑" w:cs="Times New Roman"/>
          <w:b/>
          <w:bCs/>
          <w:color w:val="00B050"/>
          <w:sz w:val="28"/>
          <w:szCs w:val="36"/>
          <w:lang w:eastAsia="zh-CN"/>
        </w:rPr>
        <w:br w:type="page"/>
      </w:r>
    </w:p>
    <w:p w14:paraId="186A9712">
      <w:pPr>
        <w:numPr>
          <w:ilvl w:val="255"/>
          <w:numId w:val="0"/>
        </w:numPr>
        <w:jc w:val="both"/>
        <w:outlineLvl w:val="0"/>
        <w:rPr>
          <w:rStyle w:val="41"/>
          <w:rFonts w:hint="default" w:ascii="Times New Roman" w:hAnsi="Times New Roman" w:eastAsia="微软雅黑" w:cs="Times New Roman"/>
          <w:color w:val="62B541"/>
          <w:sz w:val="32"/>
          <w:szCs w:val="32"/>
          <w14:shadow w14:blurRad="50800" w14:dist="38100" w14:dir="10800000" w14:sx="100000" w14:sy="100000" w14:kx="0" w14:ky="0" w14:algn="r">
            <w14:srgbClr w14:val="62B541">
              <w14:alpha w14:val="60000"/>
            </w14:srgbClr>
          </w14:shadow>
        </w:rPr>
      </w:pPr>
      <w:bookmarkStart w:id="70" w:name="_Toc32037"/>
      <w:bookmarkStart w:id="71" w:name="_Toc81251349"/>
      <w:bookmarkStart w:id="72" w:name="_Toc81326587"/>
      <w:r>
        <w:rPr>
          <w:rStyle w:val="41"/>
          <w:rFonts w:hint="default" w:ascii="Times New Roman" w:hAnsi="Times New Roman" w:eastAsia="微软雅黑" w:cs="Times New Roman"/>
          <w:color w:val="62B541"/>
          <w:sz w:val="32"/>
          <w:szCs w:val="32"/>
          <w14:shadow w14:blurRad="50800" w14:dist="38100" w14:dir="10800000" w14:sx="100000" w14:sy="100000" w14:kx="0" w14:ky="0" w14:algn="r">
            <w14:srgbClr w14:val="62B541">
              <w14:alpha w14:val="60000"/>
            </w14:srgbClr>
          </w14:shadow>
        </w:rPr>
        <w:t>检测基因列表</w:t>
      </w:r>
      <w:bookmarkEnd w:id="70"/>
      <w:bookmarkEnd w:id="71"/>
      <w:bookmarkEnd w:id="72"/>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1"/>
        <w:gridCol w:w="1441"/>
      </w:tblGrid>
      <w:tr w14:paraId="1292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4030B44B">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CCNB1</w:t>
            </w:r>
          </w:p>
        </w:tc>
        <w:tc>
          <w:tcPr>
            <w:tcW w:w="714" w:type="pct"/>
            <w:vAlign w:val="center"/>
          </w:tcPr>
          <w:p w14:paraId="007991C4">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Ki-67</w:t>
            </w:r>
          </w:p>
        </w:tc>
        <w:tc>
          <w:tcPr>
            <w:tcW w:w="714" w:type="pct"/>
            <w:vAlign w:val="center"/>
          </w:tcPr>
          <w:p w14:paraId="39DB67A7">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MYBL2</w:t>
            </w:r>
          </w:p>
        </w:tc>
        <w:tc>
          <w:tcPr>
            <w:tcW w:w="714" w:type="pct"/>
            <w:vAlign w:val="center"/>
          </w:tcPr>
          <w:p w14:paraId="17B1A94A">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STK15</w:t>
            </w:r>
          </w:p>
        </w:tc>
        <w:tc>
          <w:tcPr>
            <w:tcW w:w="714" w:type="pct"/>
            <w:vAlign w:val="center"/>
          </w:tcPr>
          <w:p w14:paraId="427B6053">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SURV</w:t>
            </w:r>
          </w:p>
        </w:tc>
        <w:tc>
          <w:tcPr>
            <w:tcW w:w="714" w:type="pct"/>
            <w:vAlign w:val="center"/>
          </w:tcPr>
          <w:p w14:paraId="75A66642">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CTSL2</w:t>
            </w:r>
          </w:p>
        </w:tc>
        <w:tc>
          <w:tcPr>
            <w:tcW w:w="714" w:type="pct"/>
            <w:vAlign w:val="center"/>
          </w:tcPr>
          <w:p w14:paraId="1BC8857F">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iCs/>
                <w:color w:val="000000"/>
                <w:sz w:val="21"/>
                <w:szCs w:val="21"/>
                <w:lang w:eastAsia="zh-CN"/>
              </w:rPr>
              <w:t>STMY3</w:t>
            </w:r>
          </w:p>
        </w:tc>
      </w:tr>
      <w:tr w14:paraId="30D6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688C41B3">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BCL2</w:t>
            </w:r>
          </w:p>
        </w:tc>
        <w:tc>
          <w:tcPr>
            <w:tcW w:w="714" w:type="pct"/>
            <w:vAlign w:val="center"/>
          </w:tcPr>
          <w:p w14:paraId="54746328">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SCUBE2</w:t>
            </w:r>
          </w:p>
        </w:tc>
        <w:tc>
          <w:tcPr>
            <w:tcW w:w="714" w:type="pct"/>
            <w:vAlign w:val="center"/>
          </w:tcPr>
          <w:p w14:paraId="765C3F59">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ESR1</w:t>
            </w:r>
          </w:p>
        </w:tc>
        <w:tc>
          <w:tcPr>
            <w:tcW w:w="714" w:type="pct"/>
            <w:vAlign w:val="center"/>
          </w:tcPr>
          <w:p w14:paraId="708B3179">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PGR</w:t>
            </w:r>
          </w:p>
        </w:tc>
        <w:tc>
          <w:tcPr>
            <w:tcW w:w="714" w:type="pct"/>
            <w:vAlign w:val="center"/>
          </w:tcPr>
          <w:p w14:paraId="48964588">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GRB7</w:t>
            </w:r>
          </w:p>
        </w:tc>
        <w:tc>
          <w:tcPr>
            <w:tcW w:w="714" w:type="pct"/>
            <w:vAlign w:val="center"/>
          </w:tcPr>
          <w:p w14:paraId="7BCB0964">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HER2</w:t>
            </w:r>
          </w:p>
        </w:tc>
        <w:tc>
          <w:tcPr>
            <w:tcW w:w="714" w:type="pct"/>
            <w:vAlign w:val="center"/>
          </w:tcPr>
          <w:p w14:paraId="084361A0">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BAG1</w:t>
            </w:r>
          </w:p>
        </w:tc>
      </w:tr>
      <w:tr w14:paraId="5982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1BB05076">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CD68</w:t>
            </w:r>
          </w:p>
        </w:tc>
        <w:tc>
          <w:tcPr>
            <w:tcW w:w="714" w:type="pct"/>
            <w:vAlign w:val="center"/>
          </w:tcPr>
          <w:p w14:paraId="1BBE8ACC">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GSTM1</w:t>
            </w:r>
          </w:p>
        </w:tc>
        <w:tc>
          <w:tcPr>
            <w:tcW w:w="714" w:type="pct"/>
            <w:vAlign w:val="center"/>
          </w:tcPr>
          <w:p w14:paraId="441EE3E4">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Beta-Actin</w:t>
            </w:r>
          </w:p>
        </w:tc>
        <w:tc>
          <w:tcPr>
            <w:tcW w:w="714" w:type="pct"/>
            <w:vAlign w:val="center"/>
          </w:tcPr>
          <w:p w14:paraId="6B54A438">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GAPDH</w:t>
            </w:r>
          </w:p>
        </w:tc>
        <w:tc>
          <w:tcPr>
            <w:tcW w:w="714" w:type="pct"/>
            <w:vAlign w:val="center"/>
          </w:tcPr>
          <w:p w14:paraId="77A9A7D7">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GUS</w:t>
            </w:r>
          </w:p>
        </w:tc>
        <w:tc>
          <w:tcPr>
            <w:tcW w:w="714" w:type="pct"/>
            <w:vAlign w:val="center"/>
          </w:tcPr>
          <w:p w14:paraId="0A3EC27B">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RPLPO</w:t>
            </w:r>
          </w:p>
        </w:tc>
        <w:tc>
          <w:tcPr>
            <w:tcW w:w="714" w:type="pct"/>
            <w:vAlign w:val="center"/>
          </w:tcPr>
          <w:p w14:paraId="0603CE22">
            <w:pPr>
              <w:jc w:val="center"/>
              <w:rPr>
                <w:rFonts w:hint="default" w:ascii="Times New Roman" w:hAnsi="Times New Roman" w:eastAsia="微软雅黑" w:cs="Times New Roman"/>
                <w:i/>
                <w:lang w:eastAsia="zh-CN"/>
              </w:rPr>
            </w:pPr>
            <w:r>
              <w:rPr>
                <w:rFonts w:hint="default" w:ascii="Times New Roman" w:hAnsi="Times New Roman" w:eastAsia="微软雅黑" w:cs="Times New Roman"/>
                <w:i/>
                <w:lang w:eastAsia="zh-CN"/>
              </w:rPr>
              <w:t>TFRC</w:t>
            </w:r>
          </w:p>
        </w:tc>
      </w:tr>
      <w:bookmarkEnd w:id="8"/>
      <w:bookmarkEnd w:id="40"/>
      <w:bookmarkEnd w:id="41"/>
      <w:bookmarkEnd w:id="42"/>
      <w:bookmarkEnd w:id="43"/>
      <w:bookmarkEnd w:id="44"/>
      <w:bookmarkEnd w:id="45"/>
      <w:bookmarkEnd w:id="46"/>
      <w:bookmarkEnd w:id="47"/>
    </w:tbl>
    <w:p w14:paraId="52822F87">
      <w:pPr>
        <w:pStyle w:val="13"/>
        <w:widowControl/>
        <w:rPr>
          <w:rFonts w:hint="default" w:ascii="Times New Roman" w:hAnsi="Times New Roman" w:eastAsia="微软雅黑" w:cs="Times New Roman"/>
          <w:sz w:val="22"/>
          <w:lang w:eastAsia="zh-CN"/>
        </w:rPr>
      </w:pPr>
    </w:p>
    <w:sectPr>
      <w:headerReference r:id="rId3" w:type="default"/>
      <w:footerReference r:id="rId4" w:type="default"/>
      <w:pgSz w:w="11906" w:h="16838"/>
      <w:pgMar w:top="1037" w:right="1020" w:bottom="981" w:left="1020" w:header="283" w:footer="567" w:gutter="0"/>
      <w:pgBorders>
        <w:top w:val="none" w:sz="0" w:space="0"/>
        <w:left w:val="none" w:sz="0" w:space="0"/>
        <w:bottom w:val="none" w:sz="0" w:space="0"/>
        <w:right w:val="none" w:sz="0" w:space="0"/>
      </w:pgBorders>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0" w:usb3="00000000" w:csb0="00000000" w:csb1="00000000"/>
  </w:font>
  <w:font w:name="思源黑体 CN Normal">
    <w:altName w:val="微软雅黑"/>
    <w:panose1 w:val="000000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08DB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56260" cy="36639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556260" cy="366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66E0D5">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hint="default" w:ascii="Times New Roman" w:hAnsi="Times New Roman" w:cs="Times New Roman"/>
                              <w:b/>
                              <w:bCs/>
                            </w:rPr>
                            <w:fldChar w:fldCharType="begin"/>
                          </w:r>
                          <w:r>
                            <w:rPr>
                              <w:rFonts w:hint="default" w:ascii="Times New Roman" w:hAnsi="Times New Roman" w:cs="Times New Roman"/>
                              <w:b/>
                              <w:bCs/>
                            </w:rPr>
                            <w:instrText xml:space="preserve"> NUMPAGES  \* MERGEFORMAT </w:instrText>
                          </w:r>
                          <w:r>
                            <w:rPr>
                              <w:rFonts w:hint="default" w:ascii="Times New Roman" w:hAnsi="Times New Roman" w:cs="Times New Roman"/>
                              <w:b/>
                              <w:bCs/>
                            </w:rPr>
                            <w:fldChar w:fldCharType="separate"/>
                          </w:r>
                          <w:r>
                            <w:rPr>
                              <w:rFonts w:hint="default" w:ascii="Times New Roman" w:hAnsi="Times New Roman" w:cs="Times New Roman"/>
                              <w:b/>
                              <w:bCs/>
                            </w:rPr>
                            <w:t>58</w:t>
                          </w:r>
                          <w:r>
                            <w:rPr>
                              <w:rFonts w:hint="default" w:ascii="Times New Roman" w:hAnsi="Times New Roman"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8.85pt;width:43.8pt;mso-position-horizontal:center;mso-position-horizontal-relative:margin;z-index:251659264;mso-width-relative:page;mso-height-relative:page;" filled="f" stroked="f" coordsize="21600,21600" o:gfxdata="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k4WadQAAAADAQAADwAAAAAAAAABACAAAAAiAAAAZHJzL2Rvd25yZXYu&#10;eG1sUEsBAhQAFAAAAAgAh07iQHFIzOA4AgAAYwQAAA4AAAAAAAAAAQAgAAAAIwEAAGRycy9lMm9E&#10;b2MueG1sUEsFBgAAAAAGAAYAWQEAAM0FAAAAAA==&#10;">
              <v:fill on="f" focussize="0,0"/>
              <v:stroke on="f" weight="0.5pt"/>
              <v:imagedata o:title=""/>
              <o:lock v:ext="edit" aspectratio="f"/>
              <v:textbox inset="0mm,0mm,0mm,0mm">
                <w:txbxContent>
                  <w:p w14:paraId="1666E0D5">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hint="default" w:ascii="Times New Roman" w:hAnsi="Times New Roman" w:cs="Times New Roman"/>
                        <w:b/>
                        <w:bCs/>
                      </w:rPr>
                      <w:fldChar w:fldCharType="begin"/>
                    </w:r>
                    <w:r>
                      <w:rPr>
                        <w:rFonts w:hint="default" w:ascii="Times New Roman" w:hAnsi="Times New Roman" w:cs="Times New Roman"/>
                        <w:b/>
                        <w:bCs/>
                      </w:rPr>
                      <w:instrText xml:space="preserve"> NUMPAGES  \* MERGEFORMAT </w:instrText>
                    </w:r>
                    <w:r>
                      <w:rPr>
                        <w:rFonts w:hint="default" w:ascii="Times New Roman" w:hAnsi="Times New Roman" w:cs="Times New Roman"/>
                        <w:b/>
                        <w:bCs/>
                      </w:rPr>
                      <w:fldChar w:fldCharType="separate"/>
                    </w:r>
                    <w:r>
                      <w:rPr>
                        <w:rFonts w:hint="default" w:ascii="Times New Roman" w:hAnsi="Times New Roman" w:cs="Times New Roman"/>
                        <w:b/>
                        <w:bCs/>
                      </w:rPr>
                      <w:t>58</w:t>
                    </w:r>
                    <w:r>
                      <w:rPr>
                        <w:rFonts w:hint="default" w:ascii="Times New Roman" w:hAnsi="Times New Roman"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3BA36">
    <w:pPr>
      <w:pStyle w:val="10"/>
      <w:pBdr>
        <w:bottom w:val="single" w:color="BEBEBE" w:themeColor="background1" w:themeShade="BF" w:sz="8" w:space="1"/>
      </w:pBdr>
      <w:spacing w:line="312" w:lineRule="auto"/>
      <w:jc w:val="center"/>
      <w:rPr>
        <w:rFonts w:ascii="思源黑体 CN Normal" w:hAnsi="思源黑体 CN Normal" w:eastAsia="思源黑体 CN Normal"/>
        <w:b/>
        <w:bCs/>
        <w:sz w:val="28"/>
        <w:szCs w:val="28"/>
      </w:rPr>
    </w:pPr>
    <w:r>
      <w:rPr>
        <w:rFonts w:hint="eastAsia" w:ascii="思源黑体 CN Normal" w:hAnsi="思源黑体 CN Normal" w:eastAsia="思源黑体 CN Normal"/>
        <w:b/>
        <w:bCs/>
        <w:sz w:val="28"/>
        <w:szCs w:val="28"/>
      </w:rPr>
      <w:t>中南大学湘雅三医院精准诊断中心报告单</w:t>
    </w:r>
  </w:p>
  <w:p w14:paraId="4D9C178E">
    <w:pPr>
      <w:ind w:firstLine="5760" w:firstLineChars="3200"/>
      <w:jc w:val="both"/>
    </w:pPr>
    <w:r>
      <w:rPr>
        <w:rFonts w:hint="eastAsia" w:ascii="思源黑体 CN Normal" w:hAnsi="思源黑体 CN Normal" w:eastAsia="思源黑体 CN Normal"/>
        <w:sz w:val="18"/>
        <w:szCs w:val="18"/>
      </w:rPr>
      <w:t xml:space="preserve">姓名：{{ client }} </w:t>
    </w:r>
    <w:r>
      <w:rPr>
        <w:rFonts w:ascii="思源黑体 CN Normal" w:hAnsi="思源黑体 CN Normal" w:eastAsia="思源黑体 CN Normal"/>
        <w:sz w:val="18"/>
        <w:szCs w:val="18"/>
      </w:rPr>
      <w:t xml:space="preserve">    </w:t>
    </w:r>
    <w:r>
      <w:rPr>
        <w:rFonts w:hint="eastAsia" w:ascii="思源黑体 CN Normal" w:hAnsi="思源黑体 CN Normal" w:eastAsia="思源黑体 CN Normal"/>
        <w:sz w:val="18"/>
        <w:szCs w:val="18"/>
      </w:rPr>
      <w:t xml:space="preserve">     检测编号：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606207CA"/>
    <w:multiLevelType w:val="singleLevel"/>
    <w:tmpl w:val="606207CA"/>
    <w:lvl w:ilvl="0" w:tentative="0">
      <w:start w:val="1"/>
      <w:numFmt w:val="decimal"/>
      <w:suff w:val="nothing"/>
      <w:lvlText w:val="%1."/>
      <w:lvlJc w:val="left"/>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3"/>
  </w:num>
  <w:num w:numId="2">
    <w:abstractNumId w:val="6"/>
  </w:num>
  <w:num w:numId="3">
    <w:abstractNumId w:val="4"/>
  </w:num>
  <w:num w:numId="4">
    <w:abstractNumId w:val="1"/>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HorizontalSpacing w:val="220"/>
  <w:drawingGridVerticalSpacing w:val="156"/>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07F92"/>
    <w:rsid w:val="0005498B"/>
    <w:rsid w:val="000569FC"/>
    <w:rsid w:val="00077B98"/>
    <w:rsid w:val="00081920"/>
    <w:rsid w:val="000A7060"/>
    <w:rsid w:val="000B5B79"/>
    <w:rsid w:val="000B6DCF"/>
    <w:rsid w:val="00137A02"/>
    <w:rsid w:val="00154460"/>
    <w:rsid w:val="00172A27"/>
    <w:rsid w:val="00184059"/>
    <w:rsid w:val="00192B96"/>
    <w:rsid w:val="00195F33"/>
    <w:rsid w:val="001A3418"/>
    <w:rsid w:val="001C358C"/>
    <w:rsid w:val="001F4429"/>
    <w:rsid w:val="002079E9"/>
    <w:rsid w:val="002558A2"/>
    <w:rsid w:val="00276CD5"/>
    <w:rsid w:val="00286D54"/>
    <w:rsid w:val="00287F02"/>
    <w:rsid w:val="00294AB0"/>
    <w:rsid w:val="002B078C"/>
    <w:rsid w:val="002C0385"/>
    <w:rsid w:val="002E3CD6"/>
    <w:rsid w:val="002E7BF1"/>
    <w:rsid w:val="00302818"/>
    <w:rsid w:val="003220D3"/>
    <w:rsid w:val="00347920"/>
    <w:rsid w:val="00351BFB"/>
    <w:rsid w:val="00370A25"/>
    <w:rsid w:val="00386929"/>
    <w:rsid w:val="00391615"/>
    <w:rsid w:val="003A453F"/>
    <w:rsid w:val="003D2994"/>
    <w:rsid w:val="003D6176"/>
    <w:rsid w:val="003D6E2F"/>
    <w:rsid w:val="00404B24"/>
    <w:rsid w:val="00431C42"/>
    <w:rsid w:val="00440C0E"/>
    <w:rsid w:val="004512CF"/>
    <w:rsid w:val="004B1E9F"/>
    <w:rsid w:val="004D1395"/>
    <w:rsid w:val="0052321F"/>
    <w:rsid w:val="005710F9"/>
    <w:rsid w:val="005746B2"/>
    <w:rsid w:val="00587268"/>
    <w:rsid w:val="005A46FA"/>
    <w:rsid w:val="005E26B2"/>
    <w:rsid w:val="00604E02"/>
    <w:rsid w:val="00605930"/>
    <w:rsid w:val="00606881"/>
    <w:rsid w:val="006A31A2"/>
    <w:rsid w:val="006A479C"/>
    <w:rsid w:val="006D0EFE"/>
    <w:rsid w:val="006D1E20"/>
    <w:rsid w:val="00704C7D"/>
    <w:rsid w:val="007139FD"/>
    <w:rsid w:val="00737E1E"/>
    <w:rsid w:val="007442EF"/>
    <w:rsid w:val="00772573"/>
    <w:rsid w:val="007834F9"/>
    <w:rsid w:val="007E782E"/>
    <w:rsid w:val="007F160A"/>
    <w:rsid w:val="008061D7"/>
    <w:rsid w:val="0083395D"/>
    <w:rsid w:val="008357FF"/>
    <w:rsid w:val="008559CF"/>
    <w:rsid w:val="008758EB"/>
    <w:rsid w:val="00875C74"/>
    <w:rsid w:val="00877130"/>
    <w:rsid w:val="008B1AB4"/>
    <w:rsid w:val="008B2982"/>
    <w:rsid w:val="008B2A57"/>
    <w:rsid w:val="008B61B8"/>
    <w:rsid w:val="008D037F"/>
    <w:rsid w:val="008E4FDA"/>
    <w:rsid w:val="008F211E"/>
    <w:rsid w:val="008F3463"/>
    <w:rsid w:val="00907638"/>
    <w:rsid w:val="00916E6D"/>
    <w:rsid w:val="009B6923"/>
    <w:rsid w:val="00A0169B"/>
    <w:rsid w:val="00A15B0F"/>
    <w:rsid w:val="00A1765D"/>
    <w:rsid w:val="00A66867"/>
    <w:rsid w:val="00AE4577"/>
    <w:rsid w:val="00AE5DB4"/>
    <w:rsid w:val="00B01B75"/>
    <w:rsid w:val="00B15932"/>
    <w:rsid w:val="00B16E7E"/>
    <w:rsid w:val="00B2404B"/>
    <w:rsid w:val="00B35012"/>
    <w:rsid w:val="00B41DAE"/>
    <w:rsid w:val="00B42F3E"/>
    <w:rsid w:val="00B55B54"/>
    <w:rsid w:val="00B76730"/>
    <w:rsid w:val="00B85740"/>
    <w:rsid w:val="00C01969"/>
    <w:rsid w:val="00C24228"/>
    <w:rsid w:val="00C348E7"/>
    <w:rsid w:val="00C779A7"/>
    <w:rsid w:val="00CC1336"/>
    <w:rsid w:val="00CC5FB2"/>
    <w:rsid w:val="00D2107B"/>
    <w:rsid w:val="00D22BB0"/>
    <w:rsid w:val="00D40855"/>
    <w:rsid w:val="00D43F0A"/>
    <w:rsid w:val="00D730DF"/>
    <w:rsid w:val="00DA2F2F"/>
    <w:rsid w:val="00DA34CC"/>
    <w:rsid w:val="00DB0016"/>
    <w:rsid w:val="00DB3111"/>
    <w:rsid w:val="00E31BA8"/>
    <w:rsid w:val="00E421E5"/>
    <w:rsid w:val="00E548FF"/>
    <w:rsid w:val="00E871EF"/>
    <w:rsid w:val="00E8735E"/>
    <w:rsid w:val="00EF3FA4"/>
    <w:rsid w:val="00F121B1"/>
    <w:rsid w:val="00F16E9F"/>
    <w:rsid w:val="00F23A93"/>
    <w:rsid w:val="00F25C1E"/>
    <w:rsid w:val="00F54CFD"/>
    <w:rsid w:val="00FD0E69"/>
    <w:rsid w:val="00FF7146"/>
    <w:rsid w:val="00FF7BB1"/>
    <w:rsid w:val="011A030A"/>
    <w:rsid w:val="011A0D8B"/>
    <w:rsid w:val="01346A0D"/>
    <w:rsid w:val="0171268E"/>
    <w:rsid w:val="01A0337A"/>
    <w:rsid w:val="01B80280"/>
    <w:rsid w:val="02126DF2"/>
    <w:rsid w:val="027125E7"/>
    <w:rsid w:val="02CA5230"/>
    <w:rsid w:val="02DD291C"/>
    <w:rsid w:val="031B6FF1"/>
    <w:rsid w:val="03803E36"/>
    <w:rsid w:val="038726D8"/>
    <w:rsid w:val="03A3053B"/>
    <w:rsid w:val="03B709A5"/>
    <w:rsid w:val="03E921F1"/>
    <w:rsid w:val="04791D69"/>
    <w:rsid w:val="04871837"/>
    <w:rsid w:val="04A167FA"/>
    <w:rsid w:val="04A3486F"/>
    <w:rsid w:val="04C17114"/>
    <w:rsid w:val="05815BFE"/>
    <w:rsid w:val="05887898"/>
    <w:rsid w:val="05D63B33"/>
    <w:rsid w:val="05F72E03"/>
    <w:rsid w:val="06A61E8D"/>
    <w:rsid w:val="06E36A2C"/>
    <w:rsid w:val="06EB7F4D"/>
    <w:rsid w:val="072B7D8D"/>
    <w:rsid w:val="074043CC"/>
    <w:rsid w:val="075F796E"/>
    <w:rsid w:val="078F7797"/>
    <w:rsid w:val="07AB34E7"/>
    <w:rsid w:val="07B444F9"/>
    <w:rsid w:val="07D36A00"/>
    <w:rsid w:val="07D62624"/>
    <w:rsid w:val="07DB59EB"/>
    <w:rsid w:val="083F50A2"/>
    <w:rsid w:val="08521695"/>
    <w:rsid w:val="088D7FF0"/>
    <w:rsid w:val="08C413EB"/>
    <w:rsid w:val="08FD4BD5"/>
    <w:rsid w:val="09705B33"/>
    <w:rsid w:val="09BC6232"/>
    <w:rsid w:val="0A043ABA"/>
    <w:rsid w:val="0A4F2135"/>
    <w:rsid w:val="0A757891"/>
    <w:rsid w:val="0ADA7F11"/>
    <w:rsid w:val="0AEC09F3"/>
    <w:rsid w:val="0B3C2E84"/>
    <w:rsid w:val="0B90116D"/>
    <w:rsid w:val="0C1768CC"/>
    <w:rsid w:val="0C3A0C95"/>
    <w:rsid w:val="0C3E5385"/>
    <w:rsid w:val="0C6D6AA4"/>
    <w:rsid w:val="0C96240B"/>
    <w:rsid w:val="0CC26BD0"/>
    <w:rsid w:val="0D055CE8"/>
    <w:rsid w:val="0D8674E2"/>
    <w:rsid w:val="0D9819F1"/>
    <w:rsid w:val="0DC539CC"/>
    <w:rsid w:val="0E11445D"/>
    <w:rsid w:val="0E542351"/>
    <w:rsid w:val="0E632099"/>
    <w:rsid w:val="0E707BF7"/>
    <w:rsid w:val="0EBF2A43"/>
    <w:rsid w:val="0EC91129"/>
    <w:rsid w:val="0ED843CC"/>
    <w:rsid w:val="0EF37BE4"/>
    <w:rsid w:val="0F3D4007"/>
    <w:rsid w:val="0F42576D"/>
    <w:rsid w:val="0F463D52"/>
    <w:rsid w:val="0F890797"/>
    <w:rsid w:val="0FB9297A"/>
    <w:rsid w:val="0FD33020"/>
    <w:rsid w:val="0FEF6595"/>
    <w:rsid w:val="10393EFC"/>
    <w:rsid w:val="109E5CA8"/>
    <w:rsid w:val="10A519AE"/>
    <w:rsid w:val="110D3F98"/>
    <w:rsid w:val="126971EB"/>
    <w:rsid w:val="12850E64"/>
    <w:rsid w:val="128E12F5"/>
    <w:rsid w:val="12963DA1"/>
    <w:rsid w:val="12F372F0"/>
    <w:rsid w:val="132612E4"/>
    <w:rsid w:val="135100A4"/>
    <w:rsid w:val="13740968"/>
    <w:rsid w:val="13897526"/>
    <w:rsid w:val="13AB527B"/>
    <w:rsid w:val="13EC27A3"/>
    <w:rsid w:val="14756B58"/>
    <w:rsid w:val="148638E3"/>
    <w:rsid w:val="14872247"/>
    <w:rsid w:val="148972D9"/>
    <w:rsid w:val="149B7751"/>
    <w:rsid w:val="14C82A00"/>
    <w:rsid w:val="14E50274"/>
    <w:rsid w:val="150C3ACC"/>
    <w:rsid w:val="150E31A1"/>
    <w:rsid w:val="15196B67"/>
    <w:rsid w:val="1524470F"/>
    <w:rsid w:val="152E3223"/>
    <w:rsid w:val="15396840"/>
    <w:rsid w:val="153F7D0D"/>
    <w:rsid w:val="15A824F9"/>
    <w:rsid w:val="15D73C77"/>
    <w:rsid w:val="162E1F72"/>
    <w:rsid w:val="165063E4"/>
    <w:rsid w:val="165D4F05"/>
    <w:rsid w:val="16BD5BE8"/>
    <w:rsid w:val="16CC4AEA"/>
    <w:rsid w:val="16D03ECB"/>
    <w:rsid w:val="16E67B0D"/>
    <w:rsid w:val="179E5A16"/>
    <w:rsid w:val="17EF172D"/>
    <w:rsid w:val="184F5A03"/>
    <w:rsid w:val="18670241"/>
    <w:rsid w:val="18746F7D"/>
    <w:rsid w:val="188B1EE6"/>
    <w:rsid w:val="188E10A8"/>
    <w:rsid w:val="19437087"/>
    <w:rsid w:val="19843682"/>
    <w:rsid w:val="199369D8"/>
    <w:rsid w:val="1A760C66"/>
    <w:rsid w:val="1ABC2473"/>
    <w:rsid w:val="1AFB664C"/>
    <w:rsid w:val="1B28649B"/>
    <w:rsid w:val="1BA36B7F"/>
    <w:rsid w:val="1BA85105"/>
    <w:rsid w:val="1BAD3E87"/>
    <w:rsid w:val="1BC264DE"/>
    <w:rsid w:val="1C691997"/>
    <w:rsid w:val="1C7A05D0"/>
    <w:rsid w:val="1C98707F"/>
    <w:rsid w:val="1CCD19AC"/>
    <w:rsid w:val="1CFB3D7D"/>
    <w:rsid w:val="1D0B7646"/>
    <w:rsid w:val="1D103BE7"/>
    <w:rsid w:val="1EAB0C6A"/>
    <w:rsid w:val="1EAF2912"/>
    <w:rsid w:val="1EEB2832"/>
    <w:rsid w:val="1F2B7CAE"/>
    <w:rsid w:val="2010221A"/>
    <w:rsid w:val="20205A20"/>
    <w:rsid w:val="20855B55"/>
    <w:rsid w:val="209432E5"/>
    <w:rsid w:val="20C205EB"/>
    <w:rsid w:val="20DC2A65"/>
    <w:rsid w:val="20DD37ED"/>
    <w:rsid w:val="20FA0C3B"/>
    <w:rsid w:val="213D29A6"/>
    <w:rsid w:val="21587DB9"/>
    <w:rsid w:val="216F18A9"/>
    <w:rsid w:val="21D55A39"/>
    <w:rsid w:val="22180203"/>
    <w:rsid w:val="22CD7295"/>
    <w:rsid w:val="22F870BC"/>
    <w:rsid w:val="22F90B63"/>
    <w:rsid w:val="2302130E"/>
    <w:rsid w:val="2322058C"/>
    <w:rsid w:val="23387F1F"/>
    <w:rsid w:val="235C2C2A"/>
    <w:rsid w:val="23DC4798"/>
    <w:rsid w:val="23FF1819"/>
    <w:rsid w:val="247168B2"/>
    <w:rsid w:val="24B86984"/>
    <w:rsid w:val="24CC5FBB"/>
    <w:rsid w:val="24D35DD8"/>
    <w:rsid w:val="24ED0FDA"/>
    <w:rsid w:val="25037400"/>
    <w:rsid w:val="253036C5"/>
    <w:rsid w:val="256C4478"/>
    <w:rsid w:val="258869DA"/>
    <w:rsid w:val="25B26207"/>
    <w:rsid w:val="268C673B"/>
    <w:rsid w:val="26976104"/>
    <w:rsid w:val="271A3FF4"/>
    <w:rsid w:val="271C165B"/>
    <w:rsid w:val="27870460"/>
    <w:rsid w:val="27A97FAA"/>
    <w:rsid w:val="28135739"/>
    <w:rsid w:val="2854712E"/>
    <w:rsid w:val="28B74238"/>
    <w:rsid w:val="28B83CA7"/>
    <w:rsid w:val="28DB26F3"/>
    <w:rsid w:val="28E502F9"/>
    <w:rsid w:val="29363F06"/>
    <w:rsid w:val="296F5B95"/>
    <w:rsid w:val="29735FAA"/>
    <w:rsid w:val="29A27C91"/>
    <w:rsid w:val="29DE0525"/>
    <w:rsid w:val="29EF70C8"/>
    <w:rsid w:val="2A116252"/>
    <w:rsid w:val="2A221D03"/>
    <w:rsid w:val="2A2E0C64"/>
    <w:rsid w:val="2A3716AB"/>
    <w:rsid w:val="2A41096D"/>
    <w:rsid w:val="2A836CBC"/>
    <w:rsid w:val="2ADE2A02"/>
    <w:rsid w:val="2ADE3166"/>
    <w:rsid w:val="2B485DBB"/>
    <w:rsid w:val="2B660E21"/>
    <w:rsid w:val="2B692B05"/>
    <w:rsid w:val="2B8C0A94"/>
    <w:rsid w:val="2BDE1876"/>
    <w:rsid w:val="2BF64087"/>
    <w:rsid w:val="2C165FD1"/>
    <w:rsid w:val="2C427C83"/>
    <w:rsid w:val="2CBC2ACA"/>
    <w:rsid w:val="2CC42F95"/>
    <w:rsid w:val="2CFA6D03"/>
    <w:rsid w:val="2D0D0130"/>
    <w:rsid w:val="2D6F4BEE"/>
    <w:rsid w:val="2DAD2E9F"/>
    <w:rsid w:val="2DBF41C7"/>
    <w:rsid w:val="2E0C0EE9"/>
    <w:rsid w:val="2E3D6CA4"/>
    <w:rsid w:val="2E642E7C"/>
    <w:rsid w:val="2E650F7F"/>
    <w:rsid w:val="2E7650F0"/>
    <w:rsid w:val="2E7C3545"/>
    <w:rsid w:val="2E9772A0"/>
    <w:rsid w:val="2EB35A8A"/>
    <w:rsid w:val="2ECC0B8E"/>
    <w:rsid w:val="2EEB5001"/>
    <w:rsid w:val="2EFA5ADE"/>
    <w:rsid w:val="2F180E79"/>
    <w:rsid w:val="2F28730D"/>
    <w:rsid w:val="2F3E547B"/>
    <w:rsid w:val="2F717F7F"/>
    <w:rsid w:val="2FC60657"/>
    <w:rsid w:val="304862D7"/>
    <w:rsid w:val="30C51137"/>
    <w:rsid w:val="30DA24F1"/>
    <w:rsid w:val="30F93A06"/>
    <w:rsid w:val="31067C7A"/>
    <w:rsid w:val="310959FE"/>
    <w:rsid w:val="3109732A"/>
    <w:rsid w:val="311A5EE6"/>
    <w:rsid w:val="315E5833"/>
    <w:rsid w:val="31A54B62"/>
    <w:rsid w:val="31B00187"/>
    <w:rsid w:val="31DC3C29"/>
    <w:rsid w:val="32080EDC"/>
    <w:rsid w:val="323B7D6C"/>
    <w:rsid w:val="32AB7EAB"/>
    <w:rsid w:val="32B71D27"/>
    <w:rsid w:val="32DE07F1"/>
    <w:rsid w:val="32F93432"/>
    <w:rsid w:val="33323300"/>
    <w:rsid w:val="334F7046"/>
    <w:rsid w:val="338527AA"/>
    <w:rsid w:val="33AE0711"/>
    <w:rsid w:val="33F425B0"/>
    <w:rsid w:val="3439458A"/>
    <w:rsid w:val="34635609"/>
    <w:rsid w:val="34777EA9"/>
    <w:rsid w:val="348573AD"/>
    <w:rsid w:val="34C40ED9"/>
    <w:rsid w:val="35064B82"/>
    <w:rsid w:val="357E5409"/>
    <w:rsid w:val="35945D5F"/>
    <w:rsid w:val="35B3556B"/>
    <w:rsid w:val="35F5325E"/>
    <w:rsid w:val="360630CA"/>
    <w:rsid w:val="360A76FC"/>
    <w:rsid w:val="366A08A1"/>
    <w:rsid w:val="371E73E3"/>
    <w:rsid w:val="372611FF"/>
    <w:rsid w:val="375F7447"/>
    <w:rsid w:val="37E81DE8"/>
    <w:rsid w:val="3848012E"/>
    <w:rsid w:val="38A11AEB"/>
    <w:rsid w:val="38F86950"/>
    <w:rsid w:val="390163DD"/>
    <w:rsid w:val="393518B6"/>
    <w:rsid w:val="39525C52"/>
    <w:rsid w:val="3956425B"/>
    <w:rsid w:val="396D50DB"/>
    <w:rsid w:val="399A6EB1"/>
    <w:rsid w:val="39A64D30"/>
    <w:rsid w:val="39AD230B"/>
    <w:rsid w:val="39F17B8A"/>
    <w:rsid w:val="3A202424"/>
    <w:rsid w:val="3A804354"/>
    <w:rsid w:val="3AC3489C"/>
    <w:rsid w:val="3ACA457F"/>
    <w:rsid w:val="3AF460F5"/>
    <w:rsid w:val="3B2731FE"/>
    <w:rsid w:val="3B721C7C"/>
    <w:rsid w:val="3BEA5380"/>
    <w:rsid w:val="3C3F24CA"/>
    <w:rsid w:val="3C546301"/>
    <w:rsid w:val="3C5D7D9D"/>
    <w:rsid w:val="3CA93488"/>
    <w:rsid w:val="3CCE6B14"/>
    <w:rsid w:val="3D0950DF"/>
    <w:rsid w:val="3D1C54C3"/>
    <w:rsid w:val="3D2C58AB"/>
    <w:rsid w:val="3D503064"/>
    <w:rsid w:val="3D6C60E9"/>
    <w:rsid w:val="3D855C98"/>
    <w:rsid w:val="3DF12391"/>
    <w:rsid w:val="3EBF5765"/>
    <w:rsid w:val="3EC949BD"/>
    <w:rsid w:val="3EEC20B5"/>
    <w:rsid w:val="3EEF1A8B"/>
    <w:rsid w:val="3F1D1FAD"/>
    <w:rsid w:val="3F453F96"/>
    <w:rsid w:val="3F4A7535"/>
    <w:rsid w:val="3F547FD3"/>
    <w:rsid w:val="3FB35D1D"/>
    <w:rsid w:val="3FCB42E0"/>
    <w:rsid w:val="3FCD0245"/>
    <w:rsid w:val="3FF2193A"/>
    <w:rsid w:val="40243720"/>
    <w:rsid w:val="405979F4"/>
    <w:rsid w:val="406438E2"/>
    <w:rsid w:val="408706D4"/>
    <w:rsid w:val="40895D14"/>
    <w:rsid w:val="40BA2B58"/>
    <w:rsid w:val="40BF754C"/>
    <w:rsid w:val="40F91152"/>
    <w:rsid w:val="4123696B"/>
    <w:rsid w:val="414D51AD"/>
    <w:rsid w:val="41C443C7"/>
    <w:rsid w:val="41C73588"/>
    <w:rsid w:val="41CE19DD"/>
    <w:rsid w:val="41EC43CC"/>
    <w:rsid w:val="41FF695D"/>
    <w:rsid w:val="42350DEA"/>
    <w:rsid w:val="42742F7E"/>
    <w:rsid w:val="42967F6B"/>
    <w:rsid w:val="42D665BD"/>
    <w:rsid w:val="42F94216"/>
    <w:rsid w:val="43821027"/>
    <w:rsid w:val="43E954A4"/>
    <w:rsid w:val="443B5FD6"/>
    <w:rsid w:val="452112A4"/>
    <w:rsid w:val="454A2BAB"/>
    <w:rsid w:val="459308E1"/>
    <w:rsid w:val="45A93012"/>
    <w:rsid w:val="45A935F2"/>
    <w:rsid w:val="45D4644E"/>
    <w:rsid w:val="46116FEE"/>
    <w:rsid w:val="46645F2F"/>
    <w:rsid w:val="468B40CD"/>
    <w:rsid w:val="46AB4F07"/>
    <w:rsid w:val="46AF4AA6"/>
    <w:rsid w:val="46B72EB2"/>
    <w:rsid w:val="47523EC7"/>
    <w:rsid w:val="475353E4"/>
    <w:rsid w:val="480908C5"/>
    <w:rsid w:val="48722453"/>
    <w:rsid w:val="48F33103"/>
    <w:rsid w:val="499C3073"/>
    <w:rsid w:val="499E6F1D"/>
    <w:rsid w:val="49B639DC"/>
    <w:rsid w:val="49C56F37"/>
    <w:rsid w:val="4A1A1AFC"/>
    <w:rsid w:val="4A1C7F69"/>
    <w:rsid w:val="4A4A7BE5"/>
    <w:rsid w:val="4A693618"/>
    <w:rsid w:val="4A83553B"/>
    <w:rsid w:val="4AD20770"/>
    <w:rsid w:val="4B163E44"/>
    <w:rsid w:val="4B315A79"/>
    <w:rsid w:val="4BBB626A"/>
    <w:rsid w:val="4BC14EAA"/>
    <w:rsid w:val="4BC61551"/>
    <w:rsid w:val="4BD7281D"/>
    <w:rsid w:val="4BDB7A88"/>
    <w:rsid w:val="4C050246"/>
    <w:rsid w:val="4C0F23A4"/>
    <w:rsid w:val="4C120763"/>
    <w:rsid w:val="4C150E22"/>
    <w:rsid w:val="4C6263AC"/>
    <w:rsid w:val="4C8413F2"/>
    <w:rsid w:val="4D6A309D"/>
    <w:rsid w:val="4D9E31C3"/>
    <w:rsid w:val="4DB6655A"/>
    <w:rsid w:val="4DC108F4"/>
    <w:rsid w:val="4DC465A1"/>
    <w:rsid w:val="4DEA5D98"/>
    <w:rsid w:val="4E0176F5"/>
    <w:rsid w:val="4E0C0474"/>
    <w:rsid w:val="4E3A26F2"/>
    <w:rsid w:val="4E414BB2"/>
    <w:rsid w:val="4E7E4296"/>
    <w:rsid w:val="4ED24E8A"/>
    <w:rsid w:val="4ED75229"/>
    <w:rsid w:val="4ED86DDC"/>
    <w:rsid w:val="4F074A7F"/>
    <w:rsid w:val="4F0D5F85"/>
    <w:rsid w:val="4F110B7E"/>
    <w:rsid w:val="4F2C4F1E"/>
    <w:rsid w:val="4F390D1C"/>
    <w:rsid w:val="4F436A1C"/>
    <w:rsid w:val="4F546E7B"/>
    <w:rsid w:val="4F5624CB"/>
    <w:rsid w:val="4FB467F9"/>
    <w:rsid w:val="4FD02F65"/>
    <w:rsid w:val="50374206"/>
    <w:rsid w:val="5094241E"/>
    <w:rsid w:val="510D07DF"/>
    <w:rsid w:val="519B28E7"/>
    <w:rsid w:val="51A84DBE"/>
    <w:rsid w:val="51EA52E6"/>
    <w:rsid w:val="51FE0D6E"/>
    <w:rsid w:val="52832C8D"/>
    <w:rsid w:val="52DB3A4A"/>
    <w:rsid w:val="52DE6BCC"/>
    <w:rsid w:val="52E57CC3"/>
    <w:rsid w:val="52E87108"/>
    <w:rsid w:val="52F33CAA"/>
    <w:rsid w:val="5312550A"/>
    <w:rsid w:val="53DE69BF"/>
    <w:rsid w:val="53E61ABA"/>
    <w:rsid w:val="541E45C6"/>
    <w:rsid w:val="5433547E"/>
    <w:rsid w:val="54D723E8"/>
    <w:rsid w:val="550721D5"/>
    <w:rsid w:val="554B10D3"/>
    <w:rsid w:val="557347D9"/>
    <w:rsid w:val="558D4CD1"/>
    <w:rsid w:val="55A47060"/>
    <w:rsid w:val="55AC636A"/>
    <w:rsid w:val="55C15CC7"/>
    <w:rsid w:val="56084A61"/>
    <w:rsid w:val="563648E8"/>
    <w:rsid w:val="5654589B"/>
    <w:rsid w:val="56993D78"/>
    <w:rsid w:val="56A650A5"/>
    <w:rsid w:val="56B967C0"/>
    <w:rsid w:val="56B96E5F"/>
    <w:rsid w:val="56BE67A9"/>
    <w:rsid w:val="56EE7782"/>
    <w:rsid w:val="56FF4F3E"/>
    <w:rsid w:val="57550496"/>
    <w:rsid w:val="576B0D91"/>
    <w:rsid w:val="57830686"/>
    <w:rsid w:val="57B02CFF"/>
    <w:rsid w:val="57B20168"/>
    <w:rsid w:val="57BC3EBC"/>
    <w:rsid w:val="57C96345"/>
    <w:rsid w:val="57D17697"/>
    <w:rsid w:val="57D92384"/>
    <w:rsid w:val="58020827"/>
    <w:rsid w:val="58106655"/>
    <w:rsid w:val="581808D2"/>
    <w:rsid w:val="588E3A11"/>
    <w:rsid w:val="58941028"/>
    <w:rsid w:val="58A44110"/>
    <w:rsid w:val="58D6109E"/>
    <w:rsid w:val="58DE21CC"/>
    <w:rsid w:val="58E03011"/>
    <w:rsid w:val="5927169E"/>
    <w:rsid w:val="592D2A56"/>
    <w:rsid w:val="599B45E2"/>
    <w:rsid w:val="5A647D23"/>
    <w:rsid w:val="5B2616E5"/>
    <w:rsid w:val="5B3A4C3E"/>
    <w:rsid w:val="5B884B96"/>
    <w:rsid w:val="5BC06CB0"/>
    <w:rsid w:val="5BD416AA"/>
    <w:rsid w:val="5BE05D12"/>
    <w:rsid w:val="5BF93517"/>
    <w:rsid w:val="5C1F4E24"/>
    <w:rsid w:val="5C317F92"/>
    <w:rsid w:val="5C3B779C"/>
    <w:rsid w:val="5C6E34D0"/>
    <w:rsid w:val="5C846653"/>
    <w:rsid w:val="5CE9068D"/>
    <w:rsid w:val="5D090FC9"/>
    <w:rsid w:val="5D5759CA"/>
    <w:rsid w:val="5D577585"/>
    <w:rsid w:val="5D7217AC"/>
    <w:rsid w:val="5D772D72"/>
    <w:rsid w:val="5E0B0A29"/>
    <w:rsid w:val="5EA8712E"/>
    <w:rsid w:val="5F5B3163"/>
    <w:rsid w:val="5F5D6E5A"/>
    <w:rsid w:val="5FA2526B"/>
    <w:rsid w:val="5FA40847"/>
    <w:rsid w:val="5FAA3C47"/>
    <w:rsid w:val="5FCB432F"/>
    <w:rsid w:val="5FF61953"/>
    <w:rsid w:val="600E54F4"/>
    <w:rsid w:val="604157B4"/>
    <w:rsid w:val="607B75C7"/>
    <w:rsid w:val="608E3AB9"/>
    <w:rsid w:val="60A827A3"/>
    <w:rsid w:val="60C1301B"/>
    <w:rsid w:val="60D51A59"/>
    <w:rsid w:val="60E82224"/>
    <w:rsid w:val="60F575C1"/>
    <w:rsid w:val="61147D5F"/>
    <w:rsid w:val="613F6CAD"/>
    <w:rsid w:val="61801FF1"/>
    <w:rsid w:val="61B17DFE"/>
    <w:rsid w:val="62416FD0"/>
    <w:rsid w:val="62847EA7"/>
    <w:rsid w:val="62AD72DE"/>
    <w:rsid w:val="62DB637F"/>
    <w:rsid w:val="62F3157C"/>
    <w:rsid w:val="62FA10BA"/>
    <w:rsid w:val="62FD5017"/>
    <w:rsid w:val="63296CF6"/>
    <w:rsid w:val="635020EF"/>
    <w:rsid w:val="63532130"/>
    <w:rsid w:val="636559A8"/>
    <w:rsid w:val="63D615FE"/>
    <w:rsid w:val="63D6438F"/>
    <w:rsid w:val="640B7333"/>
    <w:rsid w:val="64215141"/>
    <w:rsid w:val="6469117D"/>
    <w:rsid w:val="64871562"/>
    <w:rsid w:val="64A42E07"/>
    <w:rsid w:val="64D52890"/>
    <w:rsid w:val="64EA7FB1"/>
    <w:rsid w:val="64EC6C5A"/>
    <w:rsid w:val="653D7AF3"/>
    <w:rsid w:val="65B119A5"/>
    <w:rsid w:val="65F916BF"/>
    <w:rsid w:val="6622535F"/>
    <w:rsid w:val="66565CBE"/>
    <w:rsid w:val="66602909"/>
    <w:rsid w:val="66A45B45"/>
    <w:rsid w:val="66E27B57"/>
    <w:rsid w:val="670E76D1"/>
    <w:rsid w:val="673152EA"/>
    <w:rsid w:val="67574E33"/>
    <w:rsid w:val="67A57FC7"/>
    <w:rsid w:val="67D77C44"/>
    <w:rsid w:val="682249F4"/>
    <w:rsid w:val="685C1F9D"/>
    <w:rsid w:val="686052D7"/>
    <w:rsid w:val="68645048"/>
    <w:rsid w:val="690459DC"/>
    <w:rsid w:val="690B7AFD"/>
    <w:rsid w:val="69477BA3"/>
    <w:rsid w:val="69543567"/>
    <w:rsid w:val="69663170"/>
    <w:rsid w:val="69783E79"/>
    <w:rsid w:val="698F0E71"/>
    <w:rsid w:val="69BE6FD8"/>
    <w:rsid w:val="6A4610AD"/>
    <w:rsid w:val="6A6D318E"/>
    <w:rsid w:val="6A90444F"/>
    <w:rsid w:val="6A930078"/>
    <w:rsid w:val="6AFC4C50"/>
    <w:rsid w:val="6AFF6DD9"/>
    <w:rsid w:val="6B2031BA"/>
    <w:rsid w:val="6B3034CF"/>
    <w:rsid w:val="6B4A697B"/>
    <w:rsid w:val="6B6721F6"/>
    <w:rsid w:val="6B713444"/>
    <w:rsid w:val="6B7A60D6"/>
    <w:rsid w:val="6B956E9A"/>
    <w:rsid w:val="6B9F6D44"/>
    <w:rsid w:val="6BEF0C80"/>
    <w:rsid w:val="6C1F7E18"/>
    <w:rsid w:val="6C203A9A"/>
    <w:rsid w:val="6C385BB0"/>
    <w:rsid w:val="6C6A178E"/>
    <w:rsid w:val="6CA6506C"/>
    <w:rsid w:val="6CAD46AD"/>
    <w:rsid w:val="6CB75CCD"/>
    <w:rsid w:val="6D2D26D4"/>
    <w:rsid w:val="6D494DA1"/>
    <w:rsid w:val="6D6F7597"/>
    <w:rsid w:val="6E1B790A"/>
    <w:rsid w:val="6E9303C1"/>
    <w:rsid w:val="6EC92377"/>
    <w:rsid w:val="6ECF03D4"/>
    <w:rsid w:val="6EEA4B30"/>
    <w:rsid w:val="6EEB1850"/>
    <w:rsid w:val="6F1D62F1"/>
    <w:rsid w:val="6F300F27"/>
    <w:rsid w:val="6F617B7A"/>
    <w:rsid w:val="6F712842"/>
    <w:rsid w:val="6F7A3C37"/>
    <w:rsid w:val="6FC02C16"/>
    <w:rsid w:val="6FDD7DBD"/>
    <w:rsid w:val="6FF6475E"/>
    <w:rsid w:val="70184EA3"/>
    <w:rsid w:val="708C438A"/>
    <w:rsid w:val="70CB53E1"/>
    <w:rsid w:val="70E45041"/>
    <w:rsid w:val="70E95AA9"/>
    <w:rsid w:val="714E12CF"/>
    <w:rsid w:val="71CE5989"/>
    <w:rsid w:val="72075026"/>
    <w:rsid w:val="7209016D"/>
    <w:rsid w:val="722C1E69"/>
    <w:rsid w:val="72472B74"/>
    <w:rsid w:val="7259341C"/>
    <w:rsid w:val="728B00C1"/>
    <w:rsid w:val="734446DC"/>
    <w:rsid w:val="734521A8"/>
    <w:rsid w:val="735E3E0F"/>
    <w:rsid w:val="73607CB6"/>
    <w:rsid w:val="73707E67"/>
    <w:rsid w:val="73BA58EC"/>
    <w:rsid w:val="73CA7D44"/>
    <w:rsid w:val="73FC458A"/>
    <w:rsid w:val="741F0C23"/>
    <w:rsid w:val="743439CA"/>
    <w:rsid w:val="748F3308"/>
    <w:rsid w:val="74BC7F66"/>
    <w:rsid w:val="74DD127A"/>
    <w:rsid w:val="74DF31EC"/>
    <w:rsid w:val="753D2710"/>
    <w:rsid w:val="75686B98"/>
    <w:rsid w:val="757479A2"/>
    <w:rsid w:val="75F66738"/>
    <w:rsid w:val="765E04EA"/>
    <w:rsid w:val="7677072C"/>
    <w:rsid w:val="76A00464"/>
    <w:rsid w:val="76A021B3"/>
    <w:rsid w:val="76B664D7"/>
    <w:rsid w:val="76E33575"/>
    <w:rsid w:val="76EB2B73"/>
    <w:rsid w:val="770B0914"/>
    <w:rsid w:val="772375CF"/>
    <w:rsid w:val="77774370"/>
    <w:rsid w:val="77A33591"/>
    <w:rsid w:val="77C10170"/>
    <w:rsid w:val="77D16924"/>
    <w:rsid w:val="77E63C1C"/>
    <w:rsid w:val="77ED3E16"/>
    <w:rsid w:val="78131171"/>
    <w:rsid w:val="782C2784"/>
    <w:rsid w:val="78326601"/>
    <w:rsid w:val="78F22859"/>
    <w:rsid w:val="78FB211C"/>
    <w:rsid w:val="78FD79D9"/>
    <w:rsid w:val="792A6F66"/>
    <w:rsid w:val="797F7147"/>
    <w:rsid w:val="799D36EB"/>
    <w:rsid w:val="79A34D8A"/>
    <w:rsid w:val="79BE2A91"/>
    <w:rsid w:val="7A0B3779"/>
    <w:rsid w:val="7A992CC0"/>
    <w:rsid w:val="7AB87E18"/>
    <w:rsid w:val="7B3A50B0"/>
    <w:rsid w:val="7B666BDA"/>
    <w:rsid w:val="7B8B2C1D"/>
    <w:rsid w:val="7BCA3B47"/>
    <w:rsid w:val="7BD020E4"/>
    <w:rsid w:val="7C01614C"/>
    <w:rsid w:val="7C3403C9"/>
    <w:rsid w:val="7CAD2AA8"/>
    <w:rsid w:val="7D4E0C16"/>
    <w:rsid w:val="7D577E29"/>
    <w:rsid w:val="7D793C28"/>
    <w:rsid w:val="7D8C0F6F"/>
    <w:rsid w:val="7E452458"/>
    <w:rsid w:val="7E611BB9"/>
    <w:rsid w:val="7EE27EE8"/>
    <w:rsid w:val="7F3161E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47"/>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character" w:customStyle="1" w:styleId="34">
    <w:name w:val="font2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5">
    <w:name w:val="font7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6">
    <w:name w:val="font81"/>
    <w:basedOn w:val="16"/>
    <w:autoRedefine/>
    <w:qFormat/>
    <w:uiPriority w:val="0"/>
    <w:rPr>
      <w:rFonts w:hint="eastAsia" w:ascii="宋体" w:hAnsi="宋体" w:eastAsia="宋体" w:cs="宋体"/>
      <w:color w:val="416AAB"/>
      <w:sz w:val="18"/>
      <w:szCs w:val="18"/>
      <w:u w:val="none"/>
    </w:rPr>
  </w:style>
  <w:style w:type="character" w:customStyle="1" w:styleId="37">
    <w:name w:val="font1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8">
    <w:name w:val="font6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9">
    <w:name w:val="font5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40">
    <w:name w:val="font3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42">
    <w:name w:val="Table Normal"/>
    <w:autoRedefine/>
    <w:qFormat/>
    <w:uiPriority w:val="0"/>
    <w:tblPr>
      <w:tblCellMar>
        <w:top w:w="0" w:type="dxa"/>
        <w:left w:w="0" w:type="dxa"/>
        <w:bottom w:w="0" w:type="dxa"/>
        <w:right w:w="0" w:type="dxa"/>
      </w:tblCellMar>
    </w:tbl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7">
    <w:name w:val="标题 2 Char"/>
    <w:link w:val="3"/>
    <w:autoRedefine/>
    <w:qFormat/>
    <w:uiPriority w:val="1"/>
    <w:rPr>
      <w:rFonts w:ascii="Times New Roman" w:hAnsi="Times New Roman" w:eastAsia="微软雅黑" w:cs="黑体"/>
      <w:b/>
      <w:bCs/>
      <w:color w:val="00B050"/>
      <w:sz w:val="24"/>
      <w:szCs w:val="30"/>
    </w:rPr>
  </w:style>
  <w:style w:type="paragraph" w:customStyle="1" w:styleId="48">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49">
    <w:name w:val="Other|1"/>
    <w:basedOn w:val="1"/>
    <w:qFormat/>
    <w:uiPriority w:val="0"/>
    <w:pPr>
      <w:widowControl/>
      <w:spacing w:line="223" w:lineRule="auto"/>
    </w:pPr>
    <w:rPr>
      <w:rFonts w:ascii="Calibri" w:hAnsi="Calibri" w:cs="Times New Roman"/>
      <w:kern w:val="2"/>
      <w:sz w:val="30"/>
      <w:szCs w:val="30"/>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2599</Words>
  <Characters>4531</Characters>
  <Lines>341</Lines>
  <Paragraphs>96</Paragraphs>
  <TotalTime>2</TotalTime>
  <ScaleCrop>false</ScaleCrop>
  <LinksUpToDate>false</LinksUpToDate>
  <CharactersWithSpaces>4776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2025-09-04T03:20:52Z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209C78FBDDA54E9082A0F739B6ACE994</vt:lpwstr>
  </property>
  <property fmtid="{D5CDD505-2E9C-101B-9397-08002B2CF9AE}" pid="4" name="KSOTemplateDocerSaveRecord">
    <vt:lpwstr>eyJoZGlkIjoiNzhjODRmNWJhZTVkNTI1OGI2YWZlNjVkNDIwMWYwMDkiLCJ1c2VySWQiOiIzMTAxODgzOTQifQ==</vt:lpwstr>
  </property>
</Properties>
</file>