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ascii="宋体" w:hAnsi="宋体" w:eastAsia="宋体" w:cs="宋体"/>
                <w:sz w:val="24"/>
                <w:szCs w:val="24"/>
              </w:rPr>
              <w:t>肿瘤定制化检测基础套餐</w:t>
            </w:r>
            <w:r>
              <w:rPr>
                <w:rFonts w:hint="eastAsia" w:ascii="宋体" w:hAnsi="宋体" w:eastAsia="宋体" w:cs="宋体"/>
                <w:sz w:val="24"/>
                <w:szCs w:val="24"/>
                <w:lang w:eastAsia="zh-CN"/>
              </w:rPr>
              <w:t>（</w:t>
            </w:r>
            <w:r>
              <w:rPr>
                <w:rFonts w:ascii="宋体" w:hAnsi="宋体" w:eastAsia="宋体" w:cs="宋体"/>
                <w:sz w:val="24"/>
                <w:szCs w:val="24"/>
              </w:rPr>
              <w:t>HRD</w:t>
            </w:r>
            <w:r>
              <w:rPr>
                <w:rFonts w:hint="eastAsia" w:ascii="宋体" w:hAnsi="宋体" w:eastAsia="宋体" w:cs="宋体"/>
                <w:sz w:val="24"/>
                <w:szCs w:val="24"/>
                <w:lang w:eastAsia="zh-CN"/>
              </w:rPr>
              <w:t>）</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default" w:ascii="宋体" w:hAnsi="宋体" w:eastAsia="宋体" w:cs="宋体"/>
                <w:kern w:val="0"/>
                <w:sz w:val="24"/>
                <w:szCs w:val="24"/>
                <w:lang w:val="en-US" w:eastAsia="zh-CN"/>
              </w:rPr>
              <w:t>BRCA1/2基因全外显子±20 bp内含子区域</w:t>
            </w:r>
            <w:r>
              <w:rPr>
                <w:rFonts w:hint="eastAsia" w:ascii="宋体" w:hAnsi="宋体" w:eastAsia="宋体" w:cs="宋体"/>
                <w:kern w:val="0"/>
                <w:sz w:val="24"/>
                <w:szCs w:val="24"/>
                <w:lang w:eastAsia="zh-CN"/>
              </w:rPr>
              <w:t>，同时检测基因组不稳定状态，综合评估同源重组缺陷状态。检测突变形式为点突变（SNV）、小片段插入缺失（INDEL）。</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同源重组缺陷状态</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宋体" w:hAnsi="宋体" w:eastAsia="宋体" w:cs="宋体"/>
                <w:sz w:val="21"/>
                <w:szCs w:val="21"/>
                <w:highlight w:val="none"/>
                <w:lang w:val="en-US" w:eastAsia="zh-CN"/>
              </w:rPr>
              <w:t>{{ summaryOfRresults.hrdState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sequencing_depth | oqa(500,400)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634C9724">
      <w:pPr>
        <w:rPr>
          <w:rFonts w:hint="eastAsia" w:ascii="宋体" w:hAnsi="宋体" w:eastAsia="宋体" w:cs="宋体"/>
          <w:b/>
          <w:color w:val="18CF96"/>
          <w:sz w:val="28"/>
          <w:szCs w:val="24"/>
          <w:u w:color="006CB6"/>
          <w:lang w:val="zh-Hans"/>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 name="同侧圆角矩形 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CP&#10;6v03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v:textbox>
                <w10:wrap type="none"/>
                <w10:anchorlock/>
              </v:shape>
            </w:pict>
          </mc:Fallback>
        </mc:AlternateContent>
      </w:r>
    </w:p>
    <w:p w14:paraId="747CDD33">
      <w:pPr>
        <w:rPr>
          <w:rFonts w:hint="eastAsia" w:ascii="宋体" w:hAnsi="宋体" w:eastAsia="宋体" w:cs="宋体"/>
          <w:b/>
          <w:color w:val="18CF96"/>
          <w:sz w:val="28"/>
          <w:szCs w:val="24"/>
          <w:u w:color="006CB6"/>
          <w:lang w:val="zh-Hans"/>
        </w:rPr>
      </w:pP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3042"/>
        <w:gridCol w:w="6828"/>
      </w:tblGrid>
      <w:tr w14:paraId="0E1598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tcBorders>
              <w:top w:val="nil"/>
            </w:tcBorders>
            <w:shd w:val="clear" w:color="auto" w:fill="18CF96"/>
            <w:vAlign w:val="center"/>
          </w:tcPr>
          <w:p w14:paraId="44762548">
            <w:pPr>
              <w:jc w:val="center"/>
              <w:rPr>
                <w:rFonts w:hint="eastAsia" w:ascii="宋体" w:hAnsi="宋体" w:eastAsia="宋体" w:cs="宋体"/>
                <w:b/>
                <w:color w:val="FFFFFF" w:themeColor="background1"/>
                <w:sz w:val="18"/>
                <w:szCs w:val="18"/>
                <w:lang w:eastAsia="zh-CN"/>
                <w14:textFill>
                  <w14:solidFill>
                    <w14:schemeClr w14:val="bg1"/>
                  </w14:solidFill>
                </w14:textFill>
              </w:rPr>
            </w:pPr>
            <w:bookmarkStart w:id="39" w:name="_GoBack" w:colFirst="0" w:colLast="1"/>
            <w:r>
              <w:rPr>
                <w:rFonts w:hint="eastAsia" w:ascii="宋体" w:hAnsi="宋体" w:eastAsia="宋体" w:cs="宋体"/>
                <w:b/>
                <w:bCs/>
                <w:color w:val="FFFFFF" w:themeColor="background1"/>
                <w:sz w:val="18"/>
                <w:szCs w:val="18"/>
                <w:lang w:eastAsia="zh-CN"/>
                <w14:textFill>
                  <w14:solidFill>
                    <w14:schemeClr w14:val="bg1"/>
                  </w14:solidFill>
                </w14:textFill>
              </w:rPr>
              <w:br w:type="page"/>
            </w:r>
            <w:r>
              <w:rPr>
                <w:rFonts w:hint="eastAsia" w:ascii="宋体" w:hAnsi="宋体" w:eastAsia="宋体" w:cs="宋体"/>
                <w:b/>
                <w:color w:val="FFFFFF" w:themeColor="background1"/>
                <w:sz w:val="18"/>
                <w:szCs w:val="18"/>
                <w14:textFill>
                  <w14:solidFill>
                    <w14:schemeClr w14:val="bg1"/>
                  </w14:solidFill>
                </w14:textFill>
              </w:rPr>
              <w:t>检测</w:t>
            </w: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6765" w:type="dxa"/>
            <w:tcBorders>
              <w:top w:val="nil"/>
            </w:tcBorders>
            <w:shd w:val="clear" w:color="auto" w:fill="18CF96"/>
            <w:vAlign w:val="center"/>
          </w:tcPr>
          <w:p w14:paraId="1B321A12">
            <w:pPr>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r>
      <w:bookmarkEnd w:id="39"/>
      <w:tr w14:paraId="25E32D3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5415CEED">
            <w:pPr>
              <w:widowControl/>
              <w:jc w:val="center"/>
              <w:rPr>
                <w:rFonts w:hint="eastAsia" w:ascii="宋体" w:hAnsi="宋体" w:eastAsia="宋体" w:cs="宋体"/>
                <w:sz w:val="18"/>
                <w:szCs w:val="18"/>
              </w:rPr>
            </w:pPr>
            <w:r>
              <w:rPr>
                <w:rFonts w:hint="eastAsia" w:ascii="宋体" w:hAnsi="宋体" w:eastAsia="宋体" w:cs="宋体"/>
                <w:sz w:val="18"/>
                <w:szCs w:val="18"/>
                <w:lang w:eastAsia="zh-CN"/>
              </w:rPr>
              <w:t>BRCA1/2基因状态</w:t>
            </w:r>
          </w:p>
        </w:tc>
        <w:tc>
          <w:tcPr>
            <w:tcW w:w="6765" w:type="dxa"/>
            <w:shd w:val="clear" w:color="auto" w:fill="auto"/>
            <w:vAlign w:val="center"/>
          </w:tcPr>
          <w:p w14:paraId="156F7009">
            <w:pPr>
              <w:pStyle w:val="27"/>
              <w:spacing w:before="100" w:line="187" w:lineRule="auto"/>
              <w:ind w:left="118" w:right="17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summaryOfRresults.hrdBRCAState }}</w:t>
            </w:r>
          </w:p>
        </w:tc>
      </w:tr>
      <w:tr w14:paraId="4FFC12E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7455E9CC">
            <w:pPr>
              <w:pStyle w:val="27"/>
              <w:spacing w:before="77"/>
              <w:ind w:left="119"/>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基因组不稳定性评分</w:t>
            </w:r>
          </w:p>
        </w:tc>
        <w:tc>
          <w:tcPr>
            <w:tcW w:w="6765" w:type="dxa"/>
            <w:shd w:val="clear" w:color="auto" w:fill="auto"/>
            <w:vAlign w:val="center"/>
          </w:tcPr>
          <w:p w14:paraId="00B9613D">
            <w:pPr>
              <w:pStyle w:val="27"/>
              <w:spacing w:before="77"/>
              <w:ind w:left="11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summaryOfRresults.hrdScore }}</w:t>
            </w:r>
          </w:p>
        </w:tc>
      </w:tr>
      <w:tr w14:paraId="0ADC94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4052C696">
            <w:pPr>
              <w:pStyle w:val="27"/>
              <w:spacing w:before="77"/>
              <w:ind w:left="119"/>
              <w:jc w:val="center"/>
              <w:rPr>
                <w:rFonts w:hint="eastAsia" w:ascii="宋体" w:hAnsi="宋体" w:eastAsia="宋体" w:cs="宋体"/>
                <w:b/>
                <w:bCs/>
                <w:sz w:val="18"/>
                <w:szCs w:val="18"/>
              </w:rPr>
            </w:pPr>
            <w:r>
              <w:rPr>
                <w:rFonts w:hint="eastAsia" w:ascii="宋体" w:hAnsi="宋体" w:eastAsia="宋体" w:cs="宋体"/>
                <w:b/>
                <w:bCs/>
                <w:sz w:val="18"/>
                <w:szCs w:val="18"/>
                <w:lang w:eastAsia="zh-CN"/>
              </w:rPr>
              <w:t>同源重组缺陷状态</w:t>
            </w:r>
          </w:p>
        </w:tc>
        <w:tc>
          <w:tcPr>
            <w:tcW w:w="6765" w:type="dxa"/>
            <w:shd w:val="clear" w:color="auto" w:fill="auto"/>
            <w:vAlign w:val="center"/>
          </w:tcPr>
          <w:p w14:paraId="34CC62C3">
            <w:pPr>
              <w:pStyle w:val="27"/>
              <w:spacing w:before="77"/>
              <w:ind w:left="118"/>
              <w:jc w:val="center"/>
              <w:rPr>
                <w:rFonts w:hint="eastAsia" w:ascii="宋体" w:hAnsi="宋体" w:eastAsia="宋体" w:cs="宋体"/>
                <w:b/>
                <w:bCs/>
                <w:sz w:val="18"/>
                <w:szCs w:val="18"/>
                <w:lang w:eastAsia="zh-CN"/>
              </w:rPr>
            </w:pPr>
            <w:r>
              <w:rPr>
                <w:rFonts w:hint="eastAsia" w:ascii="宋体" w:hAnsi="宋体" w:eastAsia="宋体" w:cs="宋体"/>
                <w:sz w:val="18"/>
                <w:szCs w:val="18"/>
                <w:lang w:eastAsia="zh-CN"/>
              </w:rPr>
              <w:t>{{ summaryOfRresults.hrdState }}</w:t>
            </w:r>
          </w:p>
        </w:tc>
      </w:tr>
    </w:tbl>
    <w:p w14:paraId="45D69E9A">
      <w:pPr>
        <w:rPr>
          <w:rFonts w:hint="eastAsia" w:ascii="宋体" w:hAnsi="宋体" w:eastAsia="宋体" w:cs="宋体"/>
          <w:b/>
          <w:sz w:val="13"/>
          <w:szCs w:val="13"/>
          <w:lang w:eastAsia="zh-CN"/>
        </w:rPr>
      </w:pPr>
      <w:r>
        <w:rPr>
          <w:rFonts w:hint="eastAsia" w:ascii="宋体" w:hAnsi="宋体" w:eastAsia="宋体" w:cs="宋体"/>
          <w:b/>
          <w:sz w:val="13"/>
          <w:szCs w:val="13"/>
          <w:lang w:eastAsia="zh-CN"/>
        </w:rPr>
        <w:t>注：</w:t>
      </w:r>
    </w:p>
    <w:p w14:paraId="47BB4CA6">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38DD80E">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本报告中变异的解读基于当前对BRCA1/2变异的认识，随着数据库尤其是中国人群数据的完善及文献等资料的更新，对变异的解读有可能发生变更。</w:t>
      </w:r>
    </w:p>
    <w:p w14:paraId="6F8D353F">
      <w:pPr>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br w:type="page"/>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30305"/>
      <w:bookmarkStart w:id="1" w:name="_Toc14983725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eastAsia="zh-CN" w:bidi="ar"/>
              </w:rPr>
              <w:t>变异丰度</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84CAC83">
      <w:pPr>
        <w:rPr>
          <w:rFonts w:hint="eastAsia" w:ascii="Times New Roman" w:hAnsi="Times New Roman" w:eastAsia="微软雅黑" w:cs="Times New Roman"/>
          <w:sz w:val="24"/>
          <w:szCs w:val="24"/>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5" name="同侧圆角矩形 5"/>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EvAGsbSAAAA&#10;BAEAAA8AAAAAAAAAAQAgAAAAIgAAAGRycy9kb3ducmV2LnhtbFBLAQIUABQAAAAIAIdO4kAff/ef&#10;lQIAABoFAAAOAAAAAAAAAAEAIAAAACEBAABkcnMvZTJvRG9jLnhtbFBLBQYAAAAABgAGAFkBAAAo&#10;BgA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v:textbox>
                <w10:wrap type="none"/>
                <w10:anchorlock/>
              </v:shape>
            </w:pict>
          </mc:Fallback>
        </mc:AlternateContent>
      </w:r>
    </w:p>
    <w:p w14:paraId="786505D5">
      <w:pPr>
        <w:ind w:firstLine="360" w:firstLineChars="200"/>
        <w:rPr>
          <w:rFonts w:hint="eastAsia" w:ascii="宋体" w:hAnsi="宋体" w:eastAsia="宋体" w:cs="宋体"/>
          <w:b/>
          <w:bCs/>
          <w:sz w:val="18"/>
          <w:szCs w:val="18"/>
          <w:lang w:eastAsia="zh-CN"/>
        </w:rPr>
      </w:pPr>
      <w:r>
        <w:rPr>
          <w:rFonts w:hint="eastAsia" w:ascii="宋体" w:hAnsi="宋体" w:eastAsia="宋体" w:cs="宋体"/>
          <w:sz w:val="18"/>
          <w:szCs w:val="18"/>
        </w:rPr>
        <w:t>{% if brcaCheckLineStr == [] and summaryOfRresults.hrdState == ‘阴性’ %}</w:t>
      </w:r>
      <w:r>
        <w:rPr>
          <w:rFonts w:hint="eastAsia" w:ascii="宋体" w:hAnsi="宋体" w:eastAsia="宋体" w:cs="宋体"/>
          <w:sz w:val="18"/>
          <w:szCs w:val="18"/>
          <w:lang w:eastAsia="zh-CN"/>
        </w:rPr>
        <w:t>同源重组缺陷状态为阴性：未检测到该肿瘤患者存在致病或可能致病变异的BRCA基因变异且基因组不稳定性（GIS）评分小于43分。{% else %}</w:t>
      </w:r>
    </w:p>
    <w:p w14:paraId="430597D0">
      <w:pPr>
        <w:keepNext/>
        <w:spacing w:before="120" w:beforeLines="50" w:after="120" w:afterLines="50"/>
        <w:rPr>
          <w:rFonts w:hint="eastAsia" w:ascii="宋体" w:hAnsi="宋体" w:eastAsia="宋体" w:cs="宋体"/>
          <w:b/>
          <w:sz w:val="18"/>
          <w:szCs w:val="18"/>
          <w:lang w:eastAsia="zh-CN"/>
        </w:rPr>
      </w:pPr>
      <w:bookmarkStart w:id="2" w:name="_Toc17537"/>
      <w:bookmarkStart w:id="3" w:name="_Toc289"/>
      <w:r>
        <w:rPr>
          <w:rFonts w:hint="eastAsia" w:ascii="宋体" w:hAnsi="宋体" w:eastAsia="宋体" w:cs="宋体"/>
          <w:b/>
          <w:sz w:val="18"/>
          <w:szCs w:val="18"/>
          <w:lang w:eastAsia="zh-CN"/>
        </w:rPr>
        <w:t>BRCA基因突变状态</w:t>
      </w:r>
      <w:bookmarkEnd w:id="2"/>
      <w:bookmarkEnd w:id="3"/>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974"/>
        <w:gridCol w:w="1974"/>
        <w:gridCol w:w="1974"/>
        <w:gridCol w:w="1974"/>
        <w:gridCol w:w="1974"/>
      </w:tblGrid>
      <w:tr w14:paraId="4938106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974" w:type="dxa"/>
            <w:tcBorders>
              <w:top w:val="nil"/>
            </w:tcBorders>
            <w:shd w:val="clear" w:color="auto" w:fill="00D392"/>
            <w:vAlign w:val="center"/>
          </w:tcPr>
          <w:p w14:paraId="64328E6D">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w:t>
            </w:r>
          </w:p>
        </w:tc>
        <w:tc>
          <w:tcPr>
            <w:tcW w:w="1974" w:type="dxa"/>
            <w:tcBorders>
              <w:top w:val="nil"/>
            </w:tcBorders>
            <w:shd w:val="clear" w:color="auto" w:fill="00D392"/>
            <w:vAlign w:val="center"/>
          </w:tcPr>
          <w:p w14:paraId="003C0E90">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核苷酸</w:t>
            </w:r>
          </w:p>
        </w:tc>
        <w:tc>
          <w:tcPr>
            <w:tcW w:w="1974" w:type="dxa"/>
            <w:tcBorders>
              <w:top w:val="nil"/>
            </w:tcBorders>
            <w:shd w:val="clear" w:color="auto" w:fill="00D392"/>
            <w:vAlign w:val="center"/>
          </w:tcPr>
          <w:p w14:paraId="5DAF5775">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氨基酸</w:t>
            </w:r>
          </w:p>
        </w:tc>
        <w:tc>
          <w:tcPr>
            <w:tcW w:w="1974" w:type="dxa"/>
            <w:tcBorders>
              <w:top w:val="nil"/>
            </w:tcBorders>
            <w:shd w:val="clear" w:color="auto" w:fill="00D392"/>
            <w:vAlign w:val="center"/>
          </w:tcPr>
          <w:p w14:paraId="05EC098E">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纯合/杂合/</w:t>
            </w:r>
            <w:r>
              <w:rPr>
                <w:rFonts w:hint="eastAsia" w:ascii="宋体" w:hAnsi="宋体" w:eastAsia="宋体" w:cs="宋体"/>
                <w:b/>
                <w:color w:val="FFFFFF" w:themeColor="background1"/>
                <w:sz w:val="18"/>
                <w:szCs w:val="18"/>
                <w:lang w:val="en-US" w:eastAsia="zh-CN"/>
                <w14:textFill>
                  <w14:solidFill>
                    <w14:schemeClr w14:val="bg1"/>
                  </w14:solidFill>
                </w14:textFill>
              </w:rPr>
              <w:t>变异丰度</w:t>
            </w:r>
          </w:p>
        </w:tc>
        <w:tc>
          <w:tcPr>
            <w:tcW w:w="1974" w:type="dxa"/>
            <w:tcBorders>
              <w:top w:val="nil"/>
            </w:tcBorders>
            <w:shd w:val="clear" w:color="auto" w:fill="00D392"/>
            <w:vAlign w:val="center"/>
          </w:tcPr>
          <w:p w14:paraId="483803AB">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r>
      <w:tr w14:paraId="1E22837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58AD80">
            <w:pPr>
              <w:spacing w:before="20"/>
              <w:jc w:val="center"/>
              <w:rPr>
                <w:rFonts w:hint="eastAsia" w:ascii="宋体" w:hAnsi="宋体" w:eastAsia="宋体" w:cs="宋体"/>
                <w:sz w:val="18"/>
                <w:szCs w:val="18"/>
              </w:rPr>
            </w:pPr>
            <w:r>
              <w:rPr>
                <w:rFonts w:hint="eastAsia" w:ascii="宋体" w:hAnsi="宋体" w:eastAsia="宋体" w:cs="宋体"/>
                <w:sz w:val="18"/>
                <w:szCs w:val="18"/>
              </w:rPr>
              <w:t>{%tr if brcaCheckLineStr</w:t>
            </w:r>
            <w:r>
              <w:rPr>
                <w:rFonts w:hint="eastAsia" w:ascii="宋体" w:hAnsi="宋体" w:eastAsia="宋体" w:cs="宋体"/>
                <w:sz w:val="18"/>
                <w:szCs w:val="18"/>
                <w:lang w:eastAsia="zh-CN"/>
              </w:rPr>
              <w:t xml:space="preserve"> </w:t>
            </w:r>
            <w:r>
              <w:rPr>
                <w:rFonts w:hint="eastAsia" w:ascii="宋体" w:hAnsi="宋体" w:eastAsia="宋体" w:cs="宋体"/>
                <w:sz w:val="18"/>
                <w:szCs w:val="18"/>
              </w:rPr>
              <w:t>!= [] %}</w:t>
            </w:r>
          </w:p>
        </w:tc>
      </w:tr>
      <w:tr w14:paraId="1E5139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FD8B4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rPr>
              <w:t>{%tr for brca in brcaCheckLineStr %}</w:t>
            </w:r>
          </w:p>
        </w:tc>
      </w:tr>
      <w:tr w14:paraId="4173EF4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974" w:type="dxa"/>
            <w:vAlign w:val="center"/>
          </w:tcPr>
          <w:p w14:paraId="66EBC223">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brca.Gene }}</w:t>
            </w:r>
          </w:p>
          <w:p w14:paraId="6C192C0B">
            <w:pPr>
              <w:spacing w:before="26"/>
              <w:jc w:val="center"/>
              <w:rPr>
                <w:rFonts w:hint="eastAsia" w:ascii="宋体" w:hAnsi="宋体" w:eastAsia="宋体" w:cs="宋体"/>
                <w:b/>
                <w:color w:val="45A3A7"/>
                <w:sz w:val="18"/>
                <w:szCs w:val="18"/>
                <w:lang w:eastAsia="zh-CN"/>
              </w:rPr>
            </w:pPr>
            <w:r>
              <w:rPr>
                <w:rFonts w:hint="eastAsia" w:ascii="宋体" w:hAnsi="宋体" w:eastAsia="宋体" w:cs="宋体"/>
                <w:sz w:val="18"/>
                <w:szCs w:val="18"/>
              </w:rPr>
              <w:t>{{ brca.Transcript}}</w:t>
            </w:r>
          </w:p>
        </w:tc>
        <w:tc>
          <w:tcPr>
            <w:tcW w:w="1974" w:type="dxa"/>
            <w:vAlign w:val="center"/>
          </w:tcPr>
          <w:p w14:paraId="30C80020">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brca.Exon }}</w:t>
            </w:r>
          </w:p>
          <w:p w14:paraId="15BE4ED2">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brca.cHGVS }}</w:t>
            </w:r>
          </w:p>
        </w:tc>
        <w:tc>
          <w:tcPr>
            <w:tcW w:w="1974" w:type="dxa"/>
            <w:vAlign w:val="center"/>
          </w:tcPr>
          <w:p w14:paraId="4FA20808">
            <w:pPr>
              <w:spacing w:before="20"/>
              <w:jc w:val="center"/>
              <w:rPr>
                <w:rFonts w:hint="eastAsia" w:ascii="宋体" w:hAnsi="宋体" w:eastAsia="宋体" w:cs="宋体"/>
                <w:sz w:val="18"/>
                <w:szCs w:val="18"/>
              </w:rPr>
            </w:pPr>
            <w:r>
              <w:rPr>
                <w:rFonts w:hint="eastAsia" w:ascii="宋体" w:hAnsi="宋体" w:eastAsia="宋体" w:cs="宋体"/>
                <w:sz w:val="18"/>
                <w:szCs w:val="18"/>
              </w:rPr>
              <w:t>{{ brca.pHGVS }}</w:t>
            </w:r>
          </w:p>
        </w:tc>
        <w:tc>
          <w:tcPr>
            <w:tcW w:w="1974" w:type="dxa"/>
            <w:vAlign w:val="center"/>
          </w:tcPr>
          <w:p w14:paraId="301C84EE">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brca.Zygosity }}</w:t>
            </w:r>
          </w:p>
        </w:tc>
        <w:tc>
          <w:tcPr>
            <w:tcW w:w="1974" w:type="dxa"/>
            <w:vAlign w:val="center"/>
          </w:tcPr>
          <w:p w14:paraId="206E601D">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brca.Clinical_significance }}</w:t>
            </w:r>
          </w:p>
        </w:tc>
      </w:tr>
      <w:tr w14:paraId="6AC232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983170">
            <w:pPr>
              <w:spacing w:before="26"/>
              <w:jc w:val="center"/>
              <w:rPr>
                <w:rFonts w:hint="eastAsia" w:ascii="宋体" w:hAnsi="宋体" w:eastAsia="宋体" w:cs="宋体"/>
                <w:sz w:val="18"/>
                <w:szCs w:val="18"/>
              </w:rPr>
            </w:pPr>
            <w:r>
              <w:rPr>
                <w:rFonts w:hint="eastAsia" w:ascii="宋体" w:hAnsi="宋体" w:eastAsia="宋体" w:cs="宋体"/>
                <w:sz w:val="18"/>
                <w:szCs w:val="18"/>
              </w:rPr>
              <w:t>{%tr endfor %}</w:t>
            </w:r>
          </w:p>
        </w:tc>
      </w:tr>
      <w:tr w14:paraId="527998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B42A48">
            <w:pPr>
              <w:spacing w:before="26"/>
              <w:jc w:val="center"/>
              <w:rPr>
                <w:rFonts w:hint="eastAsia" w:ascii="宋体" w:hAnsi="宋体" w:eastAsia="宋体" w:cs="宋体"/>
                <w:sz w:val="18"/>
                <w:szCs w:val="18"/>
              </w:rPr>
            </w:pPr>
            <w:r>
              <w:rPr>
                <w:rFonts w:hint="eastAsia" w:ascii="宋体" w:hAnsi="宋体" w:eastAsia="宋体" w:cs="宋体"/>
                <w:sz w:val="18"/>
                <w:szCs w:val="18"/>
              </w:rPr>
              <w:t>{%tr else %}</w:t>
            </w:r>
          </w:p>
        </w:tc>
      </w:tr>
      <w:tr w14:paraId="377890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974" w:type="dxa"/>
            <w:vAlign w:val="center"/>
          </w:tcPr>
          <w:p w14:paraId="03F86B81">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7D8AC195">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199B2BE9">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7129EFF8">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21A44BE2">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r>
      <w:tr w14:paraId="0C16F0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77FCFF0">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rPr>
              <w:t>{%tr endif %}</w:t>
            </w:r>
          </w:p>
        </w:tc>
      </w:tr>
    </w:tbl>
    <w:p w14:paraId="1C56EA5B">
      <w:pPr>
        <w:widowControl/>
        <w:rPr>
          <w:rFonts w:hint="eastAsia" w:ascii="宋体" w:hAnsi="宋体" w:eastAsia="宋体" w:cs="宋体"/>
          <w:b/>
          <w:color w:val="45A3A7"/>
          <w:sz w:val="24"/>
          <w:szCs w:val="24"/>
          <w:lang w:eastAsia="zh-CN"/>
        </w:rPr>
      </w:pPr>
      <w:r>
        <w:rPr>
          <w:rFonts w:hint="eastAsia" w:ascii="宋体" w:hAnsi="宋体" w:eastAsia="宋体" w:cs="宋体"/>
          <w:sz w:val="24"/>
          <w:szCs w:val="24"/>
        </w:rPr>
        <w:t>{% endif %}{% if summaryOfRresults.hrdState == ‘阳性’ %}</w:t>
      </w:r>
    </w:p>
    <w:p w14:paraId="372B0B55">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同源重组缺陷状态</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0D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2577A0D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同源重组</w:t>
            </w:r>
          </w:p>
          <w:p w14:paraId="1B793E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DA06797">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summaryOfRresults.hrdState }}</w:t>
            </w:r>
          </w:p>
        </w:tc>
      </w:tr>
      <w:tr w14:paraId="77C7A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45FBABD">
            <w:pPr>
              <w:spacing w:before="1" w:line="250" w:lineRule="auto"/>
              <w:jc w:val="center"/>
              <w:rPr>
                <w:rFonts w:hint="eastAsia" w:ascii="宋体" w:hAnsi="宋体" w:eastAsia="宋体" w:cs="宋体"/>
                <w:sz w:val="18"/>
                <w:szCs w:val="18"/>
                <w:lang w:eastAsia="zh-CN"/>
              </w:rPr>
            </w:pPr>
            <w:r>
              <w:rPr>
                <w:rFonts w:hint="eastAsia" w:ascii="宋体" w:hAnsi="宋体" w:eastAsia="宋体" w:cs="宋体"/>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5E89AB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8735F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hrdanalysisOfImmuneTestResults.drugaStr == [] %}无{% else%}{% for d in hrdanalysisOfImmuneTestResults.drugaStr %}{%if loop.last%}{{ d.nameLevel }}{%else%}{{ d.nameLevel }}，{%endif%}{% endfor %}{% endif%}</w:t>
            </w:r>
          </w:p>
        </w:tc>
      </w:tr>
      <w:tr w14:paraId="4ED76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A55CBD4">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227936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4CC6D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hrdanalysisOfImmuneTestResults.drugbStr == [] %}无{% else%}{% for d in hrdanalysisOfImmuneTestResults.drugbStr %}{%if loop.last%}{{ d.nameLevel }}{%else%}{{ d.nameLevel }}，{%endif%}{% endfor %}{% endif%}</w:t>
            </w:r>
          </w:p>
        </w:tc>
      </w:tr>
      <w:tr w14:paraId="54C02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B480CA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AC18620">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3819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hrdanalysisOfImmuneTestResults.drugcStr == [] %}无{% else%}{% for d in hrdanalysisOfImmuneTestResults.drugcStr %}{%if loop.last%}{{ d.nameLevel }}{%else%}{{ d.nameLevel }}，{%endif%}{% endfor %}{% endif%}</w:t>
            </w:r>
          </w:p>
        </w:tc>
      </w:tr>
      <w:tr w14:paraId="516A2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354F96C">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FA3CC5B">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73672F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hrdanalysisOfImmuneTestResults.drugdStr == [] %}无{% else%}{% for d in hrdanalysisOfImmuneTestResults.drugdStr %}{%if loop.last%}{{ d.nameLevel }}{%else%}{{ d.nameLevel }}，{%endif%}{% endfor %}{% endif%}</w:t>
            </w:r>
          </w:p>
        </w:tc>
      </w:tr>
      <w:tr w14:paraId="5D79B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00D392"/>
            <w:vAlign w:val="center"/>
          </w:tcPr>
          <w:p w14:paraId="6C1F472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461BD1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421EA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hrdanalysisOfImmuneTestResults.resistantaStr == [] %}无{% else%}{% for d in hrdanalysisOfImmuneTestResults.resistantaStr %}{%if loop.last%}{{ d.nameLevel }}{%else%}{{ d.nameLevel }}，{%endif%}{% endfor %}{% endif%}</w:t>
            </w:r>
          </w:p>
        </w:tc>
      </w:tr>
      <w:tr w14:paraId="7DD097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2596092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20E9FD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FD00C">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hrdanalysisOfImmuneTestResults.resistantbStr == [] %}无{% else%}{% for d in hrdanalysisOfImmuneTestResults.resistantbStr %}{%if loop.last%}{{ d.nameLevel }}{%else%}{{ d.nameLevel }}，{%endif%}{% endfor %}{% endif%}</w:t>
            </w:r>
          </w:p>
        </w:tc>
      </w:tr>
      <w:tr w14:paraId="313D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4FAEA66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1DEF0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73B46F">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hrdanalysisOfImmuneTestResults.resistantcStr == [] %}无{% else%}{% for d in hrdanalysisOfImmuneTestResults.resistantcStr %}{%if loop.last%}{{ d.nameLevel }}{%else%}{{ d.nameLevel }}，{%endif%}{% endfor %}{% endif%}</w:t>
            </w:r>
          </w:p>
        </w:tc>
      </w:tr>
      <w:tr w14:paraId="3F35D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00D392"/>
            <w:vAlign w:val="center"/>
          </w:tcPr>
          <w:p w14:paraId="7D9A271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12F8DB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BC7C72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hrdanalysisOfImmuneTestResults.resistantdStr == [] %}无{% else%}{% for d in hrdanalysisOfImmuneTestResults.resistantdStr %}{%if loop.last%}{{ d.nameLevel }}{%else%}{{ d.nameLevel }}，{%endif%}{% endfor %}{% endif%}</w:t>
            </w:r>
          </w:p>
        </w:tc>
      </w:tr>
      <w:tr w14:paraId="256BD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112D82F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1F0E2E">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md in </w:t>
            </w:r>
            <w:r>
              <w:rPr>
                <w:rFonts w:hint="eastAsia" w:ascii="宋体" w:hAnsi="宋体" w:eastAsia="宋体" w:cs="宋体"/>
                <w:bCs/>
                <w:sz w:val="18"/>
                <w:szCs w:val="18"/>
                <w:lang w:eastAsia="zh-CN" w:bidi="ar"/>
              </w:rPr>
              <w:t>hrdanalysisOfImmuneTestResults.varDrugNote</w:t>
            </w:r>
            <w:r>
              <w:rPr>
                <w:rFonts w:hint="eastAsia" w:ascii="宋体" w:hAnsi="宋体" w:eastAsia="宋体" w:cs="宋体"/>
                <w:sz w:val="18"/>
                <w:szCs w:val="18"/>
                <w:lang w:eastAsia="zh-CN"/>
              </w:rPr>
              <w:t xml:space="preserve"> %}{% if md.key == '位点说明:' %}</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{{md.value}}{% elif md.value == '' %}{% else%}{% if md.key==’基因说明:’ %}</w:t>
            </w:r>
            <w:r>
              <w:rPr>
                <w:rFonts w:hint="eastAsia" w:ascii="宋体" w:hAnsi="宋体" w:eastAsia="宋体" w:cs="宋体"/>
                <w:b/>
                <w:bCs/>
                <w:sz w:val="18"/>
                <w:szCs w:val="18"/>
                <w:lang w:eastAsia="zh-CN"/>
              </w:rPr>
              <w:t>HRD定义:</w:t>
            </w:r>
            <w:r>
              <w:rPr>
                <w:rFonts w:hint="eastAsia" w:ascii="宋体" w:hAnsi="宋体" w:eastAsia="宋体" w:cs="宋体"/>
                <w:sz w:val="18"/>
                <w:szCs w:val="18"/>
                <w:lang w:eastAsia="zh-CN"/>
              </w:rPr>
              <w:t>{% else%}</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 endif %}{{md.value}}</w:t>
            </w:r>
          </w:p>
          <w:p w14:paraId="6CCCDAF8">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endif %}{% endfor %}</w:t>
            </w:r>
          </w:p>
        </w:tc>
      </w:tr>
    </w:tbl>
    <w:p w14:paraId="4E82AAF6">
      <w:pPr>
        <w:spacing w:before="26"/>
        <w:rPr>
          <w:rFonts w:hint="eastAsia" w:ascii="宋体" w:hAnsi="宋体" w:eastAsia="宋体" w:cs="宋体"/>
          <w:b/>
          <w:sz w:val="18"/>
          <w:szCs w:val="18"/>
          <w:lang w:eastAsia="zh-CN"/>
        </w:rPr>
      </w:pPr>
    </w:p>
    <w:p w14:paraId="335926C0">
      <w:pPr>
        <w:spacing w:before="26"/>
        <w:rPr>
          <w:rFonts w:hint="eastAsia" w:ascii="宋体" w:hAnsi="宋体" w:eastAsia="宋体" w:cs="宋体"/>
          <w:b/>
          <w:sz w:val="18"/>
          <w:szCs w:val="18"/>
        </w:rPr>
      </w:pPr>
      <w:r>
        <w:rPr>
          <w:rFonts w:hint="eastAsia" w:ascii="宋体" w:hAnsi="宋体" w:eastAsia="宋体" w:cs="宋体"/>
          <w:b/>
          <w:sz w:val="18"/>
          <w:szCs w:val="18"/>
          <w:lang w:eastAsia="zh-CN"/>
        </w:rPr>
        <w:t>{% if hrdanalysisOfImmuneTestResults.drugResearchList != [] %}</w:t>
      </w:r>
    </w:p>
    <w:p w14:paraId="4AB8A6D6">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553602D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3631504">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050098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3B5015A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3D2A93D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88608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60BDAC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hrdanalysisOfImmuneTestResults.drugResearchList %}</w:t>
            </w:r>
          </w:p>
        </w:tc>
      </w:tr>
      <w:tr w14:paraId="6B6926E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90F0DF8">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26E009D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09C57B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58D35B7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11D3DC6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3075C3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75189EC">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hrdanalysisOfImmuneTestResults.potentialDrugList != [] %}</w:t>
      </w:r>
    </w:p>
    <w:p w14:paraId="1C546BDC">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2123F55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143F50E1">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4793BB4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2FDC92B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19E8600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6486D9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AD01E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hrdanalysisOfImmuneTestResults.potentialDrugList %}</w:t>
            </w:r>
          </w:p>
        </w:tc>
      </w:tr>
      <w:tr w14:paraId="50D13E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2A58A6D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4545A1B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1251FCA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682175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72C27A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6C85608">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65B70C">
      <w:pPr>
        <w:spacing w:before="26"/>
        <w:rPr>
          <w:rFonts w:hint="eastAsia" w:ascii="宋体" w:hAnsi="宋体" w:eastAsia="宋体" w:cs="宋体"/>
          <w:b/>
          <w:sz w:val="18"/>
          <w:szCs w:val="18"/>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hrdanalysisOfImmuneTestResults.clinicalTrialInformationStr != [] %}</w:t>
      </w:r>
    </w:p>
    <w:p w14:paraId="77B6381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E354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6EDEAAE7">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ID</w:t>
            </w:r>
          </w:p>
        </w:tc>
        <w:tc>
          <w:tcPr>
            <w:tcW w:w="3884" w:type="dxa"/>
            <w:tcBorders>
              <w:top w:val="nil"/>
            </w:tcBorders>
            <w:shd w:val="clear" w:color="auto" w:fill="00D392"/>
            <w:vAlign w:val="center"/>
          </w:tcPr>
          <w:p w14:paraId="52E8EF2A">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临床试验名称</w:t>
            </w:r>
          </w:p>
        </w:tc>
        <w:tc>
          <w:tcPr>
            <w:tcW w:w="1246" w:type="dxa"/>
            <w:tcBorders>
              <w:top w:val="nil"/>
            </w:tcBorders>
            <w:shd w:val="clear" w:color="auto" w:fill="00D392"/>
            <w:vAlign w:val="center"/>
          </w:tcPr>
          <w:p w14:paraId="19854CC9">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肿瘤类型</w:t>
            </w:r>
          </w:p>
        </w:tc>
        <w:tc>
          <w:tcPr>
            <w:tcW w:w="1035" w:type="dxa"/>
            <w:tcBorders>
              <w:top w:val="nil"/>
            </w:tcBorders>
            <w:shd w:val="clear" w:color="auto" w:fill="00D392"/>
            <w:vAlign w:val="center"/>
          </w:tcPr>
          <w:p w14:paraId="64B35554">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阶段</w:t>
            </w:r>
          </w:p>
        </w:tc>
        <w:tc>
          <w:tcPr>
            <w:tcW w:w="1204" w:type="dxa"/>
            <w:tcBorders>
              <w:top w:val="nil"/>
            </w:tcBorders>
            <w:shd w:val="clear" w:color="auto" w:fill="00D392"/>
            <w:vAlign w:val="center"/>
          </w:tcPr>
          <w:p w14:paraId="4C80ABDB">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药物</w:t>
            </w:r>
          </w:p>
        </w:tc>
        <w:tc>
          <w:tcPr>
            <w:tcW w:w="856" w:type="dxa"/>
            <w:tcBorders>
              <w:top w:val="nil"/>
            </w:tcBorders>
            <w:shd w:val="clear" w:color="auto" w:fill="00D392"/>
            <w:vAlign w:val="center"/>
          </w:tcPr>
          <w:p w14:paraId="0DFDF402">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地点</w:t>
            </w:r>
          </w:p>
        </w:tc>
      </w:tr>
      <w:tr w14:paraId="1CE190C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D48253">
            <w:pPr>
              <w:spacing w:before="26"/>
              <w:jc w:val="center"/>
              <w:rPr>
                <w:rFonts w:hint="eastAsia" w:ascii="宋体" w:hAnsi="宋体" w:eastAsia="宋体" w:cs="宋体"/>
                <w:sz w:val="18"/>
                <w:szCs w:val="18"/>
                <w:lang w:eastAsia="zh-CN" w:bidi="ar"/>
              </w:rPr>
            </w:pPr>
            <w:r>
              <w:rPr>
                <w:rFonts w:hint="eastAsia" w:ascii="宋体" w:hAnsi="宋体" w:eastAsia="宋体" w:cs="宋体"/>
                <w:b/>
                <w:sz w:val="18"/>
                <w:szCs w:val="18"/>
                <w:lang w:eastAsia="zh-CN"/>
              </w:rPr>
              <w:t>{%tr for hrdcli in hrdanalysisOfImmuneTestResults.clinicalTrialInformationStr%}</w:t>
            </w:r>
          </w:p>
        </w:tc>
      </w:tr>
      <w:tr w14:paraId="708F6EC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shd w:val="clear" w:color="auto" w:fill="auto"/>
            <w:vAlign w:val="center"/>
          </w:tcPr>
          <w:p w14:paraId="4413DB75">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hrdcli.clinical_trial_id}}</w:t>
            </w:r>
          </w:p>
        </w:tc>
        <w:tc>
          <w:tcPr>
            <w:tcW w:w="3884" w:type="dxa"/>
            <w:shd w:val="clear" w:color="auto" w:fill="auto"/>
            <w:vAlign w:val="center"/>
          </w:tcPr>
          <w:p w14:paraId="47C701B4">
            <w:pPr>
              <w:jc w:val="center"/>
              <w:rPr>
                <w:rFonts w:hint="eastAsia" w:ascii="宋体" w:hAnsi="宋体" w:eastAsia="宋体" w:cs="宋体"/>
                <w:sz w:val="18"/>
                <w:szCs w:val="18"/>
              </w:rPr>
            </w:pPr>
            <w:r>
              <w:rPr>
                <w:rFonts w:hint="eastAsia" w:ascii="宋体" w:hAnsi="宋体" w:eastAsia="宋体" w:cs="宋体"/>
                <w:bCs/>
                <w:sz w:val="18"/>
                <w:szCs w:val="18"/>
                <w:lang w:eastAsia="zh-CN"/>
              </w:rPr>
              <w:t>{{ hrdcli.title_chinese}}</w:t>
            </w:r>
          </w:p>
        </w:tc>
        <w:tc>
          <w:tcPr>
            <w:tcW w:w="1246" w:type="dxa"/>
            <w:shd w:val="clear" w:color="auto" w:fill="auto"/>
            <w:vAlign w:val="center"/>
          </w:tcPr>
          <w:p w14:paraId="51D2E9A1">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hrdcli.condition_chinese}}</w:t>
            </w:r>
          </w:p>
        </w:tc>
        <w:tc>
          <w:tcPr>
            <w:tcW w:w="1035" w:type="dxa"/>
            <w:shd w:val="clear" w:color="auto" w:fill="auto"/>
            <w:vAlign w:val="center"/>
          </w:tcPr>
          <w:p w14:paraId="7B593854">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hrdcli.phase}}</w:t>
            </w:r>
          </w:p>
        </w:tc>
        <w:tc>
          <w:tcPr>
            <w:tcW w:w="1204" w:type="dxa"/>
            <w:shd w:val="clear" w:color="auto" w:fill="auto"/>
            <w:vAlign w:val="center"/>
          </w:tcPr>
          <w:p w14:paraId="1A946C49">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hrdcli.drug_name_chinese</w:t>
            </w:r>
            <w:r>
              <w:rPr>
                <w:rFonts w:hint="eastAsia" w:ascii="宋体" w:hAnsi="宋体" w:eastAsia="宋体" w:cs="宋体"/>
                <w:sz w:val="18"/>
                <w:szCs w:val="18"/>
                <w:lang w:eastAsia="zh-CN"/>
              </w:rPr>
              <w:t xml:space="preserve"> %}{%if loop.last%}{{ d.name }}{%else%}{{ d.name }}</w:t>
            </w:r>
          </w:p>
          <w:p w14:paraId="3231AC87">
            <w:pPr>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shd w:val="clear" w:color="auto" w:fill="auto"/>
            <w:vAlign w:val="center"/>
          </w:tcPr>
          <w:p w14:paraId="19F18D30">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hrdcli.location_chinese}}</w:t>
            </w:r>
          </w:p>
        </w:tc>
      </w:tr>
      <w:tr w14:paraId="0D037DA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0065729">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w:t>
            </w:r>
          </w:p>
        </w:tc>
      </w:tr>
    </w:tbl>
    <w:p w14:paraId="412A271B">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 endif %}</w:t>
      </w:r>
      <w:r>
        <w:rPr>
          <w:rFonts w:hint="eastAsia" w:ascii="宋体" w:hAnsi="宋体" w:eastAsia="宋体" w:cs="宋体"/>
          <w:b/>
          <w:sz w:val="18"/>
          <w:szCs w:val="18"/>
          <w:lang w:eastAsia="zh-CN" w:bidi="ar"/>
        </w:rPr>
        <w:br w:type="page"/>
      </w:r>
      <w:bookmarkStart w:id="4" w:name="_Toc26395"/>
      <w:bookmarkStart w:id="5" w:name="_Toc31324"/>
    </w:p>
    <w:bookmarkEnd w:id="4"/>
    <w:bookmarkEnd w:id="5"/>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6" w:name="_Toc149837268"/>
      <w:bookmarkStart w:id="7" w:name="_Toc19443"/>
      <w:bookmarkStart w:id="8" w:name="_Toc30346"/>
      <w:bookmarkStart w:id="9"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6"/>
      <w:bookmarkEnd w:id="7"/>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bookmarkEnd w:id="8"/>
    <w:bookmarkEnd w:id="9"/>
    <w:p w14:paraId="1DEABA1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p>
    <w:tbl>
      <w:tblPr>
        <w:tblStyle w:val="12"/>
        <w:tblW w:w="981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984"/>
        <w:gridCol w:w="2825"/>
        <w:gridCol w:w="2270"/>
        <w:gridCol w:w="2712"/>
        <w:gridCol w:w="19"/>
      </w:tblGrid>
      <w:tr w14:paraId="11916A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D392"/>
            <w:vAlign w:val="center"/>
          </w:tcPr>
          <w:p w14:paraId="1AA0596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825" w:type="dxa"/>
            <w:shd w:val="clear" w:color="auto" w:fill="00D392"/>
            <w:vAlign w:val="center"/>
          </w:tcPr>
          <w:p w14:paraId="2341526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270" w:type="dxa"/>
            <w:shd w:val="clear" w:color="auto" w:fill="00D392"/>
            <w:vAlign w:val="center"/>
          </w:tcPr>
          <w:p w14:paraId="1A4EEDF6">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shd w:val="clear" w:color="auto" w:fill="00D392"/>
            <w:vAlign w:val="center"/>
          </w:tcPr>
          <w:p w14:paraId="6E688ABB">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27FB5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229B36B">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825" w:type="dxa"/>
            <w:shd w:val="clear" w:color="auto" w:fill="auto"/>
            <w:vAlign w:val="center"/>
          </w:tcPr>
          <w:p w14:paraId="0AB75E8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270" w:type="dxa"/>
            <w:shd w:val="clear" w:color="auto" w:fill="auto"/>
            <w:vAlign w:val="center"/>
          </w:tcPr>
          <w:p w14:paraId="5E92D4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shd w:val="clear" w:color="auto" w:fill="auto"/>
            <w:vAlign w:val="center"/>
          </w:tcPr>
          <w:p w14:paraId="170B947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79AF00A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709D3FE">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825" w:type="dxa"/>
            <w:shd w:val="clear" w:color="auto" w:fill="auto"/>
            <w:vAlign w:val="center"/>
          </w:tcPr>
          <w:p w14:paraId="46D073E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270" w:type="dxa"/>
            <w:shd w:val="clear" w:color="auto" w:fill="auto"/>
            <w:vAlign w:val="center"/>
          </w:tcPr>
          <w:p w14:paraId="34C20B80">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shd w:val="clear" w:color="auto" w:fill="auto"/>
            <w:vAlign w:val="center"/>
          </w:tcPr>
          <w:p w14:paraId="3BB507E5">
            <w:pPr>
              <w:jc w:val="center"/>
              <w:rPr>
                <w:rFonts w:hint="eastAsia" w:ascii="宋体" w:hAnsi="宋体" w:eastAsia="宋体" w:cs="宋体"/>
                <w:sz w:val="18"/>
                <w:szCs w:val="18"/>
              </w:rPr>
            </w:pPr>
            <w:r>
              <w:rPr>
                <w:rFonts w:hint="eastAsia" w:ascii="宋体" w:hAnsi="宋体" w:eastAsia="宋体" w:cs="宋体"/>
                <w:bCs/>
                <w:sz w:val="18"/>
                <w:szCs w:val="18"/>
                <w:lang w:eastAsia="zh-CN"/>
              </w:rPr>
              <w:t>≥2</w:t>
            </w:r>
            <w:r>
              <w:rPr>
                <w:rFonts w:hint="eastAsia" w:ascii="宋体" w:hAnsi="宋体" w:eastAsia="宋体" w:cs="宋体"/>
                <w:bCs/>
                <w:sz w:val="18"/>
                <w:szCs w:val="18"/>
              </w:rPr>
              <w:t>00</w:t>
            </w:r>
          </w:p>
        </w:tc>
      </w:tr>
      <w:tr w14:paraId="4A6803F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63D5503">
            <w:pPr>
              <w:rPr>
                <w:rFonts w:hint="eastAsia" w:ascii="宋体" w:hAnsi="宋体" w:eastAsia="宋体" w:cs="宋体"/>
                <w:b/>
                <w:bCs/>
                <w:sz w:val="18"/>
                <w:szCs w:val="18"/>
              </w:rPr>
            </w:pPr>
          </w:p>
        </w:tc>
        <w:tc>
          <w:tcPr>
            <w:tcW w:w="2825" w:type="dxa"/>
            <w:shd w:val="clear" w:color="auto" w:fill="auto"/>
            <w:vAlign w:val="center"/>
          </w:tcPr>
          <w:p w14:paraId="0AEDF5E0">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270" w:type="dxa"/>
            <w:shd w:val="clear" w:color="auto" w:fill="auto"/>
            <w:vAlign w:val="center"/>
          </w:tcPr>
          <w:p w14:paraId="47B78AB6">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shd w:val="clear" w:color="auto" w:fill="auto"/>
            <w:vAlign w:val="center"/>
          </w:tcPr>
          <w:p w14:paraId="2FCC0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6232F4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3128E2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HRD 评估区域测序质量评估</w:t>
            </w:r>
          </w:p>
        </w:tc>
        <w:tc>
          <w:tcPr>
            <w:tcW w:w="2825" w:type="dxa"/>
            <w:shd w:val="clear" w:color="auto" w:fill="auto"/>
            <w:vAlign w:val="center"/>
          </w:tcPr>
          <w:p w14:paraId="789F2F76">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w:t>
            </w:r>
            <w:r>
              <w:rPr>
                <w:rFonts w:hint="eastAsia" w:ascii="宋体" w:hAnsi="宋体" w:eastAsia="宋体" w:cs="宋体"/>
                <w:bCs/>
                <w:sz w:val="18"/>
                <w:szCs w:val="18"/>
              </w:rPr>
              <w:t>平均测序深度</w:t>
            </w:r>
          </w:p>
        </w:tc>
        <w:tc>
          <w:tcPr>
            <w:tcW w:w="2270" w:type="dxa"/>
            <w:shd w:val="clear" w:color="auto" w:fill="auto"/>
            <w:vAlign w:val="center"/>
          </w:tcPr>
          <w:p w14:paraId="70FA94BB">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sz w:val="18"/>
                <w:szCs w:val="18"/>
                <w:lang w:eastAsia="zh-CN"/>
              </w:rPr>
              <w:t>{%if hrd != undefined%}{{ hrd.sequencing_depth }}{%endif%}</w:t>
            </w:r>
          </w:p>
        </w:tc>
        <w:tc>
          <w:tcPr>
            <w:tcW w:w="2731" w:type="dxa"/>
            <w:gridSpan w:val="2"/>
            <w:shd w:val="clear" w:color="auto" w:fill="auto"/>
            <w:vAlign w:val="center"/>
          </w:tcPr>
          <w:p w14:paraId="167FFE15">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≥200</w:t>
            </w:r>
          </w:p>
        </w:tc>
      </w:tr>
      <w:tr w14:paraId="2C2769F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18A0D07">
            <w:pPr>
              <w:autoSpaceDE w:val="0"/>
              <w:ind w:left="105" w:leftChars="50"/>
              <w:jc w:val="center"/>
              <w:rPr>
                <w:rFonts w:hint="eastAsia" w:ascii="宋体" w:hAnsi="宋体" w:eastAsia="宋体" w:cs="宋体"/>
                <w:b/>
                <w:bCs/>
                <w:sz w:val="18"/>
                <w:szCs w:val="18"/>
                <w:lang w:eastAsia="zh-CN" w:bidi="ar"/>
              </w:rPr>
            </w:pPr>
          </w:p>
        </w:tc>
        <w:tc>
          <w:tcPr>
            <w:tcW w:w="2825" w:type="dxa"/>
            <w:shd w:val="clear" w:color="auto" w:fill="auto"/>
            <w:vAlign w:val="center"/>
          </w:tcPr>
          <w:p w14:paraId="64A0DB87">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Score覆盖均一性</w:t>
            </w:r>
          </w:p>
        </w:tc>
        <w:tc>
          <w:tcPr>
            <w:tcW w:w="2270" w:type="dxa"/>
            <w:shd w:val="clear" w:color="auto" w:fill="auto"/>
            <w:vAlign w:val="center"/>
          </w:tcPr>
          <w:p w14:paraId="7050D411">
            <w:pPr>
              <w:ind w:left="119" w:leftChars="0"/>
              <w:jc w:val="center"/>
              <w:rPr>
                <w:rFonts w:hint="eastAsia" w:ascii="宋体" w:hAnsi="宋体" w:eastAsia="宋体" w:cs="宋体"/>
                <w:sz w:val="18"/>
                <w:szCs w:val="18"/>
                <w:lang w:val="en-US" w:eastAsia="zh-CN" w:bidi="ar-SA"/>
              </w:rPr>
            </w:pPr>
            <w:r>
              <w:rPr>
                <w:rFonts w:hint="eastAsia" w:ascii="宋体" w:hAnsi="宋体" w:eastAsia="宋体" w:cs="宋体"/>
                <w:sz w:val="18"/>
                <w:szCs w:val="18"/>
                <w:lang w:eastAsia="zh-CN"/>
              </w:rPr>
              <w:t>{%if hrd != undefined%}{{ hrd.coverage_uniformity }}{%endif%}</w:t>
            </w:r>
          </w:p>
        </w:tc>
        <w:tc>
          <w:tcPr>
            <w:tcW w:w="2731" w:type="dxa"/>
            <w:gridSpan w:val="2"/>
            <w:shd w:val="clear" w:color="auto" w:fill="auto"/>
            <w:vAlign w:val="center"/>
          </w:tcPr>
          <w:p w14:paraId="228434AF">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≥80%</w:t>
            </w:r>
          </w:p>
        </w:tc>
      </w:tr>
      <w:tr w14:paraId="06C158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D4E1003">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BRCA1/2 基因测序质量评估</w:t>
            </w:r>
          </w:p>
        </w:tc>
        <w:tc>
          <w:tcPr>
            <w:tcW w:w="2825" w:type="dxa"/>
            <w:shd w:val="clear" w:color="auto" w:fill="auto"/>
            <w:vAlign w:val="center"/>
          </w:tcPr>
          <w:p w14:paraId="22A54F0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270" w:type="dxa"/>
            <w:shd w:val="clear" w:color="auto" w:fill="auto"/>
            <w:vAlign w:val="center"/>
          </w:tcPr>
          <w:p w14:paraId="673CD5E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shd w:val="clear" w:color="auto" w:fill="auto"/>
            <w:vAlign w:val="center"/>
          </w:tcPr>
          <w:p w14:paraId="4FE024F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1A2EFD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29F98DF">
            <w:pPr>
              <w:rPr>
                <w:rFonts w:hint="eastAsia" w:ascii="宋体" w:hAnsi="宋体" w:eastAsia="宋体" w:cs="宋体"/>
                <w:b/>
                <w:bCs/>
                <w:sz w:val="18"/>
                <w:szCs w:val="18"/>
              </w:rPr>
            </w:pPr>
          </w:p>
        </w:tc>
        <w:tc>
          <w:tcPr>
            <w:tcW w:w="2825" w:type="dxa"/>
            <w:shd w:val="clear" w:color="auto" w:fill="auto"/>
            <w:vAlign w:val="center"/>
          </w:tcPr>
          <w:p w14:paraId="3EC5226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270" w:type="dxa"/>
            <w:shd w:val="clear" w:color="auto" w:fill="auto"/>
            <w:vAlign w:val="center"/>
          </w:tcPr>
          <w:p w14:paraId="4B108A2F">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shd w:val="clear" w:color="auto" w:fill="auto"/>
            <w:vAlign w:val="center"/>
          </w:tcPr>
          <w:p w14:paraId="62F27A3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6714BDE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1CE1D814">
            <w:pPr>
              <w:rPr>
                <w:rFonts w:hint="eastAsia" w:ascii="宋体" w:hAnsi="宋体" w:eastAsia="宋体" w:cs="宋体"/>
                <w:b/>
                <w:bCs/>
                <w:sz w:val="18"/>
                <w:szCs w:val="18"/>
              </w:rPr>
            </w:pPr>
          </w:p>
        </w:tc>
        <w:tc>
          <w:tcPr>
            <w:tcW w:w="2825" w:type="dxa"/>
            <w:shd w:val="clear" w:color="auto" w:fill="auto"/>
            <w:vAlign w:val="center"/>
          </w:tcPr>
          <w:p w14:paraId="6457E43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270" w:type="dxa"/>
            <w:shd w:val="clear" w:color="auto" w:fill="auto"/>
            <w:vAlign w:val="center"/>
          </w:tcPr>
          <w:p w14:paraId="2388FE1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shd w:val="clear" w:color="auto" w:fill="auto"/>
            <w:vAlign w:val="center"/>
          </w:tcPr>
          <w:p w14:paraId="7CD9D28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02CFEB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84D9089">
            <w:pPr>
              <w:rPr>
                <w:rFonts w:hint="eastAsia" w:ascii="宋体" w:hAnsi="宋体" w:eastAsia="宋体" w:cs="宋体"/>
                <w:b/>
                <w:bCs/>
                <w:sz w:val="18"/>
                <w:szCs w:val="18"/>
              </w:rPr>
            </w:pPr>
          </w:p>
        </w:tc>
        <w:tc>
          <w:tcPr>
            <w:tcW w:w="2825" w:type="dxa"/>
            <w:shd w:val="clear" w:color="auto" w:fill="auto"/>
            <w:vAlign w:val="center"/>
          </w:tcPr>
          <w:p w14:paraId="2D8F83EE">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270" w:type="dxa"/>
            <w:shd w:val="clear" w:color="auto" w:fill="auto"/>
            <w:vAlign w:val="center"/>
          </w:tcPr>
          <w:p w14:paraId="75D01097">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shd w:val="clear" w:color="auto" w:fill="auto"/>
            <w:vAlign w:val="center"/>
          </w:tcPr>
          <w:p w14:paraId="17DB4D4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23DA393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44716B15">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shd w:val="clear" w:color="auto" w:fill="F1F1F1"/>
            <w:vAlign w:val="center"/>
          </w:tcPr>
          <w:p w14:paraId="2F91B903">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sequencing_depth | oqa(500,400) }}</w:t>
            </w:r>
          </w:p>
        </w:tc>
      </w:tr>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AAD0F9A">
      <w:pPr>
        <w:rPr>
          <w:sz w:val="30"/>
          <w:lang w:eastAsia="zh-CN"/>
        </w:rPr>
      </w:pPr>
      <w:bookmarkStart w:id="10" w:name="_Toc15114"/>
      <w:bookmarkStart w:id="11" w:name="_Toc3409"/>
      <w:bookmarkStart w:id="12" w:name="_Toc20924"/>
      <w:bookmarkStart w:id="13" w:name="_Toc27693"/>
      <w:bookmarkStart w:id="14" w:name="_Toc26985_WPSOffice_Level1"/>
      <w:bookmarkStart w:id="15" w:name="_Toc31185"/>
      <w:bookmarkStart w:id="16" w:name="_Toc28454_WPSOffice_Level1"/>
      <w:bookmarkStart w:id="17" w:name="_Toc20170_WPSOffice_Level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v:textbox>
                <w10:wrap type="none"/>
                <w10:anchorlock/>
              </v:shape>
            </w:pict>
          </mc:Fallback>
        </mc:AlternateContent>
      </w:r>
    </w:p>
    <w:bookmarkEnd w:id="10"/>
    <w:bookmarkEnd w:id="11"/>
    <w:p w14:paraId="17415B2B">
      <w:pPr>
        <w:keepNext w:val="0"/>
        <w:keepLines w:val="0"/>
        <w:pageBreakBefore w:val="0"/>
        <w:widowControl w:val="0"/>
        <w:kinsoku/>
        <w:wordWrap/>
        <w:overflowPunct/>
        <w:topLinePunct w:val="0"/>
        <w:autoSpaceDE/>
        <w:autoSpaceDN/>
        <w:bidi w:val="0"/>
        <w:adjustRightInd/>
        <w:snapToGrid/>
        <w:spacing w:before="26" w:line="312" w:lineRule="auto"/>
        <w:ind w:firstLine="420" w:firstLineChars="200"/>
        <w:jc w:val="both"/>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eastAsia" w:ascii="宋体" w:hAnsi="宋体" w:eastAsia="宋体" w:cs="宋体"/>
          <w:sz w:val="21"/>
          <w:szCs w:val="21"/>
          <w:vertAlign w:val="superscript"/>
          <w:lang w:eastAsia="zh-CN"/>
        </w:rPr>
        <w:t>a</w:t>
      </w:r>
      <w:r>
        <w:rPr>
          <w:rFonts w:hint="eastAsia" w:ascii="宋体" w:hAnsi="宋体" w:eastAsia="宋体" w:cs="宋体"/>
          <w:sz w:val="21"/>
          <w:szCs w:val="21"/>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1004F00">
      <w:pPr>
        <w:rPr>
          <w:rFonts w:hint="eastAsia" w:ascii="宋体" w:hAnsi="宋体" w:eastAsia="宋体" w:cs="宋体"/>
          <w:sz w:val="15"/>
          <w:szCs w:val="15"/>
          <w:lang w:eastAsia="zh-CN"/>
        </w:rPr>
      </w:pPr>
      <w:r>
        <w:rPr>
          <w:rFonts w:hint="eastAsia" w:ascii="宋体" w:hAnsi="宋体" w:eastAsia="宋体" w:cs="宋体"/>
          <w:sz w:val="15"/>
          <w:szCs w:val="15"/>
          <w:lang w:eastAsia="zh-CN"/>
        </w:rPr>
        <w:t>a数据出自世界范围内人群的调查，中国人群的BRCA有害突变携带者患病比例和其有一定的差异。</w:t>
      </w:r>
    </w:p>
    <w:p w14:paraId="7538345F">
      <w:pPr>
        <w:rPr>
          <w:rFonts w:hint="eastAsia" w:ascii="宋体" w:hAnsi="宋体" w:eastAsia="宋体" w:cs="宋体"/>
          <w:sz w:val="15"/>
          <w:szCs w:val="15"/>
          <w:lang w:eastAsia="zh-CN"/>
        </w:rPr>
      </w:pPr>
    </w:p>
    <w:p w14:paraId="1DED7E49">
      <w:pPr>
        <w:rPr>
          <w:rFonts w:hint="eastAsia" w:ascii="宋体" w:hAnsi="宋体" w:eastAsia="宋体" w:cs="宋体"/>
          <w:b/>
          <w:color w:val="000000" w:themeColor="text1"/>
          <w:sz w:val="24"/>
          <w:lang w:eastAsia="zh-CN"/>
          <w14:textFill>
            <w14:solidFill>
              <w14:schemeClr w14:val="tx1"/>
            </w14:solidFill>
          </w14:textFill>
        </w:rPr>
      </w:pPr>
      <w:r>
        <w:rPr>
          <w:rFonts w:hint="eastAsia" w:ascii="宋体" w:hAnsi="宋体" w:eastAsia="宋体" w:cs="宋体"/>
          <w:b/>
          <w:color w:val="000000" w:themeColor="text1"/>
          <w:sz w:val="24"/>
          <w:lang w:eastAsia="zh-CN"/>
          <w14:textFill>
            <w14:solidFill>
              <w14:schemeClr w14:val="tx1"/>
            </w14:solidFill>
          </w14:textFill>
        </w:rPr>
        <w:t>BRCA1&amp;BRCA2基因说明及用药提示</w:t>
      </w:r>
      <w:bookmarkStart w:id="18" w:name="_Hlk33179213"/>
    </w:p>
    <w:bookmarkEnd w:id="18"/>
    <w:tbl>
      <w:tblPr>
        <w:tblStyle w:val="12"/>
        <w:tblW w:w="10207" w:type="dxa"/>
        <w:tblInd w:w="-147"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13" w:hRule="atLeast"/>
        </w:trPr>
        <w:tc>
          <w:tcPr>
            <w:tcW w:w="709" w:type="dxa"/>
            <w:shd w:val="clear" w:color="auto" w:fill="00D392"/>
            <w:vAlign w:val="center"/>
          </w:tcPr>
          <w:p w14:paraId="774281FA">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w:t>
            </w:r>
          </w:p>
        </w:tc>
        <w:tc>
          <w:tcPr>
            <w:tcW w:w="4913" w:type="dxa"/>
            <w:shd w:val="clear" w:color="auto" w:fill="00D392"/>
            <w:vAlign w:val="center"/>
          </w:tcPr>
          <w:p w14:paraId="0BA5BDB6">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基因说明</w:t>
            </w:r>
          </w:p>
        </w:tc>
        <w:tc>
          <w:tcPr>
            <w:tcW w:w="2036" w:type="dxa"/>
            <w:shd w:val="clear" w:color="auto" w:fill="00D392"/>
            <w:vAlign w:val="center"/>
          </w:tcPr>
          <w:p w14:paraId="7373E020">
            <w:pPr>
              <w:pStyle w:val="27"/>
              <w:jc w:val="center"/>
              <w:rPr>
                <w:rFonts w:hint="eastAsia" w:ascii="宋体" w:hAnsi="宋体" w:eastAsia="宋体" w:cs="宋体"/>
                <w:b/>
                <w:sz w:val="18"/>
                <w:szCs w:val="18"/>
              </w:rPr>
            </w:pPr>
            <w:r>
              <w:rPr>
                <w:rFonts w:hint="eastAsia" w:ascii="宋体" w:hAnsi="宋体" w:eastAsia="宋体" w:cs="宋体"/>
                <w:b/>
                <w:color w:val="FFFFFF"/>
                <w:sz w:val="18"/>
                <w:szCs w:val="18"/>
              </w:rPr>
              <w:t>靶向药物</w:t>
            </w:r>
          </w:p>
        </w:tc>
        <w:tc>
          <w:tcPr>
            <w:tcW w:w="2549" w:type="dxa"/>
            <w:shd w:val="clear" w:color="auto" w:fill="00D392"/>
            <w:vAlign w:val="center"/>
          </w:tcPr>
          <w:p w14:paraId="3B5EC0F7">
            <w:pPr>
              <w:pStyle w:val="27"/>
              <w:ind w:left="134"/>
              <w:jc w:val="center"/>
              <w:rPr>
                <w:rFonts w:hint="eastAsia" w:ascii="宋体" w:hAnsi="宋体" w:eastAsia="宋体" w:cs="宋体"/>
                <w:b/>
                <w:sz w:val="18"/>
                <w:szCs w:val="18"/>
                <w:lang w:eastAsia="zh-CN"/>
              </w:rPr>
            </w:pPr>
            <w:r>
              <w:rPr>
                <w:rFonts w:hint="eastAsia" w:ascii="宋体" w:hAnsi="宋体" w:eastAsia="宋体" w:cs="宋体"/>
                <w:b/>
                <w:color w:val="FFFFFF"/>
                <w:sz w:val="18"/>
                <w:szCs w:val="18"/>
                <w:lang w:eastAsia="zh-CN"/>
              </w:rPr>
              <w:t>用药提示（仅供参考）</w:t>
            </w:r>
          </w:p>
        </w:tc>
      </w:tr>
      <w:tr w14:paraId="3847E1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26B36359">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BRCA1</w:t>
            </w:r>
          </w:p>
        </w:tc>
        <w:tc>
          <w:tcPr>
            <w:tcW w:w="4913" w:type="dxa"/>
            <w:vAlign w:val="center"/>
          </w:tcPr>
          <w:p w14:paraId="424BAF84">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PMID: 27241103; PMID: 25025451; PMID: 23765559; PMID: 25238946]。BRCA1相关的疾病还包括子宫内膜癌、肠癌、胃癌等[PMID: 25849179; PMID: 20495085; PMID: 20034658; PMID: 20494261; PMID: 21324516]。BRCA1胚系突变，倾向发生于家族性乳腺癌、卵巢癌、胰腺癌、前列腺癌、葡萄膜恶性黑色素瘤及食管癌等[PMID: 23057551; PMID: 16835424; PMID: 23987739; PMID: 23459506; PMID: 25872896]。 </w:t>
            </w:r>
          </w:p>
        </w:tc>
        <w:tc>
          <w:tcPr>
            <w:tcW w:w="2036" w:type="dxa"/>
            <w:vAlign w:val="center"/>
          </w:tcPr>
          <w:p w14:paraId="4941EA5D">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5E37E783">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A4577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13107ED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374EC53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41287B9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5A6AF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8C1DA7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6CE92C6B">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携带BRCA1胚系或体细胞失活性突变的肿瘤可能对PARP抑制剂敏感[PMID: 34293664; PMID: 34103386; PMID: 33740262; PMID: 34118019; PMID: 34287805]，例如奥拉帕利、Rucaparib、氟唑帕利等。如携带BRCA1致病性胚系突变，建议直系亲属进行遗传易感性基因筛查。</w:t>
            </w:r>
          </w:p>
        </w:tc>
      </w:tr>
      <w:tr w14:paraId="6DF87C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67E1CA8C">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BRCA2</w:t>
            </w:r>
          </w:p>
        </w:tc>
        <w:tc>
          <w:tcPr>
            <w:tcW w:w="4913" w:type="dxa"/>
            <w:vAlign w:val="center"/>
          </w:tcPr>
          <w:p w14:paraId="01F6EE8B">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PMID: 27241103; PMID: 25025451; PMID: 23765559; PMID: 25238946]。BRCA2相关的疾病还包括子宫内膜癌、肠癌、胃癌等[PMID: 25849179; PMID: 20495085; PMID: 20034658; PMID: 20494261; PMID: 21324516]。BRCA2胚系突变，倾向发生于家族性乳腺癌、卵巢癌、胰腺癌、前列腺癌、葡萄膜恶性黑色素瘤及食管癌等[PMID: 23057551; PMID: 16835424; PMID: 23987739; PMID: 23459506; PMID: 25872896]。</w:t>
            </w:r>
          </w:p>
        </w:tc>
        <w:tc>
          <w:tcPr>
            <w:tcW w:w="2036" w:type="dxa"/>
            <w:vAlign w:val="center"/>
          </w:tcPr>
          <w:p w14:paraId="732C79C6">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0897289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88152F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022022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52071391">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14E01B1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D708A2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4237B64">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33DB6432">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携带BRCA2胚系或体细胞失活性突变的肿瘤可能对PARP抑制剂敏感[PMID: 34293664; PMID: 34103386; PMID: 33740262; PMID: 34118019; PMID: 34287805]，例如奥拉帕利、Rucaparib、氟唑帕利等。如携带BRCA2致病性胚系突变，建议直系亲属进行遗传易感性基因筛查。</w:t>
            </w:r>
          </w:p>
        </w:tc>
      </w:tr>
    </w:tbl>
    <w:p w14:paraId="1E71E195">
      <w:pPr>
        <w:rPr>
          <w:rFonts w:hint="eastAsia" w:ascii="宋体" w:hAnsi="宋体" w:eastAsia="宋体" w:cs="宋体"/>
          <w:b/>
          <w:sz w:val="13"/>
          <w:szCs w:val="13"/>
        </w:rPr>
      </w:pPr>
      <w:r>
        <w:rPr>
          <w:rFonts w:hint="eastAsia" w:ascii="宋体" w:hAnsi="宋体" w:eastAsia="宋体" w:cs="宋体"/>
          <w:b/>
          <w:sz w:val="13"/>
          <w:szCs w:val="13"/>
        </w:rPr>
        <w:t>注：</w:t>
      </w:r>
    </w:p>
    <w:p w14:paraId="4E538424">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数字1表示FDA获批药物；</w:t>
      </w:r>
    </w:p>
    <w:p w14:paraId="52BC97C7">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数字2表示临床试验的药物；</w:t>
      </w:r>
    </w:p>
    <w:p w14:paraId="2779B22A">
      <w:pPr>
        <w:pStyle w:val="38"/>
        <w:numPr>
          <w:ilvl w:val="0"/>
          <w:numId w:val="3"/>
        </w:numPr>
        <w:autoSpaceDE w:val="0"/>
        <w:autoSpaceDN w:val="0"/>
        <w:ind w:firstLineChars="0"/>
        <w:rPr>
          <w:rFonts w:hint="eastAsia" w:ascii="宋体" w:hAnsi="宋体" w:eastAsia="宋体" w:cs="宋体"/>
          <w:color w:val="auto"/>
          <w:sz w:val="13"/>
          <w:szCs w:val="13"/>
          <w:lang w:val="en-US" w:eastAsia="zh-CN"/>
        </w:rPr>
      </w:pPr>
      <w:r>
        <w:rPr>
          <w:rFonts w:hint="eastAsia" w:ascii="宋体" w:hAnsi="宋体" w:eastAsia="宋体" w:cs="宋体"/>
          <w:sz w:val="13"/>
          <w:szCs w:val="13"/>
          <w:lang w:eastAsia="zh-CN"/>
        </w:rPr>
        <w:t>*表示NMPA获批药物。</w:t>
      </w:r>
    </w:p>
    <w:p w14:paraId="2A24C105">
      <w:pPr>
        <w:rPr>
          <w:rFonts w:hint="eastAsia" w:ascii="宋体" w:hAnsi="宋体" w:eastAsia="宋体" w:cs="宋体"/>
          <w:sz w:val="18"/>
          <w:szCs w:val="18"/>
          <w:highlight w:val="yellow"/>
          <w:lang w:eastAsia="zh-CN"/>
        </w:rPr>
      </w:pPr>
      <w:r>
        <w:rPr>
          <w:rFonts w:hint="eastAsia" w:ascii="Times New Roman" w:hAnsi="Times New Roman" w:eastAsia="微软雅黑"/>
          <w:sz w:val="18"/>
          <w:szCs w:val="18"/>
          <w:lang w:eastAsia="zh-CN"/>
        </w:rPr>
        <w:br w:type="page"/>
      </w:r>
    </w:p>
    <w:p w14:paraId="0FDE6951">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7" name="同侧圆角矩形 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J&#10;0StU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v:textbox>
                <w10:wrap type="none"/>
                <w10:anchorlock/>
              </v:shape>
            </w:pict>
          </mc:Fallback>
        </mc:AlternateContent>
      </w:r>
    </w:p>
    <w:p w14:paraId="458F8923">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eastAsia" w:ascii="宋体" w:hAnsi="宋体" w:eastAsia="宋体" w:cs="宋体"/>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eastAsia" w:ascii="宋体" w:hAnsi="宋体" w:eastAsia="宋体" w:cs="宋体"/>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29935278">
      <w:pPr>
        <w:rPr>
          <w:highlight w:val="yellow"/>
          <w:lang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23686"/>
                            <w:bookmarkStart w:id="38" w:name="_Toc12485"/>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23686"/>
                      <w:bookmarkStart w:id="38" w:name="_Toc12485"/>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v:textbox>
                <w10:wrap type="none"/>
                <w10:anchorlock/>
              </v:shape>
            </w:pict>
          </mc:Fallback>
        </mc:AlternateContent>
      </w:r>
    </w:p>
    <w:p w14:paraId="36F37D0E">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20" w:firstLineChars="200"/>
        <w:rPr>
          <w:rFonts w:hint="eastAsia" w:ascii="宋体" w:hAnsi="宋体" w:eastAsia="宋体" w:cs="宋体"/>
          <w:color w:val="000000" w:themeColor="text1"/>
          <w:lang w:eastAsia="zh-CN"/>
          <w14:textFill>
            <w14:solidFill>
              <w14:schemeClr w14:val="tx1"/>
            </w14:solidFill>
          </w14:textFill>
        </w:rPr>
      </w:pPr>
      <w:r>
        <w:rPr>
          <w:rFonts w:hint="eastAsia" w:ascii="宋体" w:hAnsi="宋体" w:eastAsia="宋体" w:cs="宋体"/>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2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100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3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p>
    <w:p w14:paraId="2BBCD524">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29031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9031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5.3pt;v-text-anchor:middle;" fillcolor="#18CF96" filled="t" stroked="t" coordsize="6290310,297180" o:gfxdata="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MxVwftQAAAAE&#10;AQAADwAAAAAAAAABACAAAAAiAAAAZHJzL2Rvd25yZXYueG1sUEsBAhQAFAAAAAgAh07iQEFoYs+S&#10;AgAAHAUAAA4AAAAAAAAAAQAgAAAAIwEAAGRycy9lMm9Eb2MueG1sUEsFBgAAAAAGAAYAWQEAACcG&#10;AAAAAA==&#10;" path="m49530,0l6240779,0c6268134,0,6290309,22175,6290309,49530l6290310,297180,6290310,297180,0,297180,0,297180,0,49530c0,22175,22175,0,49530,0xe">
                <v:path textboxrect="0,0,6290310,297180" o:connectlocs="6290310,148590;3145155,297180;0,148590;3145155,0" o:connectangles="0,82,164,247"/>
                <v:fill on="t" focussize="0,0"/>
                <v:stroke weight="0.5pt" color="#18CF96 [3204]" miterlimit="8" joinstyle="miter"/>
                <v:imagedata o:title=""/>
                <o:lock v:ext="edit" aspectratio="f"/>
                <v:textbox inset="1mm,0mm,1mm,0mm">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v:textbox>
                <w10:wrap type="none"/>
                <w10:anchorlock/>
              </v:shape>
            </w:pict>
          </mc:Fallback>
        </mc:AlternateContent>
      </w:r>
    </w:p>
    <w:p w14:paraId="09846666">
      <w:pPr>
        <w:spacing w:before="26"/>
        <w:rPr>
          <w:rFonts w:hint="eastAsia" w:ascii="宋体" w:hAnsi="宋体" w:eastAsia="宋体" w:cs="宋体"/>
          <w:b/>
          <w:sz w:val="6"/>
          <w:lang w:eastAsia="zh-CN"/>
        </w:rPr>
      </w:pPr>
      <w:r>
        <w:rPr>
          <w:rFonts w:hint="eastAsia" w:ascii="宋体" w:hAnsi="宋体" w:eastAsia="宋体" w:cs="宋体"/>
          <w:b/>
          <w:bCs/>
          <w:sz w:val="24"/>
          <w:szCs w:val="24"/>
          <w:lang w:eastAsia="zh-CN"/>
        </w:rPr>
        <w:t>乳腺癌、卵巢癌易感人群特征</w:t>
      </w:r>
    </w:p>
    <w:p w14:paraId="7DA7E47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患者发病年龄≤45岁；</w:t>
      </w:r>
    </w:p>
    <w:p w14:paraId="51E4FE45">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患者发病年龄46~50岁发病，同时伴有：</w:t>
      </w:r>
    </w:p>
    <w:p w14:paraId="6A4E8D67">
      <w:pPr>
        <w:widowControl/>
        <w:numPr>
          <w:ilvl w:val="0"/>
          <w:numId w:val="4"/>
        </w:numPr>
        <w:spacing w:before="26"/>
        <w:ind w:firstLine="180" w:firstLineChars="100"/>
        <w:rPr>
          <w:rFonts w:hint="eastAsia" w:ascii="宋体" w:hAnsi="宋体" w:eastAsia="宋体" w:cs="宋体"/>
          <w:sz w:val="18"/>
          <w:szCs w:val="18"/>
        </w:rPr>
      </w:pPr>
      <w:r>
        <w:rPr>
          <w:rFonts w:hint="eastAsia" w:ascii="宋体" w:hAnsi="宋体" w:eastAsia="宋体" w:cs="宋体"/>
          <w:sz w:val="18"/>
          <w:szCs w:val="18"/>
        </w:rPr>
        <w:t>第二原发性乳腺癌；</w:t>
      </w:r>
    </w:p>
    <w:p w14:paraId="309C5244">
      <w:pPr>
        <w:spacing w:before="26"/>
        <w:ind w:firstLine="180" w:firstLineChars="100"/>
        <w:rPr>
          <w:rFonts w:hint="eastAsia" w:ascii="宋体" w:hAnsi="宋体" w:eastAsia="宋体" w:cs="宋体"/>
          <w:sz w:val="18"/>
          <w:szCs w:val="18"/>
          <w:lang w:eastAsia="zh-CN"/>
        </w:rPr>
      </w:pPr>
      <w:r>
        <w:rPr>
          <w:rFonts w:hint="eastAsia" w:ascii="宋体" w:hAnsi="宋体" w:eastAsia="宋体" w:cs="宋体"/>
          <w:sz w:val="18"/>
          <w:szCs w:val="18"/>
          <w:lang w:eastAsia="zh-CN"/>
        </w:rPr>
        <w:t>(2) 满足≥1项以下家族史标准：</w:t>
      </w:r>
    </w:p>
    <w:p w14:paraId="68D6E655">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≥1血缘近亲有任何年龄发病的乳腺癌史、卵巢癌史、胰腺癌史、前列腺癌史（Gleason评分≥7）或导管内前列腺癌；</w:t>
      </w:r>
    </w:p>
    <w:p w14:paraId="4DE35B0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未知或有限的家族史；</w:t>
      </w:r>
    </w:p>
    <w:p w14:paraId="6A020F40">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患者发病年龄≤60岁发病，同时伴有：三阴性乳腺癌；</w:t>
      </w:r>
    </w:p>
    <w:p w14:paraId="3749231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所有男性乳腺癌患者；</w:t>
      </w:r>
    </w:p>
    <w:p w14:paraId="4E7F452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5 任何年龄发病，同时满足≥1项以下家族史标准：</w:t>
      </w:r>
    </w:p>
    <w:p w14:paraId="4BEEECBF">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≥1血缘近亲有≤50岁发病的乳腺癌史；</w:t>
      </w:r>
    </w:p>
    <w:p w14:paraId="6821564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在任何年龄被诊断患有卵巢癌、胰腺癌或转移性前列腺癌或导管内前列腺癌；</w:t>
      </w:r>
    </w:p>
    <w:p w14:paraId="3D1B18E7">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③ ≥2血缘近亲有任何年龄发病的乳腺癌或前列腺癌（任何级别）；</w:t>
      </w:r>
    </w:p>
    <w:p w14:paraId="63A050CA">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④ 有三级亲属患有乳腺癌和（或）卵巢癌，同时其有≥2血缘近亲患有乳腺癌（其中至少有1例≤50岁）和（或）卵巢癌；</w:t>
      </w:r>
    </w:p>
    <w:p w14:paraId="28577E2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⑤ 血缘近亲有男性乳腺癌家族史；</w:t>
      </w:r>
    </w:p>
    <w:p w14:paraId="7ED16C8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⑥ 有已知的家族型致病性BRCA1/2基因突变。</w:t>
      </w:r>
    </w:p>
    <w:p w14:paraId="2E87579F">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eastAsia" w:ascii="宋体" w:hAnsi="宋体" w:eastAsia="宋体" w:cs="宋体"/>
          <w:b/>
          <w:bCs/>
          <w:sz w:val="24"/>
          <w:szCs w:val="24"/>
          <w:lang w:eastAsia="zh-CN"/>
        </w:rPr>
      </w:pPr>
    </w:p>
    <w:p w14:paraId="1B8E1E98">
      <w:pPr>
        <w:spacing w:before="26"/>
        <w:rPr>
          <w:rFonts w:hint="eastAsia" w:ascii="宋体" w:hAnsi="宋体" w:eastAsia="宋体" w:cs="宋体"/>
          <w:b/>
          <w:sz w:val="4"/>
          <w:szCs w:val="21"/>
          <w:lang w:eastAsia="zh-CN"/>
        </w:rPr>
      </w:pPr>
      <w:r>
        <w:rPr>
          <w:rFonts w:hint="eastAsia" w:ascii="宋体" w:hAnsi="宋体" w:eastAsia="宋体" w:cs="宋体"/>
          <w:b/>
          <w:bCs/>
          <w:sz w:val="24"/>
          <w:szCs w:val="24"/>
          <w:lang w:eastAsia="zh-CN"/>
        </w:rPr>
        <w:t>前列腺癌易感人群特征</w:t>
      </w:r>
    </w:p>
    <w:p w14:paraId="15843F0D">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&gt;50岁的男性；</w:t>
      </w:r>
    </w:p>
    <w:p w14:paraId="52991DCA">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患者个人有男性乳腺癌或胰腺癌病史；</w:t>
      </w:r>
    </w:p>
    <w:p w14:paraId="1D22B75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&gt;40岁且前列腺特异性抗原（PSA）&gt;1μg/L；</w:t>
      </w:r>
    </w:p>
    <w:p w14:paraId="30F17F32">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&gt;45岁，同时满足≥1项一下家族史：</w:t>
      </w:r>
    </w:p>
    <w:p w14:paraId="09B9B214">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有兄弟、父亲或其他家族成员在60岁前诊断为前列腺癌或因前列腺癌死亡；</w:t>
      </w:r>
    </w:p>
    <w:p w14:paraId="03AB2D8B">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③ 已知家族携带相关胚系致病基因（BRCA1/BRCA2等）突变。</w:t>
      </w:r>
    </w:p>
    <w:p w14:paraId="559401F4">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3FA426DD">
      <w:pPr>
        <w:spacing w:before="26"/>
        <w:rPr>
          <w:rFonts w:hint="eastAsia" w:ascii="宋体" w:hAnsi="宋体" w:eastAsia="宋体" w:cs="宋体"/>
          <w:sz w:val="15"/>
          <w:szCs w:val="15"/>
          <w:lang w:eastAsia="zh-CN"/>
        </w:rPr>
      </w:pPr>
    </w:p>
    <w:p w14:paraId="6DBFFFC9">
      <w:pPr>
        <w:spacing w:before="26"/>
        <w:rPr>
          <w:rFonts w:hint="eastAsia" w:ascii="宋体" w:hAnsi="宋体" w:eastAsia="宋体" w:cs="宋体"/>
          <w:lang w:eastAsia="zh-CN"/>
        </w:rPr>
      </w:pPr>
      <w:r>
        <w:rPr>
          <w:rFonts w:hint="eastAsia" w:ascii="宋体" w:hAnsi="宋体" w:eastAsia="宋体" w:cs="宋体"/>
          <w:b/>
          <w:bCs/>
          <w:sz w:val="24"/>
          <w:szCs w:val="24"/>
          <w:lang w:eastAsia="zh-CN"/>
        </w:rPr>
        <w:t>胰腺癌易感人群特征</w:t>
      </w:r>
    </w:p>
    <w:p w14:paraId="7A990B15">
      <w:pPr>
        <w:spacing w:before="26"/>
        <w:rPr>
          <w:rFonts w:hint="eastAsia" w:ascii="宋体" w:hAnsi="宋体" w:eastAsia="宋体" w:cs="宋体"/>
          <w:sz w:val="18"/>
          <w:szCs w:val="18"/>
          <w:lang w:eastAsia="zh-CN"/>
        </w:rPr>
      </w:pPr>
      <w:bookmarkStart w:id="19" w:name="_Toc5400"/>
      <w:bookmarkStart w:id="20" w:name="_Toc3846"/>
      <w:bookmarkStart w:id="21" w:name="_Toc2622"/>
      <w:r>
        <w:rPr>
          <w:rFonts w:hint="eastAsia" w:ascii="宋体" w:hAnsi="宋体" w:eastAsia="宋体" w:cs="宋体"/>
          <w:sz w:val="18"/>
          <w:szCs w:val="18"/>
          <w:lang w:eastAsia="zh-CN"/>
        </w:rPr>
        <w:t>1 40岁以上，同时伴有≥1项下述者</w:t>
      </w:r>
      <w:bookmarkEnd w:id="19"/>
      <w:bookmarkEnd w:id="20"/>
      <w:bookmarkEnd w:id="21"/>
    </w:p>
    <w:p w14:paraId="47FAD633">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无家族遗传史的新近突发糖尿病患者；</w:t>
      </w:r>
    </w:p>
    <w:p w14:paraId="4EEE3608">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② 有长期吸烟、饮酒、高脂肪和高蛋白饮食史；</w:t>
      </w:r>
    </w:p>
    <w:p w14:paraId="47B8D717">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慢性胰腺炎反复发作者，尤其合并胰管结石的慢性胰腺炎；在胰腺炎发病后20年或在40岁时（选较早者）进行胰腺癌筛查；</w:t>
      </w:r>
    </w:p>
    <w:p w14:paraId="7FA1412E">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④ 主胰管型粘液乳头状瘤、粘液性囊性腺瘤，突性假乳头状瘤患者，有血清CA19-9升高者；</w:t>
      </w:r>
    </w:p>
    <w:p w14:paraId="75037EF8">
      <w:pPr>
        <w:spacing w:before="26"/>
        <w:rPr>
          <w:rFonts w:hint="eastAsia" w:ascii="宋体" w:hAnsi="宋体" w:eastAsia="宋体" w:cs="宋体"/>
          <w:sz w:val="18"/>
          <w:szCs w:val="18"/>
          <w:lang w:eastAsia="zh-CN"/>
        </w:rPr>
      </w:pPr>
      <w:bookmarkStart w:id="22" w:name="_Toc7995"/>
      <w:bookmarkStart w:id="23" w:name="_Toc10299"/>
      <w:bookmarkStart w:id="24" w:name="_Toc126"/>
      <w:r>
        <w:rPr>
          <w:rFonts w:hint="eastAsia" w:ascii="宋体" w:hAnsi="宋体" w:eastAsia="宋体" w:cs="宋体"/>
          <w:sz w:val="18"/>
          <w:szCs w:val="18"/>
          <w:lang w:eastAsia="zh-CN"/>
        </w:rPr>
        <w:t>2 有胰腺癌家族史、糖尿病史</w:t>
      </w:r>
      <w:bookmarkEnd w:id="22"/>
      <w:bookmarkEnd w:id="23"/>
      <w:bookmarkEnd w:id="24"/>
    </w:p>
    <w:p w14:paraId="3DCC0B8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一级亲属被确认患有胰腺外分泌癌的个体；</w:t>
      </w:r>
    </w:p>
    <w:p w14:paraId="3E8D69E5">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④ 家族中有≥3个同支的一级和/或二级亲属确诊为胰腺外分泌癌时，即使家族中没有携带已知的胚系致病/疑似致病突变也要进行筛查。</w:t>
      </w:r>
    </w:p>
    <w:p w14:paraId="7E172B5A">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5" w:name="_Toc14191"/>
      <w:bookmarkEnd w:id="25"/>
    </w:p>
    <w:p w14:paraId="1722712F">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9" name="同侧圆角矩形 9"/>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Do&#10;kdqC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v:textbox>
                <w10:wrap type="none"/>
                <w10:anchorlock/>
              </v:shape>
            </w:pict>
          </mc:Fallback>
        </mc:AlternateContent>
      </w: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采用目标区域探针捕获技术，基于Illumina测序平台的二代高通量测序技术(NGS)对样本进行检测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检测结果包含：点突变、短片段插入缺失突变,以及基因组杂合性缺失（LOH）、端粒等位基因不平衡（TAI）、大片段迁移（LST）。并基于LOH、TAI、LST获得基因不稳定状态评分（HRD score），为泛实体瘤个性化精准诊疗提供靶向用药等参考信息。参考基因组为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6"/>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2"/>
      <w:bookmarkEnd w:id="13"/>
      <w:bookmarkEnd w:id="14"/>
      <w:bookmarkEnd w:id="15"/>
      <w:bookmarkEnd w:id="16"/>
      <w:bookmarkEnd w:id="17"/>
      <w:bookmarkStart w:id="26" w:name="_Toc19584_WPSOffice_Level1"/>
      <w:bookmarkStart w:id="27" w:name="_Toc17792_WPSOffice_Level2"/>
      <w:bookmarkStart w:id="28" w:name="_Toc22162_WPSOffice_Level1"/>
      <w:bookmarkStart w:id="29" w:name="_Toc14611_WPSOffice_Level1"/>
      <w:bookmarkStart w:id="30" w:name="_Toc13275"/>
      <w:bookmarkStart w:id="31" w:name="_Toc22623"/>
    </w:p>
    <w:p w14:paraId="23DBC5C7">
      <w:pPr>
        <w:rPr>
          <w:rFonts w:hint="eastAsia" w:ascii="Times New Roman" w:hAnsi="Times New Roman" w:eastAsia="微软雅黑" w:cs="Times New Roman"/>
          <w:bCs/>
          <w:sz w:val="21"/>
          <w:szCs w:val="21"/>
          <w:lang w:val="en-US" w:eastAsia="zh-CN"/>
        </w:rPr>
      </w:pPr>
      <w:bookmarkStart w:id="32" w:name="_Toc24849"/>
      <w:bookmarkStart w:id="33" w:name="_Toc22967"/>
      <w:bookmarkStart w:id="34" w:name="_Toc23906"/>
      <w:bookmarkStart w:id="35" w:name="_Toc2136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32"/>
      <w:bookmarkEnd w:id="33"/>
      <w:bookmarkEnd w:id="34"/>
      <w:bookmarkEnd w:id="35"/>
    </w:p>
    <w:p w14:paraId="1D6EF290">
      <w:pPr>
        <w:rPr>
          <w:rFonts w:hint="eastAsia" w:ascii="Times New Roman" w:hAnsi="Times New Roman" w:eastAsia="微软雅黑" w:cs="Times New Roman"/>
          <w:bCs/>
          <w:sz w:val="21"/>
          <w:szCs w:val="21"/>
          <w:lang w:val="en-US" w:eastAsia="zh-CN"/>
        </w:rPr>
      </w:pPr>
    </w:p>
    <w:bookmarkEnd w:id="26"/>
    <w:bookmarkEnd w:id="27"/>
    <w:bookmarkEnd w:id="28"/>
    <w:bookmarkEnd w:id="29"/>
    <w:bookmarkEnd w:id="30"/>
    <w:bookmarkEnd w:id="31"/>
    <w:p w14:paraId="0A1944A3">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Nakonechny Q B, Gilks C B. Ovarian cancer in hereditary cancer susceptibility syndromes[J]. Surgical pathology clinics, 2016, 9(2): 189-199. [PMID: 27241103]</w:t>
      </w:r>
    </w:p>
    <w:p w14:paraId="195AA2F2">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Chui M H, Ryan P, Radigan J, et al. The histomorphology of Lynch syndrome–associated ovarian carcinomas: toward a subtype-specific screening strategy[J]. The American journal of surgical pathology, 2014, 38(9): 1173-1181. [PMID: 25025451]</w:t>
      </w:r>
    </w:p>
    <w:p w14:paraId="32D6CDA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Lu K H, Daniels M. Endometrial and ovarian cancer in women with Lynch syndrome: update in screening and prevention[J]. Familial cancer, 2013, 12(2): 273-277. [PMID: 23765559]</w:t>
      </w:r>
    </w:p>
    <w:p w14:paraId="379A6489">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Lancaster J M, Powell C B, Chen L, et al. Society of Gynecologic Oncology statement on risk assessment for inherited gynecologic cancer predispositions[J]. Gynecologic oncology, 2015, 136(1): 3-7. [PMID: 25238946]</w:t>
      </w:r>
    </w:p>
    <w:p w14:paraId="6E2B0B9E">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Tr R, Mitra N, Wan F, et al. Association of type and location of BRCA1 and BRCA2 mutations with risk of breast and ovarian cancer[J]. JAMA INTERNAL MEDICINE, 2015 (Aprile): 1347-1361. [PMID: 25849179]</w:t>
      </w:r>
    </w:p>
    <w:p w14:paraId="53074DD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Daly M B, Axilbund J E, Buys S, et al. Genetic/familial high-risk assessment: breast and ovarian[J]. Journal of the National Comprehensive Cancer Network, 2010, 8(5): 562-594. [PMID: 20495085]</w:t>
      </w:r>
    </w:p>
    <w:p w14:paraId="0F45330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Walsh C S, Blum A, Walts A, et al. Lynch syndrome among gynecologic oncology patients meeting Bethesda guidelines for screening[J]. Gynecologic oncology, 2010, 116(3): 516-521. [PMID: 20034658]</w:t>
      </w:r>
    </w:p>
    <w:p w14:paraId="73425C01">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Shulman L P. Hereditary breast and ovarian cancer (HBOC): clinical features and counseling for BRCA1 and BRCA2, Lynch syndrome, Cowden syndrome, and Li-Fraumeni syndrome[J]. Obstetrics and Gynecology Clinics, 2010, 37(1): 109-133. [PMID: 20494261]</w:t>
      </w:r>
    </w:p>
    <w:p w14:paraId="6F6F828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Zhang S, Royer R, Li S, et al. Frequencies of BRCA1 and BRCA2 mutations among 1,342 unselected patients with invasive ovarian cancer[J]. Gynecologic oncology, 2011, 121(2): 353-357. [PMID: 21324516]</w:t>
      </w:r>
    </w:p>
    <w:p w14:paraId="245DC77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Liu G, Yang D, Sun Y, et al. Differing clinical impact of BRCA1 and BRCA2 mutations in serous ovarian cancer[J]. Pharmacogenomics, 2012, 13(13): 1523-1535. [PMID: 23057551]</w:t>
      </w:r>
    </w:p>
    <w:p w14:paraId="0993499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Finch A, Beiner M, Lubinski J, et al. Salpingo-oophorectomy and the risk of ovarian, fallopian tube, and peritoneal cancers in women with a BRCA1 or BRCA2 Mutation[J]. Jama, 2006, 296(2): 185-192. [PMID: 16835424]</w:t>
      </w:r>
    </w:p>
    <w:p w14:paraId="6730E4B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Stan D L, Shuster L T, Wick M J, et al. Challenging and complex decisions in the management of the BRCA mutation carrier[J]. Journal of Women's Health, 2013, 22(10): 825-834. [PMID: 23987739]</w:t>
      </w:r>
    </w:p>
    <w:p w14:paraId="2E675FEA">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Elit L, Hirte H. Palliative systemic therapy for women with recurrent epithelial ovarian cancer: current options[J]. OncoTargets and therapy, 2013, 6: 107. [PMID: 23459506]</w:t>
      </w:r>
    </w:p>
    <w:p w14:paraId="6C88F75D">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Suh D H, Lee K H, Kim K, et al. Major clinical research advances in gynecologic cancer in 2014[J]. Journal of gynecologic oncology, 2015, 26(2): 156-167. [PMID: 25872896]</w:t>
      </w:r>
    </w:p>
    <w:p w14:paraId="5FEF914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0E286D7">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5B62554">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854C98F">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Arnold Lee. Fuzuloparib: First Approval[J]. Drugs. 2021, 81(10):1221-1226. [PMID: 34118019]</w:t>
      </w:r>
    </w:p>
    <w:p w14:paraId="3182F03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Anthony Markham. Pamiparib: First Approval[J]. Drugs. 2021. [PMID: 34287805]Muthiah Bose, Juliane Sachsenweger, Niina Laurila, et al. BRCA1 mislocalization leads to aberrant DNA damage response in heterozygous ABRAXAS1 mutation carrier cells[J]. Hum Mol Genet, 2019,28(24):4148-4160. [PMID: 31630195]</w:t>
      </w:r>
    </w:p>
    <w:p w14:paraId="0A51FF40">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Zdenek Kleibl, Vessela N Kristensen. Women at High Risk of Breast Cancer: Molecular Characteristics, Clinical Presentation and Management[J]. Breast, 2016, 28:136-44. [PMID: 27318168]</w:t>
      </w:r>
    </w:p>
    <w:p w14:paraId="071AAFA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Clare Turnbull, Sarah Hines, Anthony Renwick. Mutation and Association Analysis of GEN1 in Breast Cancer Susceptibility[J], Breast Cancer Res Treat, 2010, 124(1):283-8. [PMID: 20512659]</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12127B25"/>
    <w:multiLevelType w:val="multilevel"/>
    <w:tmpl w:val="12127B25"/>
    <w:lvl w:ilvl="0" w:tentative="0">
      <w:start w:val="1"/>
      <w:numFmt w:val="decimal"/>
      <w:lvlText w:val="%1."/>
      <w:lvlJc w:val="left"/>
      <w:pPr>
        <w:ind w:left="420" w:hanging="420"/>
      </w:pPr>
      <w:rPr>
        <w:rFonts w:hint="default"/>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BAC6FD5"/>
    <w:multiLevelType w:val="singleLevel"/>
    <w:tmpl w:val="6BAC6FD5"/>
    <w:lvl w:ilvl="0" w:tentative="0">
      <w:start w:val="1"/>
      <w:numFmt w:val="decimal"/>
      <w:suff w:val="space"/>
      <w:lvlText w:val="(%1)"/>
      <w:lvlJc w:val="left"/>
    </w:lvl>
  </w:abstractNum>
  <w:abstractNum w:abstractNumId="5">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6">
    <w:nsid w:val="7B09C697"/>
    <w:multiLevelType w:val="singleLevel"/>
    <w:tmpl w:val="7B09C697"/>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4"/>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5688F"/>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1F4B56"/>
    <w:rsid w:val="02517CBA"/>
    <w:rsid w:val="03E06E1F"/>
    <w:rsid w:val="03E57C61"/>
    <w:rsid w:val="04E67AD1"/>
    <w:rsid w:val="05191617"/>
    <w:rsid w:val="057335C1"/>
    <w:rsid w:val="061C48FA"/>
    <w:rsid w:val="06622FDE"/>
    <w:rsid w:val="06862B05"/>
    <w:rsid w:val="06B31420"/>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387E9F"/>
    <w:rsid w:val="11F748B7"/>
    <w:rsid w:val="1212349F"/>
    <w:rsid w:val="124A1047"/>
    <w:rsid w:val="12AF5735"/>
    <w:rsid w:val="12C34799"/>
    <w:rsid w:val="13287A7C"/>
    <w:rsid w:val="13A25A77"/>
    <w:rsid w:val="13B121FA"/>
    <w:rsid w:val="14206CB7"/>
    <w:rsid w:val="14720225"/>
    <w:rsid w:val="14D412B4"/>
    <w:rsid w:val="16192126"/>
    <w:rsid w:val="167D2018"/>
    <w:rsid w:val="16891F33"/>
    <w:rsid w:val="16924B4D"/>
    <w:rsid w:val="176123B1"/>
    <w:rsid w:val="17713378"/>
    <w:rsid w:val="18452030"/>
    <w:rsid w:val="18FB363A"/>
    <w:rsid w:val="19066A98"/>
    <w:rsid w:val="199F74A2"/>
    <w:rsid w:val="1A4A453E"/>
    <w:rsid w:val="1A712159"/>
    <w:rsid w:val="1B6509D4"/>
    <w:rsid w:val="1B9C1403"/>
    <w:rsid w:val="1C170A7F"/>
    <w:rsid w:val="1CA01EAA"/>
    <w:rsid w:val="1CD24EBC"/>
    <w:rsid w:val="1D5664B6"/>
    <w:rsid w:val="1D647A6D"/>
    <w:rsid w:val="1DF84375"/>
    <w:rsid w:val="1EB4180B"/>
    <w:rsid w:val="1F4B7FF0"/>
    <w:rsid w:val="1FCB32AB"/>
    <w:rsid w:val="1FFE0153"/>
    <w:rsid w:val="20343022"/>
    <w:rsid w:val="21E40288"/>
    <w:rsid w:val="22BD432B"/>
    <w:rsid w:val="231D4771"/>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2841CC"/>
    <w:rsid w:val="2CB80E38"/>
    <w:rsid w:val="2CF27CFD"/>
    <w:rsid w:val="2D035FCE"/>
    <w:rsid w:val="2D391923"/>
    <w:rsid w:val="2D945258"/>
    <w:rsid w:val="2E0E7081"/>
    <w:rsid w:val="2E516D92"/>
    <w:rsid w:val="2EA15E7F"/>
    <w:rsid w:val="2EE45D6B"/>
    <w:rsid w:val="2F2B2D57"/>
    <w:rsid w:val="2F675360"/>
    <w:rsid w:val="2FEC6956"/>
    <w:rsid w:val="301F1E4C"/>
    <w:rsid w:val="30354AD0"/>
    <w:rsid w:val="30B87665"/>
    <w:rsid w:val="30BF439A"/>
    <w:rsid w:val="33775400"/>
    <w:rsid w:val="346800E7"/>
    <w:rsid w:val="346C7CD4"/>
    <w:rsid w:val="347A065D"/>
    <w:rsid w:val="356502F1"/>
    <w:rsid w:val="3571067D"/>
    <w:rsid w:val="35A5383E"/>
    <w:rsid w:val="35A81922"/>
    <w:rsid w:val="35D70F26"/>
    <w:rsid w:val="3606548C"/>
    <w:rsid w:val="37982968"/>
    <w:rsid w:val="37A61E10"/>
    <w:rsid w:val="38CB1241"/>
    <w:rsid w:val="39170258"/>
    <w:rsid w:val="39DE55F3"/>
    <w:rsid w:val="39FD7AC0"/>
    <w:rsid w:val="3A103993"/>
    <w:rsid w:val="3A1846D0"/>
    <w:rsid w:val="3A43603C"/>
    <w:rsid w:val="3A8B7AF3"/>
    <w:rsid w:val="3B2F045B"/>
    <w:rsid w:val="3B40257B"/>
    <w:rsid w:val="3C181440"/>
    <w:rsid w:val="3C4147FD"/>
    <w:rsid w:val="3C53013A"/>
    <w:rsid w:val="3C6A5F3E"/>
    <w:rsid w:val="3C942B48"/>
    <w:rsid w:val="3C9B7773"/>
    <w:rsid w:val="3D125367"/>
    <w:rsid w:val="3D4F01CF"/>
    <w:rsid w:val="3D7F55DD"/>
    <w:rsid w:val="3E4800C5"/>
    <w:rsid w:val="3E784CAF"/>
    <w:rsid w:val="407A652F"/>
    <w:rsid w:val="42784497"/>
    <w:rsid w:val="43776D56"/>
    <w:rsid w:val="43F76D91"/>
    <w:rsid w:val="44354C47"/>
    <w:rsid w:val="45013EA7"/>
    <w:rsid w:val="45093545"/>
    <w:rsid w:val="45BF5ADC"/>
    <w:rsid w:val="45F51780"/>
    <w:rsid w:val="469E0050"/>
    <w:rsid w:val="47D71662"/>
    <w:rsid w:val="47FB1302"/>
    <w:rsid w:val="488D0130"/>
    <w:rsid w:val="48EC02BF"/>
    <w:rsid w:val="49A62559"/>
    <w:rsid w:val="49C35028"/>
    <w:rsid w:val="4B5C190B"/>
    <w:rsid w:val="4B6E01D6"/>
    <w:rsid w:val="4B8B3BFC"/>
    <w:rsid w:val="4C093628"/>
    <w:rsid w:val="4C4D2D4A"/>
    <w:rsid w:val="4CC21042"/>
    <w:rsid w:val="4D626381"/>
    <w:rsid w:val="4D903FFE"/>
    <w:rsid w:val="4DB46430"/>
    <w:rsid w:val="4DCE524B"/>
    <w:rsid w:val="4E94373F"/>
    <w:rsid w:val="4EC969CC"/>
    <w:rsid w:val="4ECE7922"/>
    <w:rsid w:val="4ED37AFB"/>
    <w:rsid w:val="4F0348E3"/>
    <w:rsid w:val="4F11005F"/>
    <w:rsid w:val="4F964A55"/>
    <w:rsid w:val="4FF5558B"/>
    <w:rsid w:val="5011275F"/>
    <w:rsid w:val="50136F8F"/>
    <w:rsid w:val="505E1082"/>
    <w:rsid w:val="516C6066"/>
    <w:rsid w:val="51B34B08"/>
    <w:rsid w:val="51D81308"/>
    <w:rsid w:val="52AF1549"/>
    <w:rsid w:val="53272682"/>
    <w:rsid w:val="53723B8B"/>
    <w:rsid w:val="53D17DBD"/>
    <w:rsid w:val="54016BAE"/>
    <w:rsid w:val="542755F1"/>
    <w:rsid w:val="55B464AB"/>
    <w:rsid w:val="56731990"/>
    <w:rsid w:val="5692566B"/>
    <w:rsid w:val="56E32460"/>
    <w:rsid w:val="571C1C97"/>
    <w:rsid w:val="574D1079"/>
    <w:rsid w:val="575136EE"/>
    <w:rsid w:val="57911F10"/>
    <w:rsid w:val="57E91301"/>
    <w:rsid w:val="580D1911"/>
    <w:rsid w:val="582A2734"/>
    <w:rsid w:val="58554097"/>
    <w:rsid w:val="5A160C1F"/>
    <w:rsid w:val="5A1E1DD0"/>
    <w:rsid w:val="5A9015FB"/>
    <w:rsid w:val="5ADA39FB"/>
    <w:rsid w:val="5B710073"/>
    <w:rsid w:val="5BC1147D"/>
    <w:rsid w:val="5CB54D70"/>
    <w:rsid w:val="5CD251BD"/>
    <w:rsid w:val="5D940211"/>
    <w:rsid w:val="5ED317F6"/>
    <w:rsid w:val="5EEC56B0"/>
    <w:rsid w:val="5EFF7ED4"/>
    <w:rsid w:val="5F4210D0"/>
    <w:rsid w:val="5FA1715B"/>
    <w:rsid w:val="5FBA5715"/>
    <w:rsid w:val="608163B8"/>
    <w:rsid w:val="608F09B2"/>
    <w:rsid w:val="60F168FC"/>
    <w:rsid w:val="61AF16FF"/>
    <w:rsid w:val="624E41CF"/>
    <w:rsid w:val="628232F6"/>
    <w:rsid w:val="62B44FFF"/>
    <w:rsid w:val="62E00B42"/>
    <w:rsid w:val="6321538F"/>
    <w:rsid w:val="6321796C"/>
    <w:rsid w:val="64065861"/>
    <w:rsid w:val="64967EC8"/>
    <w:rsid w:val="64AA1754"/>
    <w:rsid w:val="66064CBA"/>
    <w:rsid w:val="67AB72BD"/>
    <w:rsid w:val="67C80D34"/>
    <w:rsid w:val="68BC3A71"/>
    <w:rsid w:val="68CD2E71"/>
    <w:rsid w:val="695D3A47"/>
    <w:rsid w:val="6AFF0A3C"/>
    <w:rsid w:val="6B230036"/>
    <w:rsid w:val="6B7519B8"/>
    <w:rsid w:val="6B8E6F9E"/>
    <w:rsid w:val="6BAA4AB8"/>
    <w:rsid w:val="6BCC3834"/>
    <w:rsid w:val="6D2A25C0"/>
    <w:rsid w:val="6D60320B"/>
    <w:rsid w:val="6DD54C21"/>
    <w:rsid w:val="6E297E68"/>
    <w:rsid w:val="6E7C73C6"/>
    <w:rsid w:val="6E87371E"/>
    <w:rsid w:val="6EDD18B4"/>
    <w:rsid w:val="6EEA7031"/>
    <w:rsid w:val="6F0C162D"/>
    <w:rsid w:val="6F2B4B68"/>
    <w:rsid w:val="6F4D4E57"/>
    <w:rsid w:val="6F6254D4"/>
    <w:rsid w:val="6FAB550E"/>
    <w:rsid w:val="6FE70C3C"/>
    <w:rsid w:val="707E0E37"/>
    <w:rsid w:val="723B53D9"/>
    <w:rsid w:val="7261482B"/>
    <w:rsid w:val="72750781"/>
    <w:rsid w:val="72B74712"/>
    <w:rsid w:val="734B0AAB"/>
    <w:rsid w:val="73AC6191"/>
    <w:rsid w:val="74BF0FAF"/>
    <w:rsid w:val="760342F6"/>
    <w:rsid w:val="76CECDB4"/>
    <w:rsid w:val="76F27584"/>
    <w:rsid w:val="77106CCA"/>
    <w:rsid w:val="777546A8"/>
    <w:rsid w:val="77804029"/>
    <w:rsid w:val="77B915CF"/>
    <w:rsid w:val="782F3180"/>
    <w:rsid w:val="784A5363"/>
    <w:rsid w:val="78DC32F4"/>
    <w:rsid w:val="78DE0702"/>
    <w:rsid w:val="796E3F04"/>
    <w:rsid w:val="79E92285"/>
    <w:rsid w:val="7A15284A"/>
    <w:rsid w:val="7B582304"/>
    <w:rsid w:val="7B99466E"/>
    <w:rsid w:val="7BD35584"/>
    <w:rsid w:val="7BDF0250"/>
    <w:rsid w:val="7C1120EB"/>
    <w:rsid w:val="7D275E6F"/>
    <w:rsid w:val="7D3B6123"/>
    <w:rsid w:val="7D806106"/>
    <w:rsid w:val="7E0B4B47"/>
    <w:rsid w:val="7E350398"/>
    <w:rsid w:val="7E363261"/>
    <w:rsid w:val="7E826381"/>
    <w:rsid w:val="7F381071"/>
    <w:rsid w:val="7F7605F4"/>
    <w:rsid w:val="7F923FF5"/>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 w:type="paragraph" w:customStyle="1" w:styleId="38">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22</Pages>
  <Words>3544</Words>
  <Characters>10672</Characters>
  <Lines>37</Lines>
  <Paragraphs>10</Paragraphs>
  <TotalTime>0</TotalTime>
  <ScaleCrop>false</ScaleCrop>
  <LinksUpToDate>false</LinksUpToDate>
  <CharactersWithSpaces>11657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2025-09-03T05:35:05Z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