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0D2C4BF9">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w:t>
      </w:r>
      <w:r>
        <w:rPr>
          <w:rFonts w:hint="eastAsia" w:eastAsia="宋体"/>
          <w:sz w:val="18"/>
          <w:szCs w:val="16"/>
        </w:rPr>
        <w:t>本报告靶向用药提示仅针对检出变异位点，泛靶向治疗方案、化疗联合用药等治疗方案请参考相关指南。</w:t>
      </w:r>
    </w:p>
    <w:p w14:paraId="16752F78">
      <w:pPr>
        <w:rPr>
          <w:b/>
          <w:bCs w:val="0"/>
          <w:sz w:val="24"/>
          <w:szCs w:val="24"/>
        </w:rPr>
      </w:pPr>
      <w:bookmarkStart w:id="3" w:name="_GoBack"/>
      <w:bookmarkEnd w:id="3"/>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华文宋体">
    <w:altName w:val="宋体"/>
    <w:panose1 w:val="02010600040101010101"/>
    <w:charset w:val="86"/>
    <w:family w:val="auto"/>
    <w:pitch w:val="default"/>
    <w:sig w:usb0="00000000" w:usb1="00000000" w:usb2="00000010" w:usb3="00000000" w:csb0="0004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1903</Words>
  <Characters>8000</Characters>
  <Lines>41</Lines>
  <Paragraphs>11</Paragraphs>
  <TotalTime>0</TotalTime>
  <ScaleCrop>false</ScaleCrop>
  <LinksUpToDate>false</LinksUpToDate>
  <CharactersWithSpaces>8559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2025-04-14T12:13:11Z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