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C5F6A">
      <w:pPr>
        <w:rPr>
          <w:rFonts w:ascii="Times New Roman" w:hAnsi="Times New Roman" w:eastAsia="微软雅黑" w:cs="Times New Roman"/>
        </w:rPr>
      </w:pPr>
      <w:r>
        <w:rPr>
          <w:rFonts w:ascii="Times New Roman" w:hAnsi="Times New Roman" w:eastAsia="微软雅黑" w:cs="Times New Roman"/>
        </w:rPr>
        <w:drawing>
          <wp:anchor distT="0" distB="0" distL="114300" distR="114300" simplePos="0" relativeHeight="251660288" behindDoc="1" locked="0" layoutInCell="1" allowOverlap="1">
            <wp:simplePos x="0" y="0"/>
            <wp:positionH relativeFrom="column">
              <wp:posOffset>-705485</wp:posOffset>
            </wp:positionH>
            <wp:positionV relativeFrom="paragraph">
              <wp:posOffset>-917575</wp:posOffset>
            </wp:positionV>
            <wp:extent cx="7559040" cy="6556375"/>
            <wp:effectExtent l="0" t="0" r="3810" b="15875"/>
            <wp:wrapNone/>
            <wp:docPr id="83" name="图片 140" descr="C:\Users\lenovo\Desktop\ek5HNuXrVw3ZsHYCwc-b-A==_7916880643685842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40" descr="C:\Users\lenovo\Desktop\ek5HNuXrVw3ZsHYCwc-b-A==_7916880643685842401.jpg"/>
                    <pic:cNvPicPr>
                      <a:picLocks noChangeAspect="1"/>
                    </pic:cNvPicPr>
                  </pic:nvPicPr>
                  <pic:blipFill>
                    <a:blip r:embed="rId8"/>
                    <a:stretch>
                      <a:fillRect/>
                    </a:stretch>
                  </pic:blipFill>
                  <pic:spPr>
                    <a:xfrm>
                      <a:off x="0" y="0"/>
                      <a:ext cx="7559040" cy="6556375"/>
                    </a:xfrm>
                    <a:prstGeom prst="rect">
                      <a:avLst/>
                    </a:prstGeom>
                    <a:noFill/>
                    <a:ln>
                      <a:noFill/>
                    </a:ln>
                  </pic:spPr>
                </pic:pic>
              </a:graphicData>
            </a:graphic>
          </wp:anchor>
        </w:drawing>
      </w:r>
      <w:r>
        <w:rPr>
          <w:rFonts w:hint="eastAsia" w:ascii="Times New Roman" w:hAnsi="Times New Roman" w:eastAsia="微软雅黑" w:cs="Times New Roman"/>
        </w:rPr>
        <w:tab/>
      </w:r>
    </w:p>
    <w:p w14:paraId="4036CE8D">
      <w:pPr>
        <w:rPr>
          <w:rFonts w:ascii="Times New Roman" w:hAnsi="Times New Roman" w:eastAsia="微软雅黑" w:cs="Times New Roman"/>
        </w:rPr>
      </w:pPr>
    </w:p>
    <w:p w14:paraId="29A5B208">
      <w:pPr>
        <w:rPr>
          <w:rFonts w:ascii="Times New Roman" w:hAnsi="Times New Roman" w:eastAsia="微软雅黑" w:cs="Times New Roman"/>
        </w:rPr>
      </w:pPr>
    </w:p>
    <w:p w14:paraId="2F90E2F6">
      <w:pPr>
        <w:rPr>
          <w:rFonts w:ascii="Times New Roman" w:hAnsi="Times New Roman" w:eastAsia="微软雅黑" w:cs="Times New Roman"/>
        </w:rPr>
      </w:pPr>
    </w:p>
    <w:p w14:paraId="4D76B076">
      <w:pPr>
        <w:rPr>
          <w:rFonts w:ascii="Times New Roman" w:hAnsi="Times New Roman" w:eastAsia="微软雅黑" w:cs="Times New Roman"/>
        </w:rPr>
      </w:pPr>
    </w:p>
    <w:p w14:paraId="05A3CD35">
      <w:pPr>
        <w:rPr>
          <w:rFonts w:ascii="Times New Roman" w:hAnsi="Times New Roman" w:eastAsia="微软雅黑" w:cs="Times New Roman"/>
        </w:rPr>
      </w:pPr>
    </w:p>
    <w:p w14:paraId="02F00433">
      <w:pPr>
        <w:rPr>
          <w:rFonts w:ascii="Times New Roman" w:hAnsi="Times New Roman" w:eastAsia="微软雅黑" w:cs="Times New Roman"/>
        </w:rPr>
      </w:pPr>
    </w:p>
    <w:p w14:paraId="5C1FA753">
      <w:pPr>
        <w:rPr>
          <w:rFonts w:ascii="Times New Roman" w:hAnsi="Times New Roman" w:eastAsia="微软雅黑" w:cs="Times New Roman"/>
        </w:rPr>
      </w:pPr>
    </w:p>
    <w:p w14:paraId="0BD66866">
      <w:pPr>
        <w:rPr>
          <w:rFonts w:ascii="Times New Roman" w:hAnsi="Times New Roman" w:eastAsia="微软雅黑" w:cs="Times New Roman"/>
        </w:rPr>
      </w:pPr>
    </w:p>
    <w:p w14:paraId="5E1B002B">
      <w:pPr>
        <w:rPr>
          <w:rFonts w:ascii="Times New Roman" w:hAnsi="Times New Roman" w:eastAsia="微软雅黑" w:cs="Times New Roman"/>
        </w:rPr>
      </w:pPr>
    </w:p>
    <w:p w14:paraId="52540492">
      <w:pPr>
        <w:rPr>
          <w:rFonts w:ascii="Times New Roman" w:hAnsi="Times New Roman" w:eastAsia="微软雅黑" w:cs="Times New Roman"/>
        </w:rPr>
      </w:pPr>
    </w:p>
    <w:p w14:paraId="69CCB2DA">
      <w:pPr>
        <w:jc w:val="center"/>
        <w:rPr>
          <w:rFonts w:ascii="Times New Roman" w:hAnsi="Times New Roman" w:eastAsia="微软雅黑" w:cs="Times New Roman"/>
        </w:rPr>
      </w:pPr>
    </w:p>
    <w:p w14:paraId="4E4D1870">
      <w:pPr>
        <w:rPr>
          <w:rFonts w:ascii="Times New Roman" w:hAnsi="Times New Roman" w:eastAsia="微软雅黑" w:cs="Times New Roman"/>
        </w:rPr>
      </w:pPr>
    </w:p>
    <w:p w14:paraId="2E5591F7">
      <w:pPr>
        <w:rPr>
          <w:rFonts w:ascii="Times New Roman" w:hAnsi="Times New Roman" w:eastAsia="微软雅黑" w:cs="Times New Roman"/>
        </w:rPr>
      </w:pPr>
    </w:p>
    <w:p w14:paraId="05093085">
      <w:pPr>
        <w:rPr>
          <w:rFonts w:ascii="Times New Roman" w:hAnsi="Times New Roman" w:eastAsia="微软雅黑" w:cs="Times New Roman"/>
        </w:rPr>
      </w:pPr>
    </w:p>
    <w:p w14:paraId="64682888">
      <w:pPr>
        <w:rPr>
          <w:rFonts w:ascii="Times New Roman" w:hAnsi="Times New Roman" w:eastAsia="微软雅黑" w:cs="Times New Roman"/>
        </w:rPr>
      </w:pPr>
    </w:p>
    <w:p w14:paraId="525E12D5">
      <w:pPr>
        <w:jc w:val="center"/>
        <w:rPr>
          <w:rFonts w:ascii="Times New Roman" w:hAnsi="Times New Roman" w:eastAsia="微软雅黑" w:cs="Times New Roman"/>
          <w:b/>
          <w:sz w:val="48"/>
          <w:szCs w:val="48"/>
        </w:rPr>
      </w:pPr>
      <w:r>
        <w:rPr>
          <w:rFonts w:ascii="Times New Roman" w:hAnsi="Times New Roman" w:eastAsia="微软雅黑" w:cs="Times New Roman"/>
          <w:b/>
          <w:sz w:val="48"/>
          <w:szCs w:val="48"/>
        </w:rPr>
        <w:t xml:space="preserve">             </w:t>
      </w:r>
    </w:p>
    <w:p w14:paraId="2E1E78A4">
      <w:pPr>
        <w:jc w:val="center"/>
        <w:rPr>
          <w:rFonts w:ascii="Times New Roman" w:hAnsi="Times New Roman" w:eastAsia="微软雅黑" w:cs="Times New Roman"/>
          <w:b/>
          <w:sz w:val="48"/>
          <w:szCs w:val="48"/>
        </w:rPr>
      </w:pPr>
    </w:p>
    <w:p w14:paraId="29028368">
      <w:pPr>
        <w:jc w:val="center"/>
        <w:rPr>
          <w:rFonts w:ascii="Times New Roman" w:hAnsi="Times New Roman" w:eastAsia="微软雅黑" w:cs="Times New Roman"/>
          <w:b/>
          <w:sz w:val="48"/>
          <w:szCs w:val="48"/>
        </w:rPr>
      </w:pPr>
    </w:p>
    <w:p w14:paraId="3A08D522">
      <w:pPr>
        <w:jc w:val="center"/>
        <w:rPr>
          <w:rFonts w:ascii="Times New Roman" w:hAnsi="Times New Roman" w:eastAsia="微软雅黑" w:cs="Times New Roman"/>
          <w:b/>
          <w:sz w:val="48"/>
          <w:szCs w:val="48"/>
        </w:rPr>
      </w:pPr>
    </w:p>
    <w:p w14:paraId="56B2524B">
      <w:pPr>
        <w:jc w:val="center"/>
        <w:rPr>
          <w:rFonts w:ascii="Times New Roman" w:hAnsi="Times New Roman" w:eastAsia="微软雅黑" w:cs="Times New Roman"/>
          <w:b/>
          <w:sz w:val="48"/>
          <w:szCs w:val="48"/>
        </w:rPr>
      </w:pPr>
    </w:p>
    <w:p w14:paraId="4D74B48D">
      <w:pPr>
        <w:jc w:val="center"/>
        <w:rPr>
          <w:rFonts w:ascii="Times New Roman" w:hAnsi="Times New Roman" w:eastAsia="微软雅黑" w:cs="Times New Roman"/>
          <w:b/>
          <w:color w:val="1F497D"/>
          <w:sz w:val="36"/>
          <w:szCs w:val="36"/>
        </w:rPr>
      </w:pPr>
    </w:p>
    <w:p w14:paraId="1EEEFA8D">
      <w:pPr>
        <w:jc w:val="center"/>
        <w:rPr>
          <w:rFonts w:ascii="Times New Roman" w:hAnsi="Times New Roman" w:eastAsia="微软雅黑" w:cs="Times New Roman"/>
          <w:b/>
          <w:bCs/>
          <w:color w:val="1F497D"/>
          <w:sz w:val="36"/>
          <w:szCs w:val="36"/>
        </w:rPr>
      </w:pPr>
    </w:p>
    <w:p w14:paraId="4841F35B">
      <w:pPr>
        <w:jc w:val="center"/>
        <w:rPr>
          <w:rFonts w:ascii="Times New Roman" w:hAnsi="Times New Roman" w:eastAsia="微软雅黑" w:cs="Times New Roman"/>
          <w:b/>
          <w:bCs/>
          <w:color w:val="1F497D"/>
          <w:sz w:val="36"/>
          <w:szCs w:val="36"/>
        </w:rPr>
      </w:pPr>
    </w:p>
    <w:p w14:paraId="1F557D9F">
      <w:pPr>
        <w:jc w:val="center"/>
        <w:rPr>
          <w:rFonts w:ascii="Times New Roman" w:hAnsi="Times New Roman" w:eastAsia="微软雅黑" w:cs="Times New Roman"/>
          <w:b/>
          <w:bCs/>
          <w:color w:val="1F497D"/>
          <w:sz w:val="36"/>
          <w:szCs w:val="36"/>
        </w:rPr>
      </w:pPr>
    </w:p>
    <w:p w14:paraId="3E914E3B">
      <w:pPr>
        <w:jc w:val="center"/>
        <w:rPr>
          <w:rFonts w:ascii="Times New Roman" w:hAnsi="Times New Roman" w:eastAsia="微软雅黑" w:cs="Times New Roman"/>
          <w:b/>
          <w:bCs/>
          <w:color w:val="1F497D"/>
          <w:sz w:val="36"/>
          <w:szCs w:val="36"/>
        </w:rPr>
      </w:pPr>
    </w:p>
    <w:p w14:paraId="3A0C6ACA">
      <w:pPr>
        <w:jc w:val="center"/>
        <w:rPr>
          <w:rFonts w:ascii="Times New Roman" w:hAnsi="Times New Roman" w:eastAsia="微软雅黑" w:cs="Times New Roman"/>
          <w:b/>
          <w:bCs/>
          <w:color w:val="1F497D"/>
          <w:sz w:val="36"/>
          <w:szCs w:val="36"/>
        </w:rPr>
      </w:pPr>
    </w:p>
    <w:p w14:paraId="66229506">
      <w:pPr>
        <w:jc w:val="center"/>
        <w:rPr>
          <w:rFonts w:ascii="Times New Roman" w:hAnsi="Times New Roman" w:eastAsia="微软雅黑" w:cs="Times New Roman"/>
          <w:b/>
          <w:bCs/>
          <w:color w:val="1F497D"/>
          <w:sz w:val="36"/>
          <w:szCs w:val="36"/>
        </w:rPr>
      </w:pPr>
    </w:p>
    <w:p w14:paraId="4CA9C617">
      <w:pPr>
        <w:jc w:val="center"/>
        <w:rPr>
          <w:rFonts w:ascii="Times New Roman" w:hAnsi="Times New Roman" w:eastAsia="微软雅黑" w:cs="Times New Roman"/>
          <w:b/>
          <w:bCs/>
          <w:color w:val="1F497D"/>
          <w:sz w:val="36"/>
          <w:szCs w:val="36"/>
        </w:rPr>
      </w:pPr>
    </w:p>
    <w:p w14:paraId="7C0D996E">
      <w:pPr>
        <w:jc w:val="center"/>
        <w:rPr>
          <w:rFonts w:ascii="黑体" w:hAnsi="黑体" w:eastAsia="黑体" w:cs="黑体"/>
          <w:b/>
          <w:bCs/>
          <w:color w:val="1F497D"/>
          <w:sz w:val="36"/>
          <w:szCs w:val="36"/>
        </w:rPr>
      </w:pPr>
      <w:r>
        <w:rPr>
          <w:rFonts w:hint="eastAsia" w:ascii="黑体" w:hAnsi="黑体" w:eastAsia="黑体" w:cs="黑体"/>
          <w:b/>
          <w:bCs/>
          <w:color w:val="1F497D"/>
          <w:sz w:val="36"/>
          <w:szCs w:val="36"/>
        </w:rPr>
        <w:drawing>
          <wp:anchor distT="0" distB="0" distL="114300" distR="114300" simplePos="0" relativeHeight="251662336" behindDoc="0" locked="0" layoutInCell="1" allowOverlap="0">
            <wp:simplePos x="0" y="0"/>
            <wp:positionH relativeFrom="column">
              <wp:posOffset>78105</wp:posOffset>
            </wp:positionH>
            <wp:positionV relativeFrom="paragraph">
              <wp:posOffset>-120650</wp:posOffset>
            </wp:positionV>
            <wp:extent cx="781050" cy="781050"/>
            <wp:effectExtent l="0" t="0" r="11430" b="11430"/>
            <wp:wrapSquare wrapText="bothSides"/>
            <wp:docPr id="84" name="图片 83" descr="无标题.png"/>
            <wp:cNvGraphicFramePr/>
            <a:graphic xmlns:a="http://schemas.openxmlformats.org/drawingml/2006/main">
              <a:graphicData uri="http://schemas.openxmlformats.org/drawingml/2006/picture">
                <pic:pic xmlns:pic="http://schemas.openxmlformats.org/drawingml/2006/picture">
                  <pic:nvPicPr>
                    <pic:cNvPr id="84" name="图片 83" descr="无标题.png"/>
                    <pic:cNvPicPr preferRelativeResize="0"/>
                  </pic:nvPicPr>
                  <pic:blipFill>
                    <a:blip r:embed="rId9"/>
                    <a:stretch>
                      <a:fillRect/>
                    </a:stretch>
                  </pic:blipFill>
                  <pic:spPr>
                    <a:xfrm>
                      <a:off x="0" y="0"/>
                      <a:ext cx="781050" cy="781050"/>
                    </a:xfrm>
                    <a:prstGeom prst="rect">
                      <a:avLst/>
                    </a:prstGeom>
                    <a:noFill/>
                    <a:ln>
                      <a:noFill/>
                    </a:ln>
                  </pic:spPr>
                </pic:pic>
              </a:graphicData>
            </a:graphic>
          </wp:anchor>
        </w:drawing>
      </w:r>
      <w:r>
        <w:rPr>
          <w:rFonts w:ascii="黑体" w:hAnsi="黑体" w:eastAsia="黑体" w:cs="黑体"/>
          <w:b/>
          <w:bCs/>
          <w:color w:val="1F497D"/>
          <w:sz w:val="36"/>
          <w:szCs w:val="36"/>
        </w:rPr>
        <w:t>重庆大学附属肿瘤医院 重庆市肿瘤医院 病理科</w:t>
      </w:r>
    </w:p>
    <w:p w14:paraId="6ADE766D">
      <w:pPr>
        <w:keepNext w:val="0"/>
        <w:keepLines w:val="0"/>
        <w:pageBreakBefore w:val="0"/>
        <w:widowControl w:val="0"/>
        <w:kinsoku/>
        <w:wordWrap/>
        <w:overflowPunct/>
        <w:topLinePunct w:val="0"/>
        <w:autoSpaceDE/>
        <w:autoSpaceDN/>
        <w:bidi w:val="0"/>
        <w:adjustRightInd/>
        <w:snapToGrid/>
        <w:ind w:firstLine="1988" w:firstLineChars="550"/>
        <w:jc w:val="both"/>
        <w:textAlignment w:val="auto"/>
        <w:rPr>
          <w:rFonts w:ascii="Times New Roman" w:hAnsi="Times New Roman" w:eastAsia="微软雅黑" w:cs="Times New Roman"/>
          <w:b/>
          <w:color w:val="1F497D"/>
          <w:sz w:val="36"/>
          <w:szCs w:val="36"/>
          <w:highlight w:val="none"/>
        </w:rPr>
      </w:pPr>
      <w:r>
        <w:rPr>
          <w:rFonts w:hint="eastAsia" w:ascii="黑体" w:hAnsi="黑体" w:eastAsia="黑体" w:cs="黑体"/>
          <w:b/>
          <w:bCs/>
          <w:color w:val="1F497D"/>
          <w:sz w:val="36"/>
          <w:szCs w:val="36"/>
          <w:highlight w:val="none"/>
          <w:lang w:val="en-US" w:eastAsia="zh-CN"/>
        </w:rPr>
        <w:t>60基因测序</w:t>
      </w:r>
      <w:r>
        <w:rPr>
          <w:rFonts w:ascii="黑体" w:hAnsi="黑体" w:eastAsia="黑体" w:cs="黑体"/>
          <w:b/>
          <w:bCs/>
          <w:color w:val="1F497D"/>
          <w:sz w:val="36"/>
          <w:szCs w:val="36"/>
          <w:highlight w:val="none"/>
        </w:rPr>
        <w:t>检测报告</w:t>
      </w:r>
    </w:p>
    <w:p w14:paraId="1B185928">
      <w:pPr>
        <w:rPr>
          <w:rFonts w:ascii="Times New Roman" w:hAnsi="Times New Roman" w:eastAsia="微软雅黑" w:cs="Times New Roman"/>
        </w:rPr>
      </w:pPr>
    </w:p>
    <w:tbl>
      <w:tblPr>
        <w:tblStyle w:val="19"/>
        <w:tblW w:w="9672" w:type="dxa"/>
        <w:tblInd w:w="0" w:type="dxa"/>
        <w:tblLayout w:type="fixed"/>
        <w:tblCellMar>
          <w:top w:w="0" w:type="dxa"/>
          <w:left w:w="0" w:type="dxa"/>
          <w:bottom w:w="0" w:type="dxa"/>
          <w:right w:w="0" w:type="dxa"/>
        </w:tblCellMar>
      </w:tblPr>
      <w:tblGrid>
        <w:gridCol w:w="1182"/>
        <w:gridCol w:w="951"/>
        <w:gridCol w:w="764"/>
        <w:gridCol w:w="704"/>
        <w:gridCol w:w="779"/>
        <w:gridCol w:w="779"/>
        <w:gridCol w:w="1334"/>
        <w:gridCol w:w="1395"/>
        <w:gridCol w:w="1784"/>
      </w:tblGrid>
      <w:tr w14:paraId="07847675">
        <w:tblPrEx>
          <w:tblCellMar>
            <w:top w:w="0" w:type="dxa"/>
            <w:left w:w="0" w:type="dxa"/>
            <w:bottom w:w="0" w:type="dxa"/>
            <w:right w:w="0" w:type="dxa"/>
          </w:tblCellMar>
        </w:tblPrEx>
        <w:trPr>
          <w:trHeight w:val="402" w:hRule="atLeast"/>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4EC71993">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108E19FD">
            <w:pPr>
              <w:widowControl/>
              <w:jc w:val="center"/>
              <w:textAlignment w:val="center"/>
              <w:rPr>
                <w:b/>
                <w:color w:val="000000"/>
                <w:sz w:val="21"/>
                <w:szCs w:val="21"/>
                <w:lang w:bidi="ar"/>
              </w:rPr>
            </w:pPr>
            <w:r>
              <w:rPr>
                <w:rFonts w:ascii="Times New Roman" w:hAnsi="Times New Roman" w:eastAsia="微软雅黑" w:cs="Times New Roman"/>
                <w:b/>
                <w:color w:val="000000"/>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3FE7ABF">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57A2C3A4">
            <w:pPr>
              <w:widowControl/>
              <w:jc w:val="center"/>
              <w:textAlignment w:val="center"/>
              <w:rPr>
                <w:b/>
                <w:color w:val="000000"/>
                <w:sz w:val="21"/>
                <w:szCs w:val="21"/>
                <w:lang w:bidi="ar"/>
              </w:rPr>
            </w:pP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17B7280E">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9259DCE">
            <w:pPr>
              <w:widowControl/>
              <w:jc w:val="center"/>
              <w:textAlignment w:val="center"/>
              <w:rPr>
                <w:b/>
                <w:color w:val="000000"/>
                <w:sz w:val="21"/>
                <w:szCs w:val="21"/>
                <w:lang w:bidi="ar"/>
              </w:rPr>
            </w:pPr>
            <w:r>
              <w:rPr>
                <w:b/>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3969B3A9">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562EC468">
            <w:pPr>
              <w:widowControl/>
              <w:jc w:val="center"/>
              <w:textAlignment w:val="center"/>
              <w:rPr>
                <w:rFonts w:ascii="Times New Roman" w:hAnsi="Times New Roman" w:cs="Times New Roman"/>
                <w:b/>
                <w:bCs/>
                <w:kern w:val="2"/>
              </w:rPr>
            </w:pPr>
          </w:p>
        </w:tc>
      </w:tr>
      <w:tr w14:paraId="1075FECD">
        <w:tblPrEx>
          <w:tblCellMar>
            <w:top w:w="0" w:type="dxa"/>
            <w:left w:w="0" w:type="dxa"/>
            <w:bottom w:w="0" w:type="dxa"/>
            <w:right w:w="0" w:type="dxa"/>
          </w:tblCellMar>
        </w:tblPrEx>
        <w:trPr>
          <w:trHeight w:val="402" w:hRule="atLeast"/>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784A7407">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057B7D2">
            <w:pPr>
              <w:widowControl/>
              <w:jc w:val="center"/>
              <w:textAlignment w:val="center"/>
              <w:rPr>
                <w:b/>
                <w:color w:val="000000"/>
                <w:sz w:val="21"/>
                <w:szCs w:val="21"/>
                <w:lang w:bidi="ar"/>
              </w:rPr>
            </w:pP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F70E9A7">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10833FD">
            <w:pPr>
              <w:jc w:val="center"/>
              <w:rPr>
                <w:b/>
                <w:color w:val="000000"/>
                <w:sz w:val="21"/>
                <w:szCs w:val="21"/>
                <w:lang w:bidi="ar"/>
              </w:rPr>
            </w:pP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023B93E">
            <w:pPr>
              <w:widowControl/>
              <w:jc w:val="center"/>
              <w:textAlignment w:val="center"/>
              <w:rPr>
                <w:b/>
                <w:color w:val="000000"/>
                <w:sz w:val="21"/>
                <w:szCs w:val="21"/>
                <w:lang w:bidi="ar"/>
              </w:rPr>
            </w:pPr>
            <w:r>
              <w:rPr>
                <w:b/>
                <w:color w:val="000000"/>
                <w:sz w:val="21"/>
                <w:szCs w:val="21"/>
                <w:lang w:bidi="ar"/>
              </w:rPr>
              <w:t>科室</w:t>
            </w:r>
          </w:p>
        </w:tc>
        <w:tc>
          <w:tcPr>
            <w:tcW w:w="4513" w:type="dxa"/>
            <w:gridSpan w:val="3"/>
            <w:tcBorders>
              <w:top w:val="nil"/>
              <w:left w:val="single" w:color="000000" w:sz="8" w:space="0"/>
              <w:bottom w:val="single" w:color="000000" w:sz="8" w:space="0"/>
              <w:right w:val="nil"/>
            </w:tcBorders>
            <w:noWrap/>
            <w:tcMar>
              <w:top w:w="15" w:type="dxa"/>
              <w:left w:w="15" w:type="dxa"/>
              <w:right w:w="15" w:type="dxa"/>
            </w:tcMar>
            <w:vAlign w:val="center"/>
          </w:tcPr>
          <w:p w14:paraId="2495FF87">
            <w:pPr>
              <w:widowControl/>
              <w:jc w:val="center"/>
              <w:textAlignment w:val="center"/>
              <w:rPr>
                <w:b/>
                <w:color w:val="000000"/>
                <w:sz w:val="21"/>
                <w:szCs w:val="21"/>
                <w:lang w:bidi="ar"/>
              </w:rPr>
            </w:pPr>
          </w:p>
        </w:tc>
      </w:tr>
      <w:tr w14:paraId="6FF5DC23">
        <w:tblPrEx>
          <w:tblCellMar>
            <w:top w:w="0" w:type="dxa"/>
            <w:left w:w="0" w:type="dxa"/>
            <w:bottom w:w="0" w:type="dxa"/>
            <w:right w:w="0" w:type="dxa"/>
          </w:tblCellMar>
        </w:tblPrEx>
        <w:trPr>
          <w:trHeight w:val="402" w:hRule="atLeast"/>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42ECFBF5">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28B07A5">
            <w:pPr>
              <w:widowControl/>
              <w:jc w:val="center"/>
              <w:textAlignment w:val="center"/>
              <w:rPr>
                <w:b/>
                <w:color w:val="000000"/>
                <w:sz w:val="21"/>
                <w:szCs w:val="21"/>
                <w:lang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B10B050">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63FA378">
            <w:pPr>
              <w:widowControl/>
              <w:jc w:val="center"/>
              <w:textAlignment w:val="center"/>
              <w:rPr>
                <w:rFonts w:ascii="Times New Roman" w:hAnsi="Times New Roman" w:cs="Times New Roman"/>
                <w:b/>
                <w:bCs/>
              </w:rPr>
            </w:pPr>
            <w:r>
              <w:rPr>
                <w:rFonts w:ascii="Times New Roman" w:hAnsi="Times New Roman" w:cs="Times New Roman"/>
                <w:b/>
                <w:bCs/>
              </w:rPr>
              <w:t>{{ template_subbarcode }}</w:t>
            </w:r>
          </w:p>
        </w:tc>
        <w:tc>
          <w:tcPr>
            <w:tcW w:w="1395"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5532CBC">
            <w:pPr>
              <w:widowControl/>
              <w:jc w:val="center"/>
              <w:textAlignment w:val="center"/>
              <w:rPr>
                <w:b/>
                <w:color w:val="000000"/>
                <w:sz w:val="21"/>
                <w:szCs w:val="21"/>
                <w:lang w:bidi="ar"/>
              </w:rPr>
            </w:pPr>
            <w:r>
              <w:rPr>
                <w:b/>
                <w:color w:val="000000"/>
                <w:sz w:val="21"/>
                <w:szCs w:val="21"/>
                <w:lang w:bidi="ar"/>
              </w:rPr>
              <w:t>送检日期</w:t>
            </w:r>
          </w:p>
        </w:tc>
        <w:tc>
          <w:tcPr>
            <w:tcW w:w="1784" w:type="dxa"/>
            <w:tcBorders>
              <w:top w:val="nil"/>
              <w:left w:val="single" w:color="000000" w:sz="8" w:space="0"/>
              <w:bottom w:val="single" w:color="000000" w:sz="8" w:space="0"/>
              <w:right w:val="nil"/>
            </w:tcBorders>
            <w:noWrap/>
            <w:tcMar>
              <w:top w:w="15" w:type="dxa"/>
              <w:left w:w="15" w:type="dxa"/>
              <w:right w:w="15" w:type="dxa"/>
            </w:tcMar>
            <w:vAlign w:val="center"/>
          </w:tcPr>
          <w:p w14:paraId="354B7477">
            <w:pPr>
              <w:widowControl/>
              <w:jc w:val="center"/>
              <w:textAlignment w:val="center"/>
              <w:rPr>
                <w:rFonts w:ascii="Times New Roman" w:hAnsi="Times New Roman" w:cs="Times New Roman"/>
                <w:b/>
                <w:bCs/>
                <w:kern w:val="2"/>
              </w:rPr>
            </w:pPr>
            <w:r>
              <w:rPr>
                <w:rFonts w:ascii="Times New Roman" w:hAnsi="Times New Roman" w:cs="Times New Roman"/>
                <w:b/>
                <w:bCs/>
                <w:kern w:val="2"/>
              </w:rPr>
              <w:t>{{ commission_date }}</w:t>
            </w:r>
          </w:p>
        </w:tc>
      </w:tr>
    </w:tbl>
    <w:p w14:paraId="7019B6AB">
      <w:pPr>
        <w:rPr>
          <w:rFonts w:ascii="Times New Roman" w:hAnsi="Times New Roman" w:eastAsia="微软雅黑" w:cs="Times New Roman"/>
        </w:rPr>
      </w:pPr>
    </w:p>
    <w:p w14:paraId="1FFB1E60">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cols w:space="720" w:num="1"/>
        </w:sectPr>
      </w:pPr>
      <w:r>
        <w:rPr>
          <w:rFonts w:ascii="Times New Roman" w:hAnsi="Times New Roman" w:eastAsia="微软雅黑" w:cs="Times New Roman"/>
          <w:b/>
          <w:color w:val="00B050"/>
          <w:sz w:val="48"/>
          <w:szCs w:val="48"/>
        </w:rPr>
        <mc:AlternateContent>
          <mc:Choice Requires="wps">
            <w:drawing>
              <wp:anchor distT="0" distB="0" distL="114300" distR="114300" simplePos="0" relativeHeight="251661312" behindDoc="0" locked="0" layoutInCell="1" allowOverlap="1">
                <wp:simplePos x="0" y="0"/>
                <wp:positionH relativeFrom="column">
                  <wp:posOffset>3259455</wp:posOffset>
                </wp:positionH>
                <wp:positionV relativeFrom="paragraph">
                  <wp:posOffset>189230</wp:posOffset>
                </wp:positionV>
                <wp:extent cx="2907030" cy="1955165"/>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2907030" cy="1955165"/>
                        </a:xfrm>
                        <a:prstGeom prst="rect">
                          <a:avLst/>
                        </a:prstGeom>
                        <a:noFill/>
                        <a:ln>
                          <a:noFill/>
                        </a:ln>
                      </wps:spPr>
                      <wps:txbx>
                        <w:txbxContent>
                          <w:p w14:paraId="21039392">
                            <w:pPr>
                              <w:jc w:val="right"/>
                              <w:rPr>
                                <w:sz w:val="30"/>
                                <w:szCs w:val="30"/>
                              </w:rPr>
                            </w:pPr>
                            <w:r>
                              <w:rPr>
                                <w:rFonts w:ascii="Arial" w:hAnsi="Arial" w:cs="Arial"/>
                                <w:b/>
                                <w:color w:val="00B050"/>
                                <w:sz w:val="30"/>
                                <w:szCs w:val="30"/>
                              </w:rPr>
                              <w:t>CANCER</w:t>
                            </w:r>
                            <w:r>
                              <w:rPr>
                                <w:rFonts w:hint="eastAsia" w:ascii="Arial" w:hAnsi="Arial" w:cs="Arial"/>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256.65pt;margin-top:14.9pt;height:153.95pt;width:228.9pt;z-index:251661312;mso-width-relative:page;mso-height-relative:margin;mso-height-percent:200;" filled="f" stroked="f" coordsize="21600,21600" o:gfxdata="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J/BUf2AAAAAoBAAAPAAAAAAAAAAEAIAAAACIAAABkcnMvZG93bnJldi54bWxQSwEC&#10;FAAUAAAACACHTuJAKn3h77sBAABrAwAADgAAAAAAAAABACAAAAAnAQAAZHJzL2Uyb0RvYy54bWxQ&#10;SwUGAAAAAAYABgBZAQAAVAUAAAAA&#10;">
                <v:fill on="f" focussize="0,0"/>
                <v:stroke on="f"/>
                <v:imagedata o:title=""/>
                <o:lock v:ext="edit" aspectratio="f"/>
                <v:textbox style="mso-fit-shape-to-text:t;">
                  <w:txbxContent>
                    <w:p w14:paraId="21039392">
                      <w:pPr>
                        <w:jc w:val="right"/>
                        <w:rPr>
                          <w:sz w:val="30"/>
                          <w:szCs w:val="30"/>
                        </w:rPr>
                      </w:pPr>
                      <w:r>
                        <w:rPr>
                          <w:rFonts w:ascii="Arial" w:hAnsi="Arial" w:cs="Arial"/>
                          <w:b/>
                          <w:color w:val="00B050"/>
                          <w:sz w:val="30"/>
                          <w:szCs w:val="30"/>
                        </w:rPr>
                        <w:t>CANCER</w:t>
                      </w:r>
                      <w:r>
                        <w:rPr>
                          <w:rFonts w:hint="eastAsia" w:ascii="Arial" w:hAnsi="Arial" w:cs="Arial"/>
                          <w:b/>
                          <w:color w:val="00B050"/>
                          <w:sz w:val="30"/>
                          <w:szCs w:val="30"/>
                        </w:rPr>
                        <w:t xml:space="preserve"> GENE REPORT</w:t>
                      </w:r>
                    </w:p>
                  </w:txbxContent>
                </v:textbox>
              </v:shape>
            </w:pict>
          </mc:Fallback>
        </mc:AlternateContent>
      </w:r>
    </w:p>
    <w:tbl>
      <w:tblPr>
        <w:tblStyle w:val="19"/>
        <w:tblW w:w="979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549"/>
      </w:tblGrid>
      <w:tr w14:paraId="08BFF4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242" w:type="dxa"/>
            <w:vAlign w:val="top"/>
          </w:tcPr>
          <w:p w14:paraId="494840D6">
            <w:pPr>
              <w:pStyle w:val="17"/>
              <w:rPr>
                <w:rFonts w:asciiTheme="minorEastAsia" w:hAnsiTheme="minorEastAsia" w:eastAsiaTheme="minorEastAsia"/>
                <w:b/>
                <w:sz w:val="21"/>
                <w:szCs w:val="21"/>
              </w:rPr>
            </w:pPr>
            <w:bookmarkStart w:id="0" w:name="_Toc526855031"/>
            <w:bookmarkStart w:id="1" w:name="_Toc527112379"/>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549" w:type="dxa"/>
            <w:vAlign w:val="center"/>
          </w:tcPr>
          <w:p w14:paraId="3297325D">
            <w:pPr>
              <w:pStyle w:val="17"/>
              <w:rPr>
                <w:rFonts w:asciiTheme="minorEastAsia" w:hAnsiTheme="minorEastAsia" w:eastAsiaTheme="minorEastAsia"/>
                <w:sz w:val="21"/>
                <w:szCs w:val="21"/>
              </w:rPr>
            </w:pPr>
            <w:r>
              <w:rPr>
                <w:rFonts w:hint="eastAsia" w:asciiTheme="minorEastAsia" w:hAnsiTheme="minorEastAsia" w:eastAsiaTheme="minorEastAsia"/>
                <w:sz w:val="21"/>
                <w:szCs w:val="21"/>
              </w:rPr>
              <w:t>脱氧核糖核酸(DNA)测序</w:t>
            </w:r>
          </w:p>
        </w:tc>
      </w:tr>
      <w:tr w14:paraId="3CBAE9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242" w:type="dxa"/>
          </w:tcPr>
          <w:p w14:paraId="056E314E">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549" w:type="dxa"/>
            <w:vAlign w:val="center"/>
          </w:tcPr>
          <w:p w14:paraId="710CF753">
            <w:pPr>
              <w:pStyle w:val="17"/>
              <w:rPr>
                <w:rFonts w:asciiTheme="minorEastAsia" w:hAnsiTheme="minorEastAsia" w:eastAsiaTheme="minorEastAsia"/>
                <w:sz w:val="21"/>
                <w:szCs w:val="21"/>
              </w:rPr>
            </w:pPr>
            <w:r>
              <w:rPr>
                <w:rFonts w:hint="eastAsia" w:asciiTheme="minorEastAsia" w:hAnsiTheme="minorEastAsia" w:eastAsiaTheme="minorEastAsia"/>
                <w:sz w:val="21"/>
                <w:szCs w:val="21"/>
              </w:rPr>
              <w:t>组织学样本,肿瘤细胞比例&gt;20%</w:t>
            </w:r>
          </w:p>
        </w:tc>
      </w:tr>
      <w:tr w14:paraId="48EB1D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242" w:type="dxa"/>
          </w:tcPr>
          <w:p w14:paraId="1135540E">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检测平台</w:t>
            </w:r>
          </w:p>
        </w:tc>
        <w:tc>
          <w:tcPr>
            <w:tcW w:w="8549" w:type="dxa"/>
            <w:vAlign w:val="center"/>
          </w:tcPr>
          <w:p w14:paraId="2B6CC412">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Life ion torrent DA8600</w:t>
            </w:r>
          </w:p>
        </w:tc>
      </w:tr>
      <w:tr w14:paraId="4428F2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trPr>
        <w:tc>
          <w:tcPr>
            <w:tcW w:w="1242" w:type="dxa"/>
          </w:tcPr>
          <w:p w14:paraId="5BAB3AE9">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549" w:type="dxa"/>
          </w:tcPr>
          <w:p w14:paraId="3193752A">
            <w:pPr>
              <w:pStyle w:val="17"/>
              <w:keepNext w:val="0"/>
              <w:keepLines w:val="0"/>
              <w:pageBreakBefore w:val="0"/>
              <w:widowControl/>
              <w:kinsoku/>
              <w:wordWrap/>
              <w:overflowPunct/>
              <w:topLinePunct w:val="0"/>
              <w:autoSpaceDE/>
              <w:autoSpaceDN/>
              <w:bidi w:val="0"/>
              <w:adjustRightInd/>
              <w:snapToGrid/>
              <w:spacing w:before="60" w:beforeAutospacing="0"/>
              <w:textAlignment w:val="auto"/>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基于DNA，RNA水平，用二代测序平台检测</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肿瘤个性</w:t>
            </w:r>
            <w:r>
              <w:rPr>
                <w:rFonts w:asciiTheme="minorEastAsia" w:hAnsiTheme="minorEastAsia" w:eastAsiaTheme="minorEastAsia"/>
                <w:color w:val="000000" w:themeColor="text1"/>
                <w:sz w:val="21"/>
                <w:szCs w:val="21"/>
                <w14:textFill>
                  <w14:solidFill>
                    <w14:schemeClr w14:val="tx1"/>
                  </w14:solidFill>
                </w14:textFill>
              </w:rPr>
              <w:t>化</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诊疗</w:t>
            </w:r>
            <w:r>
              <w:rPr>
                <w:rFonts w:asciiTheme="minorEastAsia" w:hAnsiTheme="minorEastAsia" w:eastAsiaTheme="minorEastAsia"/>
                <w:color w:val="000000" w:themeColor="text1"/>
                <w:sz w:val="21"/>
                <w:szCs w:val="21"/>
                <w14:textFill>
                  <w14:solidFill>
                    <w14:schemeClr w14:val="tx1"/>
                  </w14:solidFill>
                </w14:textFill>
              </w:rPr>
              <w:t>相关基因的特定变异。</w:t>
            </w:r>
          </w:p>
          <w:p w14:paraId="4F94C595">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可检测KRAS, NRAS, BRAF, HRAS,</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PIK3CA,</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PDGFRA</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ERBB2/3/4, RET, MET, ROS1,</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 xml:space="preserve">UGT1A1, PTEN,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KIT, </w:t>
            </w:r>
            <w:r>
              <w:rPr>
                <w:rFonts w:asciiTheme="minorEastAsia" w:hAnsiTheme="minorEastAsia" w:eastAsiaTheme="minorEastAsia"/>
                <w:color w:val="000000" w:themeColor="text1"/>
                <w:sz w:val="21"/>
                <w:szCs w:val="21"/>
                <w14:textFill>
                  <w14:solidFill>
                    <w14:schemeClr w14:val="tx1"/>
                  </w14:solidFill>
                </w14:textFill>
              </w:rPr>
              <w:t>TP53, IDH1/2, JAK1/2/3, FGFR2/3, ALK, EGFR等43基因的全外显子或热点区域，提供基因的点突变（SNV）和插入缺失（INDEL）两种变异类型的检出情况。</w:t>
            </w:r>
          </w:p>
          <w:p w14:paraId="13F158CC">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ERBB2</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ALK</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MET</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BRAF</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CCND1</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KRAS</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MYC等19个基因的拷贝数变异（CNV）。</w:t>
            </w:r>
          </w:p>
          <w:p w14:paraId="68CA8BAA">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NTRK1/2/3,</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 xml:space="preserve"> </w:t>
            </w:r>
            <w:r>
              <w:rPr>
                <w:rFonts w:asciiTheme="minorEastAsia" w:hAnsiTheme="minorEastAsia" w:eastAsiaTheme="minorEastAsia"/>
                <w:color w:val="000000" w:themeColor="text1"/>
                <w:sz w:val="21"/>
                <w:szCs w:val="21"/>
                <w14:textFill>
                  <w14:solidFill>
                    <w14:schemeClr w14:val="tx1"/>
                  </w14:solidFill>
                </w14:textFill>
              </w:rPr>
              <w:t>ALK, ROS1, RET, FGFR1/2/3, MET, BRAF, RAF1, ERG, ETV1/4/5, ABL1, AKT3, AXL, EGFR, PPARG, PDGFRA共23个基因的融合检测（RNA水平）。</w:t>
            </w:r>
          </w:p>
        </w:tc>
      </w:tr>
      <w:tr w14:paraId="410C97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242" w:type="dxa"/>
          </w:tcPr>
          <w:p w14:paraId="2860E3E1">
            <w:pPr>
              <w:pStyle w:val="17"/>
              <w:rPr>
                <w:rFonts w:hint="eastAsia" w:asciiTheme="minorEastAsia" w:hAnsiTheme="minorEastAsia" w:eastAsiaTheme="minorEastAsia"/>
                <w:b/>
                <w:sz w:val="21"/>
                <w:szCs w:val="21"/>
              </w:rPr>
            </w:pPr>
            <w:r>
              <w:rPr>
                <w:rFonts w:hint="eastAsia"/>
                <w:b/>
                <w:color w:val="000000"/>
                <w:sz w:val="21"/>
                <w:szCs w:val="21"/>
                <w:lang w:val="en-US" w:eastAsia="zh-CN" w:bidi="ar"/>
              </w:rPr>
              <w:t>病理诊断</w:t>
            </w:r>
          </w:p>
        </w:tc>
        <w:tc>
          <w:tcPr>
            <w:tcW w:w="8549" w:type="dxa"/>
            <w:vAlign w:val="center"/>
          </w:tcPr>
          <w:p w14:paraId="2DAED3D1">
            <w:pPr>
              <w:pStyle w:val="17"/>
              <w:spacing w:line="260" w:lineRule="exact"/>
              <w:jc w:val="both"/>
              <w:rPr>
                <w:rFonts w:asciiTheme="minorEastAsia" w:hAnsiTheme="minorEastAsia" w:eastAsiaTheme="minorEastAsia"/>
                <w:color w:val="000000" w:themeColor="text1"/>
                <w:sz w:val="21"/>
                <w:szCs w:val="21"/>
                <w14:textFill>
                  <w14:solidFill>
                    <w14:schemeClr w14:val="tx1"/>
                  </w14:solidFill>
                </w14:textFill>
              </w:rPr>
            </w:pPr>
          </w:p>
        </w:tc>
      </w:tr>
    </w:tbl>
    <w:p w14:paraId="3F70E914">
      <w:pPr>
        <w:rPr>
          <w:rFonts w:ascii="Times New Roman" w:hAnsi="Times New Roman" w:eastAsia="微软雅黑" w:cs="Times New Roman"/>
          <w:b/>
          <w:bCs/>
          <w:sz w:val="28"/>
          <w:szCs w:val="28"/>
        </w:rPr>
      </w:pPr>
    </w:p>
    <w:p w14:paraId="5D373225">
      <w:pPr>
        <w:rPr>
          <w:b/>
          <w:bCs/>
          <w:sz w:val="28"/>
          <w:szCs w:val="28"/>
        </w:rPr>
      </w:pPr>
      <w:r>
        <w:rPr>
          <w:b/>
          <w:bCs/>
          <w:sz w:val="28"/>
          <w:szCs w:val="28"/>
        </w:rPr>
        <w:t>本报告涉及样本数据质控情况：</w:t>
      </w:r>
    </w:p>
    <w:tbl>
      <w:tblPr>
        <w:tblStyle w:val="47"/>
        <w:tblW w:w="7054" w:type="dxa"/>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581"/>
        <w:gridCol w:w="3197"/>
        <w:gridCol w:w="1276"/>
      </w:tblGrid>
      <w:tr w14:paraId="3D050F6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36" w:hRule="atLeast"/>
          <w:jc w:val="center"/>
        </w:trPr>
        <w:tc>
          <w:tcPr>
            <w:tcW w:w="2581"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1F497D" w:themeFill="text2"/>
            <w:vAlign w:val="center"/>
          </w:tcPr>
          <w:p w14:paraId="7C049BA4">
            <w:pPr>
              <w:jc w:val="center"/>
              <w:rPr>
                <w:rFonts w:asciiTheme="minorEastAsia" w:hAnsiTheme="minorEastAsia" w:eastAsiaTheme="minorEastAsia"/>
                <w:b/>
                <w:bCs/>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数据质控指标</w:t>
            </w:r>
          </w:p>
        </w:tc>
        <w:tc>
          <w:tcPr>
            <w:tcW w:w="3197" w:type="dxa"/>
            <w:tcBorders>
              <w:top w:val="single" w:color="4F81BD" w:themeColor="accent1" w:sz="4" w:space="0"/>
              <w:bottom w:val="single" w:color="4F81BD" w:themeColor="accent1" w:sz="4" w:space="0"/>
              <w:right w:val="nil"/>
              <w:insideH w:val="single" w:sz="4" w:space="0"/>
              <w:insideV w:val="nil"/>
            </w:tcBorders>
            <w:shd w:val="clear" w:color="auto" w:fill="1F497D" w:themeFill="text2"/>
            <w:vAlign w:val="center"/>
          </w:tcPr>
          <w:p w14:paraId="69EEF407">
            <w:pPr>
              <w:jc w:val="center"/>
              <w:rPr>
                <w:rFonts w:asciiTheme="minorEastAsia" w:hAnsiTheme="minorEastAsia" w:eastAsiaTheme="minorEastAsia"/>
                <w:b/>
                <w:bCs/>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实际值</w:t>
            </w:r>
          </w:p>
        </w:tc>
        <w:tc>
          <w:tcPr>
            <w:tcW w:w="12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1F497D" w:themeFill="text2"/>
            <w:vAlign w:val="center"/>
          </w:tcPr>
          <w:p w14:paraId="14D65B02">
            <w:pPr>
              <w:jc w:val="center"/>
              <w:rPr>
                <w:rFonts w:asciiTheme="minorEastAsia" w:hAnsiTheme="minorEastAsia" w:eastAsiaTheme="minorEastAsia"/>
                <w:b/>
                <w:bCs/>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质控标准</w:t>
            </w:r>
          </w:p>
        </w:tc>
      </w:tr>
      <w:tr w14:paraId="10FD1EB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36" w:hRule="atLeast"/>
          <w:jc w:val="center"/>
        </w:trPr>
        <w:tc>
          <w:tcPr>
            <w:tcW w:w="2581" w:type="dxa"/>
            <w:shd w:val="clear" w:color="auto" w:fill="auto"/>
            <w:vAlign w:val="center"/>
          </w:tcPr>
          <w:p w14:paraId="58E592FF">
            <w:pPr>
              <w:jc w:val="center"/>
              <w:rPr>
                <w:rFonts w:asciiTheme="minorEastAsia" w:hAnsiTheme="minorEastAsia" w:eastAsiaTheme="minorEastAsia"/>
                <w:b/>
                <w:bCs/>
              </w:rPr>
            </w:pPr>
            <w:r>
              <w:rPr>
                <w:rFonts w:asciiTheme="minorEastAsia" w:hAnsiTheme="minorEastAsia" w:eastAsiaTheme="minorEastAsia"/>
                <w:b/>
                <w:bCs/>
              </w:rPr>
              <w:t>目标区域平均测序深度</w:t>
            </w:r>
            <w:r>
              <w:rPr>
                <w:rFonts w:hint="eastAsia" w:asciiTheme="minorEastAsia" w:hAnsiTheme="minorEastAsia" w:eastAsiaTheme="minorEastAsia"/>
                <w:b/>
                <w:bCs/>
              </w:rPr>
              <w:t>*</w:t>
            </w:r>
          </w:p>
        </w:tc>
        <w:tc>
          <w:tcPr>
            <w:tcW w:w="3197" w:type="dxa"/>
            <w:shd w:val="clear" w:color="auto" w:fill="auto"/>
            <w:vAlign w:val="center"/>
          </w:tcPr>
          <w:p w14:paraId="1B96E711">
            <w:pPr>
              <w:jc w:val="center"/>
              <w:rPr>
                <w:rFonts w:ascii="Times New Roman" w:hAnsi="Times New Roman" w:eastAsia="微软雅黑" w:cs="Times New Roman"/>
              </w:rPr>
            </w:pPr>
            <w:r>
              <w:rPr>
                <w:rFonts w:ascii="Times New Roman" w:hAnsi="Times New Roman" w:eastAsia="微软雅黑" w:cs="Times New Roman"/>
                <w:kern w:val="2"/>
                <w:sz w:val="24"/>
                <w:szCs w:val="24"/>
              </w:rPr>
              <w:t>{{ meanSequencingDepth }}</w:t>
            </w:r>
            <w:r>
              <w:rPr>
                <w:rFonts w:ascii="Times New Roman" w:hAnsi="Times New Roman" w:eastAsia="微软雅黑" w:cs="Times New Roman"/>
                <w:color w:val="000000"/>
                <w:kern w:val="2"/>
                <w:sz w:val="24"/>
                <w:szCs w:val="24"/>
              </w:rPr>
              <w:t>X</w:t>
            </w:r>
          </w:p>
        </w:tc>
        <w:tc>
          <w:tcPr>
            <w:tcW w:w="1276" w:type="dxa"/>
            <w:shd w:val="clear" w:color="auto" w:fill="auto"/>
            <w:vAlign w:val="center"/>
          </w:tcPr>
          <w:p w14:paraId="3CC82AFB">
            <w:pPr>
              <w:jc w:val="center"/>
              <w:rPr>
                <w:rFonts w:ascii="Times New Roman" w:hAnsi="Times New Roman" w:eastAsia="微软雅黑" w:cs="Times New Roman"/>
              </w:rPr>
            </w:pPr>
            <w:r>
              <w:rPr>
                <w:rFonts w:ascii="Times New Roman" w:hAnsi="Times New Roman" w:eastAsia="微软雅黑" w:cs="Times New Roman"/>
                <w:color w:val="000000"/>
                <w:kern w:val="2"/>
                <w:sz w:val="24"/>
                <w:szCs w:val="24"/>
              </w:rPr>
              <w:t>≥3000X</w:t>
            </w:r>
          </w:p>
        </w:tc>
      </w:tr>
      <w:tr w14:paraId="3909A1C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36" w:hRule="atLeast"/>
          <w:jc w:val="center"/>
        </w:trPr>
        <w:tc>
          <w:tcPr>
            <w:tcW w:w="2581" w:type="dxa"/>
            <w:vAlign w:val="center"/>
          </w:tcPr>
          <w:p w14:paraId="40B36DC8">
            <w:pPr>
              <w:jc w:val="center"/>
              <w:rPr>
                <w:rFonts w:asciiTheme="minorEastAsia" w:hAnsiTheme="minorEastAsia" w:eastAsiaTheme="minorEastAsia"/>
                <w:b/>
                <w:bCs/>
              </w:rPr>
            </w:pPr>
            <w:r>
              <w:rPr>
                <w:rFonts w:asciiTheme="minorEastAsia" w:hAnsiTheme="minorEastAsia" w:eastAsiaTheme="minorEastAsia"/>
                <w:b/>
                <w:bCs/>
              </w:rPr>
              <w:t>覆盖度</w:t>
            </w:r>
          </w:p>
        </w:tc>
        <w:tc>
          <w:tcPr>
            <w:tcW w:w="3197" w:type="dxa"/>
            <w:vAlign w:val="center"/>
          </w:tcPr>
          <w:p w14:paraId="2B504BEF">
            <w:pPr>
              <w:jc w:val="center"/>
              <w:rPr>
                <w:rFonts w:ascii="Times New Roman" w:hAnsi="Times New Roman" w:eastAsia="微软雅黑" w:cs="Times New Roman"/>
              </w:rPr>
            </w:pPr>
            <w:r>
              <w:rPr>
                <w:rFonts w:ascii="Times New Roman" w:hAnsi="Times New Roman" w:eastAsia="微软雅黑" w:cs="Times New Roman"/>
                <w:kern w:val="2"/>
                <w:sz w:val="24"/>
                <w:szCs w:val="24"/>
              </w:rPr>
              <w:t>{{ targetAreaCoverage }}</w:t>
            </w:r>
            <w:r>
              <w:rPr>
                <w:rFonts w:ascii="Times New Roman" w:hAnsi="Times New Roman" w:eastAsia="微软雅黑" w:cs="Times New Roman"/>
                <w:color w:val="000000"/>
                <w:kern w:val="2"/>
                <w:sz w:val="24"/>
                <w:szCs w:val="24"/>
              </w:rPr>
              <w:t>%</w:t>
            </w:r>
          </w:p>
        </w:tc>
        <w:tc>
          <w:tcPr>
            <w:tcW w:w="1276" w:type="dxa"/>
            <w:vAlign w:val="center"/>
          </w:tcPr>
          <w:p w14:paraId="1156B244">
            <w:pPr>
              <w:jc w:val="center"/>
              <w:rPr>
                <w:rFonts w:ascii="Times New Roman" w:hAnsi="Times New Roman" w:eastAsia="微软雅黑" w:cs="Times New Roman"/>
              </w:rPr>
            </w:pPr>
            <w:r>
              <w:rPr>
                <w:rFonts w:ascii="Times New Roman" w:hAnsi="Times New Roman" w:eastAsia="微软雅黑" w:cs="Times New Roman"/>
                <w:color w:val="000000"/>
                <w:kern w:val="2"/>
                <w:sz w:val="24"/>
                <w:szCs w:val="24"/>
              </w:rPr>
              <w:t>≥95%</w:t>
            </w:r>
          </w:p>
        </w:tc>
      </w:tr>
    </w:tbl>
    <w:p w14:paraId="1A36DE12">
      <w:pPr>
        <w:pStyle w:val="2"/>
        <w:ind w:firstLine="900" w:firstLineChars="500"/>
        <w:jc w:val="left"/>
        <w:rPr>
          <w:rFonts w:ascii="Times New Roman" w:hAnsi="Times New Roman" w:eastAsia="微软雅黑" w:cs="Times New Roman"/>
          <w:b w:val="0"/>
          <w:sz w:val="22"/>
          <w:szCs w:val="22"/>
        </w:rPr>
      </w:pPr>
      <w:bookmarkStart w:id="2" w:name="_Toc534637492"/>
      <w:r>
        <w:rPr>
          <w:rFonts w:hint="eastAsia" w:ascii="宋体" w:hAnsi="宋体" w:eastAsia="宋体" w:cs="Times New Roman"/>
          <w:b w:val="0"/>
          <w:sz w:val="18"/>
          <w:szCs w:val="18"/>
        </w:rPr>
        <w:t>注：结合本平台试剂扩增效率和生物信息学统计结果，建议平均测序深度质控标准不低于</w:t>
      </w:r>
      <w:r>
        <w:rPr>
          <w:rFonts w:hint="eastAsia" w:ascii="Times New Roman" w:hAnsi="Times New Roman" w:eastAsia="微软雅黑" w:cs="Times New Roman"/>
          <w:b w:val="0"/>
          <w:sz w:val="18"/>
          <w:szCs w:val="18"/>
        </w:rPr>
        <w:t>3000X</w:t>
      </w:r>
    </w:p>
    <w:p w14:paraId="7A42517C">
      <w:pPr>
        <w:jc w:val="center"/>
        <w:rPr>
          <w:rFonts w:ascii="Times New Roman" w:hAnsi="Times New Roman" w:eastAsia="微软雅黑" w:cs="Times New Roman"/>
          <w:b/>
          <w:color w:val="FFFFFF"/>
          <w:sz w:val="36"/>
          <w:szCs w:val="30"/>
          <w:shd w:val="clear" w:color="auto" w:fill="17365D"/>
        </w:rPr>
      </w:pPr>
    </w:p>
    <w:p w14:paraId="7AF0B7EC">
      <w:pPr>
        <w:pStyle w:val="2"/>
        <w:rPr>
          <w:rFonts w:ascii="Times New Roman" w:hAnsi="Times New Roman" w:eastAsia="微软雅黑" w:cs="Times New Roman"/>
          <w:color w:val="FFFFFF"/>
          <w:szCs w:val="30"/>
          <w:shd w:val="clear" w:color="auto" w:fill="17365D"/>
        </w:rPr>
      </w:pPr>
      <w:r>
        <w:rPr>
          <w:rFonts w:ascii="Times New Roman" w:hAnsi="Times New Roman" w:eastAsia="宋体" w:cs="Times New Roman"/>
          <w:color w:val="FFFFFF"/>
          <w:szCs w:val="30"/>
          <w:shd w:val="clear" w:color="auto" w:fill="17365D"/>
        </w:rPr>
        <w:t>检测结果</w:t>
      </w:r>
      <w:bookmarkEnd w:id="0"/>
      <w:bookmarkEnd w:id="1"/>
      <w:bookmarkEnd w:id="2"/>
    </w:p>
    <w:p w14:paraId="33DDFCED">
      <w:pPr>
        <w:rPr>
          <w:rFonts w:ascii="Times New Roman" w:hAnsi="Times New Roman" w:eastAsia="微软雅黑" w:cs="Times New Roman"/>
        </w:rPr>
      </w:pPr>
    </w:p>
    <w:tbl>
      <w:tblPr>
        <w:tblStyle w:val="19"/>
        <w:tblpPr w:leftFromText="180" w:rightFromText="180" w:vertAnchor="text" w:horzAnchor="page" w:tblpXSpec="center" w:tblpY="1"/>
        <w:tblOverlap w:val="never"/>
        <w:tblW w:w="50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91"/>
        <w:gridCol w:w="1494"/>
        <w:gridCol w:w="1494"/>
        <w:gridCol w:w="1494"/>
        <w:gridCol w:w="1494"/>
        <w:gridCol w:w="1737"/>
      </w:tblGrid>
      <w:tr w14:paraId="20E1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jc w:val="center"/>
        </w:trPr>
        <w:tc>
          <w:tcPr>
            <w:tcW w:w="810" w:type="pct"/>
            <w:tcBorders>
              <w:tl2br w:val="nil"/>
              <w:tr2bl w:val="nil"/>
            </w:tcBorders>
            <w:vAlign w:val="center"/>
          </w:tcPr>
          <w:p w14:paraId="1F0CDE8D">
            <w:pPr>
              <w:adjustRightInd w:val="0"/>
              <w:snapToGrid w:val="0"/>
              <w:jc w:val="center"/>
              <w:rPr>
                <w:rFonts w:hint="eastAsia" w:ascii="Times New Roman" w:hAnsi="Times New Roman" w:eastAsia="宋体"/>
                <w:kern w:val="2"/>
                <w:sz w:val="28"/>
                <w:szCs w:val="28"/>
                <w:lang w:val="en-US" w:eastAsia="zh-CN"/>
              </w:rPr>
            </w:pPr>
            <w:r>
              <w:rPr>
                <w:rFonts w:hint="eastAsia" w:ascii="Times New Roman" w:hAnsi="Times New Roman"/>
                <w:kern w:val="2"/>
                <w:sz w:val="28"/>
                <w:szCs w:val="28"/>
                <w:lang w:val="en-US" w:eastAsia="zh-CN"/>
              </w:rPr>
              <w:t>变异分级</w:t>
            </w:r>
          </w:p>
        </w:tc>
        <w:tc>
          <w:tcPr>
            <w:tcW w:w="811" w:type="pct"/>
            <w:tcBorders>
              <w:tl2br w:val="nil"/>
              <w:tr2bl w:val="nil"/>
            </w:tcBorders>
            <w:vAlign w:val="center"/>
          </w:tcPr>
          <w:p w14:paraId="27FF4910">
            <w:pPr>
              <w:adjustRightInd w:val="0"/>
              <w:snapToGrid w:val="0"/>
              <w:jc w:val="center"/>
              <w:rPr>
                <w:rFonts w:hint="default" w:ascii="Times New Roman" w:hAnsi="Times New Roman"/>
                <w:kern w:val="2"/>
                <w:sz w:val="21"/>
                <w:szCs w:val="21"/>
                <w:lang w:val="en-US"/>
              </w:rPr>
            </w:pPr>
            <w:r>
              <w:rPr>
                <w:rFonts w:hint="eastAsia" w:ascii="Times New Roman" w:hAnsi="Times New Roman"/>
                <w:kern w:val="2"/>
                <w:sz w:val="28"/>
                <w:szCs w:val="28"/>
                <w:lang w:val="en-US" w:eastAsia="zh-CN"/>
              </w:rPr>
              <w:t>I</w:t>
            </w:r>
          </w:p>
        </w:tc>
        <w:tc>
          <w:tcPr>
            <w:tcW w:w="3378" w:type="pct"/>
            <w:gridSpan w:val="4"/>
            <w:tcBorders>
              <w:tl2br w:val="nil"/>
              <w:tr2bl w:val="nil"/>
            </w:tcBorders>
            <w:vAlign w:val="center"/>
          </w:tcPr>
          <w:p w14:paraId="790256D8">
            <w:pPr>
              <w:adjustRightInd w:val="0"/>
              <w:snapToGrid w:val="0"/>
              <w:jc w:val="center"/>
              <w:rPr>
                <w:rFonts w:hint="default" w:ascii="Times New Roman" w:hAnsi="Times New Roman" w:eastAsia="宋体"/>
                <w:kern w:val="2"/>
                <w:sz w:val="21"/>
                <w:szCs w:val="21"/>
                <w:lang w:val="en-US" w:eastAsia="zh-CN"/>
              </w:rPr>
            </w:pPr>
            <w:r>
              <w:rPr>
                <w:rFonts w:hint="eastAsia" w:ascii="Times New Roman" w:hAnsi="Times New Roman"/>
                <w:kern w:val="2"/>
                <w:sz w:val="28"/>
                <w:szCs w:val="28"/>
                <w:lang w:val="en-US" w:eastAsia="zh-CN"/>
              </w:rPr>
              <w:t>有重要的临床意义</w:t>
            </w:r>
          </w:p>
        </w:tc>
      </w:tr>
      <w:tr w14:paraId="5DF7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8" w:hRule="atLeast"/>
          <w:jc w:val="center"/>
        </w:trPr>
        <w:tc>
          <w:tcPr>
            <w:tcW w:w="810" w:type="pct"/>
            <w:tcBorders>
              <w:tl2br w:val="nil"/>
              <w:tr2bl w:val="nil"/>
            </w:tcBorders>
            <w:shd w:val="clear" w:color="auto" w:fill="1F497D" w:themeFill="text2"/>
            <w:vAlign w:val="center"/>
          </w:tcPr>
          <w:p w14:paraId="53DD71F7">
            <w:pPr>
              <w:jc w:val="center"/>
              <w:rPr>
                <w:rFonts w:hint="eastAsia" w:ascii="Calibri" w:hAnsi="Calibri" w:cs="Times New Roman"/>
                <w:b/>
                <w:bCs/>
                <w:sz w:val="18"/>
                <w:szCs w:val="18"/>
                <w:lang w:val="en-US" w:eastAsia="zh-CN"/>
              </w:rPr>
            </w:pPr>
            <w:r>
              <w:rPr>
                <w:rFonts w:ascii="Calibri" w:hAnsi="Calibri" w:cs="Times New Roman"/>
                <w:b/>
                <w:bCs/>
                <w:sz w:val="18"/>
                <w:szCs w:val="18"/>
              </w:rPr>
              <w:t>突变基因</w:t>
            </w:r>
          </w:p>
        </w:tc>
        <w:tc>
          <w:tcPr>
            <w:tcW w:w="811" w:type="pct"/>
            <w:tcBorders>
              <w:tl2br w:val="nil"/>
              <w:tr2bl w:val="nil"/>
            </w:tcBorders>
            <w:shd w:val="clear" w:color="auto" w:fill="1F497D" w:themeFill="text2"/>
            <w:vAlign w:val="center"/>
          </w:tcPr>
          <w:p w14:paraId="60A5B8A0">
            <w:pPr>
              <w:jc w:val="center"/>
              <w:rPr>
                <w:rFonts w:ascii="Calibri" w:hAnsi="Calibri" w:cs="Times New Roman"/>
                <w:b/>
                <w:bCs/>
                <w:sz w:val="18"/>
                <w:szCs w:val="18"/>
              </w:rPr>
            </w:pPr>
            <w:r>
              <w:rPr>
                <w:rFonts w:hint="eastAsia" w:ascii="Calibri" w:hAnsi="Calibri" w:cs="Times New Roman"/>
                <w:b/>
                <w:bCs/>
                <w:sz w:val="18"/>
                <w:szCs w:val="18"/>
                <w:lang w:val="en-US" w:eastAsia="zh-CN"/>
              </w:rPr>
              <w:t>转录本</w:t>
            </w:r>
          </w:p>
        </w:tc>
        <w:tc>
          <w:tcPr>
            <w:tcW w:w="811" w:type="pct"/>
            <w:tcBorders>
              <w:tl2br w:val="nil"/>
              <w:tr2bl w:val="nil"/>
            </w:tcBorders>
            <w:shd w:val="clear" w:color="auto" w:fill="1F497D" w:themeFill="text2"/>
            <w:vAlign w:val="center"/>
          </w:tcPr>
          <w:p w14:paraId="374B68B5">
            <w:pPr>
              <w:jc w:val="center"/>
              <w:rPr>
                <w:rFonts w:ascii="Calibri" w:hAnsi="Calibri" w:cs="Times New Roman"/>
                <w:b/>
                <w:bCs/>
                <w:sz w:val="18"/>
                <w:szCs w:val="18"/>
              </w:rPr>
            </w:pPr>
            <w:r>
              <w:rPr>
                <w:rFonts w:hint="eastAsia" w:ascii="Calibri" w:hAnsi="Calibri" w:cs="Times New Roman"/>
                <w:b/>
                <w:bCs/>
                <w:sz w:val="18"/>
                <w:szCs w:val="18"/>
                <w:lang w:val="en-US" w:eastAsia="zh-CN"/>
              </w:rPr>
              <w:t>外显子/内含子</w:t>
            </w:r>
          </w:p>
        </w:tc>
        <w:tc>
          <w:tcPr>
            <w:tcW w:w="811" w:type="pct"/>
            <w:tcBorders>
              <w:tl2br w:val="nil"/>
              <w:tr2bl w:val="nil"/>
            </w:tcBorders>
            <w:shd w:val="clear" w:color="auto" w:fill="1F497D" w:themeFill="text2"/>
            <w:vAlign w:val="center"/>
          </w:tcPr>
          <w:p w14:paraId="52479CD8">
            <w:pPr>
              <w:jc w:val="center"/>
              <w:rPr>
                <w:rFonts w:ascii="Calibri" w:hAnsi="Calibri" w:cs="Times New Roman"/>
                <w:b/>
                <w:bCs/>
                <w:sz w:val="18"/>
                <w:szCs w:val="18"/>
              </w:rPr>
            </w:pPr>
            <w:r>
              <w:rPr>
                <w:rFonts w:hint="eastAsia" w:ascii="Calibri" w:hAnsi="Calibri" w:cs="Times New Roman"/>
                <w:b/>
                <w:bCs/>
                <w:sz w:val="18"/>
                <w:szCs w:val="18"/>
                <w:lang w:val="en-US" w:eastAsia="zh-CN"/>
              </w:rPr>
              <w:t>核苷酸变化</w:t>
            </w:r>
          </w:p>
        </w:tc>
        <w:tc>
          <w:tcPr>
            <w:tcW w:w="811" w:type="pct"/>
            <w:tcBorders>
              <w:tl2br w:val="nil"/>
              <w:tr2bl w:val="nil"/>
            </w:tcBorders>
            <w:shd w:val="clear" w:color="auto" w:fill="1F497D" w:themeFill="text2"/>
            <w:vAlign w:val="center"/>
          </w:tcPr>
          <w:p w14:paraId="1768320F">
            <w:pPr>
              <w:jc w:val="center"/>
              <w:rPr>
                <w:rFonts w:ascii="Calibri" w:hAnsi="Calibri" w:cs="Times New Roman"/>
                <w:b/>
                <w:bCs/>
                <w:sz w:val="18"/>
                <w:szCs w:val="18"/>
              </w:rPr>
            </w:pPr>
            <w:r>
              <w:rPr>
                <w:rFonts w:hint="eastAsia" w:ascii="Calibri" w:hAnsi="Calibri" w:cs="Times New Roman"/>
                <w:b/>
                <w:bCs/>
                <w:sz w:val="18"/>
                <w:szCs w:val="18"/>
                <w:lang w:val="en-US" w:eastAsia="zh-CN"/>
              </w:rPr>
              <w:t>氨基酸变化</w:t>
            </w:r>
          </w:p>
        </w:tc>
        <w:tc>
          <w:tcPr>
            <w:tcW w:w="943" w:type="pct"/>
            <w:tcBorders>
              <w:tl2br w:val="nil"/>
              <w:tr2bl w:val="nil"/>
            </w:tcBorders>
            <w:shd w:val="clear" w:color="auto" w:fill="1F497D" w:themeFill="text2"/>
            <w:vAlign w:val="center"/>
          </w:tcPr>
          <w:p w14:paraId="0AF63343">
            <w:pPr>
              <w:jc w:val="center"/>
              <w:rPr>
                <w:rFonts w:hint="eastAsia" w:ascii="Calibri" w:hAnsi="Calibri" w:eastAsia="宋体" w:cs="Times New Roman"/>
                <w:b/>
                <w:bCs/>
                <w:sz w:val="18"/>
                <w:szCs w:val="18"/>
                <w:lang w:eastAsia="zh-CN"/>
              </w:rPr>
            </w:pPr>
            <w:r>
              <w:rPr>
                <w:rFonts w:hint="eastAsia" w:ascii="Calibri" w:hAnsi="Calibri" w:cs="Times New Roman"/>
                <w:b/>
                <w:bCs/>
                <w:sz w:val="18"/>
                <w:szCs w:val="18"/>
                <w:lang w:val="en-US" w:eastAsia="zh-CN"/>
              </w:rPr>
              <w:t>变异</w:t>
            </w:r>
            <w:r>
              <w:rPr>
                <w:rFonts w:ascii="Calibri" w:hAnsi="Calibri" w:cs="Times New Roman"/>
                <w:b/>
                <w:bCs/>
                <w:sz w:val="18"/>
                <w:szCs w:val="18"/>
              </w:rPr>
              <w:t>丰度/</w:t>
            </w:r>
            <w:r>
              <w:rPr>
                <w:rFonts w:hint="eastAsia" w:ascii="Calibri" w:hAnsi="Calibri" w:cs="Times New Roman"/>
                <w:b/>
                <w:bCs/>
                <w:sz w:val="18"/>
                <w:szCs w:val="18"/>
                <w:lang w:val="en-US" w:eastAsia="zh-CN"/>
              </w:rPr>
              <w:t>拷贝数</w:t>
            </w:r>
          </w:p>
        </w:tc>
      </w:tr>
      <w:tr w14:paraId="672D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jc w:val="center"/>
        </w:trPr>
        <w:tc>
          <w:tcPr>
            <w:tcW w:w="5000" w:type="pct"/>
            <w:gridSpan w:val="6"/>
            <w:tcBorders>
              <w:tl2br w:val="nil"/>
              <w:tr2bl w:val="nil"/>
            </w:tcBorders>
            <w:vAlign w:val="center"/>
          </w:tcPr>
          <w:p w14:paraId="25899826">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variationGrading.variationGrading1</w:t>
            </w:r>
            <w:r>
              <w:rPr>
                <w:rFonts w:ascii="Times New Roman" w:hAnsi="Times New Roman"/>
                <w:kern w:val="2"/>
                <w:sz w:val="18"/>
                <w:szCs w:val="18"/>
              </w:rPr>
              <w:t xml:space="preserve"> != [] %}</w:t>
            </w:r>
          </w:p>
        </w:tc>
      </w:tr>
      <w:tr w14:paraId="4C7D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3" w:hRule="atLeast"/>
          <w:jc w:val="center"/>
        </w:trPr>
        <w:tc>
          <w:tcPr>
            <w:tcW w:w="5000" w:type="pct"/>
            <w:gridSpan w:val="6"/>
            <w:tcBorders>
              <w:tl2br w:val="nil"/>
              <w:tr2bl w:val="nil"/>
            </w:tcBorders>
            <w:vAlign w:val="center"/>
          </w:tcPr>
          <w:p w14:paraId="2119C4DB">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lang w:val="en-US" w:eastAsia="zh-CN"/>
              </w:rPr>
              <w:t xml:space="preserve"> vg</w:t>
            </w:r>
            <w:r>
              <w:rPr>
                <w:rFonts w:ascii="Times New Roman" w:hAnsi="Times New Roman"/>
                <w:kern w:val="2"/>
                <w:sz w:val="18"/>
                <w:szCs w:val="18"/>
              </w:rPr>
              <w:t xml:space="preserve"> in </w:t>
            </w:r>
            <w:r>
              <w:rPr>
                <w:rFonts w:hint="eastAsia" w:ascii="Times New Roman" w:hAnsi="Times New Roman"/>
                <w:kern w:val="2"/>
                <w:sz w:val="18"/>
                <w:szCs w:val="18"/>
                <w:lang w:val="en-US" w:eastAsia="zh-CN"/>
              </w:rPr>
              <w:t>variationGrading.variationGrading1</w:t>
            </w:r>
            <w:r>
              <w:rPr>
                <w:rFonts w:ascii="Times New Roman" w:hAnsi="Times New Roman"/>
                <w:kern w:val="2"/>
                <w:sz w:val="18"/>
                <w:szCs w:val="18"/>
              </w:rPr>
              <w:t xml:space="preserve"> %}</w:t>
            </w:r>
          </w:p>
        </w:tc>
      </w:tr>
      <w:tr w14:paraId="1977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5000" w:type="pct"/>
            <w:gridSpan w:val="6"/>
            <w:tcBorders>
              <w:tl2br w:val="nil"/>
              <w:tr2bl w:val="nil"/>
            </w:tcBorders>
            <w:vAlign w:val="center"/>
          </w:tcPr>
          <w:p w14:paraId="6EF5E440">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vg.flag =</w:t>
            </w:r>
            <w:r>
              <w:rPr>
                <w:rFonts w:ascii="Times New Roman" w:hAnsi="Times New Roman"/>
                <w:kern w:val="2"/>
                <w:sz w:val="18"/>
                <w:szCs w:val="18"/>
              </w:rPr>
              <w:t xml:space="preserve">= </w:t>
            </w:r>
            <w:r>
              <w:rPr>
                <w:rFonts w:hint="eastAsia" w:ascii="Times New Roman" w:hAnsi="Times New Roman"/>
                <w:kern w:val="2"/>
                <w:sz w:val="18"/>
                <w:szCs w:val="18"/>
                <w:lang w:val="en-US" w:eastAsia="zh-CN"/>
              </w:rPr>
              <w:t>False</w:t>
            </w:r>
            <w:r>
              <w:rPr>
                <w:rFonts w:ascii="Times New Roman" w:hAnsi="Times New Roman"/>
                <w:kern w:val="2"/>
                <w:sz w:val="18"/>
                <w:szCs w:val="18"/>
              </w:rPr>
              <w:t xml:space="preserve"> %}</w:t>
            </w:r>
          </w:p>
        </w:tc>
      </w:tr>
      <w:tr w14:paraId="1056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810" w:type="pct"/>
            <w:tcBorders>
              <w:tl2br w:val="nil"/>
              <w:tr2bl w:val="nil"/>
            </w:tcBorders>
            <w:vAlign w:val="center"/>
          </w:tcPr>
          <w:p w14:paraId="0515F2BD">
            <w:pPr>
              <w:adjustRightInd w:val="0"/>
              <w:snapToGrid w:val="0"/>
              <w:jc w:val="center"/>
              <w:rPr>
                <w:rFonts w:hint="eastAsia" w:ascii="Times New Roman" w:hAnsi="Times New Roman"/>
                <w:kern w:val="2"/>
                <w:sz w:val="18"/>
                <w:szCs w:val="18"/>
                <w:lang w:val="en-US" w:eastAsia="zh-CN"/>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811" w:type="pct"/>
            <w:tcBorders>
              <w:tl2br w:val="nil"/>
              <w:tr2bl w:val="nil"/>
            </w:tcBorders>
            <w:vAlign w:val="center"/>
          </w:tcPr>
          <w:p w14:paraId="311AE310">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Transcript</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811" w:type="pct"/>
            <w:tcBorders>
              <w:tl2br w:val="nil"/>
              <w:tr2bl w:val="nil"/>
            </w:tcBorders>
            <w:vAlign w:val="center"/>
          </w:tcPr>
          <w:p w14:paraId="7CD34216">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Exon</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811" w:type="pct"/>
            <w:tcBorders>
              <w:tl2br w:val="nil"/>
              <w:tr2bl w:val="nil"/>
            </w:tcBorders>
            <w:vAlign w:val="center"/>
          </w:tcPr>
          <w:p w14:paraId="4558545D">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cHGVS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811" w:type="pct"/>
            <w:tcBorders>
              <w:tl2br w:val="nil"/>
              <w:tr2bl w:val="nil"/>
            </w:tcBorders>
            <w:vAlign w:val="center"/>
          </w:tcPr>
          <w:p w14:paraId="6FCB601A">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pHGVS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943" w:type="pct"/>
            <w:tcBorders>
              <w:tl2br w:val="nil"/>
              <w:tr2bl w:val="nil"/>
            </w:tcBorders>
            <w:vAlign w:val="center"/>
          </w:tcPr>
          <w:p w14:paraId="2B2DFCB0">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17F5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5000" w:type="pct"/>
            <w:gridSpan w:val="6"/>
            <w:tcBorders>
              <w:tl2br w:val="nil"/>
              <w:tr2bl w:val="nil"/>
            </w:tcBorders>
            <w:vAlign w:val="center"/>
          </w:tcPr>
          <w:p w14:paraId="46CEE0D1">
            <w:pPr>
              <w:adjustRightInd w:val="0"/>
              <w:snapToGrid w:val="0"/>
              <w:jc w:val="center"/>
              <w:rPr>
                <w:rFonts w:hint="default" w:ascii="Times New Roman" w:hAnsi="Times New Roman" w:eastAsia="宋体"/>
                <w:kern w:val="2"/>
                <w:sz w:val="18"/>
                <w:szCs w:val="18"/>
                <w:lang w:val="en-US" w:eastAsia="zh-CN"/>
              </w:rPr>
            </w:pPr>
            <w:r>
              <w:rPr>
                <w:rFonts w:ascii="Times New Roman" w:hAnsi="Times New Roman"/>
                <w:kern w:val="2"/>
                <w:sz w:val="18"/>
                <w:szCs w:val="18"/>
              </w:rPr>
              <w:t>{%tr else %}</w:t>
            </w:r>
          </w:p>
        </w:tc>
      </w:tr>
      <w:tr w14:paraId="44C4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810" w:type="pct"/>
            <w:tcBorders>
              <w:tl2br w:val="nil"/>
              <w:tr2bl w:val="nil"/>
            </w:tcBorders>
            <w:vAlign w:val="center"/>
          </w:tcPr>
          <w:p w14:paraId="5D8F8932">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3246" w:type="pct"/>
            <w:gridSpan w:val="4"/>
            <w:tcBorders>
              <w:tl2br w:val="nil"/>
              <w:tr2bl w:val="nil"/>
            </w:tcBorders>
            <w:vAlign w:val="center"/>
          </w:tcPr>
          <w:p w14:paraId="5C9573C4">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default" w:ascii="Times New Roman" w:hAnsi="Times New Roman"/>
                <w:kern w:val="2"/>
                <w:sz w:val="18"/>
                <w:szCs w:val="18"/>
                <w:lang w:val="en-US" w:eastAsia="en-US"/>
              </w:rPr>
              <w:t xml:space="preserve">{% if </w:t>
            </w:r>
            <w:r>
              <w:rPr>
                <w:rFonts w:hint="eastAsia" w:ascii="Times New Roman" w:hAnsi="Times New Roman"/>
                <w:kern w:val="2"/>
                <w:sz w:val="18"/>
                <w:szCs w:val="18"/>
                <w:lang w:val="en-US" w:eastAsia="zh-CN"/>
              </w:rPr>
              <w:t>vg.ori_variant</w:t>
            </w:r>
            <w:r>
              <w:rPr>
                <w:rFonts w:hint="default" w:ascii="Times New Roman" w:hAnsi="Times New Roman"/>
                <w:kern w:val="2"/>
                <w:sz w:val="18"/>
                <w:szCs w:val="18"/>
                <w:lang w:val="en-US" w:eastAsia="zh-CN"/>
              </w:rPr>
              <w:t xml:space="preserve"> == ‘</w:t>
            </w:r>
            <w:r>
              <w:rPr>
                <w:rFonts w:hint="eastAsia" w:ascii="Times New Roman" w:hAnsi="Times New Roman"/>
                <w:kern w:val="2"/>
                <w:sz w:val="18"/>
                <w:szCs w:val="18"/>
                <w:lang w:val="en-US" w:eastAsia="zh-CN"/>
              </w:rPr>
              <w:t>MET-MET Fusion M13:M15</w:t>
            </w:r>
            <w:r>
              <w:rPr>
                <w:rFonts w:hint="default" w:ascii="Times New Roman" w:hAnsi="Times New Roman"/>
                <w:kern w:val="2"/>
                <w:sz w:val="18"/>
                <w:szCs w:val="18"/>
                <w:lang w:val="en-US" w:eastAsia="zh-CN"/>
              </w:rPr>
              <w:t>’ %</w:t>
            </w:r>
            <w:r>
              <w:rPr>
                <w:rFonts w:hint="default" w:ascii="Times New Roman" w:hAnsi="Times New Roman"/>
                <w:kern w:val="2"/>
                <w:sz w:val="18"/>
                <w:szCs w:val="18"/>
                <w:lang w:val="en-US" w:eastAsia="en-US"/>
              </w:rPr>
              <w:t>}14号外显子跳跃突变{% else %}</w:t>
            </w:r>
            <w:r>
              <w:rPr>
                <w:rFonts w:hint="eastAsia" w:ascii="Times New Roman" w:hAnsi="Times New Roman"/>
                <w:kern w:val="2"/>
                <w:sz w:val="18"/>
                <w:szCs w:val="18"/>
                <w:lang w:val="en-US" w:eastAsia="zh-CN"/>
              </w:rPr>
              <w:t>{{ vg.ori_variant }}</w:t>
            </w:r>
            <w:r>
              <w:rPr>
                <w:rFonts w:hint="default" w:ascii="Times New Roman" w:hAnsi="Times New Roman"/>
                <w:kern w:val="2"/>
                <w:sz w:val="18"/>
                <w:szCs w:val="18"/>
                <w:lang w:val="en-US" w:eastAsia="zh-CN"/>
              </w:rPr>
              <w:t>{% endif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943" w:type="pct"/>
            <w:tcBorders>
              <w:tl2br w:val="nil"/>
              <w:tr2bl w:val="nil"/>
            </w:tcBorders>
            <w:vAlign w:val="center"/>
          </w:tcPr>
          <w:p w14:paraId="035B9E4F">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4194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5000" w:type="pct"/>
            <w:gridSpan w:val="6"/>
            <w:tcBorders>
              <w:tl2br w:val="nil"/>
              <w:tr2bl w:val="nil"/>
            </w:tcBorders>
            <w:vAlign w:val="center"/>
          </w:tcPr>
          <w:p w14:paraId="70BD719C">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7A8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3" w:hRule="atLeast"/>
          <w:jc w:val="center"/>
        </w:trPr>
        <w:tc>
          <w:tcPr>
            <w:tcW w:w="5000" w:type="pct"/>
            <w:gridSpan w:val="6"/>
            <w:tcBorders>
              <w:tl2br w:val="nil"/>
              <w:tr2bl w:val="nil"/>
            </w:tcBorders>
            <w:vAlign w:val="center"/>
          </w:tcPr>
          <w:p w14:paraId="32B26B78">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577C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3" w:hRule="atLeast"/>
          <w:jc w:val="center"/>
        </w:trPr>
        <w:tc>
          <w:tcPr>
            <w:tcW w:w="5000" w:type="pct"/>
            <w:gridSpan w:val="6"/>
            <w:tcBorders>
              <w:tl2br w:val="nil"/>
              <w:tr2bl w:val="nil"/>
            </w:tcBorders>
            <w:vAlign w:val="center"/>
          </w:tcPr>
          <w:p w14:paraId="5F69C6FA">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76F0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810" w:type="pct"/>
            <w:tcBorders>
              <w:tl2br w:val="nil"/>
              <w:tr2bl w:val="nil"/>
            </w:tcBorders>
            <w:vAlign w:val="center"/>
          </w:tcPr>
          <w:p w14:paraId="2765D4FB">
            <w:pPr>
              <w:adjustRightInd w:val="0"/>
              <w:snapToGrid w:val="0"/>
              <w:jc w:val="center"/>
              <w:rPr>
                <w:rFonts w:hint="default" w:ascii="Times New Roman" w:hAnsi="Times New Roman"/>
                <w:kern w:val="2"/>
                <w:sz w:val="18"/>
                <w:szCs w:val="18"/>
                <w:lang w:val="en-US" w:eastAsia="zh-CN"/>
              </w:rPr>
            </w:pPr>
            <w:r>
              <w:rPr>
                <w:rFonts w:hint="eastAsia" w:ascii="Times New Roman" w:hAnsi="Times New Roman"/>
                <w:kern w:val="2"/>
                <w:sz w:val="18"/>
                <w:szCs w:val="18"/>
                <w:lang w:val="en-US" w:eastAsia="zh-CN"/>
              </w:rPr>
              <w:t>/</w:t>
            </w:r>
          </w:p>
        </w:tc>
        <w:tc>
          <w:tcPr>
            <w:tcW w:w="811" w:type="pct"/>
            <w:tcBorders>
              <w:tl2br w:val="nil"/>
              <w:tr2bl w:val="nil"/>
            </w:tcBorders>
            <w:vAlign w:val="center"/>
          </w:tcPr>
          <w:p w14:paraId="04F452D2">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tcBorders>
              <w:tl2br w:val="nil"/>
              <w:tr2bl w:val="nil"/>
            </w:tcBorders>
            <w:vAlign w:val="center"/>
          </w:tcPr>
          <w:p w14:paraId="2A0B6B0B">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tcBorders>
              <w:tl2br w:val="nil"/>
              <w:tr2bl w:val="nil"/>
            </w:tcBorders>
            <w:vAlign w:val="center"/>
          </w:tcPr>
          <w:p w14:paraId="0297C891">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tcBorders>
              <w:tl2br w:val="nil"/>
              <w:tr2bl w:val="nil"/>
            </w:tcBorders>
            <w:vAlign w:val="center"/>
          </w:tcPr>
          <w:p w14:paraId="41AAA68A">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943" w:type="pct"/>
            <w:tcBorders>
              <w:tl2br w:val="nil"/>
              <w:tr2bl w:val="nil"/>
            </w:tcBorders>
            <w:vAlign w:val="center"/>
          </w:tcPr>
          <w:p w14:paraId="5A17251E">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r>
      <w:tr w14:paraId="3AA2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jc w:val="center"/>
        </w:trPr>
        <w:tc>
          <w:tcPr>
            <w:tcW w:w="5000" w:type="pct"/>
            <w:gridSpan w:val="6"/>
            <w:tcBorders>
              <w:tl2br w:val="nil"/>
              <w:tr2bl w:val="nil"/>
            </w:tcBorders>
            <w:vAlign w:val="center"/>
          </w:tcPr>
          <w:p w14:paraId="6D79D385">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16A76C14">
      <w:pPr>
        <w:rPr>
          <w:sz w:val="13"/>
          <w:szCs w:val="13"/>
        </w:rPr>
      </w:pPr>
    </w:p>
    <w:tbl>
      <w:tblPr>
        <w:tblStyle w:val="19"/>
        <w:tblpPr w:leftFromText="180" w:rightFromText="180" w:vertAnchor="text" w:horzAnchor="page" w:tblpXSpec="center" w:tblpY="1"/>
        <w:tblOverlap w:val="never"/>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86"/>
        <w:gridCol w:w="1"/>
        <w:gridCol w:w="1488"/>
        <w:gridCol w:w="2"/>
        <w:gridCol w:w="1488"/>
        <w:gridCol w:w="2"/>
        <w:gridCol w:w="1488"/>
        <w:gridCol w:w="2"/>
        <w:gridCol w:w="1488"/>
        <w:gridCol w:w="2"/>
        <w:gridCol w:w="1731"/>
      </w:tblGrid>
      <w:tr w14:paraId="6C21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jc w:val="center"/>
        </w:trPr>
        <w:tc>
          <w:tcPr>
            <w:tcW w:w="810" w:type="pct"/>
            <w:gridSpan w:val="2"/>
            <w:tcBorders>
              <w:tl2br w:val="nil"/>
              <w:tr2bl w:val="nil"/>
            </w:tcBorders>
            <w:vAlign w:val="center"/>
          </w:tcPr>
          <w:p w14:paraId="16EF30EA">
            <w:pPr>
              <w:adjustRightInd w:val="0"/>
              <w:snapToGrid w:val="0"/>
              <w:jc w:val="center"/>
              <w:rPr>
                <w:rFonts w:hint="eastAsia" w:ascii="Times New Roman" w:hAnsi="Times New Roman" w:eastAsia="宋体"/>
                <w:kern w:val="2"/>
                <w:sz w:val="28"/>
                <w:szCs w:val="28"/>
                <w:lang w:val="en-US" w:eastAsia="zh-CN"/>
              </w:rPr>
            </w:pPr>
            <w:r>
              <w:rPr>
                <w:rFonts w:hint="eastAsia" w:ascii="Times New Roman" w:hAnsi="Times New Roman"/>
                <w:kern w:val="2"/>
                <w:sz w:val="28"/>
                <w:szCs w:val="28"/>
                <w:lang w:val="en-US" w:eastAsia="zh-CN"/>
              </w:rPr>
              <w:t>变异分级</w:t>
            </w:r>
          </w:p>
        </w:tc>
        <w:tc>
          <w:tcPr>
            <w:tcW w:w="811" w:type="pct"/>
            <w:gridSpan w:val="2"/>
            <w:tcBorders>
              <w:tl2br w:val="nil"/>
              <w:tr2bl w:val="nil"/>
            </w:tcBorders>
            <w:vAlign w:val="center"/>
          </w:tcPr>
          <w:p w14:paraId="2A1A0B54">
            <w:pPr>
              <w:adjustRightInd w:val="0"/>
              <w:snapToGrid w:val="0"/>
              <w:jc w:val="center"/>
              <w:rPr>
                <w:rFonts w:hint="default" w:ascii="Times New Roman" w:hAnsi="Times New Roman"/>
                <w:kern w:val="2"/>
                <w:sz w:val="21"/>
                <w:szCs w:val="21"/>
                <w:lang w:val="en-US"/>
              </w:rPr>
            </w:pPr>
            <w:r>
              <w:rPr>
                <w:rFonts w:hint="eastAsia" w:ascii="Times New Roman" w:hAnsi="Times New Roman"/>
                <w:kern w:val="2"/>
                <w:sz w:val="28"/>
                <w:szCs w:val="28"/>
                <w:lang w:val="en-US" w:eastAsia="zh-CN"/>
              </w:rPr>
              <w:t>II</w:t>
            </w:r>
          </w:p>
        </w:tc>
        <w:tc>
          <w:tcPr>
            <w:tcW w:w="3378" w:type="pct"/>
            <w:gridSpan w:val="7"/>
            <w:tcBorders>
              <w:tl2br w:val="nil"/>
              <w:tr2bl w:val="nil"/>
            </w:tcBorders>
            <w:vAlign w:val="center"/>
          </w:tcPr>
          <w:p w14:paraId="1D6BE68A">
            <w:pPr>
              <w:adjustRightInd w:val="0"/>
              <w:snapToGrid w:val="0"/>
              <w:jc w:val="center"/>
              <w:rPr>
                <w:rFonts w:hint="default" w:ascii="Times New Roman" w:hAnsi="Times New Roman" w:eastAsia="宋体"/>
                <w:kern w:val="2"/>
                <w:sz w:val="21"/>
                <w:szCs w:val="21"/>
                <w:lang w:val="en-US" w:eastAsia="zh-CN"/>
              </w:rPr>
            </w:pPr>
            <w:r>
              <w:rPr>
                <w:rFonts w:hint="eastAsia" w:ascii="Times New Roman" w:hAnsi="Times New Roman"/>
                <w:kern w:val="2"/>
                <w:sz w:val="28"/>
                <w:szCs w:val="28"/>
                <w:lang w:val="en-US" w:eastAsia="zh-CN"/>
              </w:rPr>
              <w:t>有潜在的临床意义</w:t>
            </w:r>
          </w:p>
        </w:tc>
      </w:tr>
      <w:tr w14:paraId="5BE4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8" w:hRule="atLeast"/>
          <w:jc w:val="center"/>
        </w:trPr>
        <w:tc>
          <w:tcPr>
            <w:tcW w:w="810" w:type="pct"/>
            <w:gridSpan w:val="2"/>
            <w:tcBorders>
              <w:tl2br w:val="nil"/>
              <w:tr2bl w:val="nil"/>
            </w:tcBorders>
            <w:shd w:val="clear" w:color="auto" w:fill="1F497D" w:themeFill="text2"/>
            <w:vAlign w:val="center"/>
          </w:tcPr>
          <w:p w14:paraId="54FB5389">
            <w:pPr>
              <w:jc w:val="center"/>
              <w:rPr>
                <w:rFonts w:hint="eastAsia" w:ascii="Calibri" w:hAnsi="Calibri" w:cs="Times New Roman"/>
                <w:b/>
                <w:bCs/>
                <w:sz w:val="18"/>
                <w:szCs w:val="18"/>
                <w:lang w:val="en-US" w:eastAsia="zh-CN"/>
              </w:rPr>
            </w:pPr>
            <w:r>
              <w:rPr>
                <w:rFonts w:ascii="Calibri" w:hAnsi="Calibri" w:cs="Times New Roman"/>
                <w:b/>
                <w:bCs/>
                <w:sz w:val="18"/>
                <w:szCs w:val="18"/>
              </w:rPr>
              <w:t>突变基因</w:t>
            </w:r>
          </w:p>
        </w:tc>
        <w:tc>
          <w:tcPr>
            <w:tcW w:w="811" w:type="pct"/>
            <w:gridSpan w:val="2"/>
            <w:tcBorders>
              <w:tl2br w:val="nil"/>
              <w:tr2bl w:val="nil"/>
            </w:tcBorders>
            <w:shd w:val="clear" w:color="auto" w:fill="1F497D" w:themeFill="text2"/>
            <w:vAlign w:val="center"/>
          </w:tcPr>
          <w:p w14:paraId="4D92A502">
            <w:pPr>
              <w:jc w:val="center"/>
              <w:rPr>
                <w:rFonts w:ascii="Calibri" w:hAnsi="Calibri" w:cs="Times New Roman"/>
                <w:b/>
                <w:bCs/>
                <w:sz w:val="18"/>
                <w:szCs w:val="18"/>
              </w:rPr>
            </w:pPr>
            <w:r>
              <w:rPr>
                <w:rFonts w:hint="eastAsia" w:ascii="Calibri" w:hAnsi="Calibri" w:cs="Times New Roman"/>
                <w:b/>
                <w:bCs/>
                <w:sz w:val="18"/>
                <w:szCs w:val="18"/>
                <w:lang w:val="en-US" w:eastAsia="zh-CN"/>
              </w:rPr>
              <w:t>转录本</w:t>
            </w:r>
          </w:p>
        </w:tc>
        <w:tc>
          <w:tcPr>
            <w:tcW w:w="811" w:type="pct"/>
            <w:gridSpan w:val="2"/>
            <w:tcBorders>
              <w:tl2br w:val="nil"/>
              <w:tr2bl w:val="nil"/>
            </w:tcBorders>
            <w:shd w:val="clear" w:color="auto" w:fill="1F497D" w:themeFill="text2"/>
            <w:vAlign w:val="center"/>
          </w:tcPr>
          <w:p w14:paraId="515B01B0">
            <w:pPr>
              <w:jc w:val="center"/>
              <w:rPr>
                <w:rFonts w:ascii="Calibri" w:hAnsi="Calibri" w:cs="Times New Roman"/>
                <w:b/>
                <w:bCs/>
                <w:sz w:val="18"/>
                <w:szCs w:val="18"/>
              </w:rPr>
            </w:pPr>
            <w:r>
              <w:rPr>
                <w:rFonts w:hint="eastAsia" w:ascii="Calibri" w:hAnsi="Calibri" w:cs="Times New Roman"/>
                <w:b/>
                <w:bCs/>
                <w:sz w:val="18"/>
                <w:szCs w:val="18"/>
                <w:lang w:val="en-US" w:eastAsia="zh-CN"/>
              </w:rPr>
              <w:t>外显子/内含子</w:t>
            </w:r>
          </w:p>
        </w:tc>
        <w:tc>
          <w:tcPr>
            <w:tcW w:w="811" w:type="pct"/>
            <w:gridSpan w:val="2"/>
            <w:tcBorders>
              <w:tl2br w:val="nil"/>
              <w:tr2bl w:val="nil"/>
            </w:tcBorders>
            <w:shd w:val="clear" w:color="auto" w:fill="1F497D" w:themeFill="text2"/>
            <w:vAlign w:val="center"/>
          </w:tcPr>
          <w:p w14:paraId="1EEAB8DD">
            <w:pPr>
              <w:jc w:val="center"/>
              <w:rPr>
                <w:rFonts w:ascii="Calibri" w:hAnsi="Calibri" w:cs="Times New Roman"/>
                <w:b/>
                <w:bCs/>
                <w:sz w:val="18"/>
                <w:szCs w:val="18"/>
              </w:rPr>
            </w:pPr>
            <w:r>
              <w:rPr>
                <w:rFonts w:hint="eastAsia" w:ascii="Calibri" w:hAnsi="Calibri" w:cs="Times New Roman"/>
                <w:b/>
                <w:bCs/>
                <w:sz w:val="18"/>
                <w:szCs w:val="18"/>
                <w:lang w:val="en-US" w:eastAsia="zh-CN"/>
              </w:rPr>
              <w:t>核苷酸变化</w:t>
            </w:r>
          </w:p>
        </w:tc>
        <w:tc>
          <w:tcPr>
            <w:tcW w:w="811" w:type="pct"/>
            <w:gridSpan w:val="2"/>
            <w:tcBorders>
              <w:tl2br w:val="nil"/>
              <w:tr2bl w:val="nil"/>
            </w:tcBorders>
            <w:shd w:val="clear" w:color="auto" w:fill="1F497D" w:themeFill="text2"/>
            <w:vAlign w:val="center"/>
          </w:tcPr>
          <w:p w14:paraId="2CC640CF">
            <w:pPr>
              <w:jc w:val="center"/>
              <w:rPr>
                <w:rFonts w:ascii="Calibri" w:hAnsi="Calibri" w:cs="Times New Roman"/>
                <w:b/>
                <w:bCs/>
                <w:sz w:val="18"/>
                <w:szCs w:val="18"/>
              </w:rPr>
            </w:pPr>
            <w:r>
              <w:rPr>
                <w:rFonts w:hint="eastAsia" w:ascii="Calibri" w:hAnsi="Calibri" w:cs="Times New Roman"/>
                <w:b/>
                <w:bCs/>
                <w:sz w:val="18"/>
                <w:szCs w:val="18"/>
                <w:lang w:val="en-US" w:eastAsia="zh-CN"/>
              </w:rPr>
              <w:t>氨基酸变化</w:t>
            </w:r>
          </w:p>
        </w:tc>
        <w:tc>
          <w:tcPr>
            <w:tcW w:w="942" w:type="pct"/>
            <w:tcBorders>
              <w:tl2br w:val="nil"/>
              <w:tr2bl w:val="nil"/>
            </w:tcBorders>
            <w:shd w:val="clear" w:color="auto" w:fill="1F497D" w:themeFill="text2"/>
            <w:vAlign w:val="center"/>
          </w:tcPr>
          <w:p w14:paraId="1915B003">
            <w:pPr>
              <w:jc w:val="center"/>
              <w:rPr>
                <w:rFonts w:ascii="Calibri" w:hAnsi="Calibri" w:cs="Times New Roman"/>
                <w:b/>
                <w:bCs/>
                <w:sz w:val="18"/>
                <w:szCs w:val="18"/>
              </w:rPr>
            </w:pPr>
            <w:r>
              <w:rPr>
                <w:rFonts w:hint="eastAsia" w:ascii="Calibri" w:hAnsi="Calibri" w:cs="Times New Roman"/>
                <w:b/>
                <w:bCs/>
                <w:sz w:val="18"/>
                <w:szCs w:val="18"/>
                <w:lang w:val="en-US" w:eastAsia="zh-CN"/>
              </w:rPr>
              <w:t>变异</w:t>
            </w:r>
            <w:r>
              <w:rPr>
                <w:rFonts w:ascii="Calibri" w:hAnsi="Calibri" w:cs="Times New Roman"/>
                <w:b/>
                <w:bCs/>
                <w:sz w:val="18"/>
                <w:szCs w:val="18"/>
              </w:rPr>
              <w:t>丰度/</w:t>
            </w:r>
            <w:r>
              <w:rPr>
                <w:rFonts w:hint="eastAsia" w:ascii="Calibri" w:hAnsi="Calibri" w:cs="Times New Roman"/>
                <w:b/>
                <w:bCs/>
                <w:sz w:val="18"/>
                <w:szCs w:val="18"/>
                <w:lang w:val="en-US" w:eastAsia="zh-CN"/>
              </w:rPr>
              <w:t>拷贝数</w:t>
            </w:r>
          </w:p>
        </w:tc>
      </w:tr>
      <w:tr w14:paraId="4BF7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jc w:val="center"/>
        </w:trPr>
        <w:tc>
          <w:tcPr>
            <w:tcW w:w="5000" w:type="pct"/>
            <w:gridSpan w:val="11"/>
            <w:tcBorders>
              <w:tl2br w:val="nil"/>
              <w:tr2bl w:val="nil"/>
            </w:tcBorders>
            <w:vAlign w:val="center"/>
          </w:tcPr>
          <w:p w14:paraId="27AAF7AF">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variationGrading.variationGrading2</w:t>
            </w:r>
            <w:r>
              <w:rPr>
                <w:rFonts w:ascii="Times New Roman" w:hAnsi="Times New Roman"/>
                <w:kern w:val="2"/>
                <w:sz w:val="18"/>
                <w:szCs w:val="18"/>
              </w:rPr>
              <w:t xml:space="preserve"> != [] %}</w:t>
            </w:r>
          </w:p>
        </w:tc>
      </w:tr>
      <w:tr w14:paraId="45F5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3" w:hRule="atLeast"/>
          <w:jc w:val="center"/>
        </w:trPr>
        <w:tc>
          <w:tcPr>
            <w:tcW w:w="5000" w:type="pct"/>
            <w:gridSpan w:val="11"/>
            <w:tcBorders>
              <w:tl2br w:val="nil"/>
              <w:tr2bl w:val="nil"/>
            </w:tcBorders>
            <w:vAlign w:val="center"/>
          </w:tcPr>
          <w:p w14:paraId="694B8CD6">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lang w:val="en-US" w:eastAsia="zh-CN"/>
              </w:rPr>
              <w:t xml:space="preserve"> vg</w:t>
            </w:r>
            <w:r>
              <w:rPr>
                <w:rFonts w:ascii="Times New Roman" w:hAnsi="Times New Roman"/>
                <w:kern w:val="2"/>
                <w:sz w:val="18"/>
                <w:szCs w:val="18"/>
              </w:rPr>
              <w:t xml:space="preserve"> in </w:t>
            </w:r>
            <w:r>
              <w:rPr>
                <w:rFonts w:hint="eastAsia" w:ascii="Times New Roman" w:hAnsi="Times New Roman"/>
                <w:kern w:val="2"/>
                <w:sz w:val="18"/>
                <w:szCs w:val="18"/>
                <w:lang w:val="en-US" w:eastAsia="zh-CN"/>
              </w:rPr>
              <w:t>variationGrading.variationGrading2</w:t>
            </w:r>
            <w:r>
              <w:rPr>
                <w:rFonts w:ascii="Times New Roman" w:hAnsi="Times New Roman"/>
                <w:kern w:val="2"/>
                <w:sz w:val="18"/>
                <w:szCs w:val="18"/>
              </w:rPr>
              <w:t xml:space="preserve"> %}</w:t>
            </w:r>
          </w:p>
        </w:tc>
      </w:tr>
      <w:tr w14:paraId="597C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46D9D23C">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vg.flag =</w:t>
            </w:r>
            <w:r>
              <w:rPr>
                <w:rFonts w:ascii="Times New Roman" w:hAnsi="Times New Roman"/>
                <w:kern w:val="2"/>
                <w:sz w:val="18"/>
                <w:szCs w:val="18"/>
              </w:rPr>
              <w:t xml:space="preserve">= </w:t>
            </w:r>
            <w:r>
              <w:rPr>
                <w:rFonts w:hint="eastAsia" w:ascii="Times New Roman" w:hAnsi="Times New Roman"/>
                <w:kern w:val="2"/>
                <w:sz w:val="18"/>
                <w:szCs w:val="18"/>
                <w:lang w:val="en-US" w:eastAsia="zh-CN"/>
              </w:rPr>
              <w:t>False</w:t>
            </w:r>
            <w:r>
              <w:rPr>
                <w:rFonts w:ascii="Times New Roman" w:hAnsi="Times New Roman"/>
                <w:kern w:val="2"/>
                <w:sz w:val="18"/>
                <w:szCs w:val="18"/>
              </w:rPr>
              <w:t xml:space="preserve"> %}</w:t>
            </w:r>
          </w:p>
        </w:tc>
      </w:tr>
      <w:tr w14:paraId="3B61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1486" w:type="dxa"/>
            <w:tcBorders>
              <w:tl2br w:val="nil"/>
              <w:tr2bl w:val="nil"/>
            </w:tcBorders>
            <w:vAlign w:val="center"/>
          </w:tcPr>
          <w:p w14:paraId="3CBDE243">
            <w:pPr>
              <w:adjustRightInd w:val="0"/>
              <w:snapToGrid w:val="0"/>
              <w:jc w:val="center"/>
              <w:rPr>
                <w:rFonts w:hint="eastAsia" w:ascii="Times New Roman" w:hAnsi="Times New Roman"/>
                <w:kern w:val="2"/>
                <w:sz w:val="18"/>
                <w:szCs w:val="18"/>
                <w:lang w:val="en-US" w:eastAsia="zh-CN"/>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1489" w:type="dxa"/>
            <w:gridSpan w:val="2"/>
            <w:tcBorders>
              <w:tl2br w:val="nil"/>
              <w:tr2bl w:val="nil"/>
            </w:tcBorders>
            <w:vAlign w:val="center"/>
          </w:tcPr>
          <w:p w14:paraId="09A51991">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Transcript</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450DA880">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Exon</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723A7787">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cHGVS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52F30D0D">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pHGVS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733" w:type="dxa"/>
            <w:gridSpan w:val="2"/>
            <w:tcBorders>
              <w:tl2br w:val="nil"/>
              <w:tr2bl w:val="nil"/>
            </w:tcBorders>
            <w:vAlign w:val="center"/>
          </w:tcPr>
          <w:p w14:paraId="191C0556">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21E8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737EA56F">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4BE2E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1486" w:type="dxa"/>
            <w:tcBorders>
              <w:tl2br w:val="nil"/>
              <w:tr2bl w:val="nil"/>
            </w:tcBorders>
            <w:vAlign w:val="center"/>
          </w:tcPr>
          <w:p w14:paraId="4195AF8E">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5959" w:type="dxa"/>
            <w:gridSpan w:val="8"/>
            <w:tcBorders>
              <w:tl2br w:val="nil"/>
              <w:tr2bl w:val="nil"/>
            </w:tcBorders>
            <w:vAlign w:val="center"/>
          </w:tcPr>
          <w:p w14:paraId="35CC09B4">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eastAsia" w:ascii="Times New Roman" w:hAnsi="Times New Roman"/>
                <w:kern w:val="2"/>
                <w:sz w:val="18"/>
                <w:szCs w:val="18"/>
                <w:lang w:val="en-US" w:eastAsia="zh-CN"/>
              </w:rPr>
              <w:t>{{ vg.ori_variant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1733" w:type="dxa"/>
            <w:gridSpan w:val="2"/>
            <w:tcBorders>
              <w:tl2br w:val="nil"/>
              <w:tr2bl w:val="nil"/>
            </w:tcBorders>
            <w:vAlign w:val="center"/>
          </w:tcPr>
          <w:p w14:paraId="7546ED63">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4E16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62633775">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63EE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3" w:hRule="atLeast"/>
          <w:jc w:val="center"/>
        </w:trPr>
        <w:tc>
          <w:tcPr>
            <w:tcW w:w="5000" w:type="pct"/>
            <w:gridSpan w:val="11"/>
            <w:tcBorders>
              <w:tl2br w:val="nil"/>
              <w:tr2bl w:val="nil"/>
            </w:tcBorders>
            <w:vAlign w:val="center"/>
          </w:tcPr>
          <w:p w14:paraId="55728011">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4D1B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3" w:hRule="atLeast"/>
          <w:jc w:val="center"/>
        </w:trPr>
        <w:tc>
          <w:tcPr>
            <w:tcW w:w="5000" w:type="pct"/>
            <w:gridSpan w:val="11"/>
            <w:tcBorders>
              <w:tl2br w:val="nil"/>
              <w:tr2bl w:val="nil"/>
            </w:tcBorders>
            <w:vAlign w:val="center"/>
          </w:tcPr>
          <w:p w14:paraId="6EB1D557">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5479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810" w:type="pct"/>
            <w:gridSpan w:val="2"/>
            <w:tcBorders>
              <w:tl2br w:val="nil"/>
              <w:tr2bl w:val="nil"/>
            </w:tcBorders>
            <w:vAlign w:val="center"/>
          </w:tcPr>
          <w:p w14:paraId="482EE18F">
            <w:pPr>
              <w:adjustRightInd w:val="0"/>
              <w:snapToGrid w:val="0"/>
              <w:jc w:val="center"/>
              <w:rPr>
                <w:rFonts w:hint="default" w:ascii="Times New Roman" w:hAnsi="Times New Roman"/>
                <w:kern w:val="2"/>
                <w:sz w:val="18"/>
                <w:szCs w:val="18"/>
                <w:lang w:val="en-US" w:eastAsia="zh-CN"/>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14A34276">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581661A6">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4E798600">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2D5D29D2">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942" w:type="pct"/>
            <w:tcBorders>
              <w:tl2br w:val="nil"/>
              <w:tr2bl w:val="nil"/>
            </w:tcBorders>
            <w:vAlign w:val="center"/>
          </w:tcPr>
          <w:p w14:paraId="37F6570F">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r>
      <w:tr w14:paraId="4E74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jc w:val="center"/>
        </w:trPr>
        <w:tc>
          <w:tcPr>
            <w:tcW w:w="5000" w:type="pct"/>
            <w:gridSpan w:val="11"/>
            <w:tcBorders>
              <w:tl2br w:val="nil"/>
              <w:tr2bl w:val="nil"/>
            </w:tcBorders>
            <w:vAlign w:val="center"/>
          </w:tcPr>
          <w:p w14:paraId="7E36CBE0">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0F2BC3F9">
      <w:pPr>
        <w:kinsoku w:val="0"/>
        <w:overflowPunct w:val="0"/>
        <w:spacing w:before="5" w:line="160" w:lineRule="auto"/>
        <w:rPr>
          <w:rFonts w:ascii="Times New Roman" w:hAnsi="Times New Roman" w:eastAsia="微软雅黑" w:cs="Times New Roman"/>
          <w:sz w:val="20"/>
          <w:szCs w:val="28"/>
        </w:rPr>
      </w:pPr>
    </w:p>
    <w:tbl>
      <w:tblPr>
        <w:tblStyle w:val="19"/>
        <w:tblpPr w:leftFromText="180" w:rightFromText="180" w:vertAnchor="text" w:horzAnchor="page" w:tblpXSpec="center" w:tblpY="1"/>
        <w:tblOverlap w:val="never"/>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86"/>
        <w:gridCol w:w="1"/>
        <w:gridCol w:w="1488"/>
        <w:gridCol w:w="2"/>
        <w:gridCol w:w="1488"/>
        <w:gridCol w:w="2"/>
        <w:gridCol w:w="1488"/>
        <w:gridCol w:w="2"/>
        <w:gridCol w:w="1488"/>
        <w:gridCol w:w="2"/>
        <w:gridCol w:w="1731"/>
      </w:tblGrid>
      <w:tr w14:paraId="3F61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jc w:val="center"/>
        </w:trPr>
        <w:tc>
          <w:tcPr>
            <w:tcW w:w="810" w:type="pct"/>
            <w:gridSpan w:val="2"/>
            <w:tcBorders>
              <w:tl2br w:val="nil"/>
              <w:tr2bl w:val="nil"/>
            </w:tcBorders>
            <w:vAlign w:val="center"/>
          </w:tcPr>
          <w:p w14:paraId="700748B8">
            <w:pPr>
              <w:adjustRightInd w:val="0"/>
              <w:snapToGrid w:val="0"/>
              <w:jc w:val="center"/>
              <w:rPr>
                <w:rFonts w:hint="eastAsia" w:ascii="Times New Roman" w:hAnsi="Times New Roman" w:eastAsia="宋体"/>
                <w:kern w:val="2"/>
                <w:sz w:val="28"/>
                <w:szCs w:val="28"/>
                <w:lang w:val="en-US" w:eastAsia="zh-CN"/>
              </w:rPr>
            </w:pPr>
            <w:r>
              <w:rPr>
                <w:rFonts w:hint="eastAsia" w:ascii="Times New Roman" w:hAnsi="Times New Roman"/>
                <w:kern w:val="2"/>
                <w:sz w:val="28"/>
                <w:szCs w:val="28"/>
                <w:lang w:val="en-US" w:eastAsia="zh-CN"/>
              </w:rPr>
              <w:t>变异分级</w:t>
            </w:r>
          </w:p>
        </w:tc>
        <w:tc>
          <w:tcPr>
            <w:tcW w:w="811" w:type="pct"/>
            <w:gridSpan w:val="2"/>
            <w:tcBorders>
              <w:tl2br w:val="nil"/>
              <w:tr2bl w:val="nil"/>
            </w:tcBorders>
            <w:vAlign w:val="center"/>
          </w:tcPr>
          <w:p w14:paraId="72FB4D11">
            <w:pPr>
              <w:adjustRightInd w:val="0"/>
              <w:snapToGrid w:val="0"/>
              <w:jc w:val="center"/>
              <w:rPr>
                <w:rFonts w:hint="default" w:ascii="Times New Roman" w:hAnsi="Times New Roman"/>
                <w:kern w:val="2"/>
                <w:sz w:val="21"/>
                <w:szCs w:val="21"/>
                <w:lang w:val="en-US"/>
              </w:rPr>
            </w:pPr>
            <w:r>
              <w:rPr>
                <w:rFonts w:hint="eastAsia" w:ascii="Times New Roman" w:hAnsi="Times New Roman"/>
                <w:kern w:val="2"/>
                <w:sz w:val="28"/>
                <w:szCs w:val="28"/>
                <w:lang w:val="en-US" w:eastAsia="zh-CN"/>
              </w:rPr>
              <w:t>III&amp;IV</w:t>
            </w:r>
          </w:p>
        </w:tc>
        <w:tc>
          <w:tcPr>
            <w:tcW w:w="3378" w:type="pct"/>
            <w:gridSpan w:val="7"/>
            <w:tcBorders>
              <w:tl2br w:val="nil"/>
              <w:tr2bl w:val="nil"/>
            </w:tcBorders>
            <w:vAlign w:val="center"/>
          </w:tcPr>
          <w:p w14:paraId="51F7518C">
            <w:pPr>
              <w:adjustRightInd w:val="0"/>
              <w:snapToGrid w:val="0"/>
              <w:jc w:val="center"/>
              <w:rPr>
                <w:rFonts w:hint="default" w:ascii="Times New Roman" w:hAnsi="Times New Roman" w:eastAsia="宋体"/>
                <w:kern w:val="2"/>
                <w:sz w:val="21"/>
                <w:szCs w:val="21"/>
                <w:lang w:val="en-US" w:eastAsia="zh-CN"/>
              </w:rPr>
            </w:pPr>
            <w:r>
              <w:rPr>
                <w:rFonts w:hint="eastAsia" w:ascii="Times New Roman" w:hAnsi="Times New Roman"/>
                <w:kern w:val="2"/>
                <w:sz w:val="28"/>
                <w:szCs w:val="28"/>
                <w:lang w:val="en-US" w:eastAsia="zh-CN"/>
              </w:rPr>
              <w:t>临床意义不明或已知无临床意义</w:t>
            </w:r>
          </w:p>
        </w:tc>
      </w:tr>
      <w:tr w14:paraId="1D94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8" w:hRule="atLeast"/>
          <w:jc w:val="center"/>
        </w:trPr>
        <w:tc>
          <w:tcPr>
            <w:tcW w:w="810" w:type="pct"/>
            <w:gridSpan w:val="2"/>
            <w:tcBorders>
              <w:tl2br w:val="nil"/>
              <w:tr2bl w:val="nil"/>
            </w:tcBorders>
            <w:shd w:val="clear" w:color="auto" w:fill="1F497D" w:themeFill="text2"/>
            <w:vAlign w:val="center"/>
          </w:tcPr>
          <w:p w14:paraId="637B7BC0">
            <w:pPr>
              <w:jc w:val="center"/>
              <w:rPr>
                <w:rFonts w:hint="eastAsia" w:ascii="Calibri" w:hAnsi="Calibri" w:cs="Times New Roman"/>
                <w:b/>
                <w:bCs/>
                <w:sz w:val="18"/>
                <w:szCs w:val="18"/>
                <w:lang w:val="en-US" w:eastAsia="zh-CN"/>
              </w:rPr>
            </w:pPr>
            <w:r>
              <w:rPr>
                <w:rFonts w:ascii="Calibri" w:hAnsi="Calibri" w:cs="Times New Roman"/>
                <w:b/>
                <w:bCs/>
                <w:sz w:val="18"/>
                <w:szCs w:val="18"/>
              </w:rPr>
              <w:t>突变基因</w:t>
            </w:r>
          </w:p>
        </w:tc>
        <w:tc>
          <w:tcPr>
            <w:tcW w:w="811" w:type="pct"/>
            <w:gridSpan w:val="2"/>
            <w:tcBorders>
              <w:tl2br w:val="nil"/>
              <w:tr2bl w:val="nil"/>
            </w:tcBorders>
            <w:shd w:val="clear" w:color="auto" w:fill="1F497D" w:themeFill="text2"/>
            <w:vAlign w:val="center"/>
          </w:tcPr>
          <w:p w14:paraId="2053EFA7">
            <w:pPr>
              <w:jc w:val="center"/>
              <w:rPr>
                <w:rFonts w:ascii="Calibri" w:hAnsi="Calibri" w:cs="Times New Roman"/>
                <w:b/>
                <w:bCs/>
                <w:sz w:val="18"/>
                <w:szCs w:val="18"/>
              </w:rPr>
            </w:pPr>
            <w:r>
              <w:rPr>
                <w:rFonts w:hint="eastAsia" w:ascii="Calibri" w:hAnsi="Calibri" w:cs="Times New Roman"/>
                <w:b/>
                <w:bCs/>
                <w:sz w:val="18"/>
                <w:szCs w:val="18"/>
                <w:lang w:val="en-US" w:eastAsia="zh-CN"/>
              </w:rPr>
              <w:t>转录本</w:t>
            </w:r>
          </w:p>
        </w:tc>
        <w:tc>
          <w:tcPr>
            <w:tcW w:w="811" w:type="pct"/>
            <w:gridSpan w:val="2"/>
            <w:tcBorders>
              <w:tl2br w:val="nil"/>
              <w:tr2bl w:val="nil"/>
            </w:tcBorders>
            <w:shd w:val="clear" w:color="auto" w:fill="1F497D" w:themeFill="text2"/>
            <w:vAlign w:val="center"/>
          </w:tcPr>
          <w:p w14:paraId="4541C6E0">
            <w:pPr>
              <w:jc w:val="center"/>
              <w:rPr>
                <w:rFonts w:ascii="Calibri" w:hAnsi="Calibri" w:cs="Times New Roman"/>
                <w:b/>
                <w:bCs/>
                <w:sz w:val="18"/>
                <w:szCs w:val="18"/>
              </w:rPr>
            </w:pPr>
            <w:r>
              <w:rPr>
                <w:rFonts w:hint="eastAsia" w:ascii="Calibri" w:hAnsi="Calibri" w:cs="Times New Roman"/>
                <w:b/>
                <w:bCs/>
                <w:sz w:val="18"/>
                <w:szCs w:val="18"/>
                <w:lang w:val="en-US" w:eastAsia="zh-CN"/>
              </w:rPr>
              <w:t>外显子/内含子</w:t>
            </w:r>
          </w:p>
        </w:tc>
        <w:tc>
          <w:tcPr>
            <w:tcW w:w="811" w:type="pct"/>
            <w:gridSpan w:val="2"/>
            <w:tcBorders>
              <w:tl2br w:val="nil"/>
              <w:tr2bl w:val="nil"/>
            </w:tcBorders>
            <w:shd w:val="clear" w:color="auto" w:fill="1F497D" w:themeFill="text2"/>
            <w:vAlign w:val="center"/>
          </w:tcPr>
          <w:p w14:paraId="7B25E6F1">
            <w:pPr>
              <w:jc w:val="center"/>
              <w:rPr>
                <w:rFonts w:ascii="Calibri" w:hAnsi="Calibri" w:cs="Times New Roman"/>
                <w:b/>
                <w:bCs/>
                <w:sz w:val="18"/>
                <w:szCs w:val="18"/>
              </w:rPr>
            </w:pPr>
            <w:r>
              <w:rPr>
                <w:rFonts w:hint="eastAsia" w:ascii="Calibri" w:hAnsi="Calibri" w:cs="Times New Roman"/>
                <w:b/>
                <w:bCs/>
                <w:sz w:val="18"/>
                <w:szCs w:val="18"/>
                <w:lang w:val="en-US" w:eastAsia="zh-CN"/>
              </w:rPr>
              <w:t>核苷酸变化</w:t>
            </w:r>
          </w:p>
        </w:tc>
        <w:tc>
          <w:tcPr>
            <w:tcW w:w="811" w:type="pct"/>
            <w:gridSpan w:val="2"/>
            <w:tcBorders>
              <w:tl2br w:val="nil"/>
              <w:tr2bl w:val="nil"/>
            </w:tcBorders>
            <w:shd w:val="clear" w:color="auto" w:fill="1F497D" w:themeFill="text2"/>
            <w:vAlign w:val="center"/>
          </w:tcPr>
          <w:p w14:paraId="4D83D0A4">
            <w:pPr>
              <w:jc w:val="center"/>
              <w:rPr>
                <w:rFonts w:ascii="Calibri" w:hAnsi="Calibri" w:cs="Times New Roman"/>
                <w:b/>
                <w:bCs/>
                <w:sz w:val="18"/>
                <w:szCs w:val="18"/>
              </w:rPr>
            </w:pPr>
            <w:r>
              <w:rPr>
                <w:rFonts w:hint="eastAsia" w:ascii="Calibri" w:hAnsi="Calibri" w:cs="Times New Roman"/>
                <w:b/>
                <w:bCs/>
                <w:sz w:val="18"/>
                <w:szCs w:val="18"/>
                <w:lang w:val="en-US" w:eastAsia="zh-CN"/>
              </w:rPr>
              <w:t>氨基酸变化</w:t>
            </w:r>
          </w:p>
        </w:tc>
        <w:tc>
          <w:tcPr>
            <w:tcW w:w="942" w:type="pct"/>
            <w:tcBorders>
              <w:tl2br w:val="nil"/>
              <w:tr2bl w:val="nil"/>
            </w:tcBorders>
            <w:shd w:val="clear" w:color="auto" w:fill="1F497D" w:themeFill="text2"/>
            <w:vAlign w:val="center"/>
          </w:tcPr>
          <w:p w14:paraId="0B4061BB">
            <w:pPr>
              <w:jc w:val="center"/>
              <w:rPr>
                <w:rFonts w:ascii="Calibri" w:hAnsi="Calibri" w:cs="Times New Roman"/>
                <w:b/>
                <w:bCs/>
                <w:sz w:val="18"/>
                <w:szCs w:val="18"/>
              </w:rPr>
            </w:pPr>
            <w:r>
              <w:rPr>
                <w:rFonts w:hint="eastAsia" w:ascii="Calibri" w:hAnsi="Calibri" w:cs="Times New Roman"/>
                <w:b/>
                <w:bCs/>
                <w:sz w:val="18"/>
                <w:szCs w:val="18"/>
                <w:lang w:val="en-US" w:eastAsia="zh-CN"/>
              </w:rPr>
              <w:t>变异</w:t>
            </w:r>
            <w:r>
              <w:rPr>
                <w:rFonts w:ascii="Calibri" w:hAnsi="Calibri" w:cs="Times New Roman"/>
                <w:b/>
                <w:bCs/>
                <w:sz w:val="18"/>
                <w:szCs w:val="18"/>
              </w:rPr>
              <w:t>丰度/</w:t>
            </w:r>
            <w:r>
              <w:rPr>
                <w:rFonts w:hint="eastAsia" w:ascii="Calibri" w:hAnsi="Calibri" w:cs="Times New Roman"/>
                <w:b/>
                <w:bCs/>
                <w:sz w:val="18"/>
                <w:szCs w:val="18"/>
                <w:lang w:val="en-US" w:eastAsia="zh-CN"/>
              </w:rPr>
              <w:t>拷贝数</w:t>
            </w:r>
          </w:p>
        </w:tc>
      </w:tr>
      <w:tr w14:paraId="3B0E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jc w:val="center"/>
        </w:trPr>
        <w:tc>
          <w:tcPr>
            <w:tcW w:w="5000" w:type="pct"/>
            <w:gridSpan w:val="11"/>
            <w:tcBorders>
              <w:tl2br w:val="nil"/>
              <w:tr2bl w:val="nil"/>
            </w:tcBorders>
            <w:vAlign w:val="center"/>
          </w:tcPr>
          <w:p w14:paraId="09E3BB5E">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variationGrading.variationGrading3</w:t>
            </w:r>
            <w:r>
              <w:rPr>
                <w:rFonts w:ascii="Times New Roman" w:hAnsi="Times New Roman"/>
                <w:kern w:val="2"/>
                <w:sz w:val="18"/>
                <w:szCs w:val="18"/>
              </w:rPr>
              <w:t xml:space="preserve"> != [] %}</w:t>
            </w:r>
          </w:p>
        </w:tc>
      </w:tr>
      <w:tr w14:paraId="28BD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3" w:hRule="atLeast"/>
          <w:jc w:val="center"/>
        </w:trPr>
        <w:tc>
          <w:tcPr>
            <w:tcW w:w="5000" w:type="pct"/>
            <w:gridSpan w:val="11"/>
            <w:tcBorders>
              <w:tl2br w:val="nil"/>
              <w:tr2bl w:val="nil"/>
            </w:tcBorders>
            <w:vAlign w:val="center"/>
          </w:tcPr>
          <w:p w14:paraId="0D238E22">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lang w:val="en-US" w:eastAsia="zh-CN"/>
              </w:rPr>
              <w:t xml:space="preserve"> vg</w:t>
            </w:r>
            <w:r>
              <w:rPr>
                <w:rFonts w:ascii="Times New Roman" w:hAnsi="Times New Roman"/>
                <w:kern w:val="2"/>
                <w:sz w:val="18"/>
                <w:szCs w:val="18"/>
              </w:rPr>
              <w:t xml:space="preserve"> in </w:t>
            </w:r>
            <w:r>
              <w:rPr>
                <w:rFonts w:hint="eastAsia" w:ascii="Times New Roman" w:hAnsi="Times New Roman"/>
                <w:kern w:val="2"/>
                <w:sz w:val="18"/>
                <w:szCs w:val="18"/>
                <w:lang w:val="en-US" w:eastAsia="zh-CN"/>
              </w:rPr>
              <w:t>variationGrading.variationGrading3</w:t>
            </w:r>
            <w:r>
              <w:rPr>
                <w:rFonts w:ascii="Times New Roman" w:hAnsi="Times New Roman"/>
                <w:kern w:val="2"/>
                <w:sz w:val="18"/>
                <w:szCs w:val="18"/>
              </w:rPr>
              <w:t xml:space="preserve"> %}</w:t>
            </w:r>
          </w:p>
        </w:tc>
      </w:tr>
      <w:tr w14:paraId="1908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3B457606">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lang w:val="en-US" w:eastAsia="zh-CN"/>
              </w:rPr>
              <w:t xml:space="preserve"> vg.flag =</w:t>
            </w:r>
            <w:r>
              <w:rPr>
                <w:rFonts w:ascii="Times New Roman" w:hAnsi="Times New Roman"/>
                <w:kern w:val="2"/>
                <w:sz w:val="18"/>
                <w:szCs w:val="18"/>
              </w:rPr>
              <w:t xml:space="preserve">= </w:t>
            </w:r>
            <w:r>
              <w:rPr>
                <w:rFonts w:hint="eastAsia" w:ascii="Times New Roman" w:hAnsi="Times New Roman"/>
                <w:kern w:val="2"/>
                <w:sz w:val="18"/>
                <w:szCs w:val="18"/>
                <w:lang w:val="en-US" w:eastAsia="zh-CN"/>
              </w:rPr>
              <w:t>False</w:t>
            </w:r>
            <w:r>
              <w:rPr>
                <w:rFonts w:ascii="Times New Roman" w:hAnsi="Times New Roman"/>
                <w:kern w:val="2"/>
                <w:sz w:val="18"/>
                <w:szCs w:val="18"/>
              </w:rPr>
              <w:t xml:space="preserve"> %}</w:t>
            </w:r>
          </w:p>
        </w:tc>
      </w:tr>
      <w:tr w14:paraId="0265D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1486" w:type="dxa"/>
            <w:tcBorders>
              <w:tl2br w:val="nil"/>
              <w:tr2bl w:val="nil"/>
            </w:tcBorders>
            <w:vAlign w:val="center"/>
          </w:tcPr>
          <w:p w14:paraId="72F2B4F9">
            <w:pPr>
              <w:adjustRightInd w:val="0"/>
              <w:snapToGrid w:val="0"/>
              <w:jc w:val="center"/>
              <w:rPr>
                <w:rFonts w:hint="eastAsia" w:ascii="Times New Roman" w:hAnsi="Times New Roman"/>
                <w:kern w:val="2"/>
                <w:sz w:val="18"/>
                <w:szCs w:val="18"/>
                <w:lang w:val="en-US" w:eastAsia="zh-CN"/>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1489" w:type="dxa"/>
            <w:gridSpan w:val="2"/>
            <w:tcBorders>
              <w:tl2br w:val="nil"/>
              <w:tr2bl w:val="nil"/>
            </w:tcBorders>
            <w:vAlign w:val="center"/>
          </w:tcPr>
          <w:p w14:paraId="61159AF9">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Transcript</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626E598E">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Exon</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4D82AF42">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cHGVS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490" w:type="dxa"/>
            <w:gridSpan w:val="2"/>
            <w:tcBorders>
              <w:tl2br w:val="nil"/>
              <w:tr2bl w:val="nil"/>
            </w:tcBorders>
            <w:vAlign w:val="center"/>
          </w:tcPr>
          <w:p w14:paraId="2CDCCBC2">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w:t>
            </w:r>
            <w:r>
              <w:rPr>
                <w:rFonts w:hint="eastAsia" w:ascii="Times New Roman" w:hAnsi="Times New Roman"/>
                <w:kern w:val="2"/>
                <w:sz w:val="18"/>
                <w:szCs w:val="18"/>
              </w:rPr>
              <w:t>pHGVS</w:t>
            </w:r>
            <w:r>
              <w:rPr>
                <w:rFonts w:hint="eastAsia" w:ascii="Times New Roman" w:hAnsi="Times New Roman"/>
                <w:kern w:val="2"/>
                <w:sz w:val="18"/>
                <w:szCs w:val="18"/>
                <w:lang w:val="en-US" w:eastAsia="zh-CN"/>
              </w:rPr>
              <w:t xml:space="preserve"> </w:t>
            </w:r>
            <w:r>
              <w:rPr>
                <w:rFonts w:ascii="Times New Roman" w:hAnsi="Times New Roman"/>
                <w:kern w:val="2"/>
                <w:sz w:val="18"/>
                <w:szCs w:val="18"/>
              </w:rPr>
              <w:t>}}</w:t>
            </w:r>
          </w:p>
        </w:tc>
        <w:tc>
          <w:tcPr>
            <w:tcW w:w="1733" w:type="dxa"/>
            <w:gridSpan w:val="2"/>
            <w:tcBorders>
              <w:tl2br w:val="nil"/>
              <w:tr2bl w:val="nil"/>
            </w:tcBorders>
            <w:vAlign w:val="center"/>
          </w:tcPr>
          <w:p w14:paraId="46D87FF9">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4F02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08C42325">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4AFB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1486" w:type="dxa"/>
            <w:tcBorders>
              <w:tl2br w:val="nil"/>
              <w:tr2bl w:val="nil"/>
            </w:tcBorders>
            <w:vAlign w:val="center"/>
          </w:tcPr>
          <w:p w14:paraId="39F54399">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.gene }}</w:t>
            </w:r>
          </w:p>
        </w:tc>
        <w:tc>
          <w:tcPr>
            <w:tcW w:w="5959" w:type="dxa"/>
            <w:gridSpan w:val="8"/>
            <w:tcBorders>
              <w:tl2br w:val="nil"/>
              <w:tr2bl w:val="nil"/>
            </w:tcBorders>
            <w:vAlign w:val="center"/>
          </w:tcPr>
          <w:p w14:paraId="4887F471">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eastAsia" w:ascii="Times New Roman" w:hAnsi="Times New Roman"/>
                <w:kern w:val="2"/>
                <w:sz w:val="18"/>
                <w:szCs w:val="18"/>
                <w:lang w:val="en-US" w:eastAsia="zh-CN"/>
              </w:rPr>
              <w:t>{{ vg.ori_variant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1733" w:type="dxa"/>
            <w:gridSpan w:val="2"/>
            <w:tcBorders>
              <w:tl2br w:val="nil"/>
              <w:tr2bl w:val="nil"/>
            </w:tcBorders>
            <w:vAlign w:val="center"/>
          </w:tcPr>
          <w:p w14:paraId="39218F18">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lang w:val="en-US" w:eastAsia="zh-CN"/>
              </w:rPr>
              <w:t>vg</w:t>
            </w:r>
            <w:r>
              <w:rPr>
                <w:rFonts w:ascii="Times New Roman" w:hAnsi="Times New Roman"/>
                <w:kern w:val="2"/>
                <w:sz w:val="18"/>
                <w:szCs w:val="18"/>
              </w:rPr>
              <w:t>.mutFreq }}</w:t>
            </w:r>
          </w:p>
        </w:tc>
      </w:tr>
      <w:tr w14:paraId="7EDD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9178" w:type="dxa"/>
            <w:gridSpan w:val="11"/>
            <w:tcBorders>
              <w:tl2br w:val="nil"/>
              <w:tr2bl w:val="nil"/>
            </w:tcBorders>
            <w:vAlign w:val="center"/>
          </w:tcPr>
          <w:p w14:paraId="5B8FE24D">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015D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3" w:hRule="atLeast"/>
          <w:jc w:val="center"/>
        </w:trPr>
        <w:tc>
          <w:tcPr>
            <w:tcW w:w="5000" w:type="pct"/>
            <w:gridSpan w:val="11"/>
            <w:tcBorders>
              <w:tl2br w:val="nil"/>
              <w:tr2bl w:val="nil"/>
            </w:tcBorders>
            <w:vAlign w:val="center"/>
          </w:tcPr>
          <w:p w14:paraId="2CB2F03B">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7935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3" w:hRule="atLeast"/>
          <w:jc w:val="center"/>
        </w:trPr>
        <w:tc>
          <w:tcPr>
            <w:tcW w:w="5000" w:type="pct"/>
            <w:gridSpan w:val="11"/>
            <w:tcBorders>
              <w:tl2br w:val="nil"/>
              <w:tr2bl w:val="nil"/>
            </w:tcBorders>
            <w:vAlign w:val="center"/>
          </w:tcPr>
          <w:p w14:paraId="5B2C8775">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4D22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810" w:type="pct"/>
            <w:gridSpan w:val="2"/>
            <w:tcBorders>
              <w:tl2br w:val="nil"/>
              <w:tr2bl w:val="nil"/>
            </w:tcBorders>
            <w:vAlign w:val="center"/>
          </w:tcPr>
          <w:p w14:paraId="327D7808">
            <w:pPr>
              <w:adjustRightInd w:val="0"/>
              <w:snapToGrid w:val="0"/>
              <w:jc w:val="center"/>
              <w:rPr>
                <w:rFonts w:hint="default" w:ascii="Times New Roman" w:hAnsi="Times New Roman"/>
                <w:kern w:val="2"/>
                <w:sz w:val="18"/>
                <w:szCs w:val="18"/>
                <w:lang w:val="en-US" w:eastAsia="zh-CN"/>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52714561">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3EB770C2">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3433C6CA">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811" w:type="pct"/>
            <w:gridSpan w:val="2"/>
            <w:tcBorders>
              <w:tl2br w:val="nil"/>
              <w:tr2bl w:val="nil"/>
            </w:tcBorders>
            <w:vAlign w:val="center"/>
          </w:tcPr>
          <w:p w14:paraId="6E4CE732">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c>
          <w:tcPr>
            <w:tcW w:w="942" w:type="pct"/>
            <w:tcBorders>
              <w:tl2br w:val="nil"/>
              <w:tr2bl w:val="nil"/>
            </w:tcBorders>
            <w:vAlign w:val="center"/>
          </w:tcPr>
          <w:p w14:paraId="3D0AB5DB">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w:t>
            </w:r>
          </w:p>
        </w:tc>
      </w:tr>
      <w:tr w14:paraId="33AF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jc w:val="center"/>
        </w:trPr>
        <w:tc>
          <w:tcPr>
            <w:tcW w:w="5000" w:type="pct"/>
            <w:gridSpan w:val="11"/>
            <w:tcBorders>
              <w:tl2br w:val="nil"/>
              <w:tr2bl w:val="nil"/>
            </w:tcBorders>
            <w:vAlign w:val="center"/>
          </w:tcPr>
          <w:p w14:paraId="3F7415E4">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6FC9F841">
      <w:pPr>
        <w:pStyle w:val="10"/>
        <w:spacing w:before="7"/>
        <w:rPr>
          <w:rFonts w:ascii="Times New Roman" w:hAnsi="Times New Roman" w:eastAsia="微软雅黑" w:cs="Times New Roman"/>
        </w:rPr>
      </w:pPr>
    </w:p>
    <w:p w14:paraId="6522A516">
      <w:pPr>
        <w:pStyle w:val="8"/>
        <w:keepNext w:val="0"/>
        <w:keepLines w:val="0"/>
        <w:pageBreakBefore w:val="0"/>
        <w:kinsoku/>
        <w:wordWrap/>
        <w:overflowPunct/>
        <w:topLinePunct w:val="0"/>
        <w:autoSpaceDE/>
        <w:autoSpaceDN/>
        <w:bidi w:val="0"/>
        <w:spacing w:line="240" w:lineRule="auto"/>
        <w:jc w:val="both"/>
        <w:textAlignment w:val="auto"/>
        <w:rPr>
          <w:rFonts w:ascii="Times New Roman" w:hAnsi="Times New Roman" w:cs="Times New Roman"/>
        </w:rPr>
      </w:pPr>
      <w:bookmarkStart w:id="3" w:name="_Toc534637496"/>
      <w:bookmarkStart w:id="4" w:name="_Toc526855035"/>
      <w:bookmarkStart w:id="5" w:name="_Toc527112383"/>
      <w:r>
        <w:rPr>
          <w:rFonts w:ascii="Times New Roman" w:hAnsi="Times New Roman" w:cs="Times New Roman"/>
        </w:rPr>
        <w:t>注：</w:t>
      </w:r>
    </w:p>
    <w:p w14:paraId="75E27B95">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rPr>
      </w:pPr>
      <w:r>
        <w:rPr>
          <w:rFonts w:hint="default" w:ascii="Times New Roman" w:hAnsi="Times New Roman" w:cs="Times New Roman"/>
          <w:sz w:val="18"/>
          <w:szCs w:val="18"/>
          <w:lang w:val="en-US" w:eastAsia="zh-CN"/>
        </w:rPr>
        <w:t>变异</w:t>
      </w:r>
      <w:r>
        <w:rPr>
          <w:rFonts w:hint="default" w:ascii="Times New Roman" w:hAnsi="Times New Roman" w:cs="Times New Roman"/>
          <w:sz w:val="18"/>
          <w:szCs w:val="18"/>
        </w:rPr>
        <w:t>丰度：在某位点产生突变的等位基因在该位点全部等位基因中所占比率。本试剂的检测下限为1%</w:t>
      </w:r>
      <w:r>
        <w:rPr>
          <w:rFonts w:hint="default" w:ascii="Times New Roman" w:hAnsi="Times New Roman" w:cs="Times New Roman"/>
          <w:sz w:val="18"/>
          <w:szCs w:val="18"/>
          <w:lang w:val="en-US" w:eastAsia="zh-CN"/>
        </w:rPr>
        <w:t>变异</w:t>
      </w:r>
      <w:r>
        <w:rPr>
          <w:rFonts w:hint="default" w:ascii="Times New Roman" w:hAnsi="Times New Roman" w:cs="Times New Roman"/>
          <w:sz w:val="18"/>
          <w:szCs w:val="18"/>
        </w:rPr>
        <w:t>丰度，对于低于1%丰度的突变位点，验证后报出。</w:t>
      </w:r>
    </w:p>
    <w:p w14:paraId="714BD210">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拷贝数：是指某⼀种基因或某⼀段特定的DNA序列在单倍体基因组中出现的数目</w:t>
      </w:r>
      <w:r>
        <w:rPr>
          <w:rFonts w:hint="eastAsia" w:cs="Times New Roman"/>
          <w:sz w:val="18"/>
          <w:szCs w:val="18"/>
          <w:lang w:val="en-US" w:eastAsia="zh-CN"/>
        </w:rPr>
        <w:t>；</w:t>
      </w:r>
    </w:p>
    <w:p w14:paraId="3285A203">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检测结果与采集的标本病变（靶组织）比例有关，靶组织含量过低可能出现假阴性；</w:t>
      </w:r>
    </w:p>
    <w:p w14:paraId="53569BD9">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本报告仅对所检测标本负责，检测结果的解释及建议基于当前的科学研究水平，仅供临床医师参考，勿作他用；</w:t>
      </w:r>
    </w:p>
    <w:p w14:paraId="235A0133">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本检测只检测60个基因的特定突变，不排除受检者携带检测列表以外的突变位点；</w:t>
      </w:r>
    </w:p>
    <w:p w14:paraId="1D8D44B2">
      <w:pPr>
        <w:pStyle w:val="41"/>
        <w:keepNext w:val="0"/>
        <w:keepLines w:val="0"/>
        <w:pageBreakBefore w:val="0"/>
        <w:numPr>
          <w:ilvl w:val="0"/>
          <w:numId w:val="1"/>
        </w:numPr>
        <w:kinsoku/>
        <w:wordWrap/>
        <w:overflowPunct/>
        <w:topLinePunct w:val="0"/>
        <w:autoSpaceDE/>
        <w:autoSpaceDN/>
        <w:bidi w:val="0"/>
        <w:adjustRightInd w:val="0"/>
        <w:snapToGrid w:val="0"/>
        <w:spacing w:line="240" w:lineRule="auto"/>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合并III类报出）。</w:t>
      </w:r>
    </w:p>
    <w:p w14:paraId="75CBE308">
      <w:pPr>
        <w:pStyle w:val="10"/>
        <w:rPr>
          <w:rFonts w:hint="default" w:ascii="Times New Roman" w:hAnsi="Times New Roman" w:eastAsia="微软雅黑" w:cs="Times New Roman"/>
          <w:sz w:val="20"/>
        </w:rPr>
      </w:pPr>
    </w:p>
    <w:p w14:paraId="253462D9">
      <w:pPr>
        <w:pStyle w:val="10"/>
        <w:rPr>
          <w:rFonts w:ascii="Times New Roman" w:hAnsi="Times New Roman" w:eastAsia="微软雅黑" w:cs="Times New Roman"/>
          <w:sz w:val="20"/>
        </w:rPr>
      </w:pPr>
    </w:p>
    <w:p w14:paraId="72C95EBD">
      <w:pPr>
        <w:pStyle w:val="10"/>
        <w:rPr>
          <w:rFonts w:ascii="Times New Roman" w:hAnsi="Times New Roman" w:eastAsia="微软雅黑" w:cs="Times New Roman"/>
          <w:sz w:val="20"/>
        </w:rPr>
      </w:pPr>
    </w:p>
    <w:p w14:paraId="5075AFF8">
      <w:pPr>
        <w:ind w:right="105" w:firstLine="110" w:firstLineChars="50"/>
        <w:jc w:val="center"/>
        <w:rPr>
          <w:rFonts w:ascii="Times New Roman" w:hAnsi="Times New Roman" w:eastAsia="微软雅黑" w:cs="Times New Roman"/>
        </w:rPr>
      </w:pPr>
      <w:r>
        <w:t>检测师：</w:t>
      </w:r>
      <w:r>
        <w:rPr>
          <w:rFonts w:ascii="Times New Roman" w:hAnsi="Times New Roman" w:eastAsia="微软雅黑" w:cs="Times New Roman"/>
        </w:rPr>
        <w:t xml:space="preserve">   </w:t>
      </w:r>
      <w:r>
        <w:rPr>
          <w:rFonts w:ascii="Times New Roman" w:hAnsi="Times New Roman" w:eastAsia="微软雅黑" w:cs="Times New Roman"/>
          <w:sz w:val="24"/>
          <w:szCs w:val="24"/>
        </w:rPr>
        <w:t xml:space="preserve"> </w:t>
      </w:r>
      <w:r>
        <w:rPr>
          <w:rFonts w:ascii="Times New Roman" w:hAnsi="Times New Roman" w:eastAsia="微软雅黑" w:cs="Times New Roman"/>
        </w:rPr>
        <w:t xml:space="preserve">                     </w:t>
      </w:r>
      <w:r>
        <w:t>报告审核医师：</w:t>
      </w:r>
      <w:r>
        <w:rPr>
          <w:rFonts w:ascii="Times New Roman" w:hAnsi="Times New Roman" w:eastAsia="微软雅黑" w:cs="Times New Roman"/>
        </w:rPr>
        <w:t xml:space="preserve"> </w:t>
      </w:r>
    </w:p>
    <w:p w14:paraId="669AAF11">
      <w:pPr>
        <w:ind w:right="105" w:firstLine="110" w:firstLineChars="50"/>
        <w:rPr>
          <w:rFonts w:ascii="Times New Roman" w:hAnsi="Times New Roman" w:eastAsia="微软雅黑" w:cs="Times New Roman"/>
        </w:rPr>
      </w:pPr>
      <w:r>
        <w:rPr>
          <w:rFonts w:ascii="Times New Roman" w:hAnsi="Times New Roman" w:eastAsia="微软雅黑" w:cs="Times New Roman"/>
        </w:rPr>
        <w:t xml:space="preserve">   </w:t>
      </w:r>
    </w:p>
    <w:p w14:paraId="122B6533">
      <w:pPr>
        <w:wordWrap w:val="0"/>
        <w:ind w:right="105" w:firstLine="110" w:firstLineChars="50"/>
        <w:jc w:val="center"/>
        <w:rPr>
          <w:rFonts w:ascii="Times New Roman" w:hAnsi="Times New Roman" w:eastAsia="微软雅黑" w:cs="Times New Roman"/>
        </w:rPr>
      </w:pPr>
      <w:r>
        <w:rPr>
          <w:rFonts w:ascii="Times New Roman" w:hAnsi="Times New Roman" w:eastAsia="微软雅黑" w:cs="Times New Roman"/>
        </w:rPr>
        <w:t xml:space="preserve">                                </w:t>
      </w:r>
      <w:r>
        <w:rPr>
          <w:rFonts w:hint="eastAsia" w:ascii="Times New Roman" w:hAnsi="Times New Roman" w:eastAsia="微软雅黑" w:cs="Times New Roman"/>
        </w:rPr>
        <w:t xml:space="preserve">       </w:t>
      </w:r>
      <w:r>
        <w:rPr>
          <w:rFonts w:ascii="Times New Roman" w:hAnsi="Times New Roman" w:eastAsia="微软雅黑" w:cs="Times New Roman"/>
        </w:rPr>
        <w:t xml:space="preserve">          </w:t>
      </w:r>
      <w:r>
        <w:t>报 告 日 期：</w:t>
      </w:r>
      <w:r>
        <w:rPr>
          <w:rFonts w:ascii="Times New Roman" w:hAnsi="Times New Roman" w:cs="Times New Roman"/>
          <w:kern w:val="2"/>
          <w:sz w:val="24"/>
          <w:szCs w:val="24"/>
        </w:rPr>
        <w:t>{{ reportdate }}</w:t>
      </w:r>
    </w:p>
    <w:p w14:paraId="3E19053C">
      <w:pPr>
        <w:widowControl/>
        <w:spacing w:after="160" w:line="259" w:lineRule="auto"/>
        <w:rPr>
          <w:rFonts w:ascii="Times New Roman" w:hAnsi="Times New Roman" w:eastAsia="微软雅黑" w:cs="Times New Roman"/>
          <w:b/>
          <w:bCs/>
          <w:color w:val="0070C0"/>
          <w:sz w:val="28"/>
          <w:szCs w:val="28"/>
        </w:rPr>
      </w:pPr>
      <w:r>
        <w:rPr>
          <w:rFonts w:ascii="Times New Roman" w:hAnsi="Times New Roman" w:eastAsia="微软雅黑" w:cs="Times New Roman"/>
          <w:b/>
          <w:bCs/>
          <w:color w:val="0070C0"/>
          <w:sz w:val="28"/>
          <w:szCs w:val="28"/>
        </w:rPr>
        <w:br w:type="page"/>
      </w:r>
    </w:p>
    <w:p w14:paraId="4961E0AA">
      <w:pPr>
        <w:keepNext/>
        <w:widowControl/>
        <w:spacing w:before="360" w:beforeLines="150" w:line="260" w:lineRule="auto"/>
        <w:rPr>
          <w:rFonts w:hint="eastAsia" w:ascii="Times New Roman" w:hAnsi="Times New Roman" w:eastAsia="微软雅黑" w:cs="Times New Roman"/>
          <w:b/>
          <w:color w:val="1F497D"/>
          <w:sz w:val="28"/>
          <w:szCs w:val="28"/>
          <w:lang w:val="en-US" w:eastAsia="zh-CN"/>
        </w:rPr>
      </w:pPr>
      <w:r>
        <w:rPr>
          <w:rFonts w:hint="eastAsia" w:ascii="Times New Roman" w:hAnsi="Times New Roman" w:eastAsia="微软雅黑" w:cs="Times New Roman"/>
          <w:b/>
          <w:color w:val="1F497D"/>
          <w:sz w:val="28"/>
          <w:szCs w:val="28"/>
          <w:lang w:val="en-US" w:eastAsia="zh-CN"/>
        </w:rPr>
        <w:t>附录1 靶向药物结果解析</w:t>
      </w:r>
    </w:p>
    <w:p w14:paraId="0A7A826A">
      <w:pPr>
        <w:pStyle w:val="10"/>
        <w:numPr>
          <w:ilvl w:val="0"/>
          <w:numId w:val="0"/>
        </w:numPr>
        <w:ind w:leftChars="0"/>
        <w:rPr>
          <w:rFonts w:hint="eastAsia" w:ascii="微软雅黑" w:hAnsi="微软雅黑" w:eastAsia="微软雅黑" w:cs="微软雅黑"/>
          <w:b/>
          <w:bCs/>
          <w:sz w:val="20"/>
          <w:szCs w:val="20"/>
          <w:u w:val="none"/>
          <w:lang w:val="en-US" w:eastAsia="zh-CN"/>
        </w:rPr>
      </w:pPr>
      <w:r>
        <w:rPr>
          <w:rFonts w:hint="eastAsia" w:ascii="微软雅黑" w:hAnsi="微软雅黑" w:eastAsia="微软雅黑" w:cs="微软雅黑"/>
          <w:b/>
          <w:bCs/>
          <w:sz w:val="20"/>
          <w:szCs w:val="20"/>
          <w:u w:val="none"/>
          <w:lang w:val="en-US" w:eastAsia="zh-CN"/>
        </w:rPr>
        <w:t>下述用药信息仅供参考，具体用药方案请遵照临床医生指导</w:t>
      </w:r>
    </w:p>
    <w:bookmarkEnd w:id="3"/>
    <w:bookmarkEnd w:id="4"/>
    <w:bookmarkEnd w:id="5"/>
    <w:p w14:paraId="7EFEA64C">
      <w:pPr>
        <w:widowControl/>
        <w:spacing w:after="160" w:line="259" w:lineRule="auto"/>
        <w:rPr>
          <w:rFonts w:ascii="Times New Roman" w:hAnsi="Times New Roman" w:eastAsia="微软雅黑" w:cs="Times New Roman"/>
          <w:bCs/>
          <w:sz w:val="18"/>
          <w:szCs w:val="18"/>
        </w:rPr>
      </w:pPr>
      <w:r>
        <w:rPr>
          <w:rFonts w:hint="default" w:ascii="Times New Roman" w:hAnsi="Times New Roman" w:eastAsia="微软雅黑" w:cs="Times New Roman"/>
          <w:bCs/>
          <w:sz w:val="18"/>
          <w:szCs w:val="18"/>
          <w:lang w:val="en-US" w:eastAsia="zh-CN"/>
        </w:rPr>
        <w:t xml:space="preserve">{% if </w:t>
      </w:r>
      <w:r>
        <w:rPr>
          <w:rFonts w:hint="default" w:ascii="Times New Roman" w:hAnsi="Times New Roman" w:eastAsia="微软雅黑" w:cs="Times New Roman"/>
          <w:bCs/>
          <w:sz w:val="18"/>
          <w:szCs w:val="18"/>
          <w:lang w:eastAsia="zh-CN"/>
        </w:rPr>
        <w:t>BodyDrugDrugDetectionStr</w:t>
      </w:r>
      <w:r>
        <w:rPr>
          <w:rFonts w:hint="default" w:ascii="Times New Roman" w:hAnsi="Times New Roman" w:eastAsia="微软雅黑" w:cs="Times New Roman"/>
          <w:bCs/>
          <w:sz w:val="18"/>
          <w:szCs w:val="18"/>
          <w:lang w:val="en-US" w:eastAsia="zh-CN"/>
        </w:rPr>
        <w:t xml:space="preserve"> == [] and unknownVarAnalysisStr == []%}</w:t>
      </w:r>
      <w:r>
        <w:rPr>
          <w:rFonts w:ascii="宋体" w:hAnsi="宋体" w:eastAsia="宋体" w:cs="宋体"/>
          <w:b/>
          <w:bCs/>
          <w:color w:val="FF0000"/>
          <w:sz w:val="21"/>
          <w:szCs w:val="21"/>
        </w:rPr>
        <w:t>未检出靶向用药相关的</w:t>
      </w:r>
      <w:r>
        <w:rPr>
          <w:rFonts w:hint="eastAsia" w:ascii="宋体" w:hAnsi="宋体" w:eastAsia="宋体" w:cs="宋体"/>
          <w:b/>
          <w:bCs/>
          <w:color w:val="FF0000"/>
          <w:sz w:val="21"/>
          <w:szCs w:val="21"/>
          <w:lang w:val="en-US" w:eastAsia="zh-CN"/>
        </w:rPr>
        <w:t>变异位点</w:t>
      </w:r>
      <w:r>
        <w:rPr>
          <w:rFonts w:ascii="宋体" w:hAnsi="宋体" w:eastAsia="宋体" w:cs="宋体"/>
          <w:b/>
          <w:bCs/>
          <w:color w:val="FF0000"/>
          <w:sz w:val="21"/>
          <w:szCs w:val="21"/>
        </w:rPr>
        <w:t>；未检出未知临床意义</w:t>
      </w:r>
      <w:r>
        <w:rPr>
          <w:rFonts w:hint="eastAsia" w:ascii="宋体" w:hAnsi="宋体" w:eastAsia="宋体" w:cs="宋体"/>
          <w:b/>
          <w:bCs/>
          <w:color w:val="FF0000"/>
          <w:sz w:val="21"/>
          <w:szCs w:val="21"/>
          <w:lang w:val="en-US" w:eastAsia="zh-CN"/>
        </w:rPr>
        <w:t>变异位点</w:t>
      </w:r>
      <w:r>
        <w:rPr>
          <w:rFonts w:ascii="宋体" w:hAnsi="宋体" w:eastAsia="宋体" w:cs="宋体"/>
          <w:b/>
          <w:bCs/>
          <w:color w:val="FF0000"/>
          <w:sz w:val="21"/>
          <w:szCs w:val="21"/>
        </w:rPr>
        <w:t>。</w:t>
      </w:r>
      <w:r>
        <w:rPr>
          <w:rFonts w:ascii="Times New Roman" w:hAnsi="Times New Roman" w:eastAsia="微软雅黑" w:cs="Times New Roman"/>
          <w:bCs/>
          <w:sz w:val="18"/>
          <w:szCs w:val="18"/>
        </w:rPr>
        <w:t>{% endif %}</w:t>
      </w:r>
    </w:p>
    <w:p w14:paraId="41CA0F74">
      <w:pPr>
        <w:widowControl/>
        <w:spacing w:after="160" w:line="259" w:lineRule="auto"/>
        <w:rPr>
          <w:rFonts w:ascii="Times New Roman" w:hAnsi="Times New Roman" w:eastAsia="微软雅黑" w:cs="Times New Roman"/>
          <w:b/>
          <w:color w:val="1F497D"/>
          <w:sz w:val="24"/>
          <w:szCs w:val="24"/>
        </w:rPr>
      </w:pPr>
      <w:bookmarkStart w:id="6" w:name="_Toc23606"/>
      <w:bookmarkStart w:id="7" w:name="_Toc32443_WPSOffice_Level2"/>
      <w:bookmarkStart w:id="8" w:name="_Toc30582"/>
      <w:bookmarkStart w:id="9" w:name="_Toc4331_WPSOffice_Level2"/>
      <w:r>
        <w:rPr>
          <w:rFonts w:hint="default" w:ascii="Times New Roman" w:hAnsi="Times New Roman" w:eastAsia="微软雅黑" w:cs="Times New Roman"/>
          <w:b/>
          <w:color w:val="1F497D"/>
          <w:sz w:val="24"/>
          <w:szCs w:val="24"/>
          <w:lang w:val="en-US" w:eastAsia="zh-CN"/>
        </w:rPr>
        <w:t xml:space="preserve">{%if </w:t>
      </w:r>
      <w:r>
        <w:rPr>
          <w:rFonts w:hint="default" w:ascii="Times New Roman" w:hAnsi="Times New Roman" w:eastAsia="微软雅黑" w:cs="Times New Roman"/>
          <w:b/>
          <w:color w:val="1F497D"/>
          <w:sz w:val="24"/>
          <w:szCs w:val="24"/>
          <w:lang w:eastAsia="zh-CN"/>
        </w:rPr>
        <w:t>BodyDrugDrugDetectionStr</w:t>
      </w:r>
      <w:r>
        <w:rPr>
          <w:rFonts w:hint="default" w:ascii="Times New Roman" w:hAnsi="Times New Roman" w:eastAsia="微软雅黑" w:cs="Times New Roman"/>
          <w:b/>
          <w:color w:val="1F497D"/>
          <w:sz w:val="24"/>
          <w:szCs w:val="24"/>
          <w:lang w:val="en-US" w:eastAsia="zh-CN"/>
        </w:rPr>
        <w:t xml:space="preserve"> or unknownVarAnalysisStr %}</w:t>
      </w:r>
      <w:r>
        <w:rPr>
          <w:rFonts w:hint="eastAsia" w:ascii="宋体" w:hAnsi="宋体" w:eastAsia="宋体" w:cs="宋体"/>
          <w:b/>
          <w:color w:val="1F497D"/>
          <w:sz w:val="24"/>
          <w:szCs w:val="24"/>
          <w:lang w:val="en-US" w:eastAsia="zh-CN"/>
        </w:rPr>
        <w:t>变异位点结果</w:t>
      </w:r>
      <w:r>
        <w:rPr>
          <w:rFonts w:hint="eastAsia" w:ascii="宋体" w:hAnsi="宋体" w:eastAsia="宋体" w:cs="宋体"/>
          <w:b/>
          <w:color w:val="1F497D"/>
          <w:sz w:val="24"/>
          <w:szCs w:val="24"/>
        </w:rPr>
        <w:t>解析</w:t>
      </w:r>
      <w:bookmarkEnd w:id="6"/>
      <w:bookmarkEnd w:id="7"/>
      <w:bookmarkEnd w:id="8"/>
      <w:bookmarkEnd w:id="9"/>
      <w:r>
        <w:rPr>
          <w:rFonts w:ascii="Times New Roman" w:hAnsi="Times New Roman" w:eastAsia="微软雅黑" w:cs="Times New Roman"/>
          <w:b/>
          <w:color w:val="1F497D"/>
          <w:sz w:val="24"/>
          <w:szCs w:val="24"/>
        </w:rPr>
        <w:t xml:space="preserve">{% for tdd in </w:t>
      </w:r>
      <w:r>
        <w:rPr>
          <w:rFonts w:ascii="Times New Roman" w:hAnsi="Times New Roman" w:eastAsia="微软雅黑" w:cs="Times New Roman"/>
          <w:b/>
          <w:color w:val="1F497D" w:themeColor="text2"/>
          <w:sz w:val="24"/>
          <w:szCs w:val="24"/>
          <w14:textFill>
            <w14:solidFill>
              <w14:schemeClr w14:val="tx2"/>
            </w14:solidFill>
          </w14:textFill>
        </w:rPr>
        <w:t xml:space="preserve">BodyDrugNoComplexStr </w:t>
      </w:r>
      <w:r>
        <w:rPr>
          <w:rFonts w:ascii="Times New Roman" w:hAnsi="Times New Roman" w:eastAsia="微软雅黑" w:cs="Times New Roman"/>
          <w:b/>
          <w:color w:val="1F497D"/>
          <w:sz w:val="24"/>
          <w:szCs w:val="24"/>
        </w:rPr>
        <w:t>%}</w:t>
      </w:r>
    </w:p>
    <w:p w14:paraId="7332553A">
      <w:pPr>
        <w:keepNext/>
        <w:widowControl/>
        <w:spacing w:before="360" w:beforeLines="150" w:line="260" w:lineRule="auto"/>
        <w:rPr>
          <w:rFonts w:hint="default" w:ascii="Times New Roman" w:hAnsi="Times New Roman" w:eastAsia="宋体" w:cs="Times New Roman"/>
          <w:b/>
          <w:color w:val="1F497D"/>
          <w:sz w:val="24"/>
          <w:szCs w:val="24"/>
          <w:lang w:eastAsia="zh-CN"/>
        </w:rPr>
      </w:pPr>
      <w:r>
        <w:rPr>
          <w:rFonts w:hint="default" w:ascii="Times New Roman" w:hAnsi="Times New Roman" w:eastAsia="宋体" w:cs="Times New Roman"/>
          <w:b/>
          <w:color w:val="1F497D"/>
          <w:sz w:val="24"/>
          <w:szCs w:val="24"/>
          <w:lang w:eastAsia="zh-CN"/>
        </w:rPr>
        <w:t>{{ tdd.gene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CA0E1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666A3" w:sz="18" w:space="0"/>
              <w:left w:val="nil"/>
              <w:bottom w:val="dotted" w:color="2666A3" w:sz="4" w:space="0"/>
              <w:right w:val="dotted" w:color="2666A3" w:sz="4" w:space="0"/>
            </w:tcBorders>
            <w:shd w:val="clear" w:color="auto" w:fill="auto"/>
            <w:vAlign w:val="center"/>
          </w:tcPr>
          <w:p w14:paraId="403A8D2C">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突变形式</w:t>
            </w:r>
          </w:p>
        </w:tc>
        <w:tc>
          <w:tcPr>
            <w:tcW w:w="8247" w:type="dxa"/>
            <w:tcBorders>
              <w:top w:val="single" w:color="2666A3" w:sz="18" w:space="0"/>
              <w:left w:val="dotted" w:color="2666A3" w:sz="4" w:space="0"/>
              <w:bottom w:val="dotted" w:color="2666A3" w:sz="4" w:space="0"/>
              <w:right w:val="nil"/>
            </w:tcBorders>
            <w:vAlign w:val="center"/>
          </w:tcPr>
          <w:p w14:paraId="46E45EF7">
            <w:pPr>
              <w:keepNext/>
              <w:spacing w:before="26"/>
              <w:jc w:val="center"/>
              <w:rPr>
                <w:rFonts w:hint="default" w:ascii="Times New Roman" w:hAnsi="Times New Roman" w:eastAsia="宋体" w:cs="Times New Roman"/>
                <w:bCs/>
                <w:sz w:val="18"/>
                <w:szCs w:val="18"/>
                <w:lang w:eastAsia="zh-CN"/>
              </w:rPr>
            </w:pPr>
            <w:r>
              <w:rPr>
                <w:rFonts w:hint="eastAsia" w:ascii="Times New Roman" w:hAnsi="Times New Roman" w:eastAsia="宋体" w:cs="Times New Roman"/>
                <w:bCs/>
                <w:sz w:val="18"/>
                <w:szCs w:val="18"/>
                <w:lang w:val="en-US" w:eastAsia="zh-CN"/>
              </w:rPr>
              <w:t xml:space="preserve">{% if </w:t>
            </w:r>
            <w:r>
              <w:rPr>
                <w:rFonts w:hint="default" w:ascii="Times New Roman" w:hAnsi="Times New Roman" w:eastAsia="宋体" w:cs="Times New Roman"/>
                <w:bCs/>
                <w:sz w:val="18"/>
                <w:szCs w:val="18"/>
                <w:lang w:eastAsia="zh-CN"/>
              </w:rPr>
              <w:t>tdd.ori_variant</w:t>
            </w:r>
            <w:r>
              <w:rPr>
                <w:rFonts w:hint="eastAsia" w:ascii="Times New Roman" w:hAnsi="Times New Roman" w:eastAsia="宋体" w:cs="Times New Roman"/>
                <w:bCs/>
                <w:sz w:val="18"/>
                <w:szCs w:val="18"/>
                <w:lang w:val="en-US" w:eastAsia="zh-CN"/>
              </w:rPr>
              <w:t xml:space="preserve"> == </w:t>
            </w:r>
            <w:r>
              <w:rPr>
                <w:rFonts w:hint="default" w:ascii="Times New Roman" w:hAnsi="Times New Roman" w:eastAsia="宋体" w:cs="Times New Roman"/>
                <w:bCs/>
                <w:sz w:val="18"/>
                <w:szCs w:val="18"/>
                <w:lang w:val="en-US" w:eastAsia="zh-CN"/>
              </w:rPr>
              <w:t>‘</w:t>
            </w:r>
            <w:r>
              <w:rPr>
                <w:rFonts w:hint="eastAsia" w:ascii="Times New Roman" w:hAnsi="Times New Roman" w:eastAsia="宋体" w:cs="Times New Roman"/>
                <w:bCs/>
                <w:sz w:val="18"/>
                <w:szCs w:val="18"/>
                <w:lang w:val="en-US" w:eastAsia="zh-CN"/>
              </w:rPr>
              <w:t>Amplification</w:t>
            </w:r>
            <w:r>
              <w:rPr>
                <w:rFonts w:hint="default" w:ascii="Times New Roman" w:hAnsi="Times New Roman" w:eastAsia="宋体" w:cs="Times New Roman"/>
                <w:bCs/>
                <w:sz w:val="18"/>
                <w:szCs w:val="18"/>
                <w:lang w:val="en-US" w:eastAsia="zh-CN"/>
              </w:rPr>
              <w:t>’</w:t>
            </w:r>
            <w:r>
              <w:rPr>
                <w:rFonts w:hint="eastAsia" w:ascii="Times New Roman" w:hAnsi="Times New Roman" w:eastAsia="宋体" w:cs="Times New Roman"/>
                <w:bCs/>
                <w:sz w:val="18"/>
                <w:szCs w:val="18"/>
                <w:lang w:val="en-US" w:eastAsia="zh-CN"/>
              </w:rPr>
              <w:t xml:space="preserve"> %}扩增</w:t>
            </w:r>
            <w:r>
              <w:rPr>
                <w:rFonts w:hint="eastAsia" w:ascii="Times New Roman" w:hAnsi="Times New Roman" w:eastAsia="宋体" w:cs="Times New Roman"/>
                <w:bCs/>
                <w:sz w:val="18"/>
                <w:szCs w:val="18"/>
                <w:lang w:val="en-US" w:eastAsia="en-US"/>
              </w:rPr>
              <w:t xml:space="preserve">{% </w:t>
            </w:r>
            <w:r>
              <w:rPr>
                <w:rFonts w:hint="default" w:ascii="Times New Roman" w:hAnsi="Times New Roman" w:eastAsia="宋体" w:cs="Times New Roman"/>
                <w:bCs/>
                <w:sz w:val="18"/>
                <w:szCs w:val="18"/>
                <w:lang w:eastAsia="zh-CN"/>
              </w:rPr>
              <w:t>else</w:t>
            </w:r>
            <w:r>
              <w:rPr>
                <w:rFonts w:hint="eastAsia" w:ascii="Times New Roman" w:hAnsi="Times New Roman" w:eastAsia="宋体" w:cs="Times New Roman"/>
                <w:bCs/>
                <w:sz w:val="18"/>
                <w:szCs w:val="18"/>
                <w:lang w:val="en-US" w:eastAsia="zh-CN"/>
              </w:rPr>
              <w:t xml:space="preserve"> </w:t>
            </w:r>
            <w:r>
              <w:rPr>
                <w:rFonts w:hint="eastAsia" w:ascii="Times New Roman" w:hAnsi="Times New Roman" w:eastAsia="宋体" w:cs="Times New Roman"/>
                <w:bCs/>
                <w:sz w:val="18"/>
                <w:szCs w:val="18"/>
                <w:lang w:val="en-US" w:eastAsia="en-US"/>
              </w:rPr>
              <w:t>%}</w:t>
            </w:r>
            <w:r>
              <w:rPr>
                <w:rFonts w:hint="eastAsia" w:ascii="Times New Roman" w:hAnsi="Times New Roman" w:eastAsia="宋体" w:cs="Times New Roman"/>
                <w:bCs/>
                <w:sz w:val="18"/>
                <w:szCs w:val="18"/>
                <w:lang w:val="en-US" w:eastAsia="zh-CN"/>
              </w:rPr>
              <w:t xml:space="preserve">{{ </w:t>
            </w:r>
            <w:r>
              <w:rPr>
                <w:rFonts w:hint="default" w:ascii="Times New Roman" w:hAnsi="Times New Roman" w:eastAsia="宋体" w:cs="Times New Roman"/>
                <w:bCs/>
                <w:sz w:val="18"/>
                <w:szCs w:val="18"/>
                <w:lang w:eastAsia="zh-CN"/>
              </w:rPr>
              <w:t>tdd</w:t>
            </w:r>
            <w:r>
              <w:rPr>
                <w:rFonts w:hint="eastAsia" w:ascii="Times New Roman" w:hAnsi="Times New Roman" w:eastAsia="宋体" w:cs="Times New Roman"/>
                <w:bCs/>
                <w:sz w:val="18"/>
                <w:szCs w:val="18"/>
                <w:lang w:val="en-US" w:eastAsia="zh-CN"/>
              </w:rPr>
              <w:t>.ori_variant }}</w:t>
            </w:r>
            <w:r>
              <w:rPr>
                <w:rFonts w:hint="eastAsia" w:ascii="Times New Roman" w:hAnsi="Times New Roman" w:eastAsia="宋体" w:cs="Times New Roman"/>
                <w:bCs/>
                <w:sz w:val="18"/>
                <w:szCs w:val="18"/>
                <w:lang w:val="en-US" w:eastAsia="en-US"/>
              </w:rPr>
              <w:t>{% endif</w:t>
            </w:r>
            <w:r>
              <w:rPr>
                <w:rFonts w:hint="eastAsia" w:ascii="Times New Roman" w:hAnsi="Times New Roman" w:eastAsia="宋体" w:cs="Times New Roman"/>
                <w:bCs/>
                <w:sz w:val="18"/>
                <w:szCs w:val="18"/>
                <w:lang w:val="en-US" w:eastAsia="zh-CN"/>
              </w:rPr>
              <w:t xml:space="preserve"> </w:t>
            </w:r>
            <w:r>
              <w:rPr>
                <w:rFonts w:hint="eastAsia" w:ascii="Times New Roman" w:hAnsi="Times New Roman" w:eastAsia="宋体" w:cs="Times New Roman"/>
                <w:bCs/>
                <w:sz w:val="18"/>
                <w:szCs w:val="18"/>
                <w:lang w:val="en-US" w:eastAsia="en-US"/>
              </w:rPr>
              <w:t>%}</w:t>
            </w:r>
          </w:p>
        </w:tc>
      </w:tr>
      <w:tr w14:paraId="3FDE5E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otted" w:color="2666A3" w:sz="4" w:space="0"/>
              <w:left w:val="nil"/>
              <w:bottom w:val="dotted" w:color="2666A3" w:sz="4" w:space="0"/>
              <w:right w:val="dotted" w:color="2666A3" w:sz="4" w:space="0"/>
            </w:tcBorders>
            <w:shd w:val="clear" w:color="auto" w:fill="auto"/>
            <w:vAlign w:val="center"/>
          </w:tcPr>
          <w:p w14:paraId="5C3A3779">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变异丰度</w:t>
            </w:r>
          </w:p>
        </w:tc>
        <w:tc>
          <w:tcPr>
            <w:tcW w:w="8247" w:type="dxa"/>
            <w:tcBorders>
              <w:top w:val="dotted" w:color="2666A3" w:sz="4" w:space="0"/>
              <w:left w:val="dotted" w:color="2666A3" w:sz="4" w:space="0"/>
              <w:bottom w:val="dotted" w:color="2666A3" w:sz="4" w:space="0"/>
              <w:right w:val="nil"/>
            </w:tcBorders>
            <w:vAlign w:val="center"/>
          </w:tcPr>
          <w:p w14:paraId="79D8D18A">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tdd.mutFreq }}</w:t>
            </w:r>
          </w:p>
        </w:tc>
      </w:tr>
      <w:tr w14:paraId="7E5951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otted" w:color="2666A3" w:sz="4" w:space="0"/>
              <w:left w:val="nil"/>
              <w:bottom w:val="dotted" w:color="2666A3" w:sz="4" w:space="0"/>
              <w:right w:val="dotted" w:color="2666A3" w:sz="4" w:space="0"/>
            </w:tcBorders>
            <w:shd w:val="clear" w:color="auto" w:fill="auto"/>
            <w:vAlign w:val="center"/>
          </w:tcPr>
          <w:p w14:paraId="70A0DF9D">
            <w:pPr>
              <w:spacing w:before="1" w:line="250" w:lineRule="auto"/>
              <w:jc w:val="center"/>
              <w:rPr>
                <w:rFonts w:hint="default" w:ascii="Times New Roman" w:hAnsi="Times New Roman" w:eastAsia="宋体" w:cs="Times New Roman"/>
                <w:color w:val="2666A3"/>
                <w:sz w:val="18"/>
                <w:szCs w:val="18"/>
                <w:lang w:eastAsia="zh-CN"/>
              </w:rPr>
            </w:pPr>
            <w:r>
              <w:rPr>
                <w:rFonts w:hint="default" w:ascii="Times New Roman" w:hAnsi="Times New Roman" w:eastAsia="宋体" w:cs="Times New Roman"/>
                <w:b/>
                <w:color w:val="2666A3"/>
                <w:sz w:val="18"/>
                <w:szCs w:val="18"/>
                <w:lang w:eastAsia="zh-CN"/>
              </w:rPr>
              <w:t>潜在获益药物</w:t>
            </w: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74585C00">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A级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79CD7097">
            <w:pPr>
              <w:spacing w:before="1" w:line="250" w:lineRule="auto"/>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tdd.drugaStr == [] %}无{% else%}{% for d in tdd.drugaStr %}{%if loop.last%}{{ d.nameLevel }}{%else%}{{ d.nameLevel }}，{%endif%}{% endfor %}{% endif%}</w:t>
            </w:r>
          </w:p>
        </w:tc>
      </w:tr>
      <w:tr w14:paraId="13B4D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1E7F548D">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2875E29">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B级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454007FE">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tdd.drugbStr == [] %}无{% else%}{% for d in tdd.drugbStr %}{%if loop.last%}{{ d.nameLevel }}{%else%}{{ d.nameLevel }}，{%endif%}{% endfor %}{% endif%}</w:t>
            </w:r>
          </w:p>
        </w:tc>
      </w:tr>
      <w:tr w14:paraId="4B3A4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0DD041F0">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E178ACF">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C级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0620D62A">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tdd.drugcStr == [] %}无{% else%}{% for d in tdd.drugcStr %}{%if loop.last%}{{ d.nameLevel }}{%else%}{{ d.nameLevel }}，{%endif%}{% endfor %}{% endif%}</w:t>
            </w:r>
          </w:p>
        </w:tc>
      </w:tr>
      <w:tr w14:paraId="0B988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7B87873D">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305A9FE">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D级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3FB4B44F">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tdd.drugdStr == [] %}无{% else%}{% for d in tdd.drugdStr %}{%if loop.last%}{{ d.nameLevel }}{%else%}{{ d.nameLevel }}，{%endif%}{% endfor %}{% endif%}</w:t>
            </w:r>
          </w:p>
        </w:tc>
      </w:tr>
      <w:tr w14:paraId="025FE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otted" w:color="2666A3" w:sz="4" w:space="0"/>
              <w:left w:val="nil"/>
              <w:bottom w:val="dotted" w:color="2666A3" w:sz="4" w:space="0"/>
              <w:right w:val="dotted" w:color="2666A3" w:sz="4" w:space="0"/>
            </w:tcBorders>
            <w:shd w:val="clear" w:color="auto" w:fill="auto"/>
            <w:vAlign w:val="center"/>
          </w:tcPr>
          <w:p w14:paraId="56F44563">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潜在耐药信息</w:t>
            </w: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8871D73">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A级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56F10E11">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tdd.resistantaStr == [] %}无{% else%}{% for d in tdd.resistantaStr %}{%if loop.last%}{{ d.nameLevel }}{%else%}{{ d.nameLevel }}，{%endif%}{% endfor %}{% endif%}</w:t>
            </w:r>
          </w:p>
        </w:tc>
      </w:tr>
      <w:tr w14:paraId="1AE0DC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244FDC5D">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34D284F4">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B级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78B536C4">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tdd.resistantbStr == [] %}无{% else%}{% for d in tdd.resistantbStr %}{%if loop.last%}{{ d.nameLevel }}{%else%}{{ d.nameLevel }}，{%endif%}{% endfor %}{% endif%}</w:t>
            </w:r>
          </w:p>
        </w:tc>
      </w:tr>
      <w:tr w14:paraId="536F6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5D55D708">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8C666D9">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C级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40818470">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tdd.resistantcStr == [] %}无{% else%}{% for d in tdd.resistantcStr %}{%if loop.last%}{{ d.nameLevel }}{%else%}{{ d.nameLevel }}，{%endif%}{% endfor %}{% endif%}</w:t>
            </w:r>
          </w:p>
        </w:tc>
      </w:tr>
      <w:tr w14:paraId="424488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07337928">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19C6500D">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D级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1E8B4339">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tdd.resistantdStr == [] %}无{% else%}{% for d in tdd.resistantdStr %}{%if loop.last%}{{ d.nameLevel }}{%else%}{{ d.nameLevel }}，{%endif%}{% endfor %}{% endif%}</w:t>
            </w:r>
          </w:p>
        </w:tc>
      </w:tr>
      <w:tr w14:paraId="4BC0F4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otted" w:color="2666A3" w:sz="4" w:space="0"/>
              <w:left w:val="nil"/>
              <w:bottom w:val="dotted" w:color="2666A3" w:sz="4" w:space="0"/>
              <w:right w:val="dotted" w:color="2666A3" w:sz="4" w:space="0"/>
            </w:tcBorders>
            <w:shd w:val="clear" w:color="auto" w:fill="auto"/>
            <w:vAlign w:val="center"/>
          </w:tcPr>
          <w:p w14:paraId="1E07DE3C">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基因突变相关说明</w:t>
            </w:r>
          </w:p>
        </w:tc>
        <w:tc>
          <w:tcPr>
            <w:tcW w:w="8247" w:type="dxa"/>
            <w:tcBorders>
              <w:top w:val="dotted" w:color="2666A3" w:sz="4" w:space="0"/>
              <w:left w:val="dotted" w:color="2666A3" w:sz="4" w:space="0"/>
              <w:bottom w:val="dotted" w:color="2666A3" w:sz="4" w:space="0"/>
              <w:right w:val="nil"/>
            </w:tcBorders>
            <w:vAlign w:val="center"/>
          </w:tcPr>
          <w:p w14:paraId="616FDA86">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for md in tdd.medicationDescription %}{% if md.key == '突变说明:' %}</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 elif md.value == '' %}{% else%}</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w:t>
            </w:r>
          </w:p>
          <w:p w14:paraId="4F2BD58F">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endif %}{% endfor %}</w:t>
            </w:r>
          </w:p>
        </w:tc>
      </w:tr>
    </w:tbl>
    <w:p w14:paraId="74BE6F1F">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{%if tdd.drugResearchList != [] %}</w:t>
      </w:r>
    </w:p>
    <w:p w14:paraId="597D1C26">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67CFF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666A3" w:sz="18" w:space="0"/>
              <w:left w:val="nil"/>
              <w:bottom w:val="dotted" w:color="2666A3" w:sz="4" w:space="0"/>
              <w:right w:val="dotted" w:color="2666A3" w:sz="4" w:space="0"/>
            </w:tcBorders>
            <w:shd w:val="clear" w:color="auto" w:fill="auto"/>
            <w:vAlign w:val="center"/>
          </w:tcPr>
          <w:p w14:paraId="31B33E54">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药物名称</w:t>
            </w:r>
          </w:p>
        </w:tc>
        <w:tc>
          <w:tcPr>
            <w:tcW w:w="1417"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578D9EE3">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相关疾病</w:t>
            </w:r>
          </w:p>
        </w:tc>
        <w:tc>
          <w:tcPr>
            <w:tcW w:w="1232"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2719E38E">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证据等级</w:t>
            </w:r>
          </w:p>
        </w:tc>
        <w:tc>
          <w:tcPr>
            <w:tcW w:w="5695" w:type="dxa"/>
            <w:tcBorders>
              <w:top w:val="single" w:color="2666A3" w:sz="18" w:space="0"/>
              <w:left w:val="dotted" w:color="2666A3" w:sz="4" w:space="0"/>
              <w:bottom w:val="dotted" w:color="2666A3" w:sz="4" w:space="0"/>
              <w:right w:val="nil"/>
            </w:tcBorders>
            <w:shd w:val="clear" w:color="auto" w:fill="auto"/>
            <w:vAlign w:val="center"/>
          </w:tcPr>
          <w:p w14:paraId="62F02F67">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循证医学信息</w:t>
            </w:r>
          </w:p>
        </w:tc>
      </w:tr>
      <w:tr w14:paraId="34E2F6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60C359FA">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color w:val="2666A3"/>
                <w:sz w:val="18"/>
                <w:szCs w:val="18"/>
                <w:lang w:eastAsia="zh-CN"/>
              </w:rPr>
              <w:t>{%tr for dis in tdd.drugResearchList %}</w:t>
            </w:r>
          </w:p>
        </w:tc>
      </w:tr>
      <w:tr w14:paraId="5A4D5F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otted" w:color="2666A3" w:sz="4" w:space="0"/>
              <w:left w:val="nil"/>
              <w:bottom w:val="dotted" w:color="2666A3" w:sz="4" w:space="0"/>
              <w:right w:val="dotted" w:color="2666A3" w:sz="4" w:space="0"/>
            </w:tcBorders>
            <w:vAlign w:val="center"/>
          </w:tcPr>
          <w:p w14:paraId="34D53056">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dotted" w:color="2666A3" w:sz="4" w:space="0"/>
              <w:left w:val="dotted" w:color="2666A3" w:sz="4" w:space="0"/>
              <w:bottom w:val="dotted" w:color="2666A3" w:sz="4" w:space="0"/>
              <w:right w:val="dotted" w:color="2666A3" w:sz="4" w:space="0"/>
            </w:tcBorders>
            <w:vAlign w:val="center"/>
          </w:tcPr>
          <w:p w14:paraId="09B1A0A0">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32" w:type="dxa"/>
            <w:tcBorders>
              <w:top w:val="dotted" w:color="2666A3" w:sz="4" w:space="0"/>
              <w:left w:val="dotted" w:color="2666A3" w:sz="4" w:space="0"/>
              <w:bottom w:val="dotted" w:color="2666A3" w:sz="4" w:space="0"/>
              <w:right w:val="dotted" w:color="2666A3" w:sz="4" w:space="0"/>
            </w:tcBorders>
            <w:vAlign w:val="center"/>
          </w:tcPr>
          <w:p w14:paraId="2B374F46">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95" w:type="dxa"/>
            <w:tcBorders>
              <w:top w:val="dotted" w:color="2666A3" w:sz="4" w:space="0"/>
              <w:left w:val="dotted" w:color="2666A3" w:sz="4" w:space="0"/>
              <w:bottom w:val="dotted" w:color="2666A3" w:sz="4" w:space="0"/>
              <w:right w:val="nil"/>
            </w:tcBorders>
            <w:vAlign w:val="center"/>
          </w:tcPr>
          <w:p w14:paraId="0BB3893E">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25B505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31285F64">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color w:val="2666A3"/>
                <w:sz w:val="18"/>
                <w:szCs w:val="18"/>
                <w:lang w:eastAsia="zh-CN"/>
              </w:rPr>
              <w:t>{%tr endfor %}</w:t>
            </w:r>
          </w:p>
        </w:tc>
      </w:tr>
    </w:tbl>
    <w:p w14:paraId="11BBEDFA">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endif %}{%if tdd.potentialDrugList != [] %}</w:t>
      </w:r>
    </w:p>
    <w:p w14:paraId="7CA52EE3">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潜在耐药研究信息：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31E3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666A3" w:sz="18" w:space="0"/>
              <w:left w:val="nil"/>
              <w:bottom w:val="dotted" w:color="2666A3" w:sz="4" w:space="0"/>
              <w:right w:val="dotted" w:color="2666A3" w:sz="4" w:space="0"/>
            </w:tcBorders>
            <w:shd w:val="clear" w:color="auto" w:fill="auto"/>
            <w:vAlign w:val="center"/>
          </w:tcPr>
          <w:p w14:paraId="276483F5">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药物名称</w:t>
            </w:r>
          </w:p>
        </w:tc>
        <w:tc>
          <w:tcPr>
            <w:tcW w:w="1417"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0D4C25C4">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相关疾病</w:t>
            </w:r>
          </w:p>
        </w:tc>
        <w:tc>
          <w:tcPr>
            <w:tcW w:w="1261"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7E38EAE8">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证据等级</w:t>
            </w:r>
          </w:p>
        </w:tc>
        <w:tc>
          <w:tcPr>
            <w:tcW w:w="5666" w:type="dxa"/>
            <w:tcBorders>
              <w:top w:val="single" w:color="2666A3" w:sz="18" w:space="0"/>
              <w:left w:val="dotted" w:color="2666A3" w:sz="4" w:space="0"/>
              <w:bottom w:val="dotted" w:color="2666A3" w:sz="4" w:space="0"/>
              <w:right w:val="nil"/>
            </w:tcBorders>
            <w:shd w:val="clear" w:color="auto" w:fill="auto"/>
            <w:vAlign w:val="center"/>
          </w:tcPr>
          <w:p w14:paraId="0B2F026C">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循证医学信息</w:t>
            </w:r>
          </w:p>
        </w:tc>
      </w:tr>
      <w:tr w14:paraId="18ABA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72210B54">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color w:val="2666A3"/>
                <w:sz w:val="18"/>
                <w:szCs w:val="18"/>
                <w:lang w:eastAsia="zh-CN"/>
              </w:rPr>
              <w:t>{%tr for dis in tdd.potentialDrugList %}</w:t>
            </w:r>
          </w:p>
        </w:tc>
      </w:tr>
      <w:tr w14:paraId="23B13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otted" w:color="2666A3" w:sz="4" w:space="0"/>
              <w:left w:val="nil"/>
              <w:bottom w:val="dotted" w:color="2666A3" w:sz="4" w:space="0"/>
              <w:right w:val="dotted" w:color="2666A3" w:sz="4" w:space="0"/>
            </w:tcBorders>
            <w:vAlign w:val="center"/>
          </w:tcPr>
          <w:p w14:paraId="6B866FFF">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op w:val="dotted" w:color="2666A3" w:sz="4" w:space="0"/>
              <w:left w:val="dotted" w:color="2666A3" w:sz="4" w:space="0"/>
              <w:bottom w:val="dotted" w:color="2666A3" w:sz="4" w:space="0"/>
              <w:right w:val="dotted" w:color="2666A3" w:sz="4" w:space="0"/>
            </w:tcBorders>
            <w:vAlign w:val="center"/>
          </w:tcPr>
          <w:p w14:paraId="5864E0E7">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61" w:type="dxa"/>
            <w:tcBorders>
              <w:top w:val="dotted" w:color="2666A3" w:sz="4" w:space="0"/>
              <w:left w:val="dotted" w:color="2666A3" w:sz="4" w:space="0"/>
              <w:bottom w:val="dotted" w:color="2666A3" w:sz="4" w:space="0"/>
              <w:right w:val="dotted" w:color="2666A3" w:sz="4" w:space="0"/>
            </w:tcBorders>
            <w:vAlign w:val="center"/>
          </w:tcPr>
          <w:p w14:paraId="7D23207E">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66" w:type="dxa"/>
            <w:tcBorders>
              <w:top w:val="dotted" w:color="2666A3" w:sz="4" w:space="0"/>
              <w:left w:val="dotted" w:color="2666A3" w:sz="4" w:space="0"/>
              <w:bottom w:val="dotted" w:color="2666A3" w:sz="4" w:space="0"/>
              <w:right w:val="nil"/>
            </w:tcBorders>
            <w:vAlign w:val="center"/>
          </w:tcPr>
          <w:p w14:paraId="78D3AAB4">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595C63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04E4A882">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color w:val="2666A3"/>
                <w:sz w:val="18"/>
                <w:szCs w:val="18"/>
                <w:lang w:eastAsia="zh-CN"/>
              </w:rPr>
              <w:t>{%tr endfor %}</w:t>
            </w:r>
          </w:p>
        </w:tc>
      </w:tr>
    </w:tbl>
    <w:p w14:paraId="6ED6E2E3">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endif %}{%if tdd.clinicalTrialInformationStr!= [] %}</w:t>
      </w:r>
    </w:p>
    <w:p w14:paraId="5173BC0F">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临床试验信息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30D6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2666A3" w:sz="18" w:space="0"/>
              <w:left w:val="nil"/>
              <w:bottom w:val="dotted" w:color="2666A3" w:sz="4" w:space="0"/>
              <w:right w:val="dotted" w:color="2666A3" w:sz="4" w:space="0"/>
            </w:tcBorders>
            <w:shd w:val="clear" w:color="auto" w:fill="auto"/>
            <w:vAlign w:val="center"/>
          </w:tcPr>
          <w:p w14:paraId="371280D7">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ID</w:t>
            </w:r>
          </w:p>
        </w:tc>
        <w:tc>
          <w:tcPr>
            <w:tcW w:w="388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48BF9122">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临床试验名称</w:t>
            </w:r>
          </w:p>
        </w:tc>
        <w:tc>
          <w:tcPr>
            <w:tcW w:w="1246"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06EC6544">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肿瘤类型</w:t>
            </w:r>
          </w:p>
        </w:tc>
        <w:tc>
          <w:tcPr>
            <w:tcW w:w="1035"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1D650DB">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阶段</w:t>
            </w:r>
          </w:p>
        </w:tc>
        <w:tc>
          <w:tcPr>
            <w:tcW w:w="120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2E6A5009">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w:t>
            </w:r>
          </w:p>
        </w:tc>
        <w:tc>
          <w:tcPr>
            <w:tcW w:w="856" w:type="dxa"/>
            <w:tcBorders>
              <w:top w:val="single" w:color="2666A3" w:sz="18" w:space="0"/>
              <w:left w:val="dotted" w:color="2666A3" w:sz="4" w:space="0"/>
              <w:bottom w:val="dotted" w:color="2666A3" w:sz="4" w:space="0"/>
              <w:right w:val="nil"/>
            </w:tcBorders>
            <w:shd w:val="clear" w:color="auto" w:fill="auto"/>
            <w:vAlign w:val="center"/>
          </w:tcPr>
          <w:p w14:paraId="522CAE3E">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地点</w:t>
            </w:r>
          </w:p>
        </w:tc>
      </w:tr>
      <w:tr w14:paraId="795D79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dotted" w:color="2666A3" w:sz="4" w:space="0"/>
              <w:bottom w:val="dotted" w:color="2666A3" w:sz="4" w:space="0"/>
            </w:tcBorders>
            <w:vAlign w:val="center"/>
          </w:tcPr>
          <w:p w14:paraId="6246970A">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color w:val="2666A3"/>
                <w:sz w:val="18"/>
                <w:szCs w:val="18"/>
                <w:lang w:eastAsia="zh-CN"/>
              </w:rPr>
              <w:t>{%tr for cti in tdd.clinicalTrialInformationStr %}</w:t>
            </w:r>
          </w:p>
        </w:tc>
      </w:tr>
      <w:tr w14:paraId="750BD5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dotted" w:color="2666A3" w:sz="4" w:space="0"/>
              <w:bottom w:val="dotted" w:color="2666A3" w:sz="4" w:space="0"/>
              <w:right w:val="dotted" w:color="2666A3" w:sz="4" w:space="0"/>
            </w:tcBorders>
            <w:vAlign w:val="center"/>
          </w:tcPr>
          <w:p w14:paraId="2054F8A7">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cti.clinical_trial_id }}</w:t>
            </w:r>
          </w:p>
        </w:tc>
        <w:tc>
          <w:tcPr>
            <w:tcW w:w="3884" w:type="dxa"/>
            <w:tcBorders>
              <w:top w:val="dotted" w:color="2666A3" w:sz="4" w:space="0"/>
              <w:left w:val="dotted" w:color="2666A3" w:sz="4" w:space="0"/>
              <w:bottom w:val="dotted" w:color="2666A3" w:sz="4" w:space="0"/>
              <w:right w:val="dotted" w:color="2666A3" w:sz="4" w:space="0"/>
            </w:tcBorders>
            <w:vAlign w:val="center"/>
          </w:tcPr>
          <w:p w14:paraId="3BD11BE2">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cti.title_chinese }}</w:t>
            </w:r>
          </w:p>
        </w:tc>
        <w:tc>
          <w:tcPr>
            <w:tcW w:w="1246" w:type="dxa"/>
            <w:tcBorders>
              <w:top w:val="dotted" w:color="2666A3" w:sz="4" w:space="0"/>
              <w:left w:val="dotted" w:color="2666A3" w:sz="4" w:space="0"/>
              <w:bottom w:val="dotted" w:color="2666A3" w:sz="4" w:space="0"/>
              <w:right w:val="dotted" w:color="2666A3" w:sz="4" w:space="0"/>
            </w:tcBorders>
            <w:vAlign w:val="center"/>
          </w:tcPr>
          <w:p w14:paraId="56E32DB3">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cti.condition_chinese }}</w:t>
            </w:r>
          </w:p>
        </w:tc>
        <w:tc>
          <w:tcPr>
            <w:tcW w:w="1035" w:type="dxa"/>
            <w:tcBorders>
              <w:top w:val="dotted" w:color="2666A3" w:sz="4" w:space="0"/>
              <w:left w:val="dotted" w:color="2666A3" w:sz="4" w:space="0"/>
              <w:bottom w:val="dotted" w:color="2666A3" w:sz="4" w:space="0"/>
              <w:right w:val="dotted" w:color="2666A3" w:sz="4" w:space="0"/>
            </w:tcBorders>
            <w:vAlign w:val="center"/>
          </w:tcPr>
          <w:p w14:paraId="5D0ABDFB">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cti.phase }}</w:t>
            </w:r>
          </w:p>
        </w:tc>
        <w:tc>
          <w:tcPr>
            <w:tcW w:w="1204" w:type="dxa"/>
            <w:tcBorders>
              <w:top w:val="dotted" w:color="2666A3" w:sz="4" w:space="0"/>
              <w:left w:val="dotted" w:color="2666A3" w:sz="4" w:space="0"/>
              <w:bottom w:val="dotted" w:color="2666A3" w:sz="4" w:space="0"/>
              <w:right w:val="dotted" w:color="2666A3" w:sz="4" w:space="0"/>
            </w:tcBorders>
            <w:vAlign w:val="center"/>
          </w:tcPr>
          <w:p w14:paraId="5F9395CC">
            <w:pPr>
              <w:spacing w:before="1" w:line="249" w:lineRule="auto"/>
              <w:ind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for d in </w:t>
            </w:r>
            <w:r>
              <w:rPr>
                <w:rFonts w:hint="default" w:ascii="Times New Roman" w:hAnsi="Times New Roman" w:eastAsia="宋体" w:cs="Times New Roman"/>
                <w:bCs/>
                <w:sz w:val="18"/>
                <w:szCs w:val="18"/>
                <w:lang w:eastAsia="zh-CN"/>
              </w:rPr>
              <w:t>cti.drug_name_chinese</w:t>
            </w:r>
            <w:r>
              <w:rPr>
                <w:rFonts w:hint="default" w:ascii="Times New Roman" w:hAnsi="Times New Roman" w:eastAsia="宋体" w:cs="Times New Roman"/>
                <w:sz w:val="18"/>
                <w:szCs w:val="18"/>
                <w:lang w:eastAsia="zh-CN"/>
              </w:rPr>
              <w:t xml:space="preserve"> %}{%if loop.last%}{{ d.name }}{%else%}{{ d.name }}</w:t>
            </w:r>
          </w:p>
          <w:p w14:paraId="2E65E55A">
            <w:pPr>
              <w:keepNext/>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w:t>
            </w:r>
          </w:p>
        </w:tc>
        <w:tc>
          <w:tcPr>
            <w:tcW w:w="856" w:type="dxa"/>
            <w:tcBorders>
              <w:top w:val="dotted" w:color="2666A3" w:sz="4" w:space="0"/>
              <w:left w:val="dotted" w:color="2666A3" w:sz="4" w:space="0"/>
              <w:bottom w:val="dotted" w:color="2666A3" w:sz="4" w:space="0"/>
            </w:tcBorders>
            <w:vAlign w:val="center"/>
          </w:tcPr>
          <w:p w14:paraId="265291B3">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cti.location_chinese }}</w:t>
            </w:r>
          </w:p>
        </w:tc>
      </w:tr>
      <w:tr w14:paraId="1D62DC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dotted" w:color="2666A3" w:sz="4" w:space="0"/>
              <w:bottom w:val="dotted" w:color="2666A3" w:sz="4" w:space="0"/>
            </w:tcBorders>
            <w:vAlign w:val="center"/>
          </w:tcPr>
          <w:p w14:paraId="7C19D892">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color w:val="2666A3"/>
                <w:sz w:val="18"/>
                <w:szCs w:val="18"/>
                <w:lang w:eastAsia="zh-CN"/>
              </w:rPr>
              <w:t>{%tr endfor %}</w:t>
            </w:r>
          </w:p>
        </w:tc>
      </w:tr>
    </w:tbl>
    <w:p w14:paraId="653BE006">
      <w:pPr>
        <w:pStyle w:val="48"/>
        <w:rPr>
          <w:rFonts w:hint="default" w:ascii="Times New Roman" w:hAnsi="Times New Roman" w:eastAsia="宋体" w:cs="Times New Roman"/>
          <w:color w:val="2666A3"/>
        </w:rPr>
      </w:pPr>
      <w:r>
        <w:rPr>
          <w:rFonts w:hint="default" w:ascii="Times New Roman" w:hAnsi="Times New Roman" w:eastAsia="宋体" w:cs="Times New Roman"/>
          <w:color w:val="2666A3"/>
        </w:rPr>
        <w:t>{% endif %}{% endfor %}{% for vus in unknownVarAnalysisStr %}</w:t>
      </w:r>
    </w:p>
    <w:p w14:paraId="344E463E">
      <w:pPr>
        <w:keepNext/>
        <w:keepLines w:val="0"/>
        <w:pageBreakBefore w:val="0"/>
        <w:widowControl/>
        <w:kinsoku/>
        <w:wordWrap/>
        <w:overflowPunct/>
        <w:topLinePunct w:val="0"/>
        <w:autoSpaceDE/>
        <w:autoSpaceDN/>
        <w:bidi w:val="0"/>
        <w:adjustRightInd/>
        <w:snapToGrid/>
        <w:spacing w:before="0" w:beforeLines="100" w:line="260" w:lineRule="auto"/>
        <w:textAlignment w:val="auto"/>
        <w:rPr>
          <w:rFonts w:hint="default" w:ascii="Times New Roman" w:hAnsi="Times New Roman" w:eastAsia="宋体" w:cs="Times New Roman"/>
          <w:b/>
          <w:color w:val="1F497D"/>
          <w:sz w:val="24"/>
          <w:szCs w:val="24"/>
          <w:lang w:eastAsia="zh-CN"/>
        </w:rPr>
      </w:pPr>
      <w:r>
        <w:rPr>
          <w:rFonts w:hint="default" w:ascii="Times New Roman" w:hAnsi="Times New Roman" w:eastAsia="宋体" w:cs="Times New Roman"/>
          <w:b/>
          <w:color w:val="1F497D"/>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C3F3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40" w:hRule="atLeast"/>
        </w:trPr>
        <w:tc>
          <w:tcPr>
            <w:tcW w:w="1843" w:type="dxa"/>
            <w:tcBorders>
              <w:top w:val="single" w:color="2666A3" w:sz="18" w:space="0"/>
              <w:left w:val="nil"/>
              <w:bottom w:val="dotted" w:color="2666A3" w:sz="4" w:space="0"/>
              <w:right w:val="dotted" w:color="2666A3" w:sz="4" w:space="0"/>
            </w:tcBorders>
            <w:shd w:val="clear" w:color="auto" w:fill="auto"/>
            <w:vAlign w:val="center"/>
          </w:tcPr>
          <w:p w14:paraId="2E6A336D">
            <w:pPr>
              <w:keepNext/>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突变形式</w:t>
            </w:r>
          </w:p>
        </w:tc>
        <w:tc>
          <w:tcPr>
            <w:tcW w:w="8027" w:type="dxa"/>
            <w:tcBorders>
              <w:top w:val="single" w:color="2666A3" w:sz="18" w:space="0"/>
              <w:left w:val="dotted" w:color="2666A3" w:sz="4" w:space="0"/>
              <w:bottom w:val="dotted" w:color="2666A3" w:sz="4" w:space="0"/>
              <w:right w:val="nil"/>
            </w:tcBorders>
            <w:vAlign w:val="center"/>
          </w:tcPr>
          <w:p w14:paraId="1F808350">
            <w:pPr>
              <w:keepNext/>
              <w:rPr>
                <w:rFonts w:hint="default" w:ascii="Times New Roman" w:hAnsi="Times New Roman" w:eastAsia="宋体" w:cs="Times New Roman"/>
                <w:sz w:val="18"/>
                <w:szCs w:val="18"/>
                <w:lang w:eastAsia="zh-CN"/>
              </w:rPr>
            </w:pPr>
            <w:r>
              <w:rPr>
                <w:rFonts w:hint="eastAsia" w:ascii="Times New Roman" w:hAnsi="Times New Roman" w:eastAsia="宋体" w:cs="Times New Roman"/>
                <w:color w:val="000000"/>
                <w:sz w:val="18"/>
                <w:szCs w:val="18"/>
                <w:lang w:val="en-US" w:eastAsia="zh-CN"/>
              </w:rPr>
              <w:t xml:space="preserve">{% if </w:t>
            </w:r>
            <w:r>
              <w:rPr>
                <w:rFonts w:hint="default" w:ascii="Times New Roman" w:hAnsi="Times New Roman" w:eastAsia="宋体" w:cs="Times New Roman"/>
                <w:color w:val="000000"/>
                <w:sz w:val="18"/>
                <w:szCs w:val="18"/>
                <w:lang w:eastAsia="zh-CN"/>
              </w:rPr>
              <w:t>vus.ori_variant</w:t>
            </w:r>
            <w:r>
              <w:rPr>
                <w:rFonts w:hint="eastAsia" w:ascii="Times New Roman" w:hAnsi="Times New Roman" w:eastAsia="宋体" w:cs="Times New Roman"/>
                <w:color w:val="000000"/>
                <w:sz w:val="18"/>
                <w:szCs w:val="18"/>
                <w:lang w:val="en-US" w:eastAsia="zh-CN"/>
              </w:rPr>
              <w:t xml:space="preserve"> == </w:t>
            </w:r>
            <w:r>
              <w:rPr>
                <w:rFonts w:hint="default" w:ascii="Times New Roman" w:hAnsi="Times New Roman" w:eastAsia="宋体" w:cs="Times New Roman"/>
                <w:color w:val="000000"/>
                <w:sz w:val="18"/>
                <w:szCs w:val="18"/>
                <w:lang w:val="en-US" w:eastAsia="zh-CN"/>
              </w:rPr>
              <w:t>‘</w:t>
            </w:r>
            <w:r>
              <w:rPr>
                <w:rFonts w:hint="eastAsia" w:ascii="Times New Roman" w:hAnsi="Times New Roman" w:eastAsia="宋体" w:cs="Times New Roman"/>
                <w:color w:val="000000"/>
                <w:sz w:val="18"/>
                <w:szCs w:val="18"/>
                <w:lang w:val="en-US" w:eastAsia="zh-CN"/>
              </w:rPr>
              <w:t>Amplification</w:t>
            </w:r>
            <w:r>
              <w:rPr>
                <w:rFonts w:hint="default" w:ascii="Times New Roman" w:hAnsi="Times New Roman" w:eastAsia="宋体" w:cs="Times New Roman"/>
                <w:color w:val="000000"/>
                <w:sz w:val="18"/>
                <w:szCs w:val="18"/>
                <w:lang w:val="en-US" w:eastAsia="zh-CN"/>
              </w:rPr>
              <w:t>’</w:t>
            </w:r>
            <w:r>
              <w:rPr>
                <w:rFonts w:hint="eastAsia" w:ascii="Times New Roman" w:hAnsi="Times New Roman" w:eastAsia="宋体" w:cs="Times New Roman"/>
                <w:color w:val="000000"/>
                <w:sz w:val="18"/>
                <w:szCs w:val="18"/>
                <w:lang w:val="en-US" w:eastAsia="zh-CN"/>
              </w:rPr>
              <w:t xml:space="preserve"> %}扩增</w:t>
            </w:r>
            <w:r>
              <w:rPr>
                <w:rFonts w:hint="eastAsia" w:ascii="Times New Roman" w:hAnsi="Times New Roman" w:eastAsia="宋体" w:cs="Times New Roman"/>
                <w:color w:val="000000"/>
                <w:sz w:val="18"/>
                <w:szCs w:val="18"/>
                <w:lang w:val="en-US" w:eastAsia="en-US"/>
              </w:rPr>
              <w:t xml:space="preserve">{% </w:t>
            </w:r>
            <w:r>
              <w:rPr>
                <w:rFonts w:hint="default" w:ascii="Times New Roman" w:hAnsi="Times New Roman" w:eastAsia="宋体" w:cs="Times New Roman"/>
                <w:color w:val="000000"/>
                <w:sz w:val="18"/>
                <w:szCs w:val="18"/>
                <w:lang w:eastAsia="zh-CN"/>
              </w:rPr>
              <w:t>else</w:t>
            </w:r>
            <w:r>
              <w:rPr>
                <w:rFonts w:hint="eastAsia" w:ascii="Times New Roman" w:hAnsi="Times New Roman" w:eastAsia="宋体" w:cs="Times New Roman"/>
                <w:color w:val="000000"/>
                <w:sz w:val="18"/>
                <w:szCs w:val="18"/>
                <w:lang w:val="en-US" w:eastAsia="zh-CN"/>
              </w:rPr>
              <w:t xml:space="preserve"> </w:t>
            </w:r>
            <w:r>
              <w:rPr>
                <w:rFonts w:hint="eastAsia" w:ascii="Times New Roman" w:hAnsi="Times New Roman" w:eastAsia="宋体" w:cs="Times New Roman"/>
                <w:color w:val="000000"/>
                <w:sz w:val="18"/>
                <w:szCs w:val="18"/>
                <w:lang w:val="en-US" w:eastAsia="en-US"/>
              </w:rPr>
              <w:t>%}</w:t>
            </w:r>
            <w:r>
              <w:rPr>
                <w:rFonts w:hint="eastAsia" w:ascii="Times New Roman" w:hAnsi="Times New Roman" w:eastAsia="宋体" w:cs="Times New Roman"/>
                <w:color w:val="000000"/>
                <w:sz w:val="18"/>
                <w:szCs w:val="18"/>
                <w:lang w:val="en-US" w:eastAsia="zh-CN"/>
              </w:rPr>
              <w:t xml:space="preserve">{{ </w:t>
            </w:r>
            <w:r>
              <w:rPr>
                <w:rFonts w:hint="default" w:ascii="Times New Roman" w:hAnsi="Times New Roman" w:eastAsia="宋体" w:cs="Times New Roman"/>
                <w:color w:val="000000"/>
                <w:sz w:val="18"/>
                <w:szCs w:val="18"/>
                <w:lang w:eastAsia="zh-CN"/>
              </w:rPr>
              <w:t>vus</w:t>
            </w:r>
            <w:r>
              <w:rPr>
                <w:rFonts w:hint="eastAsia" w:ascii="Times New Roman" w:hAnsi="Times New Roman" w:eastAsia="宋体" w:cs="Times New Roman"/>
                <w:color w:val="000000"/>
                <w:sz w:val="18"/>
                <w:szCs w:val="18"/>
                <w:lang w:val="en-US" w:eastAsia="zh-CN"/>
              </w:rPr>
              <w:t>.ori_variant }}</w:t>
            </w:r>
            <w:r>
              <w:rPr>
                <w:rFonts w:hint="eastAsia" w:ascii="Times New Roman" w:hAnsi="Times New Roman" w:eastAsia="宋体" w:cs="Times New Roman"/>
                <w:color w:val="000000"/>
                <w:sz w:val="18"/>
                <w:szCs w:val="18"/>
                <w:lang w:val="en-US" w:eastAsia="en-US"/>
              </w:rPr>
              <w:t>{% endif</w:t>
            </w:r>
            <w:r>
              <w:rPr>
                <w:rFonts w:hint="eastAsia" w:ascii="Times New Roman" w:hAnsi="Times New Roman" w:eastAsia="宋体" w:cs="Times New Roman"/>
                <w:color w:val="000000"/>
                <w:sz w:val="18"/>
                <w:szCs w:val="18"/>
                <w:lang w:val="en-US" w:eastAsia="zh-CN"/>
              </w:rPr>
              <w:t xml:space="preserve"> </w:t>
            </w:r>
            <w:r>
              <w:rPr>
                <w:rFonts w:hint="eastAsia" w:ascii="Times New Roman" w:hAnsi="Times New Roman" w:eastAsia="宋体" w:cs="Times New Roman"/>
                <w:color w:val="000000"/>
                <w:sz w:val="18"/>
                <w:szCs w:val="18"/>
                <w:lang w:val="en-US" w:eastAsia="en-US"/>
              </w:rPr>
              <w:t>%}</w:t>
            </w:r>
          </w:p>
        </w:tc>
      </w:tr>
      <w:tr w14:paraId="2A617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40" w:hRule="atLeast"/>
        </w:trPr>
        <w:tc>
          <w:tcPr>
            <w:tcW w:w="1843" w:type="dxa"/>
            <w:tcBorders>
              <w:top w:val="dotted" w:color="2666A3" w:sz="4" w:space="0"/>
              <w:left w:val="nil"/>
              <w:bottom w:val="dotted" w:color="2666A3" w:sz="4" w:space="0"/>
              <w:right w:val="dotted" w:color="2666A3" w:sz="4" w:space="0"/>
            </w:tcBorders>
            <w:shd w:val="clear" w:color="auto" w:fill="auto"/>
            <w:vAlign w:val="center"/>
          </w:tcPr>
          <w:p w14:paraId="2CFC5587">
            <w:pPr>
              <w:keepNext/>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突变说明</w:t>
            </w:r>
          </w:p>
        </w:tc>
        <w:tc>
          <w:tcPr>
            <w:tcW w:w="8027" w:type="dxa"/>
            <w:tcBorders>
              <w:top w:val="dotted" w:color="2666A3" w:sz="4" w:space="0"/>
              <w:left w:val="dotted" w:color="2666A3" w:sz="4" w:space="0"/>
              <w:bottom w:val="dotted" w:color="2666A3" w:sz="4" w:space="0"/>
              <w:right w:val="nil"/>
            </w:tcBorders>
            <w:vAlign w:val="center"/>
          </w:tcPr>
          <w:p w14:paraId="0CDF35C5">
            <w:pPr>
              <w:keepNext/>
              <w:rPr>
                <w:rFonts w:hint="default" w:ascii="Times New Roman" w:hAnsi="Times New Roman" w:eastAsia="宋体" w:cs="Times New Roman"/>
                <w:sz w:val="18"/>
                <w:szCs w:val="18"/>
                <w:lang w:eastAsia="zh-CN"/>
              </w:rPr>
            </w:pPr>
            <w:r>
              <w:rPr>
                <w:rFonts w:hint="default" w:ascii="Times New Roman" w:hAnsi="Times New Roman" w:eastAsia="宋体" w:cs="Times New Roman"/>
                <w:color w:val="000000"/>
                <w:sz w:val="18"/>
                <w:szCs w:val="18"/>
                <w:lang w:eastAsia="zh-CN"/>
              </w:rPr>
              <w:t>{{ vus.mutDesc }}</w:t>
            </w:r>
          </w:p>
        </w:tc>
      </w:tr>
      <w:tr w14:paraId="1BDB4A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40" w:hRule="atLeast"/>
        </w:trPr>
        <w:tc>
          <w:tcPr>
            <w:tcW w:w="1843" w:type="dxa"/>
            <w:tcBorders>
              <w:top w:val="dotted" w:color="2666A3" w:sz="4" w:space="0"/>
              <w:left w:val="nil"/>
              <w:bottom w:val="dotted" w:color="2666A3" w:sz="4" w:space="0"/>
              <w:right w:val="dotted" w:color="2666A3" w:sz="4" w:space="0"/>
            </w:tcBorders>
            <w:shd w:val="clear" w:color="auto" w:fill="auto"/>
            <w:vAlign w:val="center"/>
          </w:tcPr>
          <w:p w14:paraId="3FE45337">
            <w:pPr>
              <w:keepNext/>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基因说明</w:t>
            </w:r>
          </w:p>
        </w:tc>
        <w:tc>
          <w:tcPr>
            <w:tcW w:w="8027" w:type="dxa"/>
            <w:tcBorders>
              <w:top w:val="dotted" w:color="2666A3" w:sz="4" w:space="0"/>
              <w:left w:val="dotted" w:color="2666A3" w:sz="4" w:space="0"/>
              <w:bottom w:val="dotted" w:color="2666A3" w:sz="4" w:space="0"/>
              <w:right w:val="nil"/>
            </w:tcBorders>
            <w:vAlign w:val="center"/>
          </w:tcPr>
          <w:p w14:paraId="4F0BB70B">
            <w:pPr>
              <w:keepNext/>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vus.gene_description_chinese }}</w:t>
            </w:r>
          </w:p>
        </w:tc>
      </w:tr>
    </w:tbl>
    <w:p w14:paraId="123E205C">
      <w:pPr>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endfor %}{% for tdd in ComplexDrugStr</w:t>
      </w:r>
      <w:r>
        <w:rPr>
          <w:rFonts w:hint="default" w:ascii="Times New Roman" w:hAnsi="Times New Roman" w:eastAsia="宋体" w:cs="Times New Roman"/>
          <w:b/>
          <w:color w:val="2666A3"/>
          <w:sz w:val="24"/>
          <w:szCs w:val="24"/>
          <w:lang w:val="en-US" w:eastAsia="zh-CN"/>
        </w:rPr>
        <w:t xml:space="preserve"> </w:t>
      </w:r>
      <w:r>
        <w:rPr>
          <w:rFonts w:hint="default" w:ascii="Times New Roman" w:hAnsi="Times New Roman" w:eastAsia="宋体" w:cs="Times New Roman"/>
          <w:b/>
          <w:color w:val="2666A3"/>
          <w:sz w:val="24"/>
          <w:szCs w:val="24"/>
          <w:lang w:eastAsia="zh-CN"/>
        </w:rPr>
        <w:t>%}</w:t>
      </w:r>
    </w:p>
    <w:p w14:paraId="4F19D42A">
      <w:pPr>
        <w:keepNext/>
        <w:keepLines w:val="0"/>
        <w:pageBreakBefore w:val="0"/>
        <w:widowControl/>
        <w:kinsoku/>
        <w:wordWrap/>
        <w:overflowPunct/>
        <w:topLinePunct w:val="0"/>
        <w:autoSpaceDE/>
        <w:autoSpaceDN/>
        <w:bidi w:val="0"/>
        <w:adjustRightInd/>
        <w:snapToGrid/>
        <w:spacing w:before="0" w:beforeLines="100" w:line="260" w:lineRule="auto"/>
        <w:textAlignment w:val="auto"/>
        <w:rPr>
          <w:rFonts w:hint="default" w:ascii="Times New Roman" w:hAnsi="Times New Roman" w:eastAsia="宋体" w:cs="Times New Roman"/>
          <w:b/>
          <w:color w:val="1F497D"/>
          <w:sz w:val="24"/>
          <w:szCs w:val="24"/>
          <w:lang w:eastAsia="zh-CN"/>
        </w:rPr>
      </w:pPr>
      <w:r>
        <w:rPr>
          <w:rFonts w:hint="default" w:ascii="Times New Roman" w:hAnsi="Times New Roman" w:eastAsia="宋体" w:cs="Times New Roman"/>
          <w:b/>
          <w:color w:val="1F497D"/>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2B5D5D5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7B1C84EE">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突变形式</w:t>
            </w:r>
          </w:p>
        </w:tc>
        <w:tc>
          <w:tcPr>
            <w:tcW w:w="8247" w:type="dxa"/>
            <w:tcBorders>
              <w:tl2br w:val="nil"/>
              <w:tr2bl w:val="nil"/>
            </w:tcBorders>
            <w:vAlign w:val="center"/>
          </w:tcPr>
          <w:p w14:paraId="011E355C">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val="en-US" w:eastAsia="zh-CN"/>
              </w:rPr>
              <w:t>-</w:t>
            </w:r>
          </w:p>
        </w:tc>
      </w:tr>
      <w:tr w14:paraId="4CB16F0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083866F">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变异丰度</w:t>
            </w:r>
          </w:p>
        </w:tc>
        <w:tc>
          <w:tcPr>
            <w:tcW w:w="8247" w:type="dxa"/>
            <w:tcBorders>
              <w:tl2br w:val="nil"/>
              <w:tr2bl w:val="nil"/>
            </w:tcBorders>
            <w:vAlign w:val="center"/>
          </w:tcPr>
          <w:p w14:paraId="0F0F54EE">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tdd.mutFreq }}</w:t>
            </w:r>
          </w:p>
        </w:tc>
      </w:tr>
      <w:tr w14:paraId="3593101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2543C0A">
            <w:pPr>
              <w:spacing w:before="1" w:line="250" w:lineRule="auto"/>
              <w:jc w:val="center"/>
              <w:rPr>
                <w:rFonts w:hint="default" w:ascii="Times New Roman" w:hAnsi="Times New Roman" w:eastAsia="宋体" w:cs="Times New Roman"/>
                <w:color w:val="2666A3"/>
                <w:sz w:val="18"/>
                <w:szCs w:val="18"/>
                <w:lang w:eastAsia="zh-CN"/>
              </w:rPr>
            </w:pPr>
            <w:r>
              <w:rPr>
                <w:rFonts w:hint="default" w:ascii="Times New Roman" w:hAnsi="Times New Roman" w:eastAsia="宋体" w:cs="Times New Roman"/>
                <w:b/>
                <w:color w:val="2666A3"/>
                <w:sz w:val="18"/>
                <w:szCs w:val="18"/>
                <w:lang w:eastAsia="zh-CN"/>
              </w:rPr>
              <w:t>潜在获益药物</w:t>
            </w:r>
          </w:p>
        </w:tc>
        <w:tc>
          <w:tcPr>
            <w:tcW w:w="1191" w:type="dxa"/>
            <w:tcBorders>
              <w:tl2br w:val="nil"/>
              <w:tr2bl w:val="nil"/>
            </w:tcBorders>
            <w:shd w:val="clear" w:color="auto" w:fill="auto"/>
            <w:vAlign w:val="center"/>
          </w:tcPr>
          <w:p w14:paraId="0EF79D8E">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A级</w:t>
            </w:r>
          </w:p>
        </w:tc>
        <w:tc>
          <w:tcPr>
            <w:tcW w:w="8247" w:type="dxa"/>
            <w:tcBorders>
              <w:tl2br w:val="nil"/>
              <w:tr2bl w:val="nil"/>
            </w:tcBorders>
            <w:shd w:val="clear" w:color="auto" w:fill="auto"/>
            <w:vAlign w:val="center"/>
          </w:tcPr>
          <w:p w14:paraId="3459BF3E">
            <w:pPr>
              <w:spacing w:before="1" w:line="250" w:lineRule="auto"/>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tdd.drugaStr == [] %}无{% else%}{% for d in tdd.drugaStr %}{%if loop.last%}{{ d.nameLevel }}{%else%}{{ d.nameLevel }}，{%endif%}{% endfor %}{% endif%}</w:t>
            </w:r>
          </w:p>
        </w:tc>
      </w:tr>
      <w:tr w14:paraId="373EE2E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03582DE">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6FCA3924">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B级</w:t>
            </w:r>
          </w:p>
        </w:tc>
        <w:tc>
          <w:tcPr>
            <w:tcW w:w="8247" w:type="dxa"/>
            <w:tcBorders>
              <w:tl2br w:val="nil"/>
              <w:tr2bl w:val="nil"/>
            </w:tcBorders>
            <w:shd w:val="clear" w:color="auto" w:fill="auto"/>
            <w:vAlign w:val="center"/>
          </w:tcPr>
          <w:p w14:paraId="36CE24F6">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tdd.drugbStr == [] %}无{% else%}{% for d in tdd.drugbStr %}{%if loop.last%}{{ d.nameLevel }}{%else%}{{ d.nameLevel }}，{%endif%}{% endfor %}{% endif%}</w:t>
            </w:r>
          </w:p>
        </w:tc>
      </w:tr>
      <w:tr w14:paraId="55552A5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B7F73D">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0D0967A5">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C级</w:t>
            </w:r>
          </w:p>
        </w:tc>
        <w:tc>
          <w:tcPr>
            <w:tcW w:w="8247" w:type="dxa"/>
            <w:tcBorders>
              <w:tl2br w:val="nil"/>
              <w:tr2bl w:val="nil"/>
            </w:tcBorders>
            <w:shd w:val="clear" w:color="auto" w:fill="auto"/>
            <w:vAlign w:val="center"/>
          </w:tcPr>
          <w:p w14:paraId="4060E1BF">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tdd.drugcStr == [] %}无{% else%}{% for d in tdd.drugcStr %}{%if loop.last%}{{ d.nameLevel }}{%else%}{{ d.nameLevel }}，{%endif%}{% endfor %}{% endif%}</w:t>
            </w:r>
          </w:p>
        </w:tc>
      </w:tr>
      <w:tr w14:paraId="48DE7F5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E30D115">
            <w:pPr>
              <w:spacing w:before="1" w:line="250" w:lineRule="auto"/>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775C7940">
            <w:pPr>
              <w:spacing w:before="1" w:line="250" w:lineRule="auto"/>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D级</w:t>
            </w:r>
          </w:p>
        </w:tc>
        <w:tc>
          <w:tcPr>
            <w:tcW w:w="8247" w:type="dxa"/>
            <w:tcBorders>
              <w:tl2br w:val="nil"/>
              <w:tr2bl w:val="nil"/>
            </w:tcBorders>
            <w:shd w:val="clear" w:color="auto" w:fill="auto"/>
            <w:vAlign w:val="center"/>
          </w:tcPr>
          <w:p w14:paraId="07FE0FDE">
            <w:pPr>
              <w:keepNext/>
              <w:spacing w:before="26"/>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sz w:val="18"/>
                <w:szCs w:val="18"/>
                <w:lang w:eastAsia="zh-CN"/>
              </w:rPr>
              <w:t>{% if tdd.drugdStr == [] %}无{% else%}{% for d in tdd.drugdStr %}{%if loop.last%}{{ d.nameLevel }}{%else%}{{ d.nameLevel }}，{%endif%}{% endfor %}{% endif%}</w:t>
            </w:r>
          </w:p>
        </w:tc>
      </w:tr>
      <w:tr w14:paraId="38E5942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C35DC44">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潜在耐药信息</w:t>
            </w:r>
          </w:p>
        </w:tc>
        <w:tc>
          <w:tcPr>
            <w:tcW w:w="1191" w:type="dxa"/>
            <w:tcBorders>
              <w:tl2br w:val="nil"/>
              <w:tr2bl w:val="nil"/>
            </w:tcBorders>
            <w:shd w:val="clear" w:color="auto" w:fill="auto"/>
            <w:vAlign w:val="center"/>
          </w:tcPr>
          <w:p w14:paraId="0D63820C">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A级</w:t>
            </w:r>
          </w:p>
        </w:tc>
        <w:tc>
          <w:tcPr>
            <w:tcW w:w="8247" w:type="dxa"/>
            <w:tcBorders>
              <w:tl2br w:val="nil"/>
              <w:tr2bl w:val="nil"/>
            </w:tcBorders>
            <w:shd w:val="clear" w:color="auto" w:fill="auto"/>
            <w:vAlign w:val="center"/>
          </w:tcPr>
          <w:p w14:paraId="78EB38EB">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tdd.resistantaStr == [] %}无{% else%}{% for d in tdd.resistantaStr %}{%if loop.last%}{{ d.nameLevel }}{%else%}{{ d.nameLevel }}，{%endif%}{% endfor %}{% endif%}</w:t>
            </w:r>
          </w:p>
        </w:tc>
      </w:tr>
      <w:tr w14:paraId="6BF825A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4E76C47">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2E942CDE">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B级</w:t>
            </w:r>
          </w:p>
        </w:tc>
        <w:tc>
          <w:tcPr>
            <w:tcW w:w="8247" w:type="dxa"/>
            <w:tcBorders>
              <w:tl2br w:val="nil"/>
              <w:tr2bl w:val="nil"/>
            </w:tcBorders>
            <w:shd w:val="clear" w:color="auto" w:fill="auto"/>
            <w:vAlign w:val="center"/>
          </w:tcPr>
          <w:p w14:paraId="5429B4CF">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tdd.resistantbStr == [] %}无{% else%}{% for d in tdd.resistantbStr %}{%if loop.last%}{{ d.nameLevel }}{%else%}{{ d.nameLevel }}，{%endif%}{% endfor %}{% endif%}</w:t>
            </w:r>
          </w:p>
        </w:tc>
      </w:tr>
      <w:tr w14:paraId="15A2812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31495C0">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7A0C7B65">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C级</w:t>
            </w:r>
          </w:p>
        </w:tc>
        <w:tc>
          <w:tcPr>
            <w:tcW w:w="8247" w:type="dxa"/>
            <w:tcBorders>
              <w:tl2br w:val="nil"/>
              <w:tr2bl w:val="nil"/>
            </w:tcBorders>
            <w:shd w:val="clear" w:color="auto" w:fill="auto"/>
            <w:vAlign w:val="center"/>
          </w:tcPr>
          <w:p w14:paraId="2A433E77">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tdd.resistantcStr == [] %}无{% else%}{% for d in tdd.resistantcStr %}{%if loop.last%}{{ d.nameLevel }}{%else%}{{ d.nameLevel }}，{%endif%}{% endfor %}{% endif%}</w:t>
            </w:r>
          </w:p>
        </w:tc>
      </w:tr>
      <w:tr w14:paraId="4EE9EAC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820AB2E">
            <w:pPr>
              <w:keepNext/>
              <w:spacing w:before="26"/>
              <w:jc w:val="center"/>
              <w:rPr>
                <w:rFonts w:hint="default" w:ascii="Times New Roman" w:hAnsi="Times New Roman" w:eastAsia="宋体" w:cs="Times New Roman"/>
                <w:b/>
                <w:color w:val="2666A3"/>
                <w:sz w:val="18"/>
                <w:szCs w:val="18"/>
                <w:lang w:eastAsia="zh-CN"/>
              </w:rPr>
            </w:pPr>
          </w:p>
        </w:tc>
        <w:tc>
          <w:tcPr>
            <w:tcW w:w="1191" w:type="dxa"/>
            <w:tcBorders>
              <w:tl2br w:val="nil"/>
              <w:tr2bl w:val="nil"/>
            </w:tcBorders>
            <w:shd w:val="clear" w:color="auto" w:fill="auto"/>
            <w:vAlign w:val="center"/>
          </w:tcPr>
          <w:p w14:paraId="007A68BC">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D级</w:t>
            </w:r>
          </w:p>
        </w:tc>
        <w:tc>
          <w:tcPr>
            <w:tcW w:w="8247" w:type="dxa"/>
            <w:tcBorders>
              <w:tl2br w:val="nil"/>
              <w:tr2bl w:val="nil"/>
            </w:tcBorders>
            <w:shd w:val="clear" w:color="auto" w:fill="auto"/>
            <w:vAlign w:val="center"/>
          </w:tcPr>
          <w:p w14:paraId="317986B4">
            <w:pPr>
              <w:keepNext/>
              <w:spacing w:before="26"/>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if tdd.resistantdStr == [] %}无{% else%}{% for d in tdd.resistantdStr %}{%if loop.last%}{{ d.nameLevel }}{%else%}{{ d.nameLevel }}，{%endif%}{% endfor %}{% endif%}</w:t>
            </w:r>
          </w:p>
        </w:tc>
      </w:tr>
      <w:tr w14:paraId="3DCFFC6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72B6D46">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基因突变相关说明</w:t>
            </w:r>
          </w:p>
        </w:tc>
        <w:tc>
          <w:tcPr>
            <w:tcW w:w="8247" w:type="dxa"/>
            <w:tcBorders>
              <w:tl2br w:val="nil"/>
              <w:tr2bl w:val="nil"/>
            </w:tcBorders>
            <w:vAlign w:val="center"/>
          </w:tcPr>
          <w:p w14:paraId="346237DA">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for md in tdd.medicationDescription %}{% if md.key == '突变说明:' %}</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 elif md.value == '' %}{% else%}</w:t>
            </w:r>
            <w:r>
              <w:rPr>
                <w:rFonts w:hint="default" w:ascii="Times New Roman" w:hAnsi="Times New Roman" w:eastAsia="宋体" w:cs="Times New Roman"/>
                <w:b/>
                <w:bCs/>
                <w:sz w:val="18"/>
                <w:szCs w:val="18"/>
                <w:lang w:eastAsia="zh-CN"/>
              </w:rPr>
              <w:t>{{md.key}}</w:t>
            </w:r>
            <w:r>
              <w:rPr>
                <w:rFonts w:hint="default" w:ascii="Times New Roman" w:hAnsi="Times New Roman" w:eastAsia="宋体" w:cs="Times New Roman"/>
                <w:sz w:val="18"/>
                <w:szCs w:val="18"/>
                <w:lang w:eastAsia="zh-CN"/>
              </w:rPr>
              <w:t>{{md.value}}</w:t>
            </w:r>
          </w:p>
          <w:p w14:paraId="26E8D354">
            <w:pPr>
              <w:keepNext/>
              <w:spacing w:before="26"/>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endif %}{% endfor %}</w:t>
            </w:r>
          </w:p>
        </w:tc>
      </w:tr>
    </w:tbl>
    <w:p w14:paraId="59482578">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{%if tdd.drugResearchList != [] %}</w:t>
      </w:r>
    </w:p>
    <w:p w14:paraId="46EECD18">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232"/>
        <w:gridCol w:w="5695"/>
      </w:tblGrid>
      <w:tr w14:paraId="03EC4DF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5F60A86">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药物名称</w:t>
            </w:r>
          </w:p>
        </w:tc>
        <w:tc>
          <w:tcPr>
            <w:tcW w:w="1417" w:type="dxa"/>
            <w:tcBorders>
              <w:tl2br w:val="nil"/>
              <w:tr2bl w:val="nil"/>
            </w:tcBorders>
            <w:shd w:val="clear" w:color="auto" w:fill="auto"/>
            <w:vAlign w:val="center"/>
          </w:tcPr>
          <w:p w14:paraId="4C21D5E6">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相关疾病</w:t>
            </w:r>
          </w:p>
        </w:tc>
        <w:tc>
          <w:tcPr>
            <w:tcW w:w="1232" w:type="dxa"/>
            <w:tcBorders>
              <w:tl2br w:val="nil"/>
              <w:tr2bl w:val="nil"/>
            </w:tcBorders>
            <w:shd w:val="clear" w:color="auto" w:fill="auto"/>
            <w:vAlign w:val="center"/>
          </w:tcPr>
          <w:p w14:paraId="0BB332A8">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证据等级</w:t>
            </w:r>
          </w:p>
        </w:tc>
        <w:tc>
          <w:tcPr>
            <w:tcW w:w="5695" w:type="dxa"/>
            <w:tcBorders>
              <w:tl2br w:val="nil"/>
              <w:tr2bl w:val="nil"/>
            </w:tcBorders>
            <w:shd w:val="clear" w:color="auto" w:fill="auto"/>
            <w:vAlign w:val="center"/>
          </w:tcPr>
          <w:p w14:paraId="202CD130">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循证医学信息</w:t>
            </w:r>
          </w:p>
        </w:tc>
      </w:tr>
      <w:tr w14:paraId="7B160D0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FD5D3E6">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color w:val="2666A3"/>
                <w:sz w:val="18"/>
                <w:szCs w:val="18"/>
                <w:lang w:eastAsia="zh-CN"/>
              </w:rPr>
              <w:t>{%tr for dis in tdd.drugResearchList %}</w:t>
            </w:r>
          </w:p>
        </w:tc>
      </w:tr>
      <w:tr w14:paraId="6668068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434A198">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l2br w:val="nil"/>
              <w:tr2bl w:val="nil"/>
            </w:tcBorders>
            <w:vAlign w:val="center"/>
          </w:tcPr>
          <w:p w14:paraId="494D07A5">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32" w:type="dxa"/>
            <w:tcBorders>
              <w:tl2br w:val="nil"/>
              <w:tr2bl w:val="nil"/>
            </w:tcBorders>
            <w:vAlign w:val="center"/>
          </w:tcPr>
          <w:p w14:paraId="0D027026">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95" w:type="dxa"/>
            <w:tcBorders>
              <w:tl2br w:val="nil"/>
              <w:tr2bl w:val="nil"/>
            </w:tcBorders>
            <w:vAlign w:val="center"/>
          </w:tcPr>
          <w:p w14:paraId="20FE37B0">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3D3DCB2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1AADCBE">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color w:val="2666A3"/>
                <w:sz w:val="18"/>
                <w:szCs w:val="18"/>
                <w:lang w:eastAsia="zh-CN"/>
              </w:rPr>
              <w:t>{%tr endfor %}</w:t>
            </w:r>
          </w:p>
        </w:tc>
      </w:tr>
    </w:tbl>
    <w:p w14:paraId="6DF0627B">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endif %}{%if tdd.potentialDrugList != [] %}</w:t>
      </w:r>
    </w:p>
    <w:p w14:paraId="7BDEB21D">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潜在耐药研究信息：</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261"/>
        <w:gridCol w:w="5666"/>
      </w:tblGrid>
      <w:tr w14:paraId="68A5E6D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4D8C716">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药物名称</w:t>
            </w:r>
          </w:p>
        </w:tc>
        <w:tc>
          <w:tcPr>
            <w:tcW w:w="1417" w:type="dxa"/>
            <w:tcBorders>
              <w:tl2br w:val="nil"/>
              <w:tr2bl w:val="nil"/>
            </w:tcBorders>
            <w:shd w:val="clear" w:color="auto" w:fill="auto"/>
            <w:vAlign w:val="center"/>
          </w:tcPr>
          <w:p w14:paraId="5634B1BC">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相关疾病</w:t>
            </w:r>
          </w:p>
        </w:tc>
        <w:tc>
          <w:tcPr>
            <w:tcW w:w="1261" w:type="dxa"/>
            <w:tcBorders>
              <w:tl2br w:val="nil"/>
              <w:tr2bl w:val="nil"/>
            </w:tcBorders>
            <w:shd w:val="clear" w:color="auto" w:fill="auto"/>
            <w:vAlign w:val="center"/>
          </w:tcPr>
          <w:p w14:paraId="1A459BA0">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证据等级</w:t>
            </w:r>
          </w:p>
        </w:tc>
        <w:tc>
          <w:tcPr>
            <w:tcW w:w="5666" w:type="dxa"/>
            <w:tcBorders>
              <w:tl2br w:val="nil"/>
              <w:tr2bl w:val="nil"/>
            </w:tcBorders>
            <w:shd w:val="clear" w:color="auto" w:fill="auto"/>
            <w:vAlign w:val="center"/>
          </w:tcPr>
          <w:p w14:paraId="68B6BF0B">
            <w:pPr>
              <w:keepNext/>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循证医学信息</w:t>
            </w:r>
          </w:p>
        </w:tc>
      </w:tr>
      <w:tr w14:paraId="2C71519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2AB09B5">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b/>
                <w:color w:val="2666A3"/>
                <w:sz w:val="18"/>
                <w:szCs w:val="18"/>
                <w:lang w:eastAsia="zh-CN"/>
              </w:rPr>
              <w:t>{%tr for dis in tdd.potentialDrugList %}</w:t>
            </w:r>
          </w:p>
        </w:tc>
      </w:tr>
      <w:tr w14:paraId="7144D08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0E7948">
            <w:pPr>
              <w:spacing w:before="1" w:line="249" w:lineRule="auto"/>
              <w:ind w:right="131"/>
              <w:jc w:val="center"/>
              <w:rPr>
                <w:rFonts w:hint="default" w:ascii="Times New Roman" w:hAnsi="Times New Roman" w:eastAsia="宋体" w:cs="Times New Roman"/>
                <w:b/>
                <w:sz w:val="18"/>
                <w:szCs w:val="18"/>
                <w:highlight w:val="yellow"/>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dis.drug_name_chinese3</w:t>
            </w:r>
            <w:r>
              <w:rPr>
                <w:rFonts w:hint="default" w:ascii="Times New Roman" w:hAnsi="Times New Roman" w:eastAsia="宋体" w:cs="Times New Roman"/>
                <w:sz w:val="18"/>
                <w:szCs w:val="18"/>
                <w:lang w:eastAsia="zh-CN"/>
              </w:rPr>
              <w:t xml:space="preserve"> }}</w:t>
            </w:r>
          </w:p>
        </w:tc>
        <w:tc>
          <w:tcPr>
            <w:tcW w:w="1417" w:type="dxa"/>
            <w:tcBorders>
              <w:tl2br w:val="nil"/>
              <w:tr2bl w:val="nil"/>
            </w:tcBorders>
            <w:vAlign w:val="center"/>
          </w:tcPr>
          <w:p w14:paraId="496E083C">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{{dis.</w:t>
            </w:r>
            <w:r>
              <w:rPr>
                <w:rFonts w:hint="default" w:ascii="Times New Roman" w:hAnsi="Times New Roman" w:eastAsia="宋体" w:cs="Times New Roman"/>
                <w:bCs/>
                <w:sz w:val="18"/>
                <w:szCs w:val="18"/>
                <w:lang w:eastAsia="zh-CN"/>
              </w:rPr>
              <w:t>disease_name_chinese</w:t>
            </w:r>
            <w:r>
              <w:rPr>
                <w:rFonts w:hint="default" w:ascii="Times New Roman" w:hAnsi="Times New Roman" w:eastAsia="宋体" w:cs="Times New Roman"/>
                <w:sz w:val="18"/>
                <w:szCs w:val="18"/>
                <w:lang w:eastAsia="zh-CN"/>
              </w:rPr>
              <w:t>}}</w:t>
            </w:r>
          </w:p>
        </w:tc>
        <w:tc>
          <w:tcPr>
            <w:tcW w:w="1261" w:type="dxa"/>
            <w:tcBorders>
              <w:tl2br w:val="nil"/>
              <w:tr2bl w:val="nil"/>
            </w:tcBorders>
            <w:vAlign w:val="center"/>
          </w:tcPr>
          <w:p w14:paraId="735C8D98">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dis.evidence_phase_chinese</w:t>
            </w:r>
            <w:r>
              <w:rPr>
                <w:rFonts w:hint="default" w:ascii="Times New Roman" w:hAnsi="Times New Roman" w:eastAsia="宋体" w:cs="Times New Roman"/>
                <w:sz w:val="18"/>
                <w:szCs w:val="18"/>
                <w:lang w:eastAsia="zh-CN"/>
              </w:rPr>
              <w:t>}}</w:t>
            </w:r>
          </w:p>
        </w:tc>
        <w:tc>
          <w:tcPr>
            <w:tcW w:w="5666" w:type="dxa"/>
            <w:tcBorders>
              <w:tl2br w:val="nil"/>
              <w:tr2bl w:val="nil"/>
            </w:tcBorders>
            <w:vAlign w:val="center"/>
          </w:tcPr>
          <w:p w14:paraId="66A5EEBA">
            <w:pPr>
              <w:keepNext/>
              <w:spacing w:before="26"/>
              <w:jc w:val="center"/>
              <w:rPr>
                <w:rFonts w:hint="default" w:ascii="Times New Roman" w:hAnsi="Times New Roman" w:eastAsia="宋体" w:cs="Times New Roman"/>
                <w:bCs/>
                <w:sz w:val="18"/>
                <w:szCs w:val="18"/>
                <w:highlight w:val="yellow"/>
                <w:lang w:eastAsia="zh-CN"/>
              </w:rPr>
            </w:pPr>
            <w:r>
              <w:rPr>
                <w:rFonts w:hint="default" w:ascii="Times New Roman" w:hAnsi="Times New Roman" w:eastAsia="宋体" w:cs="Times New Roman"/>
                <w:sz w:val="18"/>
                <w:szCs w:val="18"/>
                <w:lang w:eastAsia="zh-CN"/>
              </w:rPr>
              <w:t>{{</w:t>
            </w:r>
            <w:r>
              <w:rPr>
                <w:rFonts w:hint="default" w:ascii="Times New Roman" w:hAnsi="Times New Roman" w:eastAsia="宋体" w:cs="Times New Roman"/>
                <w:bCs/>
                <w:sz w:val="18"/>
                <w:szCs w:val="18"/>
                <w:lang w:eastAsia="zh-CN"/>
              </w:rPr>
              <w:t>dis.annotation_chinese</w:t>
            </w:r>
            <w:r>
              <w:rPr>
                <w:rFonts w:hint="default" w:ascii="Times New Roman" w:hAnsi="Times New Roman" w:eastAsia="宋体" w:cs="Times New Roman"/>
                <w:sz w:val="18"/>
                <w:szCs w:val="18"/>
                <w:lang w:eastAsia="zh-CN"/>
              </w:rPr>
              <w:t>}}</w:t>
            </w:r>
          </w:p>
        </w:tc>
      </w:tr>
      <w:tr w14:paraId="12F58C59">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D24B55B">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color w:val="2666A3"/>
                <w:sz w:val="18"/>
                <w:szCs w:val="18"/>
                <w:lang w:eastAsia="zh-CN"/>
              </w:rPr>
              <w:t>{%tr endfor %}</w:t>
            </w:r>
          </w:p>
        </w:tc>
      </w:tr>
    </w:tbl>
    <w:p w14:paraId="3BF92695">
      <w:pPr>
        <w:spacing w:before="26"/>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endif %}{%if tdd.clinicalTrialInformationStr!= [] %}</w:t>
      </w:r>
    </w:p>
    <w:p w14:paraId="27923029">
      <w:pPr>
        <w:keepNext/>
        <w:spacing w:before="26"/>
        <w:rPr>
          <w:rFonts w:hint="default" w:ascii="Times New Roman" w:hAnsi="Times New Roman" w:eastAsia="宋体" w:cs="Times New Roman"/>
          <w:b/>
          <w:color w:val="1F497D"/>
          <w:sz w:val="24"/>
          <w:lang w:eastAsia="zh-CN"/>
        </w:rPr>
      </w:pPr>
      <w:r>
        <w:rPr>
          <w:rFonts w:hint="default" w:ascii="Times New Roman" w:hAnsi="Times New Roman" w:eastAsia="宋体" w:cs="Times New Roman"/>
          <w:b/>
          <w:color w:val="1F497D"/>
          <w:sz w:val="24"/>
          <w:lang w:eastAsia="zh-CN"/>
        </w:rPr>
        <w:t>临床试验信息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0CE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2666A3" w:sz="18" w:space="0"/>
              <w:left w:val="nil"/>
              <w:bottom w:val="dotted" w:color="2666A3" w:sz="4" w:space="0"/>
              <w:right w:val="dotted" w:color="2666A3" w:sz="4" w:space="0"/>
            </w:tcBorders>
            <w:shd w:val="clear" w:color="auto" w:fill="auto"/>
            <w:vAlign w:val="center"/>
          </w:tcPr>
          <w:p w14:paraId="3752149E">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ID</w:t>
            </w:r>
          </w:p>
        </w:tc>
        <w:tc>
          <w:tcPr>
            <w:tcW w:w="388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D3AC40C">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临床试验名称</w:t>
            </w:r>
          </w:p>
        </w:tc>
        <w:tc>
          <w:tcPr>
            <w:tcW w:w="1246"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55274C2F">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肿瘤类型</w:t>
            </w:r>
          </w:p>
        </w:tc>
        <w:tc>
          <w:tcPr>
            <w:tcW w:w="1035"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11DB136E">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阶段</w:t>
            </w:r>
          </w:p>
        </w:tc>
        <w:tc>
          <w:tcPr>
            <w:tcW w:w="120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3936EB01">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药物</w:t>
            </w:r>
          </w:p>
        </w:tc>
        <w:tc>
          <w:tcPr>
            <w:tcW w:w="856" w:type="dxa"/>
            <w:tcBorders>
              <w:top w:val="single" w:color="2666A3" w:sz="18" w:space="0"/>
              <w:left w:val="dotted" w:color="2666A3" w:sz="4" w:space="0"/>
              <w:bottom w:val="dotted" w:color="2666A3" w:sz="4" w:space="0"/>
              <w:right w:val="nil"/>
            </w:tcBorders>
            <w:shd w:val="clear" w:color="auto" w:fill="auto"/>
            <w:vAlign w:val="center"/>
          </w:tcPr>
          <w:p w14:paraId="224229F7">
            <w:pPr>
              <w:keepNext/>
              <w:spacing w:before="26"/>
              <w:jc w:val="center"/>
              <w:rPr>
                <w:rFonts w:hint="default" w:ascii="Times New Roman" w:hAnsi="Times New Roman" w:eastAsia="宋体" w:cs="Times New Roman"/>
                <w:b/>
                <w:color w:val="2666A3"/>
                <w:sz w:val="18"/>
                <w:szCs w:val="18"/>
                <w:lang w:eastAsia="zh-CN"/>
              </w:rPr>
            </w:pPr>
            <w:r>
              <w:rPr>
                <w:rFonts w:hint="default" w:ascii="Times New Roman" w:hAnsi="Times New Roman" w:eastAsia="宋体" w:cs="Times New Roman"/>
                <w:b/>
                <w:color w:val="2666A3"/>
                <w:sz w:val="18"/>
                <w:szCs w:val="18"/>
                <w:lang w:eastAsia="zh-CN"/>
              </w:rPr>
              <w:t>地点</w:t>
            </w:r>
          </w:p>
        </w:tc>
      </w:tr>
      <w:tr w14:paraId="2BBCFF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dotted" w:color="2666A3" w:sz="4" w:space="0"/>
              <w:bottom w:val="dotted" w:color="2666A3" w:sz="4" w:space="0"/>
            </w:tcBorders>
            <w:vAlign w:val="center"/>
          </w:tcPr>
          <w:p w14:paraId="3328D169">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
                <w:sz w:val="18"/>
                <w:szCs w:val="18"/>
                <w:lang w:eastAsia="zh-CN"/>
              </w:rPr>
              <w:t>{%tr for cti in tdd.clinicalTrialInformationStr %}</w:t>
            </w:r>
          </w:p>
        </w:tc>
      </w:tr>
      <w:tr w14:paraId="68420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dotted" w:color="2666A3" w:sz="4" w:space="0"/>
              <w:bottom w:val="dotted" w:color="2666A3" w:sz="4" w:space="0"/>
              <w:right w:val="dotted" w:color="2666A3" w:sz="4" w:space="0"/>
            </w:tcBorders>
            <w:vAlign w:val="center"/>
          </w:tcPr>
          <w:p w14:paraId="69B7BC5C">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cti.clinical_trial_id }}</w:t>
            </w:r>
          </w:p>
        </w:tc>
        <w:tc>
          <w:tcPr>
            <w:tcW w:w="3884" w:type="dxa"/>
            <w:tcBorders>
              <w:top w:val="dotted" w:color="2666A3" w:sz="4" w:space="0"/>
              <w:left w:val="dotted" w:color="2666A3" w:sz="4" w:space="0"/>
              <w:bottom w:val="dotted" w:color="2666A3" w:sz="4" w:space="0"/>
              <w:right w:val="dotted" w:color="2666A3" w:sz="4" w:space="0"/>
            </w:tcBorders>
            <w:vAlign w:val="center"/>
          </w:tcPr>
          <w:p w14:paraId="5F1EF577">
            <w:pPr>
              <w:keepNext/>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cti.title_chinese }}</w:t>
            </w:r>
          </w:p>
        </w:tc>
        <w:tc>
          <w:tcPr>
            <w:tcW w:w="1246" w:type="dxa"/>
            <w:tcBorders>
              <w:top w:val="dotted" w:color="2666A3" w:sz="4" w:space="0"/>
              <w:left w:val="dotted" w:color="2666A3" w:sz="4" w:space="0"/>
              <w:bottom w:val="dotted" w:color="2666A3" w:sz="4" w:space="0"/>
              <w:right w:val="dotted" w:color="2666A3" w:sz="4" w:space="0"/>
            </w:tcBorders>
            <w:vAlign w:val="center"/>
          </w:tcPr>
          <w:p w14:paraId="3B0630E2">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cti.condition_chinese }}</w:t>
            </w:r>
          </w:p>
        </w:tc>
        <w:tc>
          <w:tcPr>
            <w:tcW w:w="1035" w:type="dxa"/>
            <w:tcBorders>
              <w:top w:val="dotted" w:color="2666A3" w:sz="4" w:space="0"/>
              <w:left w:val="dotted" w:color="2666A3" w:sz="4" w:space="0"/>
              <w:bottom w:val="dotted" w:color="2666A3" w:sz="4" w:space="0"/>
              <w:right w:val="dotted" w:color="2666A3" w:sz="4" w:space="0"/>
            </w:tcBorders>
            <w:vAlign w:val="center"/>
          </w:tcPr>
          <w:p w14:paraId="59885340">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cti.phase }}</w:t>
            </w:r>
          </w:p>
        </w:tc>
        <w:tc>
          <w:tcPr>
            <w:tcW w:w="1204" w:type="dxa"/>
            <w:tcBorders>
              <w:top w:val="dotted" w:color="2666A3" w:sz="4" w:space="0"/>
              <w:left w:val="dotted" w:color="2666A3" w:sz="4" w:space="0"/>
              <w:bottom w:val="dotted" w:color="2666A3" w:sz="4" w:space="0"/>
              <w:right w:val="dotted" w:color="2666A3" w:sz="4" w:space="0"/>
            </w:tcBorders>
            <w:vAlign w:val="center"/>
          </w:tcPr>
          <w:p w14:paraId="0CAA3914">
            <w:pPr>
              <w:spacing w:before="1" w:line="249" w:lineRule="auto"/>
              <w:ind w:right="131"/>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 xml:space="preserve">{% for d in </w:t>
            </w:r>
            <w:r>
              <w:rPr>
                <w:rFonts w:hint="default" w:ascii="Times New Roman" w:hAnsi="Times New Roman" w:eastAsia="宋体" w:cs="Times New Roman"/>
                <w:bCs/>
                <w:sz w:val="18"/>
                <w:szCs w:val="18"/>
                <w:lang w:eastAsia="zh-CN"/>
              </w:rPr>
              <w:t>cti.drug_name_chinese</w:t>
            </w:r>
            <w:r>
              <w:rPr>
                <w:rFonts w:hint="default" w:ascii="Times New Roman" w:hAnsi="Times New Roman" w:eastAsia="宋体" w:cs="Times New Roman"/>
                <w:sz w:val="18"/>
                <w:szCs w:val="18"/>
                <w:lang w:eastAsia="zh-CN"/>
              </w:rPr>
              <w:t xml:space="preserve"> %}{%if loop.last%}{{ d.name }}{%else%}{{ d.name }}</w:t>
            </w:r>
          </w:p>
          <w:p w14:paraId="20F80039">
            <w:pPr>
              <w:keepNext/>
              <w:jc w:val="center"/>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{%endif%}{% endfor %}</w:t>
            </w:r>
          </w:p>
        </w:tc>
        <w:tc>
          <w:tcPr>
            <w:tcW w:w="856" w:type="dxa"/>
            <w:tcBorders>
              <w:top w:val="dotted" w:color="2666A3" w:sz="4" w:space="0"/>
              <w:left w:val="dotted" w:color="2666A3" w:sz="4" w:space="0"/>
              <w:bottom w:val="dotted" w:color="2666A3" w:sz="4" w:space="0"/>
            </w:tcBorders>
            <w:vAlign w:val="center"/>
          </w:tcPr>
          <w:p w14:paraId="1ACB2732">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 cti.location_chinese }}</w:t>
            </w:r>
          </w:p>
        </w:tc>
      </w:tr>
      <w:tr w14:paraId="1357F1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dotted" w:color="2666A3" w:sz="4" w:space="0"/>
              <w:bottom w:val="dotted" w:color="2666A3" w:sz="4" w:space="0"/>
            </w:tcBorders>
            <w:vAlign w:val="center"/>
          </w:tcPr>
          <w:p w14:paraId="7D58497C">
            <w:pPr>
              <w:keepNext/>
              <w:spacing w:before="26"/>
              <w:jc w:val="center"/>
              <w:rPr>
                <w:rFonts w:hint="default" w:ascii="Times New Roman" w:hAnsi="Times New Roman" w:eastAsia="宋体" w:cs="Times New Roman"/>
                <w:bCs/>
                <w:sz w:val="18"/>
                <w:szCs w:val="18"/>
                <w:lang w:eastAsia="zh-CN"/>
              </w:rPr>
            </w:pPr>
            <w:r>
              <w:rPr>
                <w:rFonts w:hint="default" w:ascii="Times New Roman" w:hAnsi="Times New Roman" w:eastAsia="宋体" w:cs="Times New Roman"/>
                <w:bCs/>
                <w:sz w:val="18"/>
                <w:szCs w:val="18"/>
                <w:lang w:eastAsia="zh-CN"/>
              </w:rPr>
              <w:t>{%tr endfor %}</w:t>
            </w:r>
          </w:p>
        </w:tc>
      </w:tr>
    </w:tbl>
    <w:p w14:paraId="26FDFBC4">
      <w:pPr>
        <w:rPr>
          <w:rFonts w:hint="default" w:ascii="Times New Roman" w:hAnsi="Times New Roman" w:eastAsia="宋体" w:cs="Times New Roman"/>
          <w:b/>
          <w:color w:val="2666A3"/>
          <w:sz w:val="24"/>
          <w:szCs w:val="24"/>
          <w:lang w:eastAsia="zh-CN"/>
        </w:rPr>
      </w:pPr>
      <w:r>
        <w:rPr>
          <w:rFonts w:hint="default" w:ascii="Times New Roman" w:hAnsi="Times New Roman" w:eastAsia="宋体" w:cs="Times New Roman"/>
          <w:b/>
          <w:color w:val="2666A3"/>
          <w:sz w:val="24"/>
          <w:szCs w:val="24"/>
          <w:lang w:eastAsia="zh-CN"/>
        </w:rPr>
        <w:t>{% endif %}{% endfor %}</w:t>
      </w:r>
    </w:p>
    <w:p w14:paraId="455D30E9">
      <w:pPr>
        <w:rPr>
          <w:rFonts w:ascii="Times New Roman" w:hAnsi="Times New Roman" w:cs="Times New Roman"/>
          <w:b/>
          <w:sz w:val="18"/>
        </w:rPr>
      </w:pPr>
      <w:r>
        <w:rPr>
          <w:rFonts w:ascii="Times New Roman" w:hAnsi="Times New Roman" w:cs="Times New Roman"/>
          <w:b/>
          <w:sz w:val="18"/>
        </w:rPr>
        <w:t>注：</w:t>
      </w:r>
    </w:p>
    <w:p w14:paraId="10D4FA8F">
      <w:pPr>
        <w:pStyle w:val="41"/>
        <w:numPr>
          <w:ilvl w:val="0"/>
          <w:numId w:val="2"/>
        </w:numPr>
        <w:adjustRightInd w:val="0"/>
        <w:snapToGrid w:val="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14:paraId="52704F2A">
      <w:pPr>
        <w:pStyle w:val="41"/>
        <w:numPr>
          <w:ilvl w:val="0"/>
          <w:numId w:val="2"/>
        </w:numPr>
        <w:adjustRightInd w:val="0"/>
        <w:snapToGrid w:val="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指南推荐指在NCCN\CSCO\ASCO\ESMO指南中有明确的表格或文字说明，有本癌种该位点突变可获益的靶向药。</w:t>
      </w:r>
    </w:p>
    <w:p w14:paraId="3716DB2A">
      <w:pPr>
        <w:pStyle w:val="41"/>
        <w:numPr>
          <w:ilvl w:val="0"/>
          <w:numId w:val="2"/>
        </w:numPr>
        <w:adjustRightInd w:val="0"/>
        <w:snapToGrid w:val="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正在开放招募的临床试验药物信息来自www.clinicaltrials.gov 和www.chinadrugtrials.org.cn。临床试验信息实时更新，使用相关结果时，请务必确认其最新状态。</w:t>
      </w:r>
    </w:p>
    <w:p w14:paraId="2A0E32FF">
      <w:pPr>
        <w:pStyle w:val="41"/>
        <w:numPr>
          <w:ilvl w:val="0"/>
          <w:numId w:val="2"/>
        </w:numPr>
        <w:adjustRightInd w:val="0"/>
        <w:snapToGrid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潜在受益药物：根据AMP/ASCO/CAP相关指南[PMID: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91674C2">
      <w:pPr>
        <w:pStyle w:val="41"/>
        <w:numPr>
          <w:ilvl w:val="0"/>
          <w:numId w:val="2"/>
        </w:numPr>
        <w:adjustRightInd w:val="0"/>
        <w:snapToGrid w:val="0"/>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潜在耐药信息：FDA/NMPA已经批准的、NCCN指南推荐的、临床试验或者临床研究有明确结果的、药物敏感性可能降低或产生耐药的靶向药物。</w:t>
      </w:r>
    </w:p>
    <w:p w14:paraId="30F1F6F4">
      <w:pPr>
        <w:pStyle w:val="41"/>
        <w:numPr>
          <w:ilvl w:val="0"/>
          <w:numId w:val="2"/>
        </w:numPr>
        <w:adjustRightInd w:val="0"/>
        <w:snapToGrid w:val="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标注的药物：NMPA批准的靶向药物。</w:t>
      </w:r>
    </w:p>
    <w:p w14:paraId="433785BC">
      <w:pPr>
        <w:widowControl/>
        <w:spacing w:after="160" w:line="259" w:lineRule="auto"/>
        <w:rPr>
          <w:rFonts w:ascii="Times New Roman" w:hAnsi="Times New Roman" w:eastAsia="微软雅黑" w:cs="Times New Roman"/>
          <w:b/>
          <w:bCs/>
          <w:color w:val="0070C0"/>
          <w:sz w:val="28"/>
          <w:szCs w:val="28"/>
        </w:rPr>
      </w:pPr>
      <w:r>
        <w:rPr>
          <w:rFonts w:ascii="Times New Roman" w:hAnsi="Times New Roman" w:eastAsia="微软雅黑" w:cs="Times New Roman"/>
          <w:b/>
          <w:bCs/>
          <w:color w:val="0070C0"/>
          <w:sz w:val="28"/>
          <w:szCs w:val="28"/>
        </w:rPr>
        <w:br w:type="page"/>
      </w:r>
    </w:p>
    <w:p w14:paraId="1107C9BD">
      <w:pPr>
        <w:keepNext/>
        <w:widowControl/>
        <w:spacing w:before="360" w:beforeLines="150" w:line="260" w:lineRule="auto"/>
        <w:rPr>
          <w:rFonts w:hint="eastAsia" w:ascii="Times New Roman" w:hAnsi="Times New Roman" w:eastAsia="微软雅黑" w:cs="Times New Roman"/>
          <w:b/>
          <w:color w:val="1F497D"/>
          <w:sz w:val="28"/>
          <w:szCs w:val="28"/>
          <w:lang w:val="en-US" w:eastAsia="zh-CN"/>
        </w:rPr>
      </w:pPr>
      <w:bookmarkStart w:id="10" w:name="_Toc527112386"/>
      <w:bookmarkStart w:id="11" w:name="_Toc526855038"/>
      <w:bookmarkStart w:id="12" w:name="_Toc534637499"/>
      <w:r>
        <w:rPr>
          <w:rFonts w:ascii="Times New Roman" w:hAnsi="Times New Roman" w:eastAsia="微软雅黑" w:cs="Times New Roman"/>
          <w:b/>
          <w:color w:val="1F497D"/>
          <w:sz w:val="24"/>
          <w:szCs w:val="24"/>
        </w:rPr>
        <w:t>{% endif %}</w:t>
      </w:r>
      <w:r>
        <w:rPr>
          <w:rFonts w:hint="eastAsia" w:ascii="Times New Roman" w:hAnsi="Times New Roman" w:eastAsia="微软雅黑" w:cs="Times New Roman"/>
          <w:b/>
          <w:color w:val="1F497D"/>
          <w:sz w:val="28"/>
          <w:szCs w:val="28"/>
          <w:lang w:val="en-US" w:eastAsia="zh-CN"/>
        </w:rPr>
        <w:t>附录2检测基因总表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033"/>
        <w:gridCol w:w="1032"/>
        <w:gridCol w:w="1032"/>
        <w:gridCol w:w="1032"/>
        <w:gridCol w:w="1032"/>
        <w:gridCol w:w="1032"/>
        <w:gridCol w:w="1032"/>
        <w:gridCol w:w="1032"/>
      </w:tblGrid>
      <w:tr w14:paraId="09EA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9290" w:type="dxa"/>
            <w:gridSpan w:val="9"/>
          </w:tcPr>
          <w:p w14:paraId="148A8E28">
            <w:pPr>
              <w:widowControl/>
              <w:jc w:val="center"/>
              <w:textAlignment w:val="top"/>
              <w:rPr>
                <w:rFonts w:ascii="Times New Roman" w:hAnsi="Times New Roman" w:eastAsia="微软雅黑" w:cs="Times New Roman"/>
              </w:rPr>
            </w:pPr>
            <w:r>
              <w:rPr>
                <w:rFonts w:hint="eastAsia" w:ascii="Times New Roman" w:hAnsi="Times New Roman" w:eastAsia="微软雅黑" w:cs="Times New Roman"/>
                <w:sz w:val="18"/>
                <w:szCs w:val="18"/>
              </w:rPr>
              <w:t xml:space="preserve">{%tr for Gene in </w:t>
            </w:r>
            <w:r>
              <w:rPr>
                <w:rFonts w:ascii="Times New Roman" w:hAnsi="Times New Roman" w:eastAsia="微软雅黑" w:cs="Times New Roman"/>
                <w:sz w:val="18"/>
                <w:szCs w:val="18"/>
              </w:rPr>
              <w:t>“ABL1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AKT1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AKT3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ALK</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AXL</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BRAF</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CCND1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CDK4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CDK6</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CTNNB1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DDR2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EGFR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ERG</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ESR1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ETV5</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FBXW7</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GNA11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GNAQ</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HRAS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IDH1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IDH2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KIT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KRAS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MAP2K1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MAP2K2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MET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MTOR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MYC</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MYCN</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NOTCH1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PDGFRA</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PIK3CA</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PPARG</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PTEN</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RAF1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RB1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RET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ROS1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SMAD4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SMO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STK11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TP53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UGT1A1”</w:t>
            </w:r>
            <w:r>
              <w:rPr>
                <w:rFonts w:hint="eastAsia" w:ascii="Times New Roman" w:hAnsi="Times New Roman" w:eastAsia="微软雅黑" w:cs="Times New Roman"/>
                <w:sz w:val="18"/>
                <w:szCs w:val="18"/>
              </w:rPr>
              <w:t xml:space="preserve"> | red(9,22,false) %}</w:t>
            </w:r>
          </w:p>
        </w:tc>
      </w:tr>
      <w:tr w14:paraId="06F1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vAlign w:val="center"/>
          </w:tcPr>
          <w:p w14:paraId="5487D751">
            <w:pPr>
              <w:widowControl/>
              <w:jc w:val="center"/>
              <w:rPr>
                <w:rFonts w:ascii="Times New Roman" w:hAnsi="Times New Roman" w:eastAsia="微软雅黑" w:cs="Times New Roman"/>
                <w:sz w:val="18"/>
                <w:szCs w:val="18"/>
              </w:rPr>
            </w:pPr>
            <w:bookmarkStart w:id="13" w:name="OLE_LINK2" w:colFirst="0" w:colLast="5"/>
            <w:r>
              <w:rPr>
                <w:rFonts w:hint="eastAsia" w:ascii="Times New Roman" w:hAnsi="Times New Roman" w:eastAsia="微软雅黑" w:cs="Times New Roman"/>
                <w:sz w:val="18"/>
                <w:szCs w:val="18"/>
              </w:rPr>
              <w:t>{{r Gene[0] }}</w:t>
            </w:r>
          </w:p>
        </w:tc>
        <w:tc>
          <w:tcPr>
            <w:tcW w:w="1033" w:type="dxa"/>
            <w:vAlign w:val="center"/>
          </w:tcPr>
          <w:p w14:paraId="0AE69E2D">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32" w:type="dxa"/>
            <w:vAlign w:val="center"/>
          </w:tcPr>
          <w:p w14:paraId="285CC0C8">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032" w:type="dxa"/>
            <w:vAlign w:val="center"/>
          </w:tcPr>
          <w:p w14:paraId="18DD66B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32" w:type="dxa"/>
            <w:vAlign w:val="center"/>
          </w:tcPr>
          <w:p w14:paraId="61153C96">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32" w:type="dxa"/>
            <w:vAlign w:val="center"/>
          </w:tcPr>
          <w:p w14:paraId="5A0BB39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032" w:type="dxa"/>
            <w:vAlign w:val="center"/>
          </w:tcPr>
          <w:p w14:paraId="14F8ECB3">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032" w:type="dxa"/>
            <w:vAlign w:val="center"/>
          </w:tcPr>
          <w:p w14:paraId="563D161C">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32" w:type="dxa"/>
            <w:vAlign w:val="center"/>
          </w:tcPr>
          <w:p w14:paraId="7AE573A7">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14:paraId="72DF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0" w:type="dxa"/>
            <w:gridSpan w:val="9"/>
          </w:tcPr>
          <w:p w14:paraId="6C55F534">
            <w:pPr>
              <w:jc w:val="center"/>
              <w:rPr>
                <w:rFonts w:ascii="Times New Roman" w:hAnsi="Times New Roman" w:eastAsia="微软雅黑" w:cs="Times New Roman"/>
              </w:rPr>
            </w:pPr>
            <w:r>
              <w:rPr>
                <w:rFonts w:hint="eastAsia" w:ascii="Times New Roman" w:hAnsi="Times New Roman" w:eastAsia="微软雅黑" w:cs="Times New Roman"/>
                <w:sz w:val="18"/>
                <w:szCs w:val="18"/>
              </w:rPr>
              <w:t>{%tr endfor%}</w:t>
            </w:r>
          </w:p>
        </w:tc>
      </w:tr>
      <w:bookmarkEnd w:id="13"/>
    </w:tbl>
    <w:p w14:paraId="4938AF59">
      <w:pPr>
        <w:widowControl/>
        <w:rPr>
          <w:rFonts w:ascii="Times New Roman" w:hAnsi="Times New Roman" w:eastAsia="微软雅黑" w:cs="Times New Roman"/>
        </w:rPr>
      </w:pPr>
    </w:p>
    <w:p w14:paraId="058197AC">
      <w:pPr>
        <w:widowControl/>
        <w:rPr>
          <w:rFonts w:ascii="Times New Roman" w:hAnsi="Times New Roman" w:eastAsia="微软雅黑" w:cs="Times New Roman"/>
        </w:rPr>
      </w:pPr>
    </w:p>
    <w:p w14:paraId="586A1208">
      <w:pPr>
        <w:numPr>
          <w:ilvl w:val="0"/>
          <w:numId w:val="0"/>
        </w:numPr>
        <w:tabs>
          <w:tab w:val="left" w:pos="2342"/>
        </w:tabs>
        <w:adjustRightInd w:val="0"/>
        <w:snapToGrid w:val="0"/>
        <w:rPr>
          <w:rFonts w:hint="eastAsia"/>
          <w:b/>
          <w:bCs w:val="0"/>
          <w:sz w:val="24"/>
          <w:szCs w:val="24"/>
        </w:rPr>
      </w:pPr>
      <w:r>
        <w:rPr>
          <w:rFonts w:hint="eastAsia" w:ascii="Times New Roman" w:hAnsi="Times New Roman" w:eastAsia="微软雅黑" w:cs="Times New Roman"/>
          <w:b/>
          <w:color w:val="1F497D"/>
          <w:sz w:val="24"/>
          <w:szCs w:val="24"/>
          <w:lang w:val="en-US" w:eastAsia="zh-CN"/>
        </w:rPr>
        <w:t>{% if associatedBowelCancer %}</w:t>
      </w:r>
      <w:r>
        <w:rPr>
          <w:rFonts w:hint="eastAsia" w:ascii="Times New Roman" w:hAnsi="Times New Roman" w:eastAsia="微软雅黑" w:cs="Times New Roman"/>
          <w:b/>
          <w:color w:val="1F497D"/>
          <w:sz w:val="28"/>
          <w:szCs w:val="28"/>
          <w:lang w:val="en-US" w:eastAsia="zh-CN"/>
        </w:rPr>
        <w:t>附录3 化疗药物位点</w:t>
      </w:r>
    </w:p>
    <w:tbl>
      <w:tblPr>
        <w:tblStyle w:val="19"/>
        <w:tblpPr w:leftFromText="180" w:rightFromText="180" w:vertAnchor="text" w:tblpXSpec="center" w:tblpY="1"/>
        <w:tblOverlap w:val="never"/>
        <w:tblW w:w="93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369"/>
        <w:gridCol w:w="1750"/>
        <w:gridCol w:w="3160"/>
        <w:gridCol w:w="1851"/>
      </w:tblGrid>
      <w:tr w14:paraId="7B73B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242" w:type="dxa"/>
            <w:shd w:val="clear" w:color="auto" w:fill="366091"/>
            <w:vAlign w:val="center"/>
          </w:tcPr>
          <w:p w14:paraId="2FD1F67F">
            <w:pPr>
              <w:pStyle w:val="41"/>
              <w:adjustRightInd w:val="0"/>
              <w:snapToGrid w:val="0"/>
              <w:jc w:val="center"/>
              <w:rPr>
                <w:rFonts w:hint="default" w:ascii="Times New Roman" w:hAnsi="Times New Roman" w:eastAsia="微软雅黑" w:cstheme="minorEastAsia"/>
                <w:b/>
                <w:bCs/>
                <w:color w:val="FFFFFF" w:themeColor="background1"/>
                <w:kern w:val="2"/>
                <w:lang w:val="en-US" w:eastAsia="zh-CN"/>
                <w14:textFill>
                  <w14:solidFill>
                    <w14:schemeClr w14:val="bg1"/>
                  </w14:solidFill>
                </w14:textFill>
              </w:rPr>
            </w:pPr>
            <w:r>
              <w:rPr>
                <w:rFonts w:hint="eastAsia" w:eastAsia="微软雅黑" w:cstheme="minorEastAsia"/>
                <w:b/>
                <w:bCs/>
                <w:color w:val="FFFFFF" w:themeColor="background1"/>
                <w:kern w:val="2"/>
                <w:lang w:val="en-US" w:eastAsia="zh-CN"/>
                <w14:textFill>
                  <w14:solidFill>
                    <w14:schemeClr w14:val="bg1"/>
                  </w14:solidFill>
                </w14:textFill>
              </w:rPr>
              <w:t>检测基因</w:t>
            </w:r>
          </w:p>
        </w:tc>
        <w:tc>
          <w:tcPr>
            <w:tcW w:w="1369" w:type="dxa"/>
            <w:shd w:val="clear" w:color="auto" w:fill="366091"/>
            <w:vAlign w:val="center"/>
          </w:tcPr>
          <w:p w14:paraId="3EDCA930">
            <w:pPr>
              <w:pStyle w:val="41"/>
              <w:adjustRightInd w:val="0"/>
              <w:snapToGrid w:val="0"/>
              <w:jc w:val="center"/>
              <w:rPr>
                <w:rFonts w:hint="default" w:ascii="Times New Roman" w:hAnsi="Times New Roman" w:eastAsia="微软雅黑" w:cstheme="minorEastAsia"/>
                <w:b/>
                <w:bCs/>
                <w:color w:val="FFFFFF" w:themeColor="background1"/>
                <w:kern w:val="2"/>
                <w:lang w:val="en-US" w:eastAsia="zh-CN"/>
                <w14:textFill>
                  <w14:solidFill>
                    <w14:schemeClr w14:val="bg1"/>
                  </w14:solidFill>
                </w14:textFill>
              </w:rPr>
            </w:pPr>
            <w:r>
              <w:rPr>
                <w:rFonts w:hint="eastAsia" w:eastAsia="微软雅黑" w:cstheme="minorEastAsia"/>
                <w:b/>
                <w:bCs/>
                <w:color w:val="FFFFFF" w:themeColor="background1"/>
                <w:kern w:val="2"/>
                <w:lang w:val="en-US" w:eastAsia="zh-CN"/>
                <w14:textFill>
                  <w14:solidFill>
                    <w14:schemeClr w14:val="bg1"/>
                  </w14:solidFill>
                </w14:textFill>
              </w:rPr>
              <w:t>检测位点</w:t>
            </w:r>
          </w:p>
        </w:tc>
        <w:tc>
          <w:tcPr>
            <w:tcW w:w="1750" w:type="dxa"/>
            <w:shd w:val="clear" w:color="auto" w:fill="366091"/>
            <w:vAlign w:val="center"/>
          </w:tcPr>
          <w:p w14:paraId="12DB3978">
            <w:pPr>
              <w:pStyle w:val="41"/>
              <w:adjustRightInd w:val="0"/>
              <w:snapToGrid w:val="0"/>
              <w:jc w:val="center"/>
              <w:rPr>
                <w:rFonts w:hint="default" w:ascii="Times New Roman" w:hAnsi="Times New Roman" w:eastAsia="微软雅黑" w:cstheme="minorEastAsia"/>
                <w:b/>
                <w:bCs/>
                <w:color w:val="FFFFFF" w:themeColor="background1"/>
                <w:kern w:val="2"/>
                <w:lang w:val="en-US" w:eastAsia="zh-CN"/>
                <w14:textFill>
                  <w14:solidFill>
                    <w14:schemeClr w14:val="bg1"/>
                  </w14:solidFill>
                </w14:textFill>
              </w:rPr>
            </w:pPr>
            <w:r>
              <w:rPr>
                <w:rFonts w:hint="eastAsia" w:eastAsia="微软雅黑" w:cstheme="minorEastAsia"/>
                <w:b/>
                <w:bCs/>
                <w:color w:val="FFFFFF" w:themeColor="background1"/>
                <w:kern w:val="2"/>
                <w:lang w:val="en-US" w:eastAsia="zh-CN"/>
                <w14:textFill>
                  <w14:solidFill>
                    <w14:schemeClr w14:val="bg1"/>
                  </w14:solidFill>
                </w14:textFill>
              </w:rPr>
              <w:t>检测结果</w:t>
            </w:r>
          </w:p>
        </w:tc>
        <w:tc>
          <w:tcPr>
            <w:tcW w:w="3160" w:type="dxa"/>
            <w:shd w:val="clear" w:color="auto" w:fill="366091"/>
            <w:vAlign w:val="center"/>
          </w:tcPr>
          <w:p w14:paraId="6590C156">
            <w:pPr>
              <w:pStyle w:val="41"/>
              <w:adjustRightInd w:val="0"/>
              <w:snapToGrid w:val="0"/>
              <w:jc w:val="center"/>
              <w:rPr>
                <w:rFonts w:hint="default" w:ascii="Times New Roman" w:hAnsi="Times New Roman" w:eastAsia="微软雅黑" w:cstheme="minorEastAsia"/>
                <w:b/>
                <w:bCs/>
                <w:color w:val="FFFFFF" w:themeColor="background1"/>
                <w:kern w:val="2"/>
                <w:lang w:val="en-US"/>
                <w14:textFill>
                  <w14:solidFill>
                    <w14:schemeClr w14:val="bg1"/>
                  </w14:solidFill>
                </w14:textFill>
              </w:rPr>
            </w:pPr>
            <w:r>
              <w:rPr>
                <w:rFonts w:hint="eastAsia" w:eastAsia="微软雅黑" w:cstheme="minorEastAsia"/>
                <w:b/>
                <w:bCs/>
                <w:color w:val="FFFFFF" w:themeColor="background1"/>
                <w:kern w:val="2"/>
                <w:lang w:val="en-US" w:eastAsia="zh-CN"/>
                <w14:textFill>
                  <w14:solidFill>
                    <w14:schemeClr w14:val="bg1"/>
                  </w14:solidFill>
                </w14:textFill>
              </w:rPr>
              <w:t>结果判读</w:t>
            </w:r>
          </w:p>
        </w:tc>
        <w:tc>
          <w:tcPr>
            <w:tcW w:w="1851" w:type="dxa"/>
            <w:shd w:val="clear" w:color="auto" w:fill="366091"/>
            <w:vAlign w:val="center"/>
          </w:tcPr>
          <w:p w14:paraId="3312488A">
            <w:pPr>
              <w:pStyle w:val="41"/>
              <w:adjustRightInd w:val="0"/>
              <w:snapToGrid w:val="0"/>
              <w:jc w:val="center"/>
              <w:rPr>
                <w:rFonts w:hint="eastAsia" w:ascii="Times New Roman" w:hAnsi="Times New Roman" w:eastAsia="微软雅黑" w:cstheme="minorEastAsia"/>
                <w:b/>
                <w:bCs/>
                <w:color w:val="FFFFFF" w:themeColor="background1"/>
                <w:kern w:val="2"/>
                <w:lang w:eastAsia="zh-CN"/>
                <w14:textFill>
                  <w14:solidFill>
                    <w14:schemeClr w14:val="bg1"/>
                  </w14:solidFill>
                </w14:textFill>
              </w:rPr>
            </w:pPr>
            <w:r>
              <w:rPr>
                <w:rFonts w:hint="eastAsia" w:eastAsia="微软雅黑" w:cstheme="minorEastAsia"/>
                <w:b/>
                <w:bCs/>
                <w:color w:val="FFFFFF" w:themeColor="background1"/>
                <w:kern w:val="2"/>
                <w:lang w:val="en-US" w:eastAsia="zh-CN"/>
                <w14:textFill>
                  <w14:solidFill>
                    <w14:schemeClr w14:val="bg1"/>
                  </w14:solidFill>
                </w14:textFill>
              </w:rPr>
              <w:t>等级</w:t>
            </w:r>
          </w:p>
        </w:tc>
      </w:tr>
      <w:tr w14:paraId="568B1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372" w:type="dxa"/>
            <w:gridSpan w:val="5"/>
            <w:tcBorders>
              <w:tl2br w:val="nil"/>
              <w:tr2bl w:val="nil"/>
            </w:tcBorders>
            <w:shd w:val="clear" w:color="auto" w:fill="auto"/>
            <w:vAlign w:val="center"/>
          </w:tcPr>
          <w:p w14:paraId="1E62C1C5">
            <w:pPr>
              <w:tabs>
                <w:tab w:val="left" w:pos="2342"/>
              </w:tabs>
              <w:adjustRightInd w:val="0"/>
              <w:snapToGrid w:val="0"/>
              <w:spacing w:after="0"/>
              <w:jc w:val="center"/>
              <w:rPr>
                <w:rFonts w:ascii="Times New Roman" w:hAnsi="Times New Roman" w:eastAsia="微软雅黑" w:cs="宋体"/>
                <w:sz w:val="18"/>
              </w:rPr>
            </w:pPr>
            <w:r>
              <w:rPr>
                <w:rFonts w:eastAsia="微软雅黑"/>
                <w:sz w:val="18"/>
                <w:szCs w:val="18"/>
              </w:rPr>
              <w:t>{%tr for irinotecan in irinotecanDrugAnnotationStr%}</w:t>
            </w:r>
          </w:p>
        </w:tc>
      </w:tr>
      <w:tr w14:paraId="5BDC9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1242" w:type="dxa"/>
            <w:tcBorders>
              <w:tl2br w:val="nil"/>
              <w:tr2bl w:val="nil"/>
            </w:tcBorders>
            <w:shd w:val="clear" w:color="auto" w:fill="auto"/>
            <w:vAlign w:val="center"/>
          </w:tcPr>
          <w:p w14:paraId="65BEAE80">
            <w:pPr>
              <w:tabs>
                <w:tab w:val="left" w:pos="2342"/>
              </w:tabs>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w:t>
            </w:r>
            <w:r>
              <w:rPr>
                <w:rFonts w:hint="eastAsia" w:eastAsia="微软雅黑"/>
                <w:sz w:val="18"/>
                <w:szCs w:val="18"/>
                <w:lang w:val="en-US" w:eastAsia="zh-CN"/>
              </w:rPr>
              <w:t>2</w:t>
            </w:r>
            <w:r>
              <w:rPr>
                <w:rFonts w:eastAsia="微软雅黑"/>
                <w:sz w:val="18"/>
                <w:szCs w:val="18"/>
              </w:rPr>
              <w:t xml:space="preserve"> }}</w:t>
            </w:r>
          </w:p>
        </w:tc>
        <w:tc>
          <w:tcPr>
            <w:tcW w:w="1369" w:type="dxa"/>
            <w:tcBorders>
              <w:tl2br w:val="nil"/>
              <w:tr2bl w:val="nil"/>
            </w:tcBorders>
            <w:shd w:val="clear" w:color="auto" w:fill="auto"/>
            <w:vAlign w:val="center"/>
          </w:tcPr>
          <w:p w14:paraId="7F0183CD">
            <w:pPr>
              <w:tabs>
                <w:tab w:val="left" w:pos="2342"/>
              </w:tabs>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w:t>
            </w:r>
            <w:r>
              <w:rPr>
                <w:rFonts w:hint="eastAsia" w:eastAsia="微软雅黑"/>
                <w:sz w:val="18"/>
                <w:szCs w:val="18"/>
                <w:lang w:val="en-US" w:eastAsia="zh-CN"/>
              </w:rPr>
              <w:t>3</w:t>
            </w:r>
            <w:r>
              <w:rPr>
                <w:rFonts w:eastAsia="微软雅黑"/>
                <w:sz w:val="18"/>
                <w:szCs w:val="18"/>
              </w:rPr>
              <w:t xml:space="preserve"> }}</w:t>
            </w:r>
          </w:p>
        </w:tc>
        <w:tc>
          <w:tcPr>
            <w:tcW w:w="1750" w:type="dxa"/>
            <w:tcBorders>
              <w:tl2br w:val="nil"/>
              <w:tr2bl w:val="nil"/>
            </w:tcBorders>
            <w:shd w:val="clear" w:color="auto" w:fill="auto"/>
            <w:vAlign w:val="center"/>
          </w:tcPr>
          <w:p w14:paraId="13612CA6">
            <w:pPr>
              <w:tabs>
                <w:tab w:val="left" w:pos="2342"/>
              </w:tabs>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w:t>
            </w:r>
            <w:r>
              <w:rPr>
                <w:rFonts w:hint="eastAsia" w:eastAsia="微软雅黑"/>
                <w:sz w:val="18"/>
                <w:szCs w:val="18"/>
                <w:lang w:val="en-US" w:eastAsia="zh-CN"/>
              </w:rPr>
              <w:t>4</w:t>
            </w:r>
            <w:r>
              <w:rPr>
                <w:rFonts w:eastAsia="微软雅黑"/>
                <w:sz w:val="18"/>
                <w:szCs w:val="18"/>
              </w:rPr>
              <w:t xml:space="preserve"> }}</w:t>
            </w:r>
          </w:p>
        </w:tc>
        <w:tc>
          <w:tcPr>
            <w:tcW w:w="3160" w:type="dxa"/>
            <w:tcBorders>
              <w:tl2br w:val="nil"/>
              <w:tr2bl w:val="nil"/>
            </w:tcBorders>
            <w:shd w:val="clear" w:color="auto" w:fill="auto"/>
            <w:vAlign w:val="center"/>
          </w:tcPr>
          <w:p w14:paraId="7BE69F0E">
            <w:pPr>
              <w:tabs>
                <w:tab w:val="left" w:pos="2342"/>
              </w:tabs>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w:t>
            </w:r>
            <w:r>
              <w:rPr>
                <w:rFonts w:hint="eastAsia" w:eastAsia="微软雅黑"/>
                <w:sz w:val="18"/>
                <w:szCs w:val="18"/>
                <w:lang w:val="en-US" w:eastAsia="zh-CN"/>
              </w:rPr>
              <w:t>5</w:t>
            </w:r>
            <w:r>
              <w:rPr>
                <w:rFonts w:eastAsia="微软雅黑"/>
                <w:sz w:val="18"/>
                <w:szCs w:val="18"/>
              </w:rPr>
              <w:t xml:space="preserve"> }}</w:t>
            </w:r>
          </w:p>
        </w:tc>
        <w:tc>
          <w:tcPr>
            <w:tcW w:w="1851" w:type="dxa"/>
            <w:tcBorders>
              <w:tl2br w:val="nil"/>
              <w:tr2bl w:val="nil"/>
            </w:tcBorders>
            <w:shd w:val="clear" w:color="auto" w:fill="auto"/>
            <w:vAlign w:val="center"/>
          </w:tcPr>
          <w:p w14:paraId="0DCC8F2D">
            <w:pPr>
              <w:tabs>
                <w:tab w:val="left" w:pos="2342"/>
              </w:tabs>
              <w:autoSpaceDE w:val="0"/>
              <w:autoSpaceDN w:val="0"/>
              <w:adjustRightInd w:val="0"/>
              <w:spacing w:before="100" w:beforeAutospacing="1" w:after="0" w:line="257" w:lineRule="auto"/>
              <w:jc w:val="center"/>
              <w:rPr>
                <w:rFonts w:ascii="Times New Roman" w:hAnsi="Times New Roman" w:eastAsia="微软雅黑" w:cs="宋体"/>
                <w:sz w:val="18"/>
              </w:rPr>
            </w:pPr>
            <w:r>
              <w:rPr>
                <w:rFonts w:eastAsia="微软雅黑"/>
                <w:sz w:val="18"/>
                <w:szCs w:val="18"/>
              </w:rPr>
              <w:t>{{ irinotecan.content</w:t>
            </w:r>
            <w:r>
              <w:rPr>
                <w:rFonts w:hint="eastAsia" w:eastAsia="微软雅黑"/>
                <w:sz w:val="18"/>
                <w:szCs w:val="18"/>
                <w:lang w:val="en-US" w:eastAsia="zh-CN"/>
              </w:rPr>
              <w:t>6</w:t>
            </w:r>
            <w:r>
              <w:rPr>
                <w:rFonts w:eastAsia="微软雅黑"/>
                <w:sz w:val="18"/>
                <w:szCs w:val="18"/>
              </w:rPr>
              <w:t xml:space="preserve"> }}</w:t>
            </w:r>
          </w:p>
        </w:tc>
      </w:tr>
      <w:tr w14:paraId="3B629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 w:hRule="atLeast"/>
          <w:jc w:val="center"/>
        </w:trPr>
        <w:tc>
          <w:tcPr>
            <w:tcW w:w="9372" w:type="dxa"/>
            <w:gridSpan w:val="5"/>
            <w:tcBorders>
              <w:tl2br w:val="nil"/>
              <w:tr2bl w:val="nil"/>
            </w:tcBorders>
            <w:shd w:val="clear" w:color="auto" w:fill="auto"/>
            <w:vAlign w:val="center"/>
          </w:tcPr>
          <w:p w14:paraId="1C21B1AC">
            <w:pPr>
              <w:tabs>
                <w:tab w:val="left" w:pos="2342"/>
              </w:tabs>
              <w:adjustRightInd w:val="0"/>
              <w:snapToGrid w:val="0"/>
              <w:spacing w:after="0"/>
              <w:jc w:val="center"/>
              <w:rPr>
                <w:rFonts w:ascii="Times New Roman" w:hAnsi="Times New Roman" w:eastAsia="微软雅黑" w:cs="宋体"/>
                <w:sz w:val="18"/>
              </w:rPr>
            </w:pPr>
            <w:r>
              <w:rPr>
                <w:rFonts w:eastAsia="微软雅黑"/>
                <w:sz w:val="18"/>
                <w:szCs w:val="18"/>
              </w:rPr>
              <w:t>{%tr endfor %}</w:t>
            </w:r>
          </w:p>
        </w:tc>
      </w:tr>
    </w:tbl>
    <w:p w14:paraId="2CEAB07F">
      <w:pPr>
        <w:pStyle w:val="41"/>
        <w:numPr>
          <w:ilvl w:val="0"/>
          <w:numId w:val="0"/>
        </w:numPr>
        <w:adjustRightInd w:val="0"/>
        <w:snapToGrid w:val="0"/>
        <w:ind w:leftChars="0"/>
        <w:rPr>
          <w:rFonts w:hint="default" w:ascii="Times New Roman" w:hAnsi="Times New Roman" w:eastAsia="宋体" w:cs="Times New Roman"/>
          <w:sz w:val="18"/>
          <w:szCs w:val="18"/>
        </w:rPr>
      </w:pPr>
      <w:r>
        <w:rPr>
          <w:rFonts w:hint="eastAsia" w:cs="Times New Roman"/>
          <w:sz w:val="18"/>
          <w:szCs w:val="18"/>
          <w:lang w:val="en-US" w:eastAsia="zh-CN"/>
        </w:rPr>
        <w:t>注：</w:t>
      </w:r>
      <w:r>
        <w:rPr>
          <w:rFonts w:hint="default" w:ascii="Times New Roman" w:hAnsi="Times New Roman" w:eastAsia="宋体" w:cs="Times New Roman"/>
          <w:sz w:val="18"/>
          <w:szCs w:val="18"/>
        </w:rPr>
        <w:t>本检测仅包括肿瘤组织，未包括对照样本</w:t>
      </w:r>
      <w:r>
        <w:rPr>
          <w:rFonts w:hint="eastAsia" w:cs="Times New Roman"/>
          <w:sz w:val="18"/>
          <w:szCs w:val="18"/>
          <w:lang w:eastAsia="zh-CN"/>
        </w:rPr>
        <w:t>。</w:t>
      </w:r>
      <w:r>
        <w:rPr>
          <w:rFonts w:hint="default" w:ascii="Times New Roman" w:hAnsi="Times New Roman" w:eastAsia="宋体" w:cs="Times New Roman"/>
          <w:sz w:val="18"/>
          <w:szCs w:val="18"/>
        </w:rPr>
        <w:t>基于数据库和变异丰度的算法综合预测，不能完全排除</w:t>
      </w:r>
      <w:r>
        <w:rPr>
          <w:rFonts w:hint="eastAsia" w:cs="Times New Roman"/>
          <w:sz w:val="18"/>
          <w:szCs w:val="18"/>
          <w:lang w:val="en-US" w:eastAsia="zh-CN"/>
        </w:rPr>
        <w:t>体系</w:t>
      </w:r>
      <w:r>
        <w:rPr>
          <w:rFonts w:hint="default" w:ascii="Times New Roman" w:hAnsi="Times New Roman" w:eastAsia="宋体" w:cs="Times New Roman"/>
          <w:sz w:val="18"/>
          <w:szCs w:val="18"/>
        </w:rPr>
        <w:t>突变来源的可能性。</w:t>
      </w:r>
    </w:p>
    <w:p w14:paraId="12F21227">
      <w:pPr>
        <w:tabs>
          <w:tab w:val="right" w:pos="9690"/>
        </w:tabs>
        <w:adjustRightInd w:val="0"/>
        <w:snapToGrid w:val="0"/>
        <w:spacing w:after="0" w:line="240" w:lineRule="auto"/>
        <w:rPr>
          <w:rFonts w:ascii="Times New Roman" w:hAnsi="Times New Roman" w:eastAsia="微软雅黑" w:cs="Times New Roman"/>
        </w:rPr>
      </w:pPr>
      <w:r>
        <w:rPr>
          <w:rFonts w:hint="eastAsia" w:ascii="Times New Roman" w:hAnsi="Times New Roman" w:eastAsia="微软雅黑" w:cs="Times New Roman"/>
          <w:b/>
          <w:color w:val="1F497D"/>
          <w:sz w:val="28"/>
          <w:szCs w:val="28"/>
          <w:lang w:val="en-US" w:eastAsia="zh-CN"/>
        </w:rPr>
        <w:t>{% endif %}</w:t>
      </w:r>
      <w:bookmarkStart w:id="16" w:name="_GoBack"/>
      <w:bookmarkEnd w:id="16"/>
    </w:p>
    <w:p w14:paraId="6AE2B82A">
      <w:pPr>
        <w:tabs>
          <w:tab w:val="right" w:pos="9690"/>
        </w:tabs>
        <w:adjustRightInd w:val="0"/>
        <w:snapToGrid w:val="0"/>
        <w:spacing w:after="0" w:line="240" w:lineRule="auto"/>
        <w:rPr>
          <w:rFonts w:ascii="Times New Roman" w:hAnsi="Times New Roman" w:eastAsia="微软雅黑" w:cs="Times New Roman"/>
        </w:rPr>
      </w:pPr>
      <w:r>
        <w:rPr>
          <w:rFonts w:ascii="Times New Roman" w:hAnsi="Times New Roman" w:eastAsia="微软雅黑" w:cs="Times New Roman"/>
        </w:rPr>
        <w:br w:type="page"/>
      </w:r>
    </w:p>
    <w:bookmarkEnd w:id="10"/>
    <w:bookmarkEnd w:id="11"/>
    <w:bookmarkEnd w:id="12"/>
    <w:p w14:paraId="5E1DFF01">
      <w:pPr>
        <w:keepNext/>
        <w:widowControl/>
        <w:spacing w:before="360" w:beforeLines="150" w:line="260" w:lineRule="auto"/>
        <w:rPr>
          <w:rFonts w:hint="default" w:ascii="Times New Roman" w:hAnsi="Times New Roman" w:eastAsia="微软雅黑" w:cs="Times New Roman"/>
          <w:b/>
          <w:color w:val="1F497D"/>
          <w:sz w:val="28"/>
          <w:szCs w:val="28"/>
          <w:lang w:val="en-US" w:eastAsia="zh-CN"/>
        </w:rPr>
      </w:pPr>
      <w:r>
        <w:rPr>
          <w:rFonts w:hint="eastAsia" w:ascii="Times New Roman" w:hAnsi="Times New Roman" w:eastAsia="微软雅黑" w:cs="Times New Roman"/>
          <w:b/>
          <w:color w:val="1F497D"/>
          <w:sz w:val="24"/>
          <w:szCs w:val="24"/>
          <w:lang w:val="en-US" w:eastAsia="zh-CN"/>
        </w:rPr>
        <w:t>{% if associatedBowelCancer %}</w:t>
      </w:r>
      <w:r>
        <w:rPr>
          <w:rFonts w:hint="eastAsia" w:ascii="Times New Roman" w:hAnsi="Times New Roman" w:eastAsia="微软雅黑" w:cs="Times New Roman"/>
          <w:b/>
          <w:color w:val="1F497D"/>
          <w:sz w:val="28"/>
          <w:szCs w:val="28"/>
          <w:lang w:val="en-US" w:eastAsia="zh-CN"/>
        </w:rPr>
        <w:t>附录4{% else %}附录3{% endif %}试剂盒部分检测位点列表</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98"/>
        <w:gridCol w:w="808"/>
        <w:gridCol w:w="3053"/>
        <w:gridCol w:w="2956"/>
        <w:gridCol w:w="1171"/>
      </w:tblGrid>
      <w:tr w14:paraId="07C3F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tcBorders>
              <w:top w:val="single" w:color="FFFFFF" w:sz="8" w:space="0"/>
              <w:left w:val="single" w:color="FFFFFF" w:sz="8" w:space="0"/>
              <w:bottom w:val="single" w:color="FFFFFF" w:sz="8" w:space="0"/>
              <w:right w:val="single" w:color="FFFFFF" w:sz="8" w:space="0"/>
              <w:tl2br w:val="nil"/>
            </w:tcBorders>
            <w:shd w:val="clear" w:color="auto" w:fill="1F3864"/>
            <w:vAlign w:val="center"/>
          </w:tcPr>
          <w:p w14:paraId="23594F0C">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Style w:val="49"/>
                <w:b/>
                <w:bCs w:val="0"/>
                <w:color w:val="FFFFFF" w:themeColor="background1"/>
                <w:sz w:val="18"/>
                <w:szCs w:val="18"/>
                <w:lang w:val="en-US" w:eastAsia="zh-CN" w:bidi="ar"/>
                <w14:textFill>
                  <w14:solidFill>
                    <w14:schemeClr w14:val="bg1"/>
                  </w14:solidFill>
                </w14:textFill>
              </w:rPr>
              <w:t>基因名称</w:t>
            </w:r>
          </w:p>
        </w:tc>
        <w:tc>
          <w:tcPr>
            <w:tcW w:w="435" w:type="pct"/>
            <w:tcBorders>
              <w:top w:val="single" w:color="FFFFFF" w:sz="8" w:space="0"/>
              <w:left w:val="single" w:color="FFFFFF" w:sz="8" w:space="0"/>
              <w:bottom w:val="single" w:color="FFFFFF" w:sz="8" w:space="0"/>
              <w:right w:val="single" w:color="FFFFFF" w:sz="8" w:space="0"/>
            </w:tcBorders>
            <w:shd w:val="clear" w:color="auto" w:fill="1F3864"/>
            <w:vAlign w:val="center"/>
          </w:tcPr>
          <w:p w14:paraId="28AEC312">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Style w:val="49"/>
                <w:b/>
                <w:bCs w:val="0"/>
                <w:color w:val="FFFFFF" w:themeColor="background1"/>
                <w:sz w:val="18"/>
                <w:szCs w:val="18"/>
                <w:lang w:val="en-US" w:eastAsia="zh-CN" w:bidi="ar"/>
                <w14:textFill>
                  <w14:solidFill>
                    <w14:schemeClr w14:val="bg1"/>
                  </w14:solidFill>
                </w14:textFill>
              </w:rPr>
              <w:t>外显子</w:t>
            </w:r>
          </w:p>
        </w:tc>
        <w:tc>
          <w:tcPr>
            <w:tcW w:w="1643" w:type="pct"/>
            <w:tcBorders>
              <w:top w:val="single" w:color="FFFFFF" w:sz="8" w:space="0"/>
              <w:left w:val="single" w:color="FFFFFF" w:sz="8" w:space="0"/>
              <w:bottom w:val="single" w:color="FFFFFF" w:sz="8" w:space="0"/>
              <w:right w:val="single" w:color="FFFFFF" w:sz="8" w:space="0"/>
            </w:tcBorders>
            <w:shd w:val="clear" w:color="auto" w:fill="1F3864"/>
            <w:vAlign w:val="center"/>
          </w:tcPr>
          <w:p w14:paraId="4A630F3A">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Style w:val="49"/>
                <w:b/>
                <w:bCs w:val="0"/>
                <w:color w:val="FFFFFF" w:themeColor="background1"/>
                <w:sz w:val="18"/>
                <w:szCs w:val="18"/>
                <w:lang w:val="en-US" w:eastAsia="zh-CN" w:bidi="ar"/>
                <w14:textFill>
                  <w14:solidFill>
                    <w14:schemeClr w14:val="bg1"/>
                  </w14:solidFill>
                </w14:textFill>
              </w:rPr>
              <w:t>碱基变化</w:t>
            </w: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w:t>
            </w:r>
            <w:r>
              <w:rPr>
                <w:rStyle w:val="49"/>
                <w:b/>
                <w:bCs w:val="0"/>
                <w:color w:val="FFFFFF" w:themeColor="background1"/>
                <w:sz w:val="18"/>
                <w:szCs w:val="18"/>
                <w:lang w:val="en-US" w:eastAsia="zh-CN" w:bidi="ar"/>
                <w14:textFill>
                  <w14:solidFill>
                    <w14:schemeClr w14:val="bg1"/>
                  </w14:solidFill>
                </w14:textFill>
              </w:rPr>
              <w:t>融合类型</w:t>
            </w:r>
          </w:p>
        </w:tc>
        <w:tc>
          <w:tcPr>
            <w:tcW w:w="1591" w:type="pct"/>
            <w:tcBorders>
              <w:top w:val="single" w:color="FFFFFF" w:sz="8" w:space="0"/>
              <w:left w:val="single" w:color="FFFFFF" w:sz="8" w:space="0"/>
              <w:bottom w:val="single" w:color="FFFFFF" w:sz="8" w:space="0"/>
              <w:right w:val="single" w:color="FFFFFF" w:sz="8" w:space="0"/>
            </w:tcBorders>
            <w:shd w:val="clear" w:color="auto" w:fill="1F3864"/>
            <w:vAlign w:val="center"/>
          </w:tcPr>
          <w:p w14:paraId="3C9250C4">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Style w:val="49"/>
                <w:b/>
                <w:bCs w:val="0"/>
                <w:color w:val="FFFFFF" w:themeColor="background1"/>
                <w:sz w:val="18"/>
                <w:szCs w:val="18"/>
                <w:lang w:val="en-US" w:eastAsia="zh-CN" w:bidi="ar"/>
                <w14:textFill>
                  <w14:solidFill>
                    <w14:schemeClr w14:val="bg1"/>
                  </w14:solidFill>
                </w14:textFill>
              </w:rPr>
              <w:t>氨基酸变化</w:t>
            </w: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w:t>
            </w:r>
            <w:r>
              <w:rPr>
                <w:rStyle w:val="49"/>
                <w:b/>
                <w:bCs w:val="0"/>
                <w:color w:val="FFFFFF" w:themeColor="background1"/>
                <w:sz w:val="18"/>
                <w:szCs w:val="18"/>
                <w:lang w:val="en-US" w:eastAsia="zh-CN" w:bidi="ar"/>
                <w14:textFill>
                  <w14:solidFill>
                    <w14:schemeClr w14:val="bg1"/>
                  </w14:solidFill>
                </w14:textFill>
              </w:rPr>
              <w:t>融合形式</w:t>
            </w:r>
          </w:p>
        </w:tc>
        <w:tc>
          <w:tcPr>
            <w:tcW w:w="630" w:type="pct"/>
            <w:tcBorders>
              <w:top w:val="single" w:color="FFFFFF" w:sz="8" w:space="0"/>
              <w:left w:val="single" w:color="FFFFFF" w:sz="8" w:space="0"/>
              <w:bottom w:val="single" w:color="FFFFFF" w:sz="8" w:space="0"/>
              <w:right w:val="single" w:color="FFFFFF" w:sz="8" w:space="0"/>
            </w:tcBorders>
            <w:shd w:val="clear" w:color="auto" w:fill="1F3864"/>
            <w:vAlign w:val="center"/>
          </w:tcPr>
          <w:p w14:paraId="633578E9">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Cosmic ID</w:t>
            </w:r>
          </w:p>
        </w:tc>
      </w:tr>
      <w:tr w14:paraId="47D7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restart"/>
            <w:tcBorders>
              <w:top w:val="single" w:color="FFFFFF" w:sz="8" w:space="0"/>
              <w:left w:val="single" w:color="FFFFFF" w:sz="8" w:space="0"/>
              <w:bottom w:val="single" w:color="FFFFFF" w:sz="8" w:space="0"/>
              <w:right w:val="single" w:color="FFFFFF" w:sz="8" w:space="0"/>
            </w:tcBorders>
            <w:shd w:val="clear" w:color="auto" w:fill="1F3864"/>
            <w:vAlign w:val="center"/>
          </w:tcPr>
          <w:p w14:paraId="4A9228C7">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EGFR</w:t>
            </w:r>
          </w:p>
        </w:tc>
        <w:tc>
          <w:tcPr>
            <w:tcW w:w="435" w:type="pct"/>
            <w:tcBorders>
              <w:top w:val="single" w:color="FFFFFF" w:sz="8" w:space="0"/>
              <w:left w:val="single" w:color="FFFFFF" w:sz="8" w:space="0"/>
              <w:bottom w:val="single" w:color="000000" w:sz="4" w:space="0"/>
              <w:right w:val="single" w:color="000000" w:sz="4" w:space="0"/>
            </w:tcBorders>
            <w:shd w:val="clear" w:color="auto" w:fill="FFFFFF"/>
            <w:vAlign w:val="center"/>
          </w:tcPr>
          <w:p w14:paraId="7671664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18 </w:t>
            </w:r>
          </w:p>
        </w:tc>
        <w:tc>
          <w:tcPr>
            <w:tcW w:w="1643" w:type="pct"/>
            <w:tcBorders>
              <w:top w:val="single" w:color="FFFFFF" w:sz="8" w:space="0"/>
              <w:left w:val="single" w:color="000000" w:sz="4" w:space="0"/>
              <w:bottom w:val="single" w:color="000000" w:sz="4" w:space="0"/>
              <w:right w:val="single" w:color="000000" w:sz="4" w:space="0"/>
            </w:tcBorders>
            <w:shd w:val="clear" w:color="auto" w:fill="FFFFFF"/>
            <w:vAlign w:val="center"/>
          </w:tcPr>
          <w:p w14:paraId="5E82466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c.2156G&gt;C</w:t>
            </w:r>
          </w:p>
        </w:tc>
        <w:tc>
          <w:tcPr>
            <w:tcW w:w="1591" w:type="pct"/>
            <w:tcBorders>
              <w:top w:val="single" w:color="FFFFFF" w:sz="8" w:space="0"/>
              <w:left w:val="single" w:color="000000" w:sz="4" w:space="0"/>
              <w:bottom w:val="single" w:color="000000" w:sz="4" w:space="0"/>
              <w:right w:val="single" w:color="000000" w:sz="4" w:space="0"/>
            </w:tcBorders>
            <w:shd w:val="clear" w:color="auto" w:fill="FFFFFF"/>
            <w:vAlign w:val="center"/>
          </w:tcPr>
          <w:p w14:paraId="29551A8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p.G719A</w:t>
            </w:r>
          </w:p>
        </w:tc>
        <w:tc>
          <w:tcPr>
            <w:tcW w:w="630" w:type="pct"/>
            <w:tcBorders>
              <w:top w:val="single" w:color="FFFFFF" w:sz="8" w:space="0"/>
              <w:left w:val="single" w:color="000000" w:sz="4" w:space="0"/>
              <w:bottom w:val="single" w:color="000000" w:sz="4" w:space="0"/>
              <w:right w:val="single" w:color="000000" w:sz="4" w:space="0"/>
            </w:tcBorders>
            <w:shd w:val="clear" w:color="auto" w:fill="FFFFFF"/>
            <w:vAlign w:val="center"/>
          </w:tcPr>
          <w:p w14:paraId="2FACE62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6239 </w:t>
            </w:r>
          </w:p>
        </w:tc>
      </w:tr>
      <w:tr w14:paraId="2D5ED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11CC6B0">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BA576A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18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FDB7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c.2155G&gt;T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B879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p.G719C</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C524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6253 </w:t>
            </w:r>
          </w:p>
        </w:tc>
      </w:tr>
      <w:tr w14:paraId="364FA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EE35963">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3A278A3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18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A4BF8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c.2155G&gt;A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80381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p.G719S</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8FBC5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6252 </w:t>
            </w:r>
          </w:p>
        </w:tc>
      </w:tr>
      <w:tr w14:paraId="546E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17AC7A7F">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25D599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F5F26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c.2235_2249del15</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5B1B2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p.E746_A750delELREA</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975DC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6223 </w:t>
            </w:r>
          </w:p>
        </w:tc>
      </w:tr>
      <w:tr w14:paraId="4FED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3D82116D">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95E7EB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B7CB0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c.2236_2250del15</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BC027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p.E746_A750delELREA</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B5796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6225 </w:t>
            </w:r>
          </w:p>
        </w:tc>
      </w:tr>
      <w:tr w14:paraId="6C0D1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0E1B86E6">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AEDE94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47F33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lang w:val="en-US"/>
              </w:rPr>
            </w:pPr>
            <w:r>
              <w:rPr>
                <w:rFonts w:hint="default" w:ascii="Times New Roman" w:hAnsi="Times New Roman" w:eastAsia="宋体" w:cs="Times New Roman"/>
                <w:b w:val="0"/>
                <w:bCs/>
                <w:i w:val="0"/>
                <w:iCs w:val="0"/>
                <w:color w:val="000000"/>
                <w:kern w:val="0"/>
                <w:sz w:val="18"/>
                <w:szCs w:val="18"/>
                <w:u w:val="none"/>
                <w:lang w:val="en-US" w:eastAsia="zh-CN" w:bidi="ar"/>
              </w:rPr>
              <w:t>c.2239_2253del15/c.2240_2254del</w:t>
            </w:r>
            <w:r>
              <w:rPr>
                <w:rFonts w:hint="eastAsia" w:ascii="Times New Roman" w:hAnsi="Times New Roman" w:cs="Times New Roman"/>
                <w:b w:val="0"/>
                <w:bCs/>
                <w:i w:val="0"/>
                <w:iCs w:val="0"/>
                <w:color w:val="000000"/>
                <w:kern w:val="0"/>
                <w:sz w:val="18"/>
                <w:szCs w:val="18"/>
                <w:u w:val="none"/>
                <w:lang w:val="en-US" w:eastAsia="zh-CN" w:bidi="ar"/>
              </w:rPr>
              <w:t>15</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D2EB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p.L747_T751delLREAT</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A605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6254/12369</w:t>
            </w:r>
          </w:p>
        </w:tc>
      </w:tr>
      <w:tr w14:paraId="1AFD5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6CC59E0C">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24EB468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B2C4C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c.2239_2256del18</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7D4D9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p.L747_S752delLREATS</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9BED2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6255 </w:t>
            </w:r>
          </w:p>
        </w:tc>
      </w:tr>
      <w:tr w14:paraId="672EB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9B8B6F5">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2F323A5">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D9D58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c.2239_2247delTTAAGAGAA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7CDC6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p.L747_E749delLRE</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8C807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6218 </w:t>
            </w:r>
          </w:p>
        </w:tc>
      </w:tr>
      <w:tr w14:paraId="17F3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4E4D5E70">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32E7080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D9D6C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c.2237_2251del15</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43F10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p.E746_T751&gt;A</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15553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12678 </w:t>
            </w:r>
          </w:p>
        </w:tc>
      </w:tr>
      <w:tr w14:paraId="7A8F1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3320DCFE">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30CCC14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A4D68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c.2240_2257del18</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D5A1D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p.L747_P753&gt;S</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09910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12370 </w:t>
            </w:r>
          </w:p>
        </w:tc>
      </w:tr>
      <w:tr w14:paraId="2AA40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403367C">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238C32F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46E37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c.2239_2248TTAAGAGAAG&gt;C</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C64DE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p.L747_A750&gt;P</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5297B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6254 </w:t>
            </w:r>
          </w:p>
        </w:tc>
      </w:tr>
      <w:tr w14:paraId="7AFEA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545C60E">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005EFD4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0018E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c.2237_2255&gt;T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1C80D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p.E746_S752&gt;V</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6DA26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12384 </w:t>
            </w:r>
          </w:p>
        </w:tc>
      </w:tr>
      <w:tr w14:paraId="7011B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34D8A5BA">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74E0913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6B248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c.2239_2251&gt;C</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A90F5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p.L747_T75I&gt;P</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43F4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12383 </w:t>
            </w:r>
          </w:p>
        </w:tc>
      </w:tr>
      <w:tr w14:paraId="0A64B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137FEF1">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2103BCD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3F1A0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c.2369C&gt;T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ED04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p.T790M</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3C4E8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6240 </w:t>
            </w:r>
          </w:p>
        </w:tc>
      </w:tr>
      <w:tr w14:paraId="475E1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D02117B">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333D36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067AC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c.2303G&gt;T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80C4F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p.S7681</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7B728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6241 </w:t>
            </w:r>
          </w:p>
        </w:tc>
      </w:tr>
      <w:tr w14:paraId="0A8B7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0046902">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216E74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B58F3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c.2307_2308insGCCAGCGTG</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316F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p.V769_D770insASV</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FD3DB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12376 </w:t>
            </w:r>
          </w:p>
        </w:tc>
      </w:tr>
      <w:tr w14:paraId="08678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98E728B">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B2BC7E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388A1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c.2310_231</w:t>
            </w:r>
            <w:r>
              <w:rPr>
                <w:rFonts w:hint="eastAsia" w:ascii="Times New Roman" w:hAnsi="Times New Roman" w:cs="Times New Roman"/>
                <w:b w:val="0"/>
                <w:bCs/>
                <w:i w:val="0"/>
                <w:iCs w:val="0"/>
                <w:color w:val="000000"/>
                <w:kern w:val="0"/>
                <w:sz w:val="18"/>
                <w:szCs w:val="18"/>
                <w:u w:val="none"/>
                <w:lang w:val="en-US" w:eastAsia="zh-CN" w:bidi="ar"/>
              </w:rPr>
              <w:t>1</w:t>
            </w:r>
            <w:r>
              <w:rPr>
                <w:rFonts w:hint="default" w:ascii="Times New Roman" w:hAnsi="Times New Roman" w:eastAsia="宋体" w:cs="Times New Roman"/>
                <w:b w:val="0"/>
                <w:bCs/>
                <w:i w:val="0"/>
                <w:iCs w:val="0"/>
                <w:color w:val="000000"/>
                <w:kern w:val="0"/>
                <w:sz w:val="18"/>
                <w:szCs w:val="18"/>
                <w:u w:val="none"/>
                <w:lang w:val="en-US" w:eastAsia="zh-CN" w:bidi="ar"/>
              </w:rPr>
              <w:t>insGGT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3B5D7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p.D770_N771insG</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88EDB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12378 </w:t>
            </w:r>
          </w:p>
        </w:tc>
      </w:tr>
      <w:tr w14:paraId="2B07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5D00F2F3">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716677A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F3A4E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c.2319_2320insCAC</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D8F73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p.H773_V774insH</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C9685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12377 </w:t>
            </w:r>
          </w:p>
        </w:tc>
      </w:tr>
      <w:tr w14:paraId="389CF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47F49617">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035499E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21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9FD8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c.2573T&gt;G</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1B5EA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p.L858R</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10D09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6224 </w:t>
            </w:r>
          </w:p>
        </w:tc>
      </w:tr>
      <w:tr w14:paraId="65358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8008689">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5C1540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21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72701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c.2582T&gt;A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55792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p.L861Q</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8A641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6213 </w:t>
            </w:r>
          </w:p>
        </w:tc>
      </w:tr>
      <w:tr w14:paraId="4BE25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restart"/>
            <w:tcBorders>
              <w:top w:val="single" w:color="FFFFFF" w:sz="8" w:space="0"/>
              <w:left w:val="single" w:color="FFFFFF" w:sz="8" w:space="0"/>
              <w:bottom w:val="single" w:color="FFFFFF" w:sz="8" w:space="0"/>
              <w:right w:val="single" w:color="FFFFFF" w:sz="8" w:space="0"/>
            </w:tcBorders>
            <w:shd w:val="clear" w:color="auto" w:fill="1F3864"/>
            <w:vAlign w:val="center"/>
          </w:tcPr>
          <w:p w14:paraId="0A62C6C9">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KRAS</w:t>
            </w: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DCDAC95">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DE782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c.35G&gt;A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8EBCF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p.G12D</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CCECE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521 </w:t>
            </w:r>
          </w:p>
        </w:tc>
      </w:tr>
      <w:tr w14:paraId="2E88C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499B7007">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23315E8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F8F315">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c.35G&gt;T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FB9E7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p.G12V</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5725B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520 </w:t>
            </w:r>
          </w:p>
        </w:tc>
      </w:tr>
      <w:tr w14:paraId="440B6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5BBC3A7D">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5FFC78C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5EDB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c.34G&gt;T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DDBFD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p.G12C</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800A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516 </w:t>
            </w:r>
          </w:p>
        </w:tc>
      </w:tr>
      <w:tr w14:paraId="586AB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4DE2E976">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326B84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F27D5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c.34G&gt;A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D7A81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p.G12S</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9C99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517 </w:t>
            </w:r>
          </w:p>
        </w:tc>
      </w:tr>
      <w:tr w14:paraId="1D7AA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779B25B">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74D659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FF593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c.38G&gt;A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5E4C4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p.G13D</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EC595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532 </w:t>
            </w:r>
          </w:p>
        </w:tc>
      </w:tr>
      <w:tr w14:paraId="13BD3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5C1A16D7">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55505EB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14778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c.34G&gt;C</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75062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p.G12R</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02D56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518 </w:t>
            </w:r>
          </w:p>
        </w:tc>
      </w:tr>
      <w:tr w14:paraId="6DCD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2B5B5B19">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67C122D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2C0A9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c.35G&gt;C</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7EE93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p.G12A</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4651D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522 </w:t>
            </w:r>
          </w:p>
        </w:tc>
      </w:tr>
      <w:tr w14:paraId="3F20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tcBorders>
              <w:top w:val="single" w:color="FFFFFF" w:sz="8" w:space="0"/>
              <w:left w:val="single" w:color="FFFFFF" w:sz="8" w:space="0"/>
              <w:bottom w:val="single" w:color="FFFFFF" w:sz="8" w:space="0"/>
              <w:right w:val="single" w:color="FFFFFF" w:sz="8" w:space="0"/>
            </w:tcBorders>
            <w:shd w:val="clear" w:color="auto" w:fill="1F3864"/>
            <w:vAlign w:val="center"/>
          </w:tcPr>
          <w:p w14:paraId="76F95CDF">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BRAF</w:t>
            </w: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C66DC3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15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12BD8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c.1799T&gt;A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812FD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p.V600E</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A4F02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476 </w:t>
            </w:r>
          </w:p>
        </w:tc>
      </w:tr>
      <w:tr w14:paraId="487A8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restart"/>
            <w:tcBorders>
              <w:top w:val="single" w:color="FFFFFF" w:sz="8" w:space="0"/>
              <w:left w:val="single" w:color="FFFFFF" w:sz="8" w:space="0"/>
              <w:bottom w:val="single" w:color="FFFFFF" w:sz="8" w:space="0"/>
              <w:right w:val="single" w:color="FFFFFF" w:sz="8" w:space="0"/>
            </w:tcBorders>
            <w:shd w:val="clear" w:color="auto" w:fill="1F3864"/>
            <w:vAlign w:val="center"/>
          </w:tcPr>
          <w:p w14:paraId="74D7D4FD">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PIK3CA</w:t>
            </w: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1082B7B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38A51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c.1624G&gt;A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B081C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p.E542K</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194DC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760 </w:t>
            </w:r>
          </w:p>
        </w:tc>
      </w:tr>
      <w:tr w14:paraId="2DED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304A1437">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496C0083">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9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C446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c.1633G&gt;A</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CCD97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p.E545K</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7BA5F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763 </w:t>
            </w:r>
          </w:p>
        </w:tc>
      </w:tr>
      <w:tr w14:paraId="6A05F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14BB5371">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777A9185">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A60C5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c.3140A&gt;T</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6E1EB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p.H1047L</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8CA85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776 </w:t>
            </w:r>
          </w:p>
        </w:tc>
      </w:tr>
      <w:tr w14:paraId="11C31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4927BF35">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vAlign w:val="center"/>
          </w:tcPr>
          <w:p w14:paraId="5DAB0DC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20 </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C3108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c.3140A&gt;G</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DDB86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p.H1047R</w:t>
            </w:r>
          </w:p>
        </w:tc>
        <w:tc>
          <w:tcPr>
            <w:tcW w:w="63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07B76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 xml:space="preserve">775 </w:t>
            </w:r>
          </w:p>
        </w:tc>
      </w:tr>
      <w:tr w14:paraId="30F77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restart"/>
            <w:tcBorders>
              <w:top w:val="single" w:color="FFFFFF" w:sz="8" w:space="0"/>
              <w:left w:val="single" w:color="FFFFFF" w:sz="8" w:space="0"/>
              <w:bottom w:val="single" w:color="FFFFFF" w:sz="8" w:space="0"/>
              <w:right w:val="single" w:color="FFFFFF" w:sz="8" w:space="0"/>
            </w:tcBorders>
            <w:shd w:val="clear" w:color="auto" w:fill="1F3864"/>
            <w:vAlign w:val="center"/>
          </w:tcPr>
          <w:p w14:paraId="5A187DAF">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ALK</w:t>
            </w: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1279A60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F086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EML4-ALK</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C2D73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E13A20</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AC3B87">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0D0AC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65B32C34">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7F9AEC5B">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6D391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EML4-ALK</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BF7D2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E20A20</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9DB8C8">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0938D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5C14F5A6">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5F9EE876">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FEFF9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EML4-ALK</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AC54B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E6aA20</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7725C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7FF3D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7BD517C7">
            <w:pPr>
              <w:jc w:val="left"/>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30FB811C">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490230">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EML4-ALK</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7C94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E6bA20</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95DA8A">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5975D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restart"/>
            <w:tcBorders>
              <w:top w:val="single" w:color="FFFFFF" w:sz="8" w:space="0"/>
              <w:left w:val="single" w:color="FFFFFF" w:sz="8" w:space="0"/>
              <w:bottom w:val="single" w:color="FFFFFF" w:sz="8" w:space="0"/>
              <w:right w:val="single" w:color="FFFFFF" w:sz="8" w:space="0"/>
            </w:tcBorders>
            <w:shd w:val="clear" w:color="auto" w:fill="1F3864"/>
            <w:vAlign w:val="center"/>
          </w:tcPr>
          <w:p w14:paraId="3B91A939">
            <w:pPr>
              <w:keepNext w:val="0"/>
              <w:keepLines w:val="0"/>
              <w:widowControl/>
              <w:suppressLineNumbers w:val="0"/>
              <w:jc w:val="left"/>
              <w:textAlignment w:val="center"/>
              <w:rPr>
                <w:rFonts w:hint="default" w:ascii="Times New Roman" w:hAnsi="Times New Roman" w:eastAsia="宋体" w:cs="Times New Roman"/>
                <w:b/>
                <w:bCs w:val="0"/>
                <w:i w:val="0"/>
                <w:iCs w:val="0"/>
                <w:color w:val="FFFFFF" w:themeColor="background1"/>
                <w:sz w:val="18"/>
                <w:szCs w:val="18"/>
                <w:u w:val="none"/>
                <w14:textFill>
                  <w14:solidFill>
                    <w14:schemeClr w14:val="bg1"/>
                  </w14:solidFill>
                </w14:textFill>
              </w:rPr>
            </w:pPr>
            <w:r>
              <w:rPr>
                <w:rFonts w:hint="default" w:ascii="Times New Roman" w:hAnsi="Times New Roman" w:eastAsia="宋体" w:cs="Times New Roman"/>
                <w:b/>
                <w:bCs w:val="0"/>
                <w:i w:val="0"/>
                <w:iCs w:val="0"/>
                <w:color w:val="FFFFFF" w:themeColor="background1"/>
                <w:kern w:val="0"/>
                <w:sz w:val="18"/>
                <w:szCs w:val="18"/>
                <w:u w:val="none"/>
                <w:lang w:val="en-US" w:eastAsia="zh-CN" w:bidi="ar"/>
                <w14:textFill>
                  <w14:solidFill>
                    <w14:schemeClr w14:val="bg1"/>
                  </w14:solidFill>
                </w14:textFill>
              </w:rPr>
              <w:t>ROS1</w:t>
            </w: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2F520F1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FD08E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SLC34A2-ROS1</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DD7A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S4R32</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49A7AF">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5C763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021F9DE4">
            <w:pPr>
              <w:jc w:val="left"/>
              <w:rPr>
                <w:rFonts w:hint="default" w:ascii="Times New Roman" w:hAnsi="Times New Roman" w:eastAsia="宋体" w:cs="Times New Roman"/>
                <w:b w:val="0"/>
                <w:i w:val="0"/>
                <w:iCs w:val="0"/>
                <w:color w:val="000000"/>
                <w:sz w:val="18"/>
                <w:szCs w:val="18"/>
                <w:u w:val="none"/>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7B9BF9A4">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9CBBA2">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CD74-ROS1</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9F5575">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C6R34</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9F531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r w14:paraId="060E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99" w:type="pct"/>
            <w:vMerge w:val="continue"/>
            <w:tcBorders>
              <w:top w:val="single" w:color="FFFFFF" w:sz="8" w:space="0"/>
              <w:left w:val="single" w:color="FFFFFF" w:sz="8" w:space="0"/>
              <w:bottom w:val="single" w:color="FFFFFF" w:sz="8" w:space="0"/>
              <w:right w:val="single" w:color="FFFFFF" w:sz="8" w:space="0"/>
            </w:tcBorders>
            <w:shd w:val="clear" w:color="auto" w:fill="1F3864"/>
            <w:vAlign w:val="center"/>
          </w:tcPr>
          <w:p w14:paraId="0BB70A6A">
            <w:pPr>
              <w:jc w:val="left"/>
              <w:rPr>
                <w:rFonts w:hint="default" w:ascii="Times New Roman" w:hAnsi="Times New Roman" w:eastAsia="宋体" w:cs="Times New Roman"/>
                <w:b w:val="0"/>
                <w:i w:val="0"/>
                <w:iCs w:val="0"/>
                <w:color w:val="000000"/>
                <w:sz w:val="18"/>
                <w:szCs w:val="18"/>
                <w:u w:val="none"/>
              </w:rPr>
            </w:pPr>
          </w:p>
        </w:tc>
        <w:tc>
          <w:tcPr>
            <w:tcW w:w="435" w:type="pct"/>
            <w:tcBorders>
              <w:top w:val="single" w:color="000000" w:sz="4" w:space="0"/>
              <w:left w:val="single" w:color="FFFFFF" w:sz="8" w:space="0"/>
              <w:bottom w:val="single" w:color="000000" w:sz="4" w:space="0"/>
              <w:right w:val="single" w:color="000000" w:sz="4" w:space="0"/>
            </w:tcBorders>
            <w:shd w:val="clear" w:color="auto" w:fill="FFFFFF"/>
            <w:noWrap/>
            <w:vAlign w:val="center"/>
          </w:tcPr>
          <w:p w14:paraId="72D9A38D">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c>
          <w:tcPr>
            <w:tcW w:w="164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DAD3CE">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EZR-ROS1</w:t>
            </w:r>
          </w:p>
        </w:tc>
        <w:tc>
          <w:tcPr>
            <w:tcW w:w="15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52E291">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E10R34</w:t>
            </w:r>
          </w:p>
        </w:tc>
        <w:tc>
          <w:tcPr>
            <w:tcW w:w="630"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9992C9">
            <w:pPr>
              <w:keepNext w:val="0"/>
              <w:keepLines w:val="0"/>
              <w:widowControl/>
              <w:suppressLineNumbers w:val="0"/>
              <w:jc w:val="left"/>
              <w:textAlignment w:val="center"/>
              <w:rPr>
                <w:rFonts w:hint="default" w:ascii="Times New Roman" w:hAnsi="Times New Roman" w:eastAsia="宋体" w:cs="Times New Roman"/>
                <w:b w:val="0"/>
                <w:bCs/>
                <w:i w:val="0"/>
                <w:iCs w:val="0"/>
                <w:color w:val="000000"/>
                <w:sz w:val="18"/>
                <w:szCs w:val="18"/>
                <w:u w:val="none"/>
              </w:rPr>
            </w:pPr>
            <w:r>
              <w:rPr>
                <w:rFonts w:hint="default" w:ascii="Times New Roman" w:hAnsi="Times New Roman" w:eastAsia="宋体" w:cs="Times New Roman"/>
                <w:b w:val="0"/>
                <w:bCs/>
                <w:i w:val="0"/>
                <w:iCs w:val="0"/>
                <w:color w:val="000000"/>
                <w:kern w:val="0"/>
                <w:sz w:val="18"/>
                <w:szCs w:val="18"/>
                <w:u w:val="none"/>
                <w:lang w:val="en-US" w:eastAsia="zh-CN" w:bidi="ar"/>
              </w:rPr>
              <w:t>/</w:t>
            </w:r>
          </w:p>
        </w:tc>
      </w:tr>
    </w:tbl>
    <w:p w14:paraId="1B070096">
      <w:pPr>
        <w:keepNext/>
        <w:widowControl/>
        <w:spacing w:before="360" w:beforeLines="150" w:line="260" w:lineRule="auto"/>
        <w:rPr>
          <w:rFonts w:hint="eastAsia" w:ascii="Times New Roman" w:hAnsi="Times New Roman" w:eastAsia="微软雅黑" w:cs="Times New Roman"/>
          <w:b/>
          <w:color w:val="1F497D"/>
          <w:sz w:val="28"/>
          <w:szCs w:val="28"/>
          <w:lang w:val="en-US" w:eastAsia="zh-CN"/>
        </w:rPr>
      </w:pPr>
      <w:r>
        <w:rPr>
          <w:rFonts w:hint="eastAsia" w:ascii="Times New Roman" w:hAnsi="Times New Roman" w:eastAsia="微软雅黑" w:cs="Times New Roman"/>
          <w:b/>
          <w:color w:val="1F497D"/>
          <w:sz w:val="24"/>
          <w:szCs w:val="24"/>
          <w:lang w:val="en-US" w:eastAsia="zh-CN"/>
        </w:rPr>
        <w:t>{% if associatedBowelCancer %}</w:t>
      </w:r>
      <w:r>
        <w:rPr>
          <w:rFonts w:hint="eastAsia" w:ascii="Times New Roman" w:hAnsi="Times New Roman" w:eastAsia="微软雅黑" w:cs="Times New Roman"/>
          <w:b/>
          <w:color w:val="1F497D"/>
          <w:sz w:val="28"/>
          <w:szCs w:val="28"/>
          <w:lang w:val="en-US" w:eastAsia="zh-CN"/>
        </w:rPr>
        <w:t>附录5{% else %}附录4{% endif %} 常见靶向药物相关基因检测列表</w:t>
      </w:r>
    </w:p>
    <w:p w14:paraId="5F52F6B5">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712512" behindDoc="0" locked="0" layoutInCell="1" allowOverlap="1">
                <wp:simplePos x="0" y="0"/>
                <wp:positionH relativeFrom="column">
                  <wp:posOffset>-34290</wp:posOffset>
                </wp:positionH>
                <wp:positionV relativeFrom="paragraph">
                  <wp:posOffset>167005</wp:posOffset>
                </wp:positionV>
                <wp:extent cx="5758815" cy="21590"/>
                <wp:effectExtent l="0" t="9525" r="3810" b="16510"/>
                <wp:wrapNone/>
                <wp:docPr id="61" name="直线 1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4" o:spid="_x0000_s1026" o:spt="20" style="position:absolute;left:0pt;margin-left:-2.7pt;margin-top:13.15pt;height:1.7pt;width:453.45pt;z-index:251712512;mso-width-relative:page;mso-height-relative:page;" filled="f" stroked="t" coordsize="21600,21600" o:gfxdata="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bRcFtgAAAAIAQAADwAAAAAAAAABACAAAAAiAAAAZHJzL2Rvd25yZXYueG1sUEsBAhQAFAAAAAgA&#10;h07iQLEWA4XsAQAA4AMAAA4AAAAAAAAAAQAgAAAAJwEAAGRycy9lMm9Eb2MueG1sUEsFBgAAAAAG&#10;AAYAWQEAAIUFAAAAAA==&#10;">
                <v:fill on="f" focussize="0,0"/>
                <v:stroke weight="1.5pt" color="#002060" joinstyle="miter"/>
                <v:imagedata o:title=""/>
                <o:lock v:ext="edit" aspectratio="f"/>
              </v:line>
            </w:pict>
          </mc:Fallback>
        </mc:AlternateContent>
      </w:r>
      <w:r>
        <w:rPr>
          <w:rFonts w:ascii="Times New Roman" w:hAnsi="Times New Roman" w:cs="Times New Roman"/>
          <w:b/>
        </w:rPr>
        <w:t>ABL1</w:t>
      </w:r>
    </w:p>
    <w:p w14:paraId="256E9FDF">
      <w:pPr>
        <w:spacing w:line="300" w:lineRule="auto"/>
        <w:ind w:left="420"/>
        <w:rPr>
          <w:rFonts w:ascii="Times New Roman" w:hAnsi="Times New Roman" w:cs="Times New Roman"/>
          <w:b/>
          <w:szCs w:val="18"/>
          <w:highlight w:val="black"/>
        </w:rPr>
      </w:pPr>
      <w:r>
        <w:rPr>
          <w:rFonts w:ascii="Times New Roman" w:hAnsi="Times New Roman" w:cs="Times New Roman"/>
          <w:b/>
          <w:szCs w:val="18"/>
        </w:rPr>
        <w:t>基因说明：</w:t>
      </w:r>
    </w:p>
    <w:p w14:paraId="7251F32C">
      <w:pPr>
        <w:spacing w:line="300" w:lineRule="auto"/>
        <w:ind w:left="420"/>
        <w:rPr>
          <w:rFonts w:ascii="Times New Roman" w:hAnsi="Times New Roman" w:cs="Times New Roman"/>
          <w:sz w:val="18"/>
          <w:szCs w:val="18"/>
        </w:rPr>
      </w:pPr>
      <w:r>
        <w:rPr>
          <w:rFonts w:ascii="Times New Roman" w:hAnsi="Times New Roman" w:cs="Times New Roman"/>
          <w:sz w:val="18"/>
          <w:szCs w:val="18"/>
        </w:rPr>
        <w:t>ABL1是原癌基因，编码一种蛋白酪氨酸激酶，参与多种细胞过程，包括细胞分裂、粘附、分化和应激反应。该蛋白的活性受其SH3结构域的负调控，因此该结构域的缺失将导致致癌基因的产生。这种广泛表达的蛋白具有DNA结合活性，并受CDC2介导的磷酸化调控，提示其具有细胞周期功能。在各种白血病中，该基因可能与多种易位伴侣基因发生融合，最常见的是易位导致的与断点簇区的5'端基因BCR</w:t>
      </w:r>
      <w:r>
        <w:rPr>
          <w:rFonts w:hint="eastAsia" w:ascii="Times New Roman" w:hAnsi="Times New Roman" w:cs="Times New Roman"/>
          <w:sz w:val="18"/>
          <w:szCs w:val="18"/>
        </w:rPr>
        <w:t>（</w:t>
      </w:r>
      <w:r>
        <w:rPr>
          <w:rFonts w:ascii="Times New Roman" w:hAnsi="Times New Roman" w:cs="Times New Roman"/>
          <w:sz w:val="18"/>
          <w:szCs w:val="18"/>
        </w:rPr>
        <w:t>MIM: 151410</w:t>
      </w:r>
      <w:r>
        <w:rPr>
          <w:rFonts w:hint="eastAsia" w:ascii="Times New Roman" w:hAnsi="Times New Roman" w:cs="Times New Roman"/>
          <w:sz w:val="18"/>
          <w:szCs w:val="18"/>
        </w:rPr>
        <w:t>）</w:t>
      </w:r>
      <w:r>
        <w:rPr>
          <w:rFonts w:ascii="Times New Roman" w:hAnsi="Times New Roman" w:cs="Times New Roman"/>
          <w:sz w:val="18"/>
          <w:szCs w:val="18"/>
        </w:rPr>
        <w:t>的融合。ABL1的突变常见于肺癌、结肠癌、子宫内膜样腺癌、乳腺浸润性导管癌和皮肤黑色素瘤患者中。</w:t>
      </w:r>
    </w:p>
    <w:p w14:paraId="21E3BBA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6D0BAFB">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ABL1在BCR-ABL融合蛋白中的作用与癌症关系最为密切，该融合蛋白已成为慢性</w:t>
      </w:r>
      <w:r>
        <w:rPr>
          <w:rFonts w:hint="eastAsia" w:ascii="Times New Roman" w:hAnsi="Times New Roman" w:cs="Times New Roman"/>
          <w:sz w:val="18"/>
          <w:szCs w:val="18"/>
        </w:rPr>
        <w:t>粒细胞</w:t>
      </w:r>
      <w:r>
        <w:rPr>
          <w:rFonts w:ascii="Times New Roman" w:hAnsi="Times New Roman" w:cs="Times New Roman"/>
          <w:sz w:val="18"/>
          <w:szCs w:val="18"/>
        </w:rPr>
        <w:t>白血病</w:t>
      </w:r>
      <w:r>
        <w:rPr>
          <w:rFonts w:hint="eastAsia" w:ascii="Times New Roman" w:hAnsi="Times New Roman" w:cs="Times New Roman"/>
          <w:sz w:val="18"/>
          <w:szCs w:val="18"/>
        </w:rPr>
        <w:t>（</w:t>
      </w:r>
      <w:r>
        <w:rPr>
          <w:rFonts w:ascii="Times New Roman" w:hAnsi="Times New Roman" w:cs="Times New Roman"/>
          <w:sz w:val="18"/>
          <w:szCs w:val="18"/>
        </w:rPr>
        <w:t>CML</w:t>
      </w:r>
      <w:r>
        <w:rPr>
          <w:rFonts w:hint="eastAsia" w:ascii="Times New Roman" w:hAnsi="Times New Roman" w:cs="Times New Roman"/>
          <w:sz w:val="18"/>
          <w:szCs w:val="18"/>
        </w:rPr>
        <w:t>）</w:t>
      </w:r>
      <w:r>
        <w:rPr>
          <w:rFonts w:ascii="Times New Roman" w:hAnsi="Times New Roman" w:cs="Times New Roman"/>
          <w:sz w:val="18"/>
          <w:szCs w:val="18"/>
        </w:rPr>
        <w:t>的一个特征，含有融合突变的细胞对伊马替尼表现出敏感性，大大改善了疾病的预后。</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指南推荐普纳替尼、尼洛替尼、伊马替尼、达沙替尼、博舒替尼用于</w:t>
      </w:r>
      <w:r>
        <w:rPr>
          <w:rFonts w:ascii="Times New Roman" w:hAnsi="Times New Roman" w:cs="Times New Roman"/>
          <w:sz w:val="18"/>
          <w:szCs w:val="18"/>
        </w:rPr>
        <w:t>ABL1重排的嗜酸性粒细胞增多症的髓系/淋巴系肿瘤患者</w:t>
      </w:r>
      <w:r>
        <w:rPr>
          <w:rFonts w:hint="eastAsia" w:ascii="Times New Roman" w:hAnsi="Times New Roman" w:cs="Times New Roman"/>
          <w:sz w:val="18"/>
          <w:szCs w:val="18"/>
        </w:rPr>
        <w:t>。</w:t>
      </w:r>
      <w:r>
        <w:rPr>
          <w:rFonts w:ascii="Times New Roman" w:hAnsi="Times New Roman" w:cs="Times New Roman"/>
          <w:sz w:val="18"/>
          <w:szCs w:val="18"/>
        </w:rPr>
        <w:t>然而，ABL1中额外的突变已被证明对伊马替尼具有耐药性，含有ABL1 R332W</w:t>
      </w:r>
      <w:r>
        <w:rPr>
          <w:rFonts w:hint="eastAsia" w:ascii="Times New Roman" w:hAnsi="Times New Roman" w:cs="Times New Roman"/>
          <w:sz w:val="18"/>
          <w:szCs w:val="18"/>
        </w:rPr>
        <w:t>（</w:t>
      </w:r>
      <w:r>
        <w:rPr>
          <w:rFonts w:ascii="Times New Roman" w:hAnsi="Times New Roman" w:cs="Times New Roman"/>
          <w:sz w:val="18"/>
          <w:szCs w:val="18"/>
        </w:rPr>
        <w:t>也被报道为R351W</w:t>
      </w:r>
      <w:r>
        <w:rPr>
          <w:rFonts w:hint="eastAsia" w:ascii="Times New Roman" w:hAnsi="Times New Roman" w:cs="Times New Roman"/>
          <w:sz w:val="18"/>
          <w:szCs w:val="18"/>
        </w:rPr>
        <w:t>）</w:t>
      </w:r>
      <w:r>
        <w:rPr>
          <w:rFonts w:ascii="Times New Roman" w:hAnsi="Times New Roman" w:cs="Times New Roman"/>
          <w:sz w:val="18"/>
          <w:szCs w:val="18"/>
        </w:rPr>
        <w:t>和ABL1 T315I的肺腺癌细胞在培养和异种移植模型中表现出对伊马替尼的耐药性[PMID: 26758680]。在这些耐药病例中，第二代酪氨酸激酶抑制剂如达沙替尼已显示出一定的疗效，达沙替尼抑制了含有ABL1 G321L(也被报道为G340L)和ABL1 R332W(也被报道为R351W)的肺腺癌细胞系的生长，并抑制了移植瘤模型中的肿瘤生长[PMID: 26758680]。ABL1重排与B细胞急性淋巴细胞白血病儿科患者的不良预后有关</w:t>
      </w:r>
      <w:r>
        <w:rPr>
          <w:rFonts w:hint="eastAsia" w:ascii="Times New Roman" w:hAnsi="Times New Roman" w:cs="Times New Roman"/>
          <w:sz w:val="18"/>
          <w:szCs w:val="18"/>
        </w:rPr>
        <w:t>。</w:t>
      </w:r>
      <w:r>
        <w:rPr>
          <w:rFonts w:ascii="Times New Roman" w:hAnsi="Times New Roman" w:cs="Times New Roman"/>
          <w:sz w:val="18"/>
          <w:szCs w:val="18"/>
        </w:rPr>
        <w:t>评估尼洛替尼</w:t>
      </w:r>
      <w:r>
        <w:rPr>
          <w:rFonts w:hint="eastAsia" w:ascii="Times New Roman" w:hAnsi="Times New Roman" w:cs="Times New Roman"/>
          <w:sz w:val="18"/>
          <w:szCs w:val="18"/>
        </w:rPr>
        <w:t>、依维莫司</w:t>
      </w:r>
      <w:r>
        <w:rPr>
          <w:rFonts w:ascii="Times New Roman" w:hAnsi="Times New Roman" w:cs="Times New Roman"/>
          <w:sz w:val="18"/>
          <w:szCs w:val="18"/>
        </w:rPr>
        <w:t>治疗ABL1</w:t>
      </w:r>
      <w:r>
        <w:rPr>
          <w:rFonts w:hint="eastAsia" w:ascii="Times New Roman" w:hAnsi="Times New Roman" w:cs="Times New Roman"/>
          <w:sz w:val="18"/>
          <w:szCs w:val="18"/>
        </w:rPr>
        <w:t>融合</w:t>
      </w:r>
      <w:r>
        <w:rPr>
          <w:rFonts w:ascii="Times New Roman" w:hAnsi="Times New Roman" w:cs="Times New Roman"/>
          <w:sz w:val="18"/>
          <w:szCs w:val="18"/>
        </w:rPr>
        <w:t>的实体瘤患者疗效的临床试验正在开展。</w:t>
      </w:r>
    </w:p>
    <w:p w14:paraId="7CC169EA">
      <w:pPr>
        <w:adjustRightInd w:val="0"/>
        <w:snapToGrid w:val="0"/>
        <w:spacing w:line="300" w:lineRule="auto"/>
        <w:ind w:left="420"/>
        <w:jc w:val="both"/>
        <w:rPr>
          <w:rFonts w:ascii="Times New Roman" w:hAnsi="Times New Roman" w:cs="Times New Roman"/>
          <w:sz w:val="18"/>
          <w:szCs w:val="18"/>
        </w:rPr>
      </w:pPr>
    </w:p>
    <w:p w14:paraId="195428D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4320"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3" name="直线 1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5" o:spid="_x0000_s1026" o:spt="20" style="position:absolute;left:0pt;margin-left:-2.55pt;margin-top:12.55pt;height:1.7pt;width:453.45pt;z-index:25170432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PIolP6wEAAOADAAAOAAAAZHJzL2Uyb0RvYy54bWytU0tu&#10;2zAQ3RfoHQjua8kulC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3rzlzIGlG3/8/uPx&#10;5y82b7I6Y8CWku7cJp5OGDYxUz300eY/kWCHoujxrKg6JCbI2bxrrq8JiAmKLebNTVG8ei4OEdMH&#10;5S3LRseNdpkwtLD/iIkaUupTSnYbx0Za2pu6oQsUQOvX07WTaQNRQLcrxeiNlvfamFyCcbe9M5Ht&#10;Ia9Avaivnmb4Ky13WQMOU14JTcthdVKZOrSDAvneSZaOgVRy9Dp4nsYqyZlR9JiyVTITaHNJJrEz&#10;jkhmkSdZs7X18ljULn66+CLDaUnzZv15LtXPD3P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CPIolP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AKT1                                                                          </w:t>
      </w:r>
    </w:p>
    <w:p w14:paraId="1D90260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11EF835">
      <w:pPr>
        <w:spacing w:line="300" w:lineRule="auto"/>
        <w:ind w:left="420"/>
        <w:rPr>
          <w:rFonts w:ascii="Times New Roman" w:hAnsi="Times New Roman" w:cs="Times New Roman"/>
          <w:sz w:val="18"/>
          <w:szCs w:val="18"/>
        </w:rPr>
      </w:pPr>
      <w:r>
        <w:rPr>
          <w:rFonts w:ascii="Times New Roman" w:hAnsi="Times New Roman" w:cs="Times New Roman"/>
          <w:sz w:val="18"/>
          <w:szCs w:val="18"/>
        </w:rPr>
        <w:t>AKT是一种丝氨酸/苏氨酸蛋白激酶，也被称为蛋白激酶B(PKB)，通过磷酸化多种转录因子，来参与机体多种生命活动。目前，在哺乳动物中共发现三种AKT亚型：AKT1/PKBα、AKT2/PKBβ和AKT3/PKBγ。AKT是PI3K/AKT信号通路中核心因子，AKT1激活突变可导致PI3K/Akt/mTOR信号通路的持续激活，进而介导细胞信号传导途径包括存活，增殖，血管生成，迁移，代谢和葡萄糖体内平衡[PMID</w:t>
      </w:r>
      <w:r>
        <w:rPr>
          <w:rFonts w:hint="eastAsia" w:ascii="Times New Roman" w:hAnsi="Times New Roman" w:cs="Times New Roman"/>
          <w:sz w:val="18"/>
          <w:szCs w:val="18"/>
        </w:rPr>
        <w:t xml:space="preserve">: </w:t>
      </w:r>
      <w:r>
        <w:rPr>
          <w:rFonts w:ascii="Times New Roman" w:hAnsi="Times New Roman" w:cs="Times New Roman"/>
          <w:sz w:val="18"/>
          <w:szCs w:val="18"/>
        </w:rPr>
        <w:t>32305038]。异常活化的AKT会导致肿瘤发生、转移以及耐药性的产生，超过50%的肿瘤中存在Akt过度活化，与AKT1相关的疾病包括乳腺癌、结肠癌和卵巢癌等，在多种癌种中存在低频突变。</w:t>
      </w:r>
    </w:p>
    <w:p w14:paraId="1FB8C75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F7A4C56">
      <w:pPr>
        <w:spacing w:line="360" w:lineRule="auto"/>
        <w:ind w:left="420"/>
        <w:rPr>
          <w:rFonts w:ascii="Times New Roman" w:hAnsi="Times New Roman" w:cs="Times New Roman"/>
          <w:sz w:val="18"/>
          <w:szCs w:val="18"/>
        </w:rPr>
      </w:pPr>
      <w:r>
        <w:rPr>
          <w:rFonts w:ascii="Times New Roman" w:hAnsi="Times New Roman" w:cs="Times New Roman"/>
          <w:sz w:val="18"/>
          <w:szCs w:val="18"/>
        </w:rPr>
        <w:t>癌症中的AKT1激活主要是由于PI3K通路的激活或PTEN失活导致[ PMID: 30742888]。目前检测出的AKT1突变主要包括AKT1激活突变[PMID: 17611497</w:t>
      </w:r>
      <w:r>
        <w:rPr>
          <w:rFonts w:hint="eastAsia" w:ascii="Times New Roman" w:hAnsi="Times New Roman" w:cs="Times New Roman"/>
          <w:sz w:val="18"/>
          <w:szCs w:val="18"/>
        </w:rPr>
        <w:t>; PMID: 23134728; PMID: 20440266</w:t>
      </w:r>
      <w:r>
        <w:rPr>
          <w:rFonts w:ascii="Times New Roman" w:hAnsi="Times New Roman" w:cs="Times New Roman"/>
          <w:sz w:val="18"/>
          <w:szCs w:val="18"/>
        </w:rPr>
        <w:t>]，包括磷酸肌醇依赖的AKT1的活化。抑制Akt活性既可避免抑制上游PI3K造成的严重副作用，也可避免抑制下游mTOR引起的负反馈机制影响药效。在一项临床研究中，一名携带AKT1 E17K的肺腺癌患者在接受Capivasertib治疗时表现出部分反应[PMID: 28489509]。一项在晚期实体瘤患者的I期临床试验中，Capivasertib（一种AKT抑制剂）显示出安全性和初步的抗肿瘤活性，两例患者均报告部分应答，均为AKT1 E17K突变阳性</w:t>
      </w:r>
      <w:r>
        <w:rPr>
          <w:rFonts w:hint="eastAsia" w:ascii="Times New Roman" w:hAnsi="Times New Roman" w:cs="Times New Roman"/>
          <w:sz w:val="18"/>
          <w:szCs w:val="18"/>
        </w:rPr>
        <w:t>；</w:t>
      </w:r>
      <w:r>
        <w:rPr>
          <w:rFonts w:ascii="Times New Roman" w:hAnsi="Times New Roman" w:cs="Times New Roman"/>
          <w:sz w:val="18"/>
          <w:szCs w:val="18"/>
        </w:rPr>
        <w:t>在480mg bid 4/3剂量组中，1例患者维持部分应答2年[PMID: 26931343]。</w:t>
      </w:r>
      <w:r>
        <w:rPr>
          <w:rFonts w:hint="eastAsia" w:ascii="Times New Roman" w:hAnsi="Times New Roman" w:cs="Times New Roman"/>
          <w:sz w:val="18"/>
          <w:szCs w:val="18"/>
        </w:rPr>
        <w:t>评估</w:t>
      </w:r>
      <w:r>
        <w:rPr>
          <w:rFonts w:ascii="Times New Roman" w:hAnsi="Times New Roman" w:cs="Times New Roman"/>
          <w:sz w:val="18"/>
          <w:szCs w:val="18"/>
        </w:rPr>
        <w:t>TAS117</w:t>
      </w:r>
      <w:r>
        <w:rPr>
          <w:rFonts w:hint="eastAsia" w:ascii="Times New Roman" w:hAnsi="Times New Roman" w:cs="Times New Roman"/>
          <w:sz w:val="18"/>
          <w:szCs w:val="18"/>
        </w:rPr>
        <w:t>、替西罗莫司、依维莫司、</w:t>
      </w:r>
      <w:r>
        <w:rPr>
          <w:rFonts w:ascii="Times New Roman" w:hAnsi="Times New Roman" w:cs="Times New Roman"/>
          <w:sz w:val="18"/>
          <w:szCs w:val="18"/>
        </w:rPr>
        <w:t>Ipatasertib</w:t>
      </w:r>
      <w:r>
        <w:rPr>
          <w:rFonts w:hint="eastAsia" w:ascii="Times New Roman" w:hAnsi="Times New Roman" w:cs="Times New Roman"/>
          <w:sz w:val="18"/>
          <w:szCs w:val="18"/>
        </w:rPr>
        <w:t>治疗A</w:t>
      </w:r>
      <w:r>
        <w:rPr>
          <w:rFonts w:ascii="Times New Roman" w:hAnsi="Times New Roman" w:cs="Times New Roman"/>
          <w:sz w:val="18"/>
          <w:szCs w:val="18"/>
        </w:rPr>
        <w:t>KT1</w:t>
      </w:r>
      <w:r>
        <w:rPr>
          <w:rFonts w:hint="eastAsia" w:ascii="Times New Roman" w:hAnsi="Times New Roman" w:cs="Times New Roman"/>
          <w:sz w:val="18"/>
          <w:szCs w:val="18"/>
        </w:rPr>
        <w:t>突变的实体瘤患者疗效的临床试验正在开展</w:t>
      </w:r>
      <w:r>
        <w:rPr>
          <w:rFonts w:ascii="Times New Roman" w:hAnsi="Times New Roman" w:cs="Times New Roman"/>
          <w:sz w:val="18"/>
          <w:szCs w:val="18"/>
        </w:rPr>
        <w:t>。</w:t>
      </w:r>
    </w:p>
    <w:p w14:paraId="611C648A">
      <w:pPr>
        <w:spacing w:line="360" w:lineRule="auto"/>
        <w:ind w:firstLine="420"/>
        <w:rPr>
          <w:rFonts w:ascii="Times New Roman" w:hAnsi="Times New Roman" w:cs="Times New Roman"/>
          <w:sz w:val="18"/>
          <w:szCs w:val="18"/>
        </w:rPr>
      </w:pPr>
    </w:p>
    <w:p w14:paraId="5546108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155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4" name="直线 1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6" o:spid="_x0000_s1026" o:spt="20" style="position:absolute;left:0pt;margin-left:-2.6pt;margin-top:12.55pt;height:1.7pt;width:453.4pt;z-index:-25164492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c5Wvu6g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Umb8JYzB5Zu/PH7j8ef&#10;v9h0kdUZAjaUdOe28XzCsI2Z6rGLNv+JBDsWRU8XRdUxMUHO+bv5croksQXFZtP5TVG8ei4OEdMH&#10;5S3LRsuNdpkwNHD4iIkaUupTSnYbxwYa9aaeZ0yg9evo2sm0gSig25di9EbLe21MLsG4392ZyA6Q&#10;V6Ce1YunGf5Ky102gP2YV0LjclidVKYOTa9AvneSpVMglRy9Dp6nsUpyZhQ9pmyVzATaXJNJ7Iwj&#10;klnkUdZs7bw8FbWLny6+yHBe0rxZf55L9fPD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Jzla+7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AKT3                                                                          </w:t>
      </w:r>
    </w:p>
    <w:p w14:paraId="7D5AD39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F87A717">
      <w:pPr>
        <w:spacing w:line="300" w:lineRule="auto"/>
        <w:ind w:left="420"/>
        <w:rPr>
          <w:rFonts w:ascii="Times New Roman" w:hAnsi="Times New Roman" w:cs="Times New Roman"/>
          <w:sz w:val="18"/>
          <w:szCs w:val="18"/>
        </w:rPr>
      </w:pPr>
      <w:r>
        <w:rPr>
          <w:rFonts w:ascii="Times New Roman" w:hAnsi="Times New Roman" w:cs="Times New Roman"/>
          <w:sz w:val="18"/>
          <w:szCs w:val="18"/>
        </w:rPr>
        <w:t>AKT3编码的蛋白属于AKT家族，也称为PKB，即丝氨酸/苏氨酸蛋白激酶家族。AKT激酶是已知的针对胰岛素和生长因子的细胞信号调节因子，参与多种生物过程，包括细胞增殖、分化、凋亡、肿瘤发生、糖原合成和葡萄糖摄取等。该激酶已被证明是由血小板衍生生长因子(PDGF)、胰岛素和胰岛素样生长因子1 (IGF1)刺激产生。目前认为AKT3参与细胞增殖和抗凋亡的生理机制可能是：AKT是PI3K/mTOR信号通路下游的分子，被激活后可直接或间接地通过多种细胞凋亡底物的磷酸化，进而抑制细胞的凋亡、促进细胞增殖。融合、错义突变、无义突变、沉默突变和移码缺失在多个癌症中均可观察到，AKT3突变常见于肺癌、结肠癌、乳腺浸润性导管癌、子宫内膜内膜样腺癌和黑色素瘤患者中。</w:t>
      </w:r>
    </w:p>
    <w:p w14:paraId="70B20E7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94864FB">
      <w:pPr>
        <w:spacing w:line="300" w:lineRule="auto"/>
        <w:ind w:left="420"/>
        <w:rPr>
          <w:rFonts w:ascii="Times New Roman" w:hAnsi="Times New Roman" w:cs="Times New Roman"/>
          <w:sz w:val="18"/>
          <w:szCs w:val="18"/>
        </w:rPr>
      </w:pPr>
      <w:r>
        <w:rPr>
          <w:rFonts w:ascii="Times New Roman" w:hAnsi="Times New Roman" w:cs="Times New Roman"/>
          <w:sz w:val="18"/>
          <w:szCs w:val="18"/>
        </w:rPr>
        <w:t>许多针对AKT的药物会抑制所有亚型，但非特异性AKT抑制剂对具有较高AKT3水平的低侵袭性胶质母细胞瘤不利[PMID:</w:t>
      </w:r>
      <w:r>
        <w:rPr>
          <w:rFonts w:hint="eastAsia" w:ascii="Times New Roman" w:hAnsi="Times New Roman" w:cs="Times New Roman"/>
          <w:sz w:val="18"/>
          <w:szCs w:val="18"/>
        </w:rPr>
        <w:t xml:space="preserve"> </w:t>
      </w:r>
      <w:r>
        <w:rPr>
          <w:rFonts w:ascii="Times New Roman" w:hAnsi="Times New Roman" w:cs="Times New Roman"/>
          <w:sz w:val="18"/>
          <w:szCs w:val="18"/>
        </w:rPr>
        <w:t>27422127]。在以AKT3突变和扩增为纳入标准的临床试验中，多个靶向方式治疗AKT3异常的肺癌和肠癌患者的临床试验正在开展，比如评估替西罗莫司治疗AKT3扩增的实体瘤患者疗效的临床试验正在开展。</w:t>
      </w:r>
    </w:p>
    <w:p w14:paraId="7A100517">
      <w:pPr>
        <w:spacing w:line="300" w:lineRule="auto"/>
        <w:ind w:left="420"/>
        <w:rPr>
          <w:rFonts w:ascii="Times New Roman" w:hAnsi="Times New Roman" w:cs="Times New Roman"/>
          <w:sz w:val="18"/>
          <w:szCs w:val="18"/>
          <w:highlight w:val="black"/>
        </w:rPr>
      </w:pPr>
    </w:p>
    <w:p w14:paraId="44E3D02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486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7" name="直线 1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7" o:spid="_x0000_s1026" o:spt="20" style="position:absolute;left:0pt;margin-left:-2.6pt;margin-top:12.55pt;height:1.7pt;width:453.4pt;z-index:-25163161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drOOb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AR                                                                         </w:t>
      </w:r>
    </w:p>
    <w:p w14:paraId="7CF547D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EA509CD">
      <w:pPr>
        <w:spacing w:line="300" w:lineRule="auto"/>
        <w:ind w:left="420"/>
        <w:rPr>
          <w:rFonts w:ascii="Times New Roman" w:hAnsi="Times New Roman" w:cs="Times New Roman"/>
          <w:sz w:val="18"/>
          <w:szCs w:val="18"/>
        </w:rPr>
      </w:pPr>
      <w:r>
        <w:rPr>
          <w:rFonts w:ascii="Times New Roman" w:hAnsi="Times New Roman" w:cs="Times New Roman"/>
          <w:sz w:val="18"/>
          <w:szCs w:val="18"/>
        </w:rPr>
        <w:t>AR基因编码的蛋白具有3个主要功能域，分别是N端区域、DNA结合域和雄激素结合域。雄激素受体与配体结合后，从辅助蛋白中解离，进入细胞核，经二聚反应后刺激雄激素应答基因的转录，相关途径包括蛋白代谢和激活的PKN1刺激AR(雄激素受体)转录调控基因KLK2、KLK3。该基因的突变与雄激素高度不敏感(CAIS)有关，最常见的改变是AR突变(2.53%)、AR扩增(0.68%)、AR丢失(0.11%)，在前列腺癌的发病机制中起作用[PMID: 21989426; PMID: 18507821]，发生于去势抵抗性前列腺癌[PMID: 22245783]，在侵袭性乳腺癌中也有表达[PMID: 21552212; PMID: 18507821]。AR变异常见于前列腺腺癌、肺腺癌、结肠癌、子宫内膜样腺癌和乳腺浸润性导管癌中。</w:t>
      </w:r>
    </w:p>
    <w:p w14:paraId="1F493458">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7A014F5">
      <w:pPr>
        <w:spacing w:line="300" w:lineRule="auto"/>
        <w:ind w:left="420"/>
        <w:rPr>
          <w:rFonts w:ascii="Times New Roman" w:hAnsi="Times New Roman" w:cs="Times New Roman"/>
          <w:sz w:val="18"/>
          <w:szCs w:val="18"/>
        </w:rPr>
      </w:pPr>
      <w:r>
        <w:rPr>
          <w:rFonts w:ascii="Times New Roman" w:hAnsi="Times New Roman" w:cs="Times New Roman"/>
          <w:sz w:val="18"/>
          <w:szCs w:val="18"/>
        </w:rPr>
        <w:t>在前列腺癌对阿比特龙+泼尼松和</w:t>
      </w:r>
      <w:r>
        <w:rPr>
          <w:rFonts w:hint="eastAsia" w:ascii="Times New Roman" w:hAnsi="Times New Roman" w:cs="Times New Roman"/>
          <w:sz w:val="18"/>
          <w:szCs w:val="18"/>
        </w:rPr>
        <w:t>恩扎卢胺</w:t>
      </w:r>
      <w:r>
        <w:rPr>
          <w:rFonts w:ascii="Times New Roman" w:hAnsi="Times New Roman" w:cs="Times New Roman"/>
          <w:sz w:val="18"/>
          <w:szCs w:val="18"/>
        </w:rPr>
        <w:t>的耐药性相关研究中，AR扩增患者的最差应答者大多为AR拷贝数高(&gt;8)的患者[PMID: 29367197]。AR基因扩增的前列腺癌患者对恩</w:t>
      </w:r>
      <w:r>
        <w:rPr>
          <w:rFonts w:hint="eastAsia" w:ascii="Times New Roman" w:hAnsi="Times New Roman" w:cs="Times New Roman"/>
          <w:sz w:val="18"/>
          <w:szCs w:val="18"/>
        </w:rPr>
        <w:t>扎卢</w:t>
      </w:r>
      <w:r>
        <w:rPr>
          <w:rFonts w:ascii="Times New Roman" w:hAnsi="Times New Roman" w:cs="Times New Roman"/>
          <w:sz w:val="18"/>
          <w:szCs w:val="18"/>
        </w:rPr>
        <w:t>胺响应减少，对阿比特龙也耐药[PMID: 27148695]。一个携带AR基因扩增的前列腺癌患者在接受多西他赛化疗后，肝转移得到控制，后续治疗中选择阿比特龙+泼尼松龙治疗无响应[PMID: 25232177]。</w:t>
      </w:r>
    </w:p>
    <w:p w14:paraId="02CFAA89">
      <w:pPr>
        <w:spacing w:line="300" w:lineRule="auto"/>
        <w:ind w:left="420"/>
        <w:rPr>
          <w:rFonts w:ascii="Times New Roman" w:hAnsi="Times New Roman" w:cs="Times New Roman"/>
          <w:sz w:val="18"/>
          <w:szCs w:val="18"/>
        </w:rPr>
      </w:pPr>
    </w:p>
    <w:p w14:paraId="2F5E615C">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8176"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0" name="直线 1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8" o:spid="_x0000_s1026" o:spt="20" style="position:absolute;left:0pt;margin-left:-2.6pt;margin-top:12.55pt;height:1.7pt;width:453.4pt;z-index:25169817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tPg/n6gEAAOADAAAOAAAAZHJzL2Uyb0RvYy54bWytU0tu&#10;2zAQ3RfoHQjua8lGnT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35MkDizd+MPPXw+/&#10;/7DpIqszBGwo6dZt4umEYRMz1UMXbf4TCXYoih7PiqpDYoKc8w/zxXRByIJis+n8uihePRWHiOmT&#10;8pZlo+VGu0wYGth/xkQNKfUxJbuNYwMt7XU9z5hA69fRtZNpA1FAtyvF6I2Wd9qYXIJxt701ke0h&#10;r0A9q68eZ/gvLXdZA/ZjXgmNy2F1Upk6NL0C+dFJlo6BVHL0OniexirJmVH0mLJVMhNoc0kmsTOO&#10;SGaRR1mztfXyWNQufrr4IsNpSfNm/Xsu1U8Pc/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0+D+f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AXL                                                                         </w:t>
      </w:r>
    </w:p>
    <w:p w14:paraId="273BA2B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30562CF">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AXL编码的蛋白是Tyro3-Axl-Mer (TAM)受体酪氨酸激酶亚家族的成员，编码的蛋白具有一个胞外结构域，该结构域由N端两个免疫球蛋白样的基序和两个纤连蛋白型的基序组成，通过与维生素K依赖性生长阻滞特异性6蛋白 (Gas6)结合，将信号从细胞外基质传递到细胞质，可促进细胞增殖。该基因可能参与多种细胞类型的生长、迁移、聚集和抗炎等多种细胞功能，在很多癌种中与细胞的增殖和侵袭有关。AXL异常常见于结肠癌、肺腺癌、皮肤黑色素瘤、膀胱尿路上皮癌和乳腺浸润性导管癌中。 </w:t>
      </w:r>
    </w:p>
    <w:p w14:paraId="02DE103B">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075EC61D">
      <w:pPr>
        <w:spacing w:line="300" w:lineRule="auto"/>
        <w:ind w:left="420"/>
        <w:rPr>
          <w:rFonts w:ascii="Times New Roman" w:hAnsi="Times New Roman" w:cs="Times New Roman"/>
          <w:sz w:val="18"/>
          <w:szCs w:val="18"/>
        </w:rPr>
      </w:pPr>
      <w:r>
        <w:rPr>
          <w:rFonts w:ascii="Times New Roman" w:hAnsi="Times New Roman" w:cs="Times New Roman"/>
          <w:sz w:val="18"/>
          <w:szCs w:val="18"/>
        </w:rPr>
        <w:t>癌症免疫治疗学会2019年大会报道，AXL抑制剂Bemcentinib联合K药二线治疗晚期肺腺癌，AXL阳性患者的客观缓解率达33%，疾病控制率73%，中位无进展生存期达8.4个月。研究显示，激活的AXL会帮助癌细胞发展出对药物的耐药性，而在细胞中抑制AXL活性，则能恢复细胞对药物的敏感性。AXL可能是与</w:t>
      </w:r>
      <w:r>
        <w:rPr>
          <w:rFonts w:hint="eastAsia" w:ascii="Times New Roman" w:hAnsi="Times New Roman" w:cs="Times New Roman"/>
          <w:sz w:val="18"/>
          <w:szCs w:val="18"/>
        </w:rPr>
        <w:t>非小细胞肺癌</w:t>
      </w:r>
      <w:r>
        <w:rPr>
          <w:rFonts w:ascii="Times New Roman" w:hAnsi="Times New Roman" w:cs="Times New Roman"/>
          <w:sz w:val="18"/>
          <w:szCs w:val="18"/>
        </w:rPr>
        <w:t>患者不良预后相关的危险因素[PMID: 28105215]</w:t>
      </w:r>
      <w:r>
        <w:rPr>
          <w:rFonts w:hint="eastAsia" w:ascii="Times New Roman" w:hAnsi="Times New Roman" w:cs="Times New Roman"/>
          <w:sz w:val="18"/>
          <w:szCs w:val="18"/>
        </w:rPr>
        <w:t>。</w:t>
      </w:r>
      <w:r>
        <w:rPr>
          <w:rFonts w:ascii="Times New Roman" w:hAnsi="Times New Roman" w:cs="Times New Roman"/>
          <w:sz w:val="18"/>
          <w:szCs w:val="18"/>
        </w:rPr>
        <w:t>116例食管鳞癌肿瘤的免疫组化分析发现，AXL表达与肿瘤的进展增加相关</w:t>
      </w:r>
      <w:r>
        <w:rPr>
          <w:rFonts w:hint="eastAsia" w:ascii="Times New Roman" w:hAnsi="Times New Roman" w:cs="Times New Roman"/>
          <w:sz w:val="18"/>
          <w:szCs w:val="18"/>
        </w:rPr>
        <w:t>（</w:t>
      </w:r>
      <w:r>
        <w:rPr>
          <w:rFonts w:ascii="Times New Roman" w:hAnsi="Times New Roman" w:cs="Times New Roman"/>
          <w:sz w:val="18"/>
          <w:szCs w:val="18"/>
        </w:rPr>
        <w:t>P &lt; 0.0001</w:t>
      </w:r>
      <w:r>
        <w:rPr>
          <w:rFonts w:hint="eastAsia" w:ascii="Times New Roman" w:hAnsi="Times New Roman" w:cs="Times New Roman"/>
          <w:sz w:val="18"/>
          <w:szCs w:val="18"/>
        </w:rPr>
        <w:t>）</w:t>
      </w:r>
      <w:r>
        <w:rPr>
          <w:rFonts w:ascii="Times New Roman" w:hAnsi="Times New Roman" w:cs="Times New Roman"/>
          <w:sz w:val="18"/>
          <w:szCs w:val="18"/>
        </w:rPr>
        <w:t>，增加了肿瘤患者的远处转移和死亡风险[PMID: 27172793]。评估卡博替尼治疗AXL扩增的非小细胞肺癌患者疗效的临床试验正在开展。</w:t>
      </w:r>
    </w:p>
    <w:p w14:paraId="283B65C4">
      <w:pPr>
        <w:spacing w:line="300" w:lineRule="auto"/>
        <w:ind w:left="420"/>
        <w:rPr>
          <w:rFonts w:ascii="Times New Roman" w:hAnsi="Times New Roman" w:cs="Times New Roman"/>
          <w:sz w:val="18"/>
          <w:szCs w:val="18"/>
        </w:rPr>
      </w:pPr>
    </w:p>
    <w:p w14:paraId="35AD278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336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 name="直线 1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9" o:spid="_x0000_s1026" o:spt="20" style="position:absolute;left:0pt;margin-left:-2.6pt;margin-top:12.55pt;height:1.7pt;width:453.4pt;z-index:-25165312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MVJFG6QEAAN8DAAAOAAAAZHJzL2Uyb0RvYy54bWytU0uO&#10;EzEQ3SNxB8t70p2I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bzlzYOnCH7//ePz5&#10;i02XWZwhYEM5d24bzycM25iZHrto8584sGMR9HQRVB0TE+Scv5svpgvSWlBsNp0vi+DVc3GImD4o&#10;b1k2Wm60y3yhgcNHTNSQUp9Ssts4NtDOLut5xgTavo5unUwbiAG6fSlGb7S818bkEoz73Z2J7AB5&#10;A+pZffM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zFSRRu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CCND1                                                                          </w:t>
      </w:r>
    </w:p>
    <w:p w14:paraId="229CB608">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0F6C011">
      <w:pPr>
        <w:spacing w:line="300" w:lineRule="auto"/>
        <w:ind w:left="420"/>
        <w:rPr>
          <w:rFonts w:ascii="Times New Roman" w:hAnsi="Times New Roman" w:cs="Times New Roman"/>
          <w:sz w:val="18"/>
          <w:szCs w:val="18"/>
        </w:rPr>
      </w:pPr>
      <w:r>
        <w:rPr>
          <w:rFonts w:ascii="Times New Roman" w:hAnsi="Times New Roman" w:cs="Times New Roman"/>
          <w:sz w:val="18"/>
          <w:szCs w:val="18"/>
        </w:rPr>
        <w:t>CCND1基因编码的蛋白属于高度保守的细胞周期蛋白家族，其成员在整个细胞周期中具有显著的蛋白质丰度周期性。当细胞周期从G0期进入G1期时，Cyclin D1蛋白合成增加，与细胞周期依赖酶-4/6（CDK4/6）结合后磷酸化Rb，使Rb失活，促使细胞通过检查点，从G1期向S期转移，从而促进细胞增殖。CCND1的表达受Rb调控且与肿瘤抑制蛋白Rb相互作用，CCND1突变、扩增和过表达改变了细胞周期的进程，并可能导致肿瘤的发生，其融合、突变、扩增在子宫内膜癌、肠癌和胃癌等癌症中均可观察到。</w:t>
      </w:r>
    </w:p>
    <w:p w14:paraId="3092A52F">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B43145F">
      <w:pPr>
        <w:spacing w:line="300" w:lineRule="auto"/>
        <w:ind w:left="420"/>
        <w:rPr>
          <w:rFonts w:ascii="Times New Roman" w:hAnsi="Times New Roman" w:cs="Times New Roman"/>
          <w:sz w:val="18"/>
          <w:szCs w:val="18"/>
        </w:rPr>
      </w:pPr>
      <w:r>
        <w:rPr>
          <w:rFonts w:ascii="Times New Roman" w:hAnsi="Times New Roman" w:cs="Times New Roman"/>
          <w:sz w:val="18"/>
          <w:szCs w:val="18"/>
        </w:rPr>
        <w:t>一项III期临床试验表明，携带CCND1拷贝数增加变异的黑色素瘤患者使用索拉非尼联合卡铂和紫杉醇化疗比单独化疗的无进展生存期（PFS）更长[PMID: 26307133]。在一项II期临床试验中，激素受体阳性（ER+）且人表皮生长因子受体阴性（HER2-）乳腺癌患者接受来曲唑单独或联合哌柏西利治疗，结果表明，携带CCND1扩增或p16缺失的患者中，来曲唑联合哌柏西利对比来曲唑单药，中位PFS为18.1个月vs11.1个月[PMID: 25524798]。</w:t>
      </w:r>
      <w:r>
        <w:rPr>
          <w:rFonts w:hint="eastAsia" w:ascii="Times New Roman" w:hAnsi="Times New Roman" w:cs="Times New Roman"/>
          <w:sz w:val="18"/>
          <w:szCs w:val="18"/>
        </w:rPr>
        <w:t>一项使用哌柏西利治疗细胞周期基因改变阳性</w:t>
      </w:r>
      <w:r>
        <w:rPr>
          <w:rFonts w:ascii="Times New Roman" w:hAnsi="Times New Roman" w:cs="Times New Roman"/>
          <w:sz w:val="18"/>
          <w:szCs w:val="18"/>
        </w:rPr>
        <w:t>IV期肺鳞癌患者的II期研究中， 32例患者接受了哌柏西利治疗，有2例部分反应（反应率6％[95％置信区间（CI）：0％-15％]），均为CCND1扩增[PMID: 31302234]。评估哌柏西利治疗CCND1扩增的肺鳞癌和实体瘤患者疗效的临床试验正在开展。</w:t>
      </w:r>
    </w:p>
    <w:p w14:paraId="6AAA7C48">
      <w:pPr>
        <w:spacing w:line="300" w:lineRule="auto"/>
        <w:ind w:left="420"/>
        <w:rPr>
          <w:rFonts w:ascii="Times New Roman" w:hAnsi="Times New Roman" w:cs="Times New Roman"/>
          <w:sz w:val="18"/>
          <w:szCs w:val="18"/>
        </w:rPr>
      </w:pPr>
    </w:p>
    <w:p w14:paraId="04C966F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769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0" name="直线 2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0" o:spid="_x0000_s1026" o:spt="20" style="position:absolute;left:0pt;margin-left:-2.6pt;margin-top:12.55pt;height:1.7pt;width:453.4pt;z-index:-25163878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gSIxUO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CDK4                                                                          </w:t>
      </w:r>
    </w:p>
    <w:p w14:paraId="1025433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5E5B29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CDK4编码的蛋白是丝氨酸/苏氨酸蛋白激酶家族的成员，是蛋白激酶复合体的一个催化亚基，对细胞周期G1期的进展起重要作用，诱发细胞从G1到S阶段的转化，并磷酸化视网膜母细胞瘤基因产物。该基因及其相关蛋白包括D型细胞周期蛋白、p16(INK4a)和Rb的突变均被发现与多种癌症的发生有关，其中CDK4扩增占1.94%。与CDK4相关的疾病包括黑色素瘤、多发性骨髓瘤、子宫内膜癌、肠癌等。 </w:t>
      </w:r>
    </w:p>
    <w:p w14:paraId="3CD0B3B9">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A3E48E0">
      <w:pPr>
        <w:spacing w:line="300" w:lineRule="auto"/>
        <w:ind w:left="420"/>
        <w:rPr>
          <w:rFonts w:ascii="Times New Roman" w:hAnsi="Times New Roman" w:cs="Times New Roman"/>
          <w:sz w:val="18"/>
          <w:szCs w:val="18"/>
        </w:rPr>
      </w:pPr>
      <w:r>
        <w:rPr>
          <w:rFonts w:ascii="Times New Roman" w:hAnsi="Times New Roman" w:cs="Times New Roman"/>
          <w:sz w:val="18"/>
          <w:szCs w:val="18"/>
        </w:rPr>
        <w:t>针对CDK抑制的一种靶向治疗是</w:t>
      </w:r>
      <w:r>
        <w:rPr>
          <w:rFonts w:hint="eastAsia" w:ascii="Times New Roman" w:hAnsi="Times New Roman" w:cs="Times New Roman"/>
          <w:sz w:val="18"/>
          <w:szCs w:val="18"/>
        </w:rPr>
        <w:t>哌柏西利</w:t>
      </w:r>
      <w:r>
        <w:rPr>
          <w:rFonts w:ascii="Times New Roman" w:hAnsi="Times New Roman" w:cs="Times New Roman"/>
          <w:sz w:val="18"/>
          <w:szCs w:val="18"/>
        </w:rPr>
        <w:t>，可以减缓晚期乳腺癌的生长。也有小鼠中的研究表明，CDK抑制可能使突变的PIK3CA肿瘤对PI3K抑制剂敏感。</w:t>
      </w:r>
      <w:r>
        <w:rPr>
          <w:rFonts w:hint="eastAsia" w:ascii="Times New Roman" w:hAnsi="Times New Roman" w:cs="Times New Roman"/>
          <w:sz w:val="18"/>
          <w:szCs w:val="18"/>
        </w:rPr>
        <w:t>多项临床研究表明，携带C</w:t>
      </w:r>
      <w:r>
        <w:rPr>
          <w:rFonts w:ascii="Times New Roman" w:hAnsi="Times New Roman" w:cs="Times New Roman"/>
          <w:sz w:val="18"/>
          <w:szCs w:val="18"/>
        </w:rPr>
        <w:t>DK4</w:t>
      </w:r>
      <w:r>
        <w:rPr>
          <w:rFonts w:hint="eastAsia" w:ascii="Times New Roman" w:hAnsi="Times New Roman" w:cs="Times New Roman"/>
          <w:sz w:val="18"/>
          <w:szCs w:val="18"/>
        </w:rPr>
        <w:t>扩增的脂肪肉瘤患者对C</w:t>
      </w:r>
      <w:r>
        <w:rPr>
          <w:rFonts w:ascii="Times New Roman" w:hAnsi="Times New Roman" w:cs="Times New Roman"/>
          <w:sz w:val="18"/>
          <w:szCs w:val="18"/>
        </w:rPr>
        <w:t>DK</w:t>
      </w:r>
      <w:r>
        <w:rPr>
          <w:rFonts w:hint="eastAsia" w:ascii="Times New Roman" w:hAnsi="Times New Roman" w:cs="Times New Roman"/>
          <w:sz w:val="18"/>
          <w:szCs w:val="18"/>
        </w:rPr>
        <w:t>抑制剂哌柏西利敏感</w:t>
      </w:r>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23569312; PMID: 27124835]</w:t>
      </w:r>
      <w:r>
        <w:rPr>
          <w:rFonts w:hint="eastAsia" w:ascii="Times New Roman" w:hAnsi="Times New Roman" w:cs="Times New Roman"/>
          <w:sz w:val="18"/>
          <w:szCs w:val="18"/>
        </w:rPr>
        <w:t>。多项</w:t>
      </w:r>
      <w:r>
        <w:rPr>
          <w:rFonts w:ascii="Times New Roman" w:hAnsi="Times New Roman" w:cs="Times New Roman"/>
          <w:sz w:val="18"/>
          <w:szCs w:val="18"/>
        </w:rPr>
        <w:t>评估CDK4/6抑制剂</w:t>
      </w:r>
      <w:r>
        <w:rPr>
          <w:rFonts w:hint="eastAsia" w:ascii="Times New Roman" w:hAnsi="Times New Roman" w:cs="Times New Roman"/>
          <w:sz w:val="18"/>
          <w:szCs w:val="18"/>
        </w:rPr>
        <w:t>阿贝西利、哌柏西利</w:t>
      </w:r>
      <w:r>
        <w:rPr>
          <w:rFonts w:ascii="Times New Roman" w:hAnsi="Times New Roman" w:cs="Times New Roman"/>
          <w:sz w:val="18"/>
          <w:szCs w:val="18"/>
        </w:rPr>
        <w:t>治疗</w:t>
      </w:r>
      <w:r>
        <w:rPr>
          <w:rFonts w:hint="eastAsia" w:ascii="Times New Roman" w:hAnsi="Times New Roman" w:cs="Times New Roman"/>
          <w:sz w:val="18"/>
          <w:szCs w:val="18"/>
        </w:rPr>
        <w:t>携带</w:t>
      </w:r>
      <w:r>
        <w:rPr>
          <w:rFonts w:ascii="Times New Roman" w:hAnsi="Times New Roman" w:cs="Times New Roman"/>
          <w:sz w:val="18"/>
          <w:szCs w:val="18"/>
        </w:rPr>
        <w:t>CDK4或CDK6扩增的实体瘤</w:t>
      </w:r>
      <w:r>
        <w:rPr>
          <w:rFonts w:hint="eastAsia" w:ascii="Times New Roman" w:hAnsi="Times New Roman" w:cs="Times New Roman"/>
          <w:sz w:val="18"/>
          <w:szCs w:val="18"/>
        </w:rPr>
        <w:t>患者的</w:t>
      </w:r>
      <w:r>
        <w:rPr>
          <w:rFonts w:ascii="Times New Roman" w:hAnsi="Times New Roman" w:cs="Times New Roman"/>
          <w:sz w:val="18"/>
          <w:szCs w:val="18"/>
        </w:rPr>
        <w:t>临床研究正在开展。</w:t>
      </w:r>
    </w:p>
    <w:p w14:paraId="0C08F21F">
      <w:pPr>
        <w:spacing w:line="300" w:lineRule="auto"/>
        <w:ind w:left="420"/>
        <w:rPr>
          <w:rFonts w:ascii="Times New Roman" w:hAnsi="Times New Roman" w:cs="Times New Roman"/>
          <w:sz w:val="18"/>
          <w:szCs w:val="18"/>
        </w:rPr>
      </w:pPr>
    </w:p>
    <w:p w14:paraId="4447BEA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588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8" name="直线 2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1" o:spid="_x0000_s1026" o:spt="20" style="position:absolute;left:0pt;margin-left:-2.6pt;margin-top:12.55pt;height:1.7pt;width:453.4pt;z-index:25168588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OdaQRj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CDK6                                                                         </w:t>
      </w:r>
    </w:p>
    <w:p w14:paraId="30702C76">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0B92F07">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CDK6编码的蛋白是丝氨酸/苏氨酸蛋白激酶家族的成员，是蛋白激酶复合体的一个催化亚基，在细胞周期和细胞分化中具有重要作用，推动细胞周期由G1到S期转化，可以通过调控G1期的时间，促进神经细胞的产生，可以磷酸化pRB/RB1和NPM1，该激酶及CDK4已被证明能够通过磷酸化来调节肿瘤抑制蛋白Rb的活性。该基因表达量的变化已在多种人类癌症中被观察到，该基因突变导致细胞增殖减少，细胞活力和极性受损。CDK6 基因在肿瘤中可能发生突变或扩增而被过度活化，TCGA数据显示，CDK6扩增常见于食管癌（15%），其次为胃癌（7%）、头颈癌（6%）及肺鳞癌（5%）。 </w:t>
      </w:r>
    </w:p>
    <w:p w14:paraId="29E27FB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0CCF092C">
      <w:pPr>
        <w:spacing w:line="300" w:lineRule="auto"/>
        <w:ind w:left="420"/>
        <w:rPr>
          <w:rFonts w:ascii="Times New Roman" w:hAnsi="Times New Roman" w:cs="Times New Roman"/>
          <w:sz w:val="18"/>
          <w:szCs w:val="18"/>
        </w:rPr>
      </w:pPr>
      <w:r>
        <w:rPr>
          <w:rFonts w:ascii="Times New Roman" w:hAnsi="Times New Roman" w:cs="Times New Roman"/>
          <w:sz w:val="18"/>
          <w:szCs w:val="18"/>
        </w:rPr>
        <w:t>CDK6的扩增导致CDK6表达显著增加，CDK4/6靶点磷酸化rb (pRb)对CDK4/6抑制剂的反应降低。CDK4/6复合物的抑制剂如</w:t>
      </w:r>
      <w:r>
        <w:rPr>
          <w:rFonts w:hint="eastAsia" w:ascii="Times New Roman" w:hAnsi="Times New Roman" w:cs="Times New Roman"/>
          <w:sz w:val="18"/>
          <w:szCs w:val="18"/>
        </w:rPr>
        <w:t>阿贝西利</w:t>
      </w:r>
      <w:r>
        <w:rPr>
          <w:rFonts w:ascii="Times New Roman" w:hAnsi="Times New Roman" w:cs="Times New Roman"/>
          <w:sz w:val="18"/>
          <w:szCs w:val="18"/>
        </w:rPr>
        <w:t>已在临床得到进展，并显示出显著的活性，特别是对由雌激素受体</w:t>
      </w:r>
      <w:r>
        <w:rPr>
          <w:rFonts w:hint="eastAsia" w:ascii="Times New Roman" w:hAnsi="Times New Roman" w:cs="Times New Roman"/>
          <w:sz w:val="18"/>
          <w:szCs w:val="18"/>
        </w:rPr>
        <w:t>（</w:t>
      </w:r>
      <w:r>
        <w:rPr>
          <w:rFonts w:ascii="Times New Roman" w:hAnsi="Times New Roman" w:cs="Times New Roman"/>
          <w:sz w:val="18"/>
          <w:szCs w:val="18"/>
        </w:rPr>
        <w:t>ER</w:t>
      </w:r>
      <w:r>
        <w:rPr>
          <w:rFonts w:hint="eastAsia" w:ascii="Times New Roman" w:hAnsi="Times New Roman" w:cs="Times New Roman"/>
          <w:sz w:val="18"/>
          <w:szCs w:val="18"/>
        </w:rPr>
        <w:t>）</w:t>
      </w:r>
      <w:r>
        <w:rPr>
          <w:rFonts w:ascii="Times New Roman" w:hAnsi="Times New Roman" w:cs="Times New Roman"/>
          <w:sz w:val="18"/>
          <w:szCs w:val="18"/>
        </w:rPr>
        <w:t>驱动的肿瘤。一项针对胰腺神经内分泌肿瘤的临床前研究表明，CDK4和CDK6基因的扩增或蛋白过表达可能对CDK4/6抑制剂哌柏西利敏感[PMID: 22761470]。</w:t>
      </w:r>
      <w:r>
        <w:rPr>
          <w:rFonts w:hint="eastAsia" w:ascii="Times New Roman" w:hAnsi="Times New Roman" w:cs="Times New Roman"/>
          <w:sz w:val="18"/>
          <w:szCs w:val="18"/>
        </w:rPr>
        <w:t>C</w:t>
      </w:r>
      <w:r>
        <w:rPr>
          <w:rFonts w:ascii="Times New Roman" w:hAnsi="Times New Roman" w:cs="Times New Roman"/>
          <w:sz w:val="18"/>
          <w:szCs w:val="18"/>
        </w:rPr>
        <w:t>DK6</w:t>
      </w:r>
      <w:r>
        <w:rPr>
          <w:rFonts w:hint="eastAsia" w:ascii="Times New Roman" w:hAnsi="Times New Roman" w:cs="Times New Roman"/>
          <w:sz w:val="18"/>
          <w:szCs w:val="18"/>
        </w:rPr>
        <w:t>蛋白表达增加与卵巢癌患者预后呈显著负相关（</w:t>
      </w:r>
      <w:r>
        <w:rPr>
          <w:rFonts w:ascii="Times New Roman" w:hAnsi="Times New Roman" w:cs="Times New Roman"/>
          <w:sz w:val="18"/>
          <w:szCs w:val="18"/>
        </w:rPr>
        <w:t>P=0.006）[PMID: 27687663]</w:t>
      </w:r>
      <w:r>
        <w:rPr>
          <w:rFonts w:hint="eastAsia" w:ascii="Times New Roman" w:hAnsi="Times New Roman" w:cs="Times New Roman"/>
          <w:sz w:val="18"/>
          <w:szCs w:val="18"/>
        </w:rPr>
        <w:t>。多项</w:t>
      </w:r>
      <w:r>
        <w:rPr>
          <w:rFonts w:ascii="Times New Roman" w:hAnsi="Times New Roman" w:cs="Times New Roman"/>
          <w:sz w:val="18"/>
          <w:szCs w:val="18"/>
        </w:rPr>
        <w:t>评估CDK4/6抑制剂</w:t>
      </w:r>
      <w:r>
        <w:rPr>
          <w:rFonts w:hint="eastAsia" w:ascii="Times New Roman" w:hAnsi="Times New Roman" w:cs="Times New Roman"/>
          <w:sz w:val="18"/>
          <w:szCs w:val="18"/>
        </w:rPr>
        <w:t>阿贝西利、哌柏西利</w:t>
      </w:r>
      <w:r>
        <w:rPr>
          <w:rFonts w:ascii="Times New Roman" w:hAnsi="Times New Roman" w:cs="Times New Roman"/>
          <w:sz w:val="18"/>
          <w:szCs w:val="18"/>
        </w:rPr>
        <w:t>治疗</w:t>
      </w:r>
      <w:r>
        <w:rPr>
          <w:rFonts w:hint="eastAsia" w:ascii="Times New Roman" w:hAnsi="Times New Roman" w:cs="Times New Roman"/>
          <w:sz w:val="18"/>
          <w:szCs w:val="18"/>
        </w:rPr>
        <w:t>携带</w:t>
      </w:r>
      <w:r>
        <w:rPr>
          <w:rFonts w:ascii="Times New Roman" w:hAnsi="Times New Roman" w:cs="Times New Roman"/>
          <w:sz w:val="18"/>
          <w:szCs w:val="18"/>
        </w:rPr>
        <w:t>CDK4或CDK6扩增的实体瘤</w:t>
      </w:r>
      <w:r>
        <w:rPr>
          <w:rFonts w:hint="eastAsia" w:ascii="Times New Roman" w:hAnsi="Times New Roman" w:cs="Times New Roman"/>
          <w:sz w:val="18"/>
          <w:szCs w:val="18"/>
        </w:rPr>
        <w:t>患者的</w:t>
      </w:r>
      <w:r>
        <w:rPr>
          <w:rFonts w:ascii="Times New Roman" w:hAnsi="Times New Roman" w:cs="Times New Roman"/>
          <w:sz w:val="18"/>
          <w:szCs w:val="18"/>
        </w:rPr>
        <w:t>临床研究正在开展。</w:t>
      </w:r>
    </w:p>
    <w:p w14:paraId="59269564">
      <w:pPr>
        <w:spacing w:line="360" w:lineRule="auto"/>
        <w:rPr>
          <w:rFonts w:ascii="Times New Roman" w:hAnsi="Times New Roman" w:cs="Times New Roman"/>
          <w:sz w:val="18"/>
          <w:szCs w:val="18"/>
        </w:rPr>
      </w:pPr>
    </w:p>
    <w:p w14:paraId="7A7EAF5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3536"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2" name="直线 2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2" o:spid="_x0000_s1026" o:spt="20" style="position:absolute;left:0pt;margin-left:-2.55pt;margin-top:12.55pt;height:1.7pt;width:453.45pt;z-index:251713536;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igqGZ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CTNNB1                                                                         </w:t>
      </w:r>
    </w:p>
    <w:p w14:paraId="08C0F55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1C1F8D6">
      <w:pPr>
        <w:spacing w:line="300" w:lineRule="auto"/>
        <w:ind w:left="420"/>
        <w:rPr>
          <w:rFonts w:ascii="Times New Roman" w:hAnsi="Times New Roman" w:cs="Times New Roman"/>
          <w:sz w:val="18"/>
          <w:szCs w:val="18"/>
        </w:rPr>
      </w:pPr>
      <w:r>
        <w:rPr>
          <w:rFonts w:ascii="Times New Roman" w:hAnsi="Times New Roman" w:cs="Times New Roman"/>
          <w:sz w:val="18"/>
          <w:szCs w:val="18"/>
        </w:rPr>
        <w:t>CTNNB1基因编码的蛋白β-catenin是一种粘着连接蛋白，与钙粘蛋白、α-catenin共同组成粘附连接复合体，通过调节细胞生长和相邻细胞间的粘附来生成和维持上皮细胞层。CTNNB1还可能具有抑制细胞分裂的作用。在Wnt信号通路中，CTNNB1异常时激活原癌基因和细胞周期蛋白，与细胞分裂和增殖相关。CTNNB1蛋白表达异常会导致许多疾病相关的代谢通路异常，其中包括诱导癌症发生的信号通路异常，该基因可以作为致癌基因及转录调节基因来驱动癌症的发生、发展、生存及复发。CTNNB1在肺癌、子宫内膜样腺癌、结肠癌、肝细胞癌和前列腺癌中突变频率较高。</w:t>
      </w:r>
    </w:p>
    <w:p w14:paraId="0EEEF1B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D727760">
      <w:pPr>
        <w:spacing w:line="360" w:lineRule="auto"/>
        <w:ind w:left="420"/>
        <w:rPr>
          <w:rFonts w:ascii="Times New Roman" w:hAnsi="Times New Roman" w:cs="Times New Roman"/>
          <w:sz w:val="18"/>
          <w:szCs w:val="18"/>
        </w:rPr>
      </w:pPr>
      <w:r>
        <w:rPr>
          <w:rFonts w:ascii="Times New Roman" w:hAnsi="Times New Roman" w:cs="Times New Roman"/>
          <w:sz w:val="18"/>
          <w:szCs w:val="18"/>
        </w:rPr>
        <w:t>CTNNB1的激活突变导致β-catenin蛋白异常积累，存在于多种实体肿瘤中。携带CTNNB1突变的肿瘤被认为对WNT通路上游组分的药理抑制具有耐药性，需要直接对β-catenin功能进行抑制[PMID</w:t>
      </w:r>
      <w:r>
        <w:rPr>
          <w:rFonts w:hint="eastAsia" w:ascii="Times New Roman" w:hAnsi="Times New Roman" w:cs="Times New Roman"/>
          <w:sz w:val="18"/>
          <w:szCs w:val="18"/>
        </w:rPr>
        <w:t xml:space="preserve">: </w:t>
      </w:r>
      <w:r>
        <w:rPr>
          <w:rFonts w:ascii="Times New Roman" w:hAnsi="Times New Roman" w:cs="Times New Roman"/>
          <w:sz w:val="18"/>
          <w:szCs w:val="18"/>
        </w:rPr>
        <w:t>19351922</w:t>
      </w:r>
      <w:r>
        <w:rPr>
          <w:rFonts w:hint="eastAsia" w:ascii="Times New Roman" w:hAnsi="Times New Roman" w:cs="Times New Roman"/>
          <w:sz w:val="18"/>
          <w:szCs w:val="18"/>
        </w:rPr>
        <w:t>;</w:t>
      </w:r>
      <w:r>
        <w:rPr>
          <w:rFonts w:ascii="Times New Roman" w:hAnsi="Times New Roman" w:cs="Times New Roman"/>
          <w:sz w:val="18"/>
          <w:szCs w:val="18"/>
        </w:rPr>
        <w:t xml:space="preserve"> </w:t>
      </w:r>
      <w:r>
        <w:rPr>
          <w:rFonts w:hint="eastAsia" w:ascii="Times New Roman" w:hAnsi="Times New Roman" w:cs="Times New Roman"/>
          <w:sz w:val="18"/>
          <w:szCs w:val="18"/>
        </w:rPr>
        <w:t>PMID: 31801553</w:t>
      </w:r>
      <w:r>
        <w:rPr>
          <w:rFonts w:ascii="Times New Roman" w:hAnsi="Times New Roman" w:cs="Times New Roman"/>
          <w:sz w:val="18"/>
          <w:szCs w:val="18"/>
        </w:rPr>
        <w:t>]。临床前研究表明，携带CTNNB1热点突变的细胞系（包括携带CTNNB1 T41A的肺癌细胞系），相比CTNNB1野生型细胞系对TTK抑制剂（BAY1161909、MPI-0479605、NMS-P715 、BAY1217389 、Mps1-IN-1 、Mps-BAY2b 、NTRC 0066-0）敏感性提高[PMID: 28751540]。</w:t>
      </w:r>
      <w:r>
        <w:rPr>
          <w:rFonts w:hint="eastAsia" w:ascii="Times New Roman" w:hAnsi="Times New Roman" w:cs="Times New Roman"/>
          <w:sz w:val="18"/>
          <w:szCs w:val="18"/>
        </w:rPr>
        <w:t>在一项回顾性分析中，</w:t>
      </w:r>
      <w:r>
        <w:rPr>
          <w:rFonts w:ascii="Times New Roman" w:hAnsi="Times New Roman" w:cs="Times New Roman"/>
          <w:sz w:val="18"/>
          <w:szCs w:val="18"/>
        </w:rPr>
        <w:t>100例非小细胞肺癌患者中，有8例在奥希替尼治疗耐药时发现了激活的CTNNB1突变，包括S37F/C（n=5）、D32V（n=1）、G34V（n=1）和T41I（n=1）[PMID: 31839416]。</w:t>
      </w:r>
    </w:p>
    <w:p w14:paraId="024B8908">
      <w:pPr>
        <w:spacing w:line="360" w:lineRule="auto"/>
        <w:ind w:left="420"/>
        <w:rPr>
          <w:rFonts w:ascii="Times New Roman" w:hAnsi="Times New Roman" w:cs="Times New Roman"/>
          <w:sz w:val="18"/>
          <w:szCs w:val="18"/>
        </w:rPr>
      </w:pPr>
    </w:p>
    <w:p w14:paraId="1E58A6BD">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5344"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4" name="直线 2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3" o:spid="_x0000_s1026" o:spt="20" style="position:absolute;left:0pt;margin-left:-2.55pt;margin-top:12.55pt;height:1.7pt;width:453.45pt;z-index:251705344;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ItiIE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DDR2                                                                          </w:t>
      </w:r>
    </w:p>
    <w:p w14:paraId="572424BC">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DB81020">
      <w:pPr>
        <w:spacing w:line="300" w:lineRule="auto"/>
        <w:ind w:left="420"/>
        <w:rPr>
          <w:rFonts w:ascii="Times New Roman" w:hAnsi="Times New Roman" w:cs="Times New Roman"/>
          <w:sz w:val="18"/>
          <w:szCs w:val="18"/>
        </w:rPr>
      </w:pPr>
      <w:r>
        <w:rPr>
          <w:rFonts w:ascii="Times New Roman" w:hAnsi="Times New Roman" w:cs="Times New Roman"/>
          <w:sz w:val="18"/>
          <w:szCs w:val="18"/>
        </w:rPr>
        <w:t>DDR2属于受体型蛋白酪氨酸激酶成员，因其胞外含有与盘基网柄菌植物凝血素同源的结构域，而被称为盘状结构域受体。除了盘状结构域外，DDR2还有单次跨膜区、临跨膜区和胞内酪氨酸激酶区；DDR2主要表达于心、骨骼肌、肺、脑和肾的间质细胞，介导下游几条信号通路，这些信号通路的激活能够促进细胞迁移、分化、增殖和存活[PMID</w:t>
      </w:r>
      <w:r>
        <w:rPr>
          <w:rFonts w:hint="eastAsia" w:ascii="Times New Roman" w:hAnsi="Times New Roman" w:cs="Times New Roman"/>
          <w:sz w:val="18"/>
          <w:szCs w:val="18"/>
        </w:rPr>
        <w:t xml:space="preserve">: </w:t>
      </w:r>
      <w:r>
        <w:rPr>
          <w:rFonts w:ascii="Times New Roman" w:hAnsi="Times New Roman" w:cs="Times New Roman"/>
          <w:sz w:val="18"/>
          <w:szCs w:val="18"/>
        </w:rPr>
        <w:t>16186108</w:t>
      </w:r>
      <w:r>
        <w:rPr>
          <w:rFonts w:hint="eastAsia" w:ascii="Times New Roman" w:hAnsi="Times New Roman" w:cs="Times New Roman"/>
          <w:sz w:val="18"/>
          <w:szCs w:val="18"/>
        </w:rPr>
        <w:t>; PMID: 17703188</w:t>
      </w:r>
      <w:r>
        <w:rPr>
          <w:rFonts w:ascii="Times New Roman" w:hAnsi="Times New Roman" w:cs="Times New Roman"/>
          <w:sz w:val="18"/>
          <w:szCs w:val="18"/>
        </w:rPr>
        <w:t>]，参与细胞生长，分化和代谢的调节。DDR2突变常见于肺癌、乳腺浸润性导管癌、结肠癌、子宫内膜样腺癌和膀胱尿路上皮癌中。</w:t>
      </w:r>
    </w:p>
    <w:p w14:paraId="64908317">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30536AD">
      <w:pPr>
        <w:spacing w:line="360" w:lineRule="auto"/>
        <w:ind w:left="420"/>
        <w:rPr>
          <w:rFonts w:ascii="Times New Roman" w:hAnsi="Times New Roman" w:cs="Times New Roman"/>
          <w:sz w:val="18"/>
          <w:szCs w:val="18"/>
        </w:rPr>
      </w:pPr>
      <w:r>
        <w:rPr>
          <w:rFonts w:ascii="Times New Roman" w:hAnsi="Times New Roman" w:cs="Times New Roman"/>
          <w:sz w:val="18"/>
          <w:szCs w:val="18"/>
        </w:rPr>
        <w:t>DDR2在肺鳞状细胞癌中的突变频率约为4%~5%，且与达沙替尼敏感相关，携带DDR2激活突变的肺鳞癌细胞系可被多靶点激酶抑制剂达沙替尼选择性杀死[PMID: 22328973; PMID: 26206333]。在多种癌症的转移中发现了DDR2的激活或表达，但机制尚不清楚[ PMID: 22071959</w:t>
      </w:r>
      <w:r>
        <w:rPr>
          <w:rFonts w:hint="eastAsia" w:ascii="Times New Roman" w:hAnsi="Times New Roman" w:cs="Times New Roman"/>
          <w:sz w:val="18"/>
          <w:szCs w:val="18"/>
        </w:rPr>
        <w:t>; PMID: 21701781; PMID: 23644467;</w:t>
      </w:r>
      <w:r>
        <w:rPr>
          <w:rFonts w:ascii="Times New Roman" w:hAnsi="Times New Roman" w:cs="Times New Roman"/>
          <w:sz w:val="18"/>
          <w:szCs w:val="18"/>
        </w:rPr>
        <w:t xml:space="preserve"> </w:t>
      </w:r>
      <w:r>
        <w:rPr>
          <w:rFonts w:hint="eastAsia" w:ascii="Times New Roman" w:hAnsi="Times New Roman" w:cs="Times New Roman"/>
          <w:sz w:val="18"/>
          <w:szCs w:val="18"/>
        </w:rPr>
        <w:t>PMID: 25130389</w:t>
      </w:r>
      <w:r>
        <w:rPr>
          <w:rFonts w:ascii="Times New Roman" w:hAnsi="Times New Roman" w:cs="Times New Roman"/>
          <w:sz w:val="18"/>
          <w:szCs w:val="18"/>
        </w:rPr>
        <w:t>]。一项案例报道中，1例携带DDR2 S768R的肺部鳞状细胞癌患者接受达沙替尼联合厄洛替尼治疗，近2个月后CT扫描显示肿瘤缩小，患者症状改善（解决呼吸困难和咳嗽）[PMID: 22328973]。评估厄洛替尼治疗DDR2突变或扩增的实体瘤患者疗效的临床研究正在进行中。</w:t>
      </w:r>
    </w:p>
    <w:p w14:paraId="0846C180">
      <w:pPr>
        <w:spacing w:line="360" w:lineRule="auto"/>
        <w:ind w:left="420"/>
        <w:rPr>
          <w:rFonts w:ascii="Times New Roman" w:hAnsi="Times New Roman" w:cs="Times New Roman"/>
          <w:sz w:val="18"/>
          <w:szCs w:val="18"/>
        </w:rPr>
      </w:pPr>
    </w:p>
    <w:p w14:paraId="652716C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4384" behindDoc="1" locked="0" layoutInCell="1" allowOverlap="1">
                <wp:simplePos x="0" y="0"/>
                <wp:positionH relativeFrom="column">
                  <wp:posOffset>0</wp:posOffset>
                </wp:positionH>
                <wp:positionV relativeFrom="paragraph">
                  <wp:posOffset>168910</wp:posOffset>
                </wp:positionV>
                <wp:extent cx="5760085" cy="6350"/>
                <wp:effectExtent l="0" t="9525" r="2540" b="12700"/>
                <wp:wrapNone/>
                <wp:docPr id="5" name="直线 24"/>
                <wp:cNvGraphicFramePr/>
                <a:graphic xmlns:a="http://schemas.openxmlformats.org/drawingml/2006/main">
                  <a:graphicData uri="http://schemas.microsoft.com/office/word/2010/wordprocessingShape">
                    <wps:wsp>
                      <wps:cNvCnPr/>
                      <wps:spPr>
                        <a:xfrm>
                          <a:off x="0" y="0"/>
                          <a:ext cx="5760085" cy="635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4" o:spid="_x0000_s1026" o:spt="20" style="position:absolute;left:0pt;margin-left:0pt;margin-top:13.3pt;height:0.5pt;width:453.55pt;z-index:-251652096;mso-width-relative:page;mso-height-relative:page;" filled="f" stroked="t" coordsize="21600,21600" o:gfxdata="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JT7x1QAA&#10;AAYBAAAPAAAAAAAAAAEAIAAAACIAAABkcnMvZG93bnJldi54bWxQSwECFAAUAAAACACHTuJA9l5y&#10;++gBAADeAwAADgAAAAAAAAABACAAAAAkAQAAZHJzL2Uyb0RvYy54bWxQSwUGAAAAAAYABgBZAQAA&#10;fgUAAAAA&#10;">
                <v:fill on="f" focussize="0,0"/>
                <v:stroke weight="1.5pt" color="#002060" joinstyle="miter"/>
                <v:imagedata o:title=""/>
                <o:lock v:ext="edit" aspectratio="f"/>
              </v:line>
            </w:pict>
          </mc:Fallback>
        </mc:AlternateContent>
      </w:r>
      <w:r>
        <w:rPr>
          <w:rFonts w:ascii="Times New Roman" w:hAnsi="Times New Roman" w:cs="Times New Roman"/>
          <w:b/>
        </w:rPr>
        <w:t xml:space="preserve">ERBB2                                                                          </w:t>
      </w:r>
    </w:p>
    <w:p w14:paraId="75D4DAC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256F9F4">
      <w:pPr>
        <w:spacing w:line="300" w:lineRule="auto"/>
        <w:ind w:left="420"/>
        <w:rPr>
          <w:rFonts w:ascii="Times New Roman" w:hAnsi="Times New Roman" w:cs="Times New Roman"/>
          <w:sz w:val="18"/>
          <w:szCs w:val="18"/>
        </w:rPr>
      </w:pPr>
      <w:r>
        <w:rPr>
          <w:rFonts w:ascii="Times New Roman" w:hAnsi="Times New Roman" w:cs="Times New Roman"/>
          <w:sz w:val="18"/>
          <w:szCs w:val="18"/>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参与的PI3K/ AKT/ mTOR和Ras/ Raf/ MEK/ ERK 等信号通路进而调控细胞增殖、存活及分化。HER2扩增导致众多下游分子级联反应，产生增强的增殖信号，ERBB2的激活突变可引起细胞过度增殖进而诱发肿瘤形成。ERBB2最常见的改变是ERBB2扩增(3.82%)、ERBB2突变(3.69%)、ERBB2外显子20突变(0.74%)、ERBB2外显子20插入(0.43%)和ERBB2 S310F(0.32%)。ERBB2突变常见于乳腺癌、肺腺癌、结肠癌、膀胱尿路上皮癌。</w:t>
      </w:r>
    </w:p>
    <w:p w14:paraId="1772BF00">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hint="eastAsia" w:ascii="Times New Roman" w:hAnsi="Times New Roman" w:cs="Times New Roman"/>
          <w:b/>
          <w:color w:val="000000"/>
          <w:sz w:val="18"/>
          <w:szCs w:val="18"/>
        </w:rPr>
        <w:t>恩美曲妥珠单抗</w:t>
      </w:r>
      <w:r>
        <w:rPr>
          <w:rFonts w:ascii="Times New Roman" w:hAnsi="Times New Roman" w:cs="Times New Roman"/>
          <w:b/>
          <w:sz w:val="18"/>
          <w:szCs w:val="18"/>
        </w:rPr>
        <w:t>*</w:t>
      </w:r>
      <w:r>
        <w:rPr>
          <w:rFonts w:hint="eastAsia" w:ascii="Times New Roman" w:hAnsi="Times New Roman" w:cs="Times New Roman"/>
          <w:b/>
          <w:sz w:val="18"/>
          <w:szCs w:val="18"/>
        </w:rPr>
        <w:t>、</w:t>
      </w:r>
      <w:r>
        <w:rPr>
          <w:rFonts w:ascii="Times New Roman" w:hAnsi="Times New Roman" w:cs="Times New Roman"/>
          <w:sz w:val="18"/>
          <w:szCs w:val="18"/>
        </w:rPr>
        <w:t>Trastuzumab deruxtecan</w:t>
      </w:r>
      <w:r>
        <w:rPr>
          <w:rFonts w:hint="eastAsia" w:ascii="Times New Roman" w:hAnsi="Times New Roman" w:cs="Times New Roman"/>
          <w:sz w:val="18"/>
          <w:szCs w:val="18"/>
        </w:rPr>
        <w:t>、吡咯替尼</w:t>
      </w:r>
      <w:r>
        <w:rPr>
          <w:rFonts w:ascii="Times New Roman" w:hAnsi="Times New Roman" w:cs="Times New Roman"/>
          <w:b/>
          <w:color w:val="000000"/>
          <w:sz w:val="18"/>
          <w:szCs w:val="18"/>
        </w:rPr>
        <w:t>、</w:t>
      </w:r>
      <w:r>
        <w:rPr>
          <w:rFonts w:ascii="Times New Roman" w:hAnsi="Times New Roman" w:cs="Times New Roman"/>
          <w:color w:val="000000"/>
          <w:sz w:val="18"/>
          <w:szCs w:val="18"/>
        </w:rPr>
        <w:t>曲妥珠单抗 + 帕妥珠单抗 、曲妥珠单抗 + 拉帕替尼</w:t>
      </w:r>
    </w:p>
    <w:p w14:paraId="7421C5D7">
      <w:pPr>
        <w:spacing w:line="300" w:lineRule="auto"/>
        <w:ind w:left="420"/>
        <w:rPr>
          <w:rFonts w:ascii="Times New Roman" w:hAnsi="Times New Roman" w:cs="Times New Roman"/>
          <w:sz w:val="18"/>
          <w:szCs w:val="18"/>
        </w:rPr>
      </w:pPr>
      <w:r>
        <w:rPr>
          <w:rFonts w:ascii="Times New Roman" w:hAnsi="Times New Roman" w:cs="Times New Roman"/>
          <w:sz w:val="18"/>
          <w:szCs w:val="18"/>
        </w:rPr>
        <w:t>ERBB2常发生的变异是20号外显子插入，携带 ERBB2 活化突变的晚期 NSCLC 对 ERBB2 抑制剂可能敏感。NCCN指南推荐</w:t>
      </w:r>
      <w:r>
        <w:rPr>
          <w:rFonts w:hint="eastAsia" w:ascii="Times New Roman" w:hAnsi="Times New Roman" w:cs="Times New Roman"/>
          <w:sz w:val="18"/>
          <w:szCs w:val="18"/>
        </w:rPr>
        <w:t>恩美曲妥珠单抗</w:t>
      </w:r>
      <w:r>
        <w:rPr>
          <w:rFonts w:ascii="Times New Roman" w:hAnsi="Times New Roman" w:cs="Times New Roman"/>
          <w:sz w:val="18"/>
          <w:szCs w:val="18"/>
        </w:rPr>
        <w:t>（TDM-1）</w:t>
      </w:r>
      <w:r>
        <w:rPr>
          <w:rFonts w:hint="eastAsia" w:ascii="Times New Roman" w:hAnsi="Times New Roman" w:cs="Times New Roman"/>
          <w:sz w:val="18"/>
          <w:szCs w:val="18"/>
        </w:rPr>
        <w:t>、</w:t>
      </w:r>
      <w:r>
        <w:rPr>
          <w:rFonts w:ascii="Times New Roman" w:hAnsi="Times New Roman" w:cs="Times New Roman"/>
          <w:sz w:val="18"/>
          <w:szCs w:val="18"/>
        </w:rPr>
        <w:t>Trastuzumab deruxtecan用于HER2突变的非小细胞肺癌患者[NCCN_Non-Small Cell Lung Cancer_2021_V</w:t>
      </w:r>
      <w:r>
        <w:rPr>
          <w:rFonts w:hint="eastAsia" w:ascii="Times New Roman" w:hAnsi="Times New Roman" w:cs="Times New Roman"/>
          <w:sz w:val="18"/>
          <w:szCs w:val="18"/>
        </w:rPr>
        <w:t>5</w:t>
      </w:r>
      <w:r>
        <w:rPr>
          <w:rFonts w:ascii="Times New Roman" w:hAnsi="Times New Roman" w:cs="Times New Roman"/>
          <w:sz w:val="18"/>
          <w:szCs w:val="18"/>
        </w:rPr>
        <w:t>]。</w:t>
      </w:r>
      <w:r>
        <w:rPr>
          <w:rFonts w:hint="eastAsia" w:ascii="Times New Roman" w:hAnsi="Times New Roman" w:cs="Times New Roman"/>
          <w:sz w:val="18"/>
          <w:szCs w:val="18"/>
        </w:rPr>
        <w:t>非小细胞肺癌中，</w:t>
      </w:r>
      <w:r>
        <w:rPr>
          <w:rFonts w:ascii="Times New Roman" w:hAnsi="Times New Roman" w:cs="Times New Roman"/>
          <w:sz w:val="18"/>
          <w:szCs w:val="18"/>
        </w:rPr>
        <w:t>HER2 20号外显子插入突变对吡咯替尼敏感[PMID: 30596880]</w:t>
      </w:r>
      <w:r>
        <w:rPr>
          <w:rFonts w:hint="eastAsia" w:ascii="Times New Roman" w:hAnsi="Times New Roman" w:cs="Times New Roman"/>
          <w:sz w:val="18"/>
          <w:szCs w:val="18"/>
        </w:rPr>
        <w:t>，</w:t>
      </w:r>
      <w:r>
        <w:rPr>
          <w:rFonts w:ascii="Times New Roman" w:hAnsi="Times New Roman" w:cs="Times New Roman"/>
          <w:sz w:val="18"/>
          <w:szCs w:val="18"/>
        </w:rPr>
        <w:t>但HER2突变对埃克替尼</w:t>
      </w:r>
      <w:r>
        <w:rPr>
          <w:rFonts w:hint="eastAsia" w:ascii="Times New Roman" w:hAnsi="Times New Roman" w:cs="Times New Roman"/>
          <w:sz w:val="18"/>
          <w:szCs w:val="18"/>
        </w:rPr>
        <w:t>、厄洛替尼、吉非替尼、阿法替尼、达可替尼、奥希替尼、西妥昔单抗、帕尼单抗耐药</w:t>
      </w:r>
      <w:r>
        <w:rPr>
          <w:rFonts w:ascii="Times New Roman" w:hAnsi="Times New Roman" w:cs="Times New Roman"/>
          <w:sz w:val="18"/>
          <w:szCs w:val="18"/>
        </w:rPr>
        <w:t>[PMID: 22325357; PMID: 22761469]。目前阿法替尼、拉帕替尼、</w:t>
      </w:r>
      <w:r>
        <w:rPr>
          <w:rFonts w:hint="eastAsia" w:ascii="Times New Roman" w:hAnsi="Times New Roman" w:cs="Times New Roman"/>
          <w:sz w:val="18"/>
          <w:szCs w:val="18"/>
        </w:rPr>
        <w:t>奈拉替尼</w:t>
      </w:r>
      <w:r>
        <w:rPr>
          <w:rFonts w:ascii="Times New Roman" w:hAnsi="Times New Roman" w:cs="Times New Roman"/>
          <w:sz w:val="18"/>
          <w:szCs w:val="18"/>
        </w:rPr>
        <w:t>等用于治疗ERBB2突变和20号外显子插入的肺癌患者的临床试验均在开展。ERBB2扩增是肺癌EGFR TKI治疗继发耐药变异，对EGFR TKI敏感性降低[NCCN_Non-Small Cell Lung Cancer_2021_V</w:t>
      </w:r>
      <w:r>
        <w:rPr>
          <w:rFonts w:hint="eastAsia" w:ascii="Times New Roman" w:hAnsi="Times New Roman" w:cs="Times New Roman"/>
          <w:sz w:val="18"/>
          <w:szCs w:val="18"/>
        </w:rPr>
        <w:t>5</w:t>
      </w:r>
      <w:r>
        <w:rPr>
          <w:rFonts w:ascii="Times New Roman" w:hAnsi="Times New Roman" w:cs="Times New Roman"/>
          <w:sz w:val="18"/>
          <w:szCs w:val="18"/>
        </w:rPr>
        <w:t>]。结直肠癌中也常发生ERBB2拷贝数变异，</w:t>
      </w:r>
      <w:r>
        <w:rPr>
          <w:rFonts w:hint="eastAsia" w:ascii="Times New Roman" w:hAnsi="Times New Roman" w:cs="Times New Roman"/>
          <w:sz w:val="18"/>
          <w:szCs w:val="18"/>
        </w:rPr>
        <w:t>N</w:t>
      </w:r>
      <w:r>
        <w:rPr>
          <w:rFonts w:ascii="Times New Roman" w:hAnsi="Times New Roman" w:cs="Times New Roman"/>
          <w:sz w:val="18"/>
          <w:szCs w:val="18"/>
        </w:rPr>
        <w:t>CCN指南推荐曲妥珠单抗联合帕妥珠单抗 、曲妥珠单抗联合拉帕替尼</w:t>
      </w:r>
      <w:r>
        <w:rPr>
          <w:rFonts w:hint="eastAsia" w:ascii="Times New Roman" w:hAnsi="Times New Roman" w:cs="Times New Roman"/>
          <w:sz w:val="18"/>
          <w:szCs w:val="18"/>
        </w:rPr>
        <w:t>、</w:t>
      </w:r>
      <w:r>
        <w:rPr>
          <w:rFonts w:ascii="Times New Roman" w:hAnsi="Times New Roman" w:cs="Times New Roman"/>
          <w:sz w:val="18"/>
          <w:szCs w:val="18"/>
        </w:rPr>
        <w:t>Trastuzumab deruxtecan用于治疗ERBB2扩增的结直肠癌患者</w:t>
      </w:r>
      <w:r>
        <w:rPr>
          <w:rFonts w:hint="eastAsia" w:ascii="Times New Roman" w:hAnsi="Times New Roman" w:cs="Times New Roman"/>
          <w:sz w:val="18"/>
          <w:szCs w:val="18"/>
        </w:rPr>
        <w:t>[</w:t>
      </w:r>
      <w:r>
        <w:rPr>
          <w:rFonts w:ascii="Times New Roman" w:hAnsi="Times New Roman" w:cs="Times New Roman"/>
          <w:sz w:val="18"/>
          <w:szCs w:val="18"/>
        </w:rPr>
        <w:t>NCCN Guideline -Colon Cancer_2021_V2]。一项II期临床试验，入组34例HER2扩增或过表达的结直肠癌患者，接受标准剂量的曲妥珠单抗和帕妥珠单抗联合治疗，32例患者可评估；在治疗开始中位随访5.2个月，12例患者局部缓解，另有3例患者疾病稳定大于4个月，ORR为37.5%，缓解可持续。一例KRAS，NRAS和BRAF野生型的转移性结直肠癌患者标准治疗进展，检出HER2扩增，使用</w:t>
      </w:r>
      <w:r>
        <w:rPr>
          <w:rFonts w:hint="eastAsia" w:ascii="Times New Roman" w:hAnsi="Times New Roman" w:cs="Times New Roman"/>
          <w:sz w:val="18"/>
          <w:szCs w:val="18"/>
        </w:rPr>
        <w:t>恩美曲妥珠单抗</w:t>
      </w:r>
      <w:r>
        <w:rPr>
          <w:rFonts w:ascii="Times New Roman" w:hAnsi="Times New Roman" w:cs="Times New Roman"/>
          <w:sz w:val="18"/>
          <w:szCs w:val="18"/>
        </w:rPr>
        <w:t>进行治疗，获得7个月的疾病控制，后使用曲妥珠单抗联合帕妥珠单抗治疗后，患者3个月后疾病发生进展[PMID: 28040715]。</w:t>
      </w:r>
      <w:r>
        <w:rPr>
          <w:rFonts w:hint="eastAsia" w:ascii="Times New Roman" w:hAnsi="Times New Roman" w:cs="Times New Roman"/>
          <w:sz w:val="18"/>
          <w:szCs w:val="18"/>
        </w:rPr>
        <w:t>一项</w:t>
      </w:r>
      <w:r>
        <w:rPr>
          <w:rFonts w:ascii="Times New Roman" w:hAnsi="Times New Roman" w:cs="Times New Roman"/>
          <w:sz w:val="18"/>
          <w:szCs w:val="18"/>
        </w:rPr>
        <w:t>II期临床研究中，招募914例KRAS外显子2野生型的转移性结直肠癌患者，发现48例 (5%)患者呈HER2阳性，其中27例患者接受曲妥珠单抗和拉帕替尼联合治疗，中位随访时间为94周，8例获得客观响应，1例CR，7例PR，12例SD [PMID: 27108243]。研究显示，KRAS野生型结直肠癌患者，EGFR单抗（西妥昔单抗/帕尼单抗）治疗ERBB2扩增的患者疗效更差[PMID: 23348520]。</w:t>
      </w:r>
    </w:p>
    <w:p w14:paraId="50CC8F1E">
      <w:pPr>
        <w:spacing w:line="300" w:lineRule="auto"/>
        <w:ind w:left="420"/>
        <w:rPr>
          <w:rFonts w:ascii="Times New Roman" w:hAnsi="Times New Roman" w:cs="Times New Roman"/>
          <w:sz w:val="18"/>
          <w:szCs w:val="18"/>
        </w:rPr>
      </w:pPr>
    </w:p>
    <w:p w14:paraId="485EF4C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257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5" name="直线 2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5" o:spid="_x0000_s1026" o:spt="20" style="position:absolute;left:0pt;margin-left:-2.6pt;margin-top:12.55pt;height:1.7pt;width:453.4pt;z-index:-25164390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En55K3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ERBB3                                                                          </w:t>
      </w:r>
    </w:p>
    <w:p w14:paraId="1FAE82D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64B8F1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RBB3是原癌基因，编码表皮生长因子受体(EGFR)家族受体酪氨酸激酶的成员。该膜结合蛋白有一个神经调节蛋白结合域，但没有活性激酶域，它可以结合配体发挥作用，与其他具有激酶活性的EGF受体家族成员形成异源二聚体并激活细胞增殖或分化途径，在细胞增殖、凋亡、骨架重排方面具有重要作用。该基因的扩增或过表达已在前列腺癌、膀胱癌和乳腺癌等多种癌症中被报道，错义突变、无义突变、沉默突变和移码缺失在子宫内膜癌、肠癌和胃癌等癌症中也可观察到。 </w:t>
      </w:r>
    </w:p>
    <w:p w14:paraId="5FF61E3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6B28B14">
      <w:pPr>
        <w:spacing w:line="300" w:lineRule="auto"/>
        <w:ind w:left="420"/>
        <w:rPr>
          <w:rFonts w:ascii="Times New Roman" w:hAnsi="Times New Roman" w:cs="Times New Roman"/>
          <w:sz w:val="18"/>
          <w:szCs w:val="18"/>
        </w:rPr>
      </w:pPr>
      <w:r>
        <w:rPr>
          <w:rFonts w:ascii="Times New Roman" w:hAnsi="Times New Roman" w:cs="Times New Roman"/>
          <w:sz w:val="18"/>
          <w:szCs w:val="18"/>
        </w:rPr>
        <w:t>一项Ⅰ期临床试验表明U3-1402对EGFR-TKI耐药后继发的不同通路激活（包括C797S、ERBB3、CDK4）都有疗效。</w:t>
      </w:r>
      <w:r>
        <w:rPr>
          <w:rFonts w:hint="eastAsia" w:ascii="Times New Roman" w:hAnsi="Times New Roman" w:cs="Times New Roman"/>
          <w:sz w:val="18"/>
          <w:szCs w:val="18"/>
        </w:rPr>
        <w:t>帕妥珠单抗</w:t>
      </w:r>
      <w:r>
        <w:rPr>
          <w:rFonts w:ascii="Times New Roman" w:hAnsi="Times New Roman" w:cs="Times New Roman"/>
          <w:sz w:val="18"/>
          <w:szCs w:val="18"/>
        </w:rPr>
        <w:t>介导的对ErbB2异源二聚的抑制降低了AKT的磷酸化、细胞的体外生长和异种移植体的体内生长[PMID: 26206558]。在表达ERBB3 (HER3)的异种移植小鼠中，抑制剂</w:t>
      </w:r>
      <w:r>
        <w:rPr>
          <w:rFonts w:hint="eastAsia" w:ascii="Times New Roman" w:hAnsi="Times New Roman" w:cs="Times New Roman"/>
          <w:sz w:val="18"/>
          <w:szCs w:val="18"/>
        </w:rPr>
        <w:t>帕妥珠单抗</w:t>
      </w:r>
      <w:r>
        <w:rPr>
          <w:rFonts w:ascii="Times New Roman" w:hAnsi="Times New Roman" w:cs="Times New Roman"/>
          <w:sz w:val="18"/>
          <w:szCs w:val="18"/>
        </w:rPr>
        <w:t>和9f7 - f11的组合增强了肿瘤抑制和中位生存时间，单药</w:t>
      </w:r>
      <w:r>
        <w:rPr>
          <w:rFonts w:hint="eastAsia" w:ascii="Times New Roman" w:hAnsi="Times New Roman" w:cs="Times New Roman"/>
          <w:sz w:val="18"/>
          <w:szCs w:val="18"/>
        </w:rPr>
        <w:t>帕妥珠单抗</w:t>
      </w:r>
      <w:r>
        <w:rPr>
          <w:rFonts w:ascii="Times New Roman" w:hAnsi="Times New Roman" w:cs="Times New Roman"/>
          <w:sz w:val="18"/>
          <w:szCs w:val="18"/>
        </w:rPr>
        <w:t>的敏感性也可能通过ERBB3的表达而增加[PMID: 25216528]。评估</w:t>
      </w:r>
      <w:r>
        <w:rPr>
          <w:rFonts w:hint="eastAsia" w:ascii="Times New Roman" w:hAnsi="Times New Roman" w:cs="Times New Roman"/>
          <w:sz w:val="18"/>
          <w:szCs w:val="18"/>
        </w:rPr>
        <w:t>奈拉替尼</w:t>
      </w:r>
      <w:r>
        <w:rPr>
          <w:rFonts w:ascii="Times New Roman" w:hAnsi="Times New Roman" w:cs="Times New Roman"/>
          <w:sz w:val="18"/>
          <w:szCs w:val="18"/>
        </w:rPr>
        <w:t>治疗ERBB3激活突变的肺癌和实体瘤患者疗效的临床试验正在开展。</w:t>
      </w:r>
    </w:p>
    <w:p w14:paraId="6E54A532">
      <w:pPr>
        <w:spacing w:line="300" w:lineRule="auto"/>
        <w:ind w:left="420"/>
        <w:rPr>
          <w:rFonts w:ascii="Times New Roman" w:hAnsi="Times New Roman" w:cs="Times New Roman"/>
          <w:sz w:val="18"/>
          <w:szCs w:val="18"/>
        </w:rPr>
      </w:pPr>
    </w:p>
    <w:p w14:paraId="2FC51FAC">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6912"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9" name="直线 26"/>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6" o:spid="_x0000_s1026" o:spt="20" style="position:absolute;left:0pt;margin-left:-2.55pt;margin-top:12.55pt;height:1.7pt;width:453.45pt;z-index:-25162956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EHr0V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ERBB4                                                                          </w:t>
      </w:r>
    </w:p>
    <w:p w14:paraId="684B33E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D442C7A">
      <w:pPr>
        <w:spacing w:line="360" w:lineRule="auto"/>
        <w:ind w:left="420"/>
        <w:rPr>
          <w:rFonts w:ascii="Times New Roman" w:hAnsi="Times New Roman" w:cs="Times New Roman"/>
          <w:b/>
        </w:rPr>
      </w:pPr>
      <w:r>
        <w:rPr>
          <w:rFonts w:ascii="Times New Roman" w:hAnsi="Times New Roman" w:cs="Times New Roman"/>
          <w:sz w:val="18"/>
          <w:szCs w:val="18"/>
        </w:rPr>
        <w:t>ERBB4是酪氨酸蛋白激酶，属于表皮生长因子受体，通过多个富含半胱氨酸结构域来编码I型膜蛋白，该区域是一个跨膜的酪氨酸激酶结构域，是磷脂酰肌醇3激酶结合位点，绑定基序的PDZ结构域。该激酶结合配体后发生同源或异源二聚体化，导致酪氨酸激酶磷酸化被激活，之后激活下游PI3K-AKT-mTOR和RAS-RAF-MEK-ERK信号通路，通过结合神经调节蛋白及其它因子并被激活，进而诱导了包括有丝分裂分化在内的一系列细胞反应，促进细胞增殖，抑制细胞凋亡。ERBB4突变常见于肺癌、结肠腺癌、皮肤黑色素瘤、黑色素瘤、乳腺浸润性导管癌和胃癌中。</w:t>
      </w:r>
    </w:p>
    <w:p w14:paraId="2BF3AF00">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56B4245">
      <w:pPr>
        <w:spacing w:line="360" w:lineRule="auto"/>
        <w:ind w:left="420"/>
        <w:rPr>
          <w:rFonts w:ascii="Times New Roman" w:hAnsi="Times New Roman" w:cs="Times New Roman"/>
          <w:sz w:val="18"/>
          <w:szCs w:val="18"/>
        </w:rPr>
      </w:pPr>
      <w:r>
        <w:rPr>
          <w:rFonts w:hint="eastAsia" w:ascii="Times New Roman" w:hAnsi="Times New Roman" w:cs="Times New Roman"/>
          <w:sz w:val="18"/>
          <w:szCs w:val="18"/>
        </w:rPr>
        <w:t>一项研究中，肺鳞癌患者按</w:t>
      </w:r>
      <w:r>
        <w:rPr>
          <w:rFonts w:ascii="Times New Roman" w:hAnsi="Times New Roman" w:cs="Times New Roman"/>
          <w:sz w:val="18"/>
          <w:szCs w:val="18"/>
        </w:rPr>
        <w:t>1:1随机分组接受阿法替尼或厄洛替尼，ERBB4（HER4）突变预测阿法替尼治疗的OS（HR=0.22）和PFS（HR=0.21）优于厄洛替尼[PMID: 29902295]。一项研究中，研究人员利用NAPPA蛋白微阵列平台，发现药物</w:t>
      </w:r>
      <w:r>
        <w:rPr>
          <w:rFonts w:hint="eastAsia" w:ascii="Times New Roman" w:hAnsi="Times New Roman" w:cs="Times New Roman"/>
          <w:sz w:val="18"/>
          <w:szCs w:val="18"/>
        </w:rPr>
        <w:t>伊布替尼</w:t>
      </w:r>
      <w:r>
        <w:rPr>
          <w:rFonts w:ascii="Times New Roman" w:hAnsi="Times New Roman" w:cs="Times New Roman"/>
          <w:sz w:val="18"/>
          <w:szCs w:val="18"/>
        </w:rPr>
        <w:t>能够靶向ERBB4 [PMID: 29398709]。评估</w:t>
      </w:r>
      <w:r>
        <w:rPr>
          <w:rFonts w:hint="eastAsia" w:ascii="Times New Roman" w:hAnsi="Times New Roman" w:cs="Times New Roman"/>
          <w:sz w:val="18"/>
          <w:szCs w:val="18"/>
        </w:rPr>
        <w:t>奈拉替尼</w:t>
      </w:r>
      <w:r>
        <w:rPr>
          <w:rFonts w:ascii="Times New Roman" w:hAnsi="Times New Roman" w:cs="Times New Roman"/>
          <w:sz w:val="18"/>
          <w:szCs w:val="18"/>
        </w:rPr>
        <w:t>治疗ERBB4突变的实体瘤患者疗效的临床研究正在开展中。</w:t>
      </w:r>
    </w:p>
    <w:p w14:paraId="751D874E">
      <w:pPr>
        <w:spacing w:line="360" w:lineRule="auto"/>
        <w:ind w:left="420"/>
        <w:rPr>
          <w:rFonts w:ascii="Times New Roman" w:hAnsi="Times New Roman" w:cs="Times New Roman"/>
          <w:sz w:val="18"/>
          <w:szCs w:val="18"/>
        </w:rPr>
      </w:pPr>
    </w:p>
    <w:p w14:paraId="043F5B8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1" name="直线 2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7" o:spid="_x0000_s1026" o:spt="20" style="position:absolute;left:0pt;margin-left:-2.6pt;margin-top:12.55pt;height:1.7pt;width:453.4pt;z-index:25169920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KY8Gf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ERG                                                                         </w:t>
      </w:r>
    </w:p>
    <w:p w14:paraId="02CA88A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B527CE0">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ERG基因编码红细胞转化特异性(ETS)转录因子家族成员，该家族所有成员都是参与胚胎发育、细胞增殖、分化、血管生成、炎症和凋亡的关键调节因子。该基因编码的蛋白主要在细胞核中表达，蛋白包含一个ETS DNA结合域和一个与癌基因蛋白关联的PNT区，是血小板粘附到内皮细胞的必需蛋白，可诱导血管细胞的重构。除此以外它还调节造血、巨核细胞的分化和成熟，参与染色体易位、产生不同的融合基因产物，ERG融合常见于前列腺腺癌、乳腺浸润性导管癌、肺腺癌、膀胱尿路上皮癌和尤文氏肉瘤中。 </w:t>
      </w:r>
    </w:p>
    <w:p w14:paraId="4465C5C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D15556A">
      <w:pPr>
        <w:spacing w:line="300" w:lineRule="auto"/>
        <w:ind w:left="420"/>
        <w:rPr>
          <w:rFonts w:ascii="Times New Roman" w:hAnsi="Times New Roman" w:cs="Times New Roman"/>
          <w:sz w:val="18"/>
          <w:szCs w:val="18"/>
        </w:rPr>
      </w:pPr>
      <w:r>
        <w:rPr>
          <w:rFonts w:ascii="Times New Roman" w:hAnsi="Times New Roman" w:cs="Times New Roman"/>
          <w:sz w:val="18"/>
          <w:szCs w:val="18"/>
        </w:rPr>
        <w:t>在2013年的ASCO上，研究者对524份前列腺组织标本进行检测的结果显示，35%存在ERG融合。ERG融合阳性的患者，接受阿比特龙联合泼尼松治疗后，影像学上无进展生存（rPFS，22个月对16个月，P=0.12）和进展时间（14 个月对8个月，P=0.15）有获得改善的趋势，提示ERG融合可能是阿比特龙有效性的生物标志物。</w:t>
      </w:r>
    </w:p>
    <w:p w14:paraId="034663A9">
      <w:pPr>
        <w:spacing w:line="300" w:lineRule="auto"/>
        <w:ind w:left="420"/>
        <w:rPr>
          <w:rFonts w:ascii="Times New Roman" w:hAnsi="Times New Roman" w:cs="Times New Roman"/>
          <w:sz w:val="18"/>
          <w:szCs w:val="18"/>
        </w:rPr>
      </w:pPr>
    </w:p>
    <w:p w14:paraId="6642173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456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3" name="直线 2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8" o:spid="_x0000_s1026" o:spt="20" style="position:absolute;left:0pt;margin-left:-2.6pt;margin-top:12.55pt;height:1.7pt;width:453.4pt;z-index:25171456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E2Hr46gEAAOA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xVvOHFi68cfvPx5/&#10;/mKzZVZnCNhQ0p3bxvMJwzZmqscu2vwnEuxYFD1dFFXHxAQ55+/my+mSxBYUm03nN0Xx6rk4REwf&#10;lLcsGy032mXC0MDhIyZqSKlPKdltHBtoaW/qecYEWr+Orp1MG4gCun0pRm+0vNfG5BKM+92diewA&#10;eQXqWb14muGvtNxlA9iPeSU0LofVSWXq0PQK5HsnWToFUsnR6+B5GqskZ0bRY8pWyUygzTWZxM44&#10;IplFHmXN1s7LU1G7+OniiwznJc2b9ee5VD8/zP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ITYevj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ESR1                                                                          </w:t>
      </w:r>
    </w:p>
    <w:p w14:paraId="6340BC0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B0A2BF7">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SR1基因编码的雌激素受体是一种由配体激活的转录因子，由几个对激素结合、DNA结合和转录激活都很重要的区域组成。该蛋白位于细胞核，与雌激素受体2形成同型二聚体或异型二聚体。雌激素及其受体存在于乳腺上皮，能调控乳腺的生长、发育和细胞增殖，对性发育和生殖功能至关重要，ESR1在乳腺癌、子宫内膜癌、前列腺癌等癌症的发病机制中起作用[PMID: 21779010]。 </w:t>
      </w:r>
    </w:p>
    <w:p w14:paraId="72692C0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03217B2">
      <w:pPr>
        <w:spacing w:line="300" w:lineRule="auto"/>
        <w:ind w:left="420"/>
        <w:rPr>
          <w:rFonts w:ascii="Times New Roman" w:hAnsi="Times New Roman" w:cs="Times New Roman"/>
          <w:sz w:val="18"/>
          <w:szCs w:val="18"/>
        </w:rPr>
      </w:pPr>
      <w:r>
        <w:rPr>
          <w:rFonts w:ascii="Times New Roman" w:hAnsi="Times New Roman" w:cs="Times New Roman"/>
          <w:sz w:val="18"/>
          <w:szCs w:val="18"/>
        </w:rPr>
        <w:t>雌激素受体阳性的乳腺癌对激素治疗有耐药性，ESR1的配体结合区域的许多突变与激素抵抗和抗雌激素治疗有关。</w:t>
      </w:r>
      <w:r>
        <w:rPr>
          <w:rFonts w:hint="eastAsia" w:ascii="Times New Roman" w:hAnsi="Times New Roman" w:cs="Times New Roman"/>
          <w:sz w:val="18"/>
          <w:szCs w:val="18"/>
        </w:rPr>
        <w:t>氟维司群</w:t>
      </w:r>
      <w:r>
        <w:rPr>
          <w:rFonts w:ascii="Times New Roman" w:hAnsi="Times New Roman" w:cs="Times New Roman"/>
          <w:sz w:val="18"/>
          <w:szCs w:val="18"/>
        </w:rPr>
        <w:t>刺激ESR1蛋白降解的研究正处于临床试验阶段，并取得了一些成功。16例转移性乳腺癌患者通过</w:t>
      </w:r>
      <w:r>
        <w:rPr>
          <w:rFonts w:hint="eastAsia" w:ascii="Times New Roman" w:hAnsi="Times New Roman" w:cs="Times New Roman"/>
          <w:sz w:val="18"/>
          <w:szCs w:val="18"/>
        </w:rPr>
        <w:t>哌柏西利</w:t>
      </w:r>
      <w:r>
        <w:rPr>
          <w:rFonts w:ascii="Times New Roman" w:hAnsi="Times New Roman" w:cs="Times New Roman"/>
          <w:sz w:val="18"/>
          <w:szCs w:val="18"/>
        </w:rPr>
        <w:t>联合</w:t>
      </w:r>
      <w:r>
        <w:rPr>
          <w:rFonts w:hint="eastAsia" w:ascii="Times New Roman" w:hAnsi="Times New Roman" w:cs="Times New Roman"/>
          <w:sz w:val="18"/>
          <w:szCs w:val="18"/>
        </w:rPr>
        <w:t>来曲唑</w:t>
      </w:r>
      <w:r>
        <w:rPr>
          <w:rFonts w:ascii="Times New Roman" w:hAnsi="Times New Roman" w:cs="Times New Roman"/>
          <w:sz w:val="18"/>
          <w:szCs w:val="18"/>
        </w:rPr>
        <w:t>进行治疗，发现ESR1突变患者(5/16)，包括ESR1 D538G (n = 2)与野生型患者相比ESR1 (n = 11)，总体生存率无显著差异[PMID: 27556863]。</w:t>
      </w:r>
      <w:r>
        <w:rPr>
          <w:rFonts w:hint="eastAsia" w:ascii="Times New Roman" w:hAnsi="Times New Roman" w:cs="Times New Roman"/>
          <w:sz w:val="18"/>
          <w:szCs w:val="18"/>
        </w:rPr>
        <w:t>哌柏西利和来曲唑治疗转移性乳腺癌的研究中，在初次采血时已经携带</w:t>
      </w:r>
      <w:r>
        <w:rPr>
          <w:rFonts w:ascii="Times New Roman" w:hAnsi="Times New Roman" w:cs="Times New Roman"/>
          <w:sz w:val="18"/>
          <w:szCs w:val="18"/>
        </w:rPr>
        <w:t>ESR1突变的患者（ESR1-de novo突变组，n = 3）PFS显著缩短（median; 9.0 versus 3.3 months, HR=0.25; 95% CI: 0.01-0.9, P-value=0.038），ESR1-de novo突变组的中位OS为12.0个月，有进展加快趋势（HR=0.32; 95% CI: 0.02-2.1, P-value=0.18）；一名ESR1-de novo突变患者治疗1.4个月后抽血ESR1-D538G突变阳性，该患者第一次抽血时处于疾病进展[PMID: 28978004]。</w:t>
      </w:r>
    </w:p>
    <w:p w14:paraId="1896A515">
      <w:pPr>
        <w:spacing w:line="300" w:lineRule="auto"/>
        <w:ind w:left="420"/>
        <w:rPr>
          <w:rFonts w:ascii="Times New Roman" w:hAnsi="Times New Roman" w:cs="Times New Roman"/>
          <w:sz w:val="18"/>
          <w:szCs w:val="18"/>
          <w:highlight w:val="black"/>
        </w:rPr>
      </w:pPr>
    </w:p>
    <w:p w14:paraId="476FADA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360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6" name="直线 2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9" o:spid="_x0000_s1026" o:spt="20" style="position:absolute;left:0pt;margin-left:-2.6pt;margin-top:12.55pt;height:1.7pt;width:453.4pt;z-index:-25164288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HVxvgr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ETV1                                                                          </w:t>
      </w:r>
    </w:p>
    <w:p w14:paraId="5C50B7BC">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48F8806">
      <w:pPr>
        <w:spacing w:line="300" w:lineRule="auto"/>
        <w:ind w:left="420"/>
        <w:rPr>
          <w:rFonts w:ascii="Times New Roman" w:hAnsi="Times New Roman" w:cs="Times New Roman"/>
          <w:sz w:val="18"/>
          <w:szCs w:val="18"/>
        </w:rPr>
      </w:pPr>
      <w:r>
        <w:rPr>
          <w:rFonts w:ascii="Times New Roman" w:hAnsi="Times New Roman" w:cs="Times New Roman"/>
          <w:sz w:val="18"/>
          <w:szCs w:val="18"/>
        </w:rPr>
        <w:t>ETV1基因编码转录因子ETS家族的成员，ETS蛋白调控许多细胞生长、血管生成、迁移、增殖和分化等生物学过程的靶基因。ETV1编码蛋白有一个能够结合到DNA共有区域的结合域，除了c端的ETS DNA结合域外，该基因编码的蛋白在N端区域含有一个保守的短酸性反激活域(TAD)。该基因参与染色体易位，并导致包括尤文肉瘤中的EWS-ETV1融合和前列腺癌中至少10个ETV1伴侣在内的多种融合蛋白。除了染色体重排外，该基因在前列腺癌、黑色素瘤和胃肠道间质瘤中会发生过表达变异。</w:t>
      </w:r>
    </w:p>
    <w:p w14:paraId="46A39A44">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3655CB7">
      <w:pPr>
        <w:spacing w:line="300" w:lineRule="auto"/>
        <w:ind w:left="420"/>
        <w:rPr>
          <w:rFonts w:ascii="Times New Roman" w:hAnsi="Times New Roman" w:cs="Times New Roman"/>
          <w:sz w:val="18"/>
          <w:szCs w:val="18"/>
        </w:rPr>
      </w:pPr>
      <w:r>
        <w:rPr>
          <w:rFonts w:ascii="Times New Roman" w:hAnsi="Times New Roman" w:cs="Times New Roman"/>
          <w:sz w:val="18"/>
          <w:szCs w:val="18"/>
        </w:rPr>
        <w:t>TMPRSS2-ETV1融合在前列腺癌中反复出现[PMID: 16254181]，目前评估恩</w:t>
      </w:r>
      <w:r>
        <w:rPr>
          <w:rFonts w:hint="eastAsia" w:ascii="Times New Roman" w:hAnsi="Times New Roman" w:cs="Times New Roman"/>
          <w:sz w:val="18"/>
          <w:szCs w:val="18"/>
        </w:rPr>
        <w:t>扎卢</w:t>
      </w:r>
      <w:r>
        <w:rPr>
          <w:rFonts w:ascii="Times New Roman" w:hAnsi="Times New Roman" w:cs="Times New Roman"/>
          <w:sz w:val="18"/>
          <w:szCs w:val="18"/>
        </w:rPr>
        <w:t>胺对TMPRSS2-ETV1基因突变的前列腺癌患者疗效的II期临床试验正在进行中。</w:t>
      </w:r>
      <w:r>
        <w:rPr>
          <w:rFonts w:hint="eastAsia" w:ascii="Times New Roman" w:hAnsi="Times New Roman" w:cs="Times New Roman"/>
          <w:sz w:val="18"/>
          <w:szCs w:val="18"/>
        </w:rPr>
        <w:t>对结直肠癌的研究表明，</w:t>
      </w:r>
      <w:r>
        <w:rPr>
          <w:rFonts w:ascii="Times New Roman" w:hAnsi="Times New Roman" w:cs="Times New Roman"/>
          <w:sz w:val="18"/>
          <w:szCs w:val="18"/>
        </w:rPr>
        <w:t>ETV1表达影响细胞活力，ETV1高表达与较差的无复发生存期和总生存期相关[PMID: 30224643]。</w:t>
      </w:r>
    </w:p>
    <w:p w14:paraId="63C1B573">
      <w:pPr>
        <w:spacing w:line="300" w:lineRule="auto"/>
        <w:ind w:left="420"/>
        <w:rPr>
          <w:rFonts w:ascii="Times New Roman" w:hAnsi="Times New Roman" w:cs="Times New Roman"/>
          <w:sz w:val="18"/>
          <w:szCs w:val="18"/>
          <w:highlight w:val="black"/>
        </w:rPr>
      </w:pPr>
    </w:p>
    <w:p w14:paraId="0EF4DF2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793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0" name="直线 3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0" o:spid="_x0000_s1026" o:spt="20" style="position:absolute;left:0pt;margin-left:-2.6pt;margin-top:12.55pt;height:1.7pt;width:453.4pt;z-index:-25162854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vXRta6QEAAOADAAAOAAAAZHJzL2Uyb0RvYy54bWytU0tu&#10;2zAQ3RfoHQjua8kunD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35MkDizd+MPPXw+/&#10;/zBykDpDwIaSbt0mnk4YNjFTPXTR5j+RYIei6PGsqDokJsg5/zBfTBeELCg2m86vC2b1VBwipk/K&#10;W5aNlhvtMmFoYP8ZEzWk1MeU7DaODbS01/U8YwKtX0fXTqYNRAHdrhSjN1reaWNyCcbd9tZEtoe8&#10;AvWsvnqc4b+03GUN2I95JTQuh9VJZerQ9ArkRydZOgZSydHr4HkaqyRnRtFjylbJTKDNJZnEzjgi&#10;mUUeZc3W1stjUbv46eKLDKclzZv177lUPz3M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r10bWu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ETV4                                                                          </w:t>
      </w:r>
    </w:p>
    <w:p w14:paraId="45CEB34C">
      <w:pPr>
        <w:spacing w:line="300" w:lineRule="auto"/>
        <w:ind w:left="420"/>
        <w:rPr>
          <w:rFonts w:ascii="Times New Roman" w:hAnsi="Times New Roman" w:cs="Times New Roman"/>
          <w:sz w:val="18"/>
          <w:szCs w:val="18"/>
        </w:rPr>
      </w:pPr>
      <w:r>
        <w:rPr>
          <w:rFonts w:ascii="Times New Roman" w:hAnsi="Times New Roman" w:cs="Times New Roman"/>
          <w:b/>
          <w:szCs w:val="18"/>
        </w:rPr>
        <w:t>基因说明：</w:t>
      </w:r>
    </w:p>
    <w:p w14:paraId="25FD80FD">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TV4编码转录因子ETS家族的一个成员，参与调控细胞生长、血管生成、迁移、增殖及分化。ETV4基因与正常细胞分裂有关，可能参与序列特异性DNA结合和序列特异性DNA结合转录因子的活性调节，相关通路包括LKB1信号通路和RET信号通路。ETV4的融合、错义突变和沉默突变可在卵巢癌和上消化道癌症等癌症中观察到，ETV4在0.07%的癌症存在变异。 </w:t>
      </w:r>
    </w:p>
    <w:p w14:paraId="1F221A4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FA6361D">
      <w:pPr>
        <w:spacing w:line="300" w:lineRule="auto"/>
        <w:ind w:left="420"/>
        <w:rPr>
          <w:rFonts w:ascii="Times New Roman" w:hAnsi="Times New Roman" w:cs="Times New Roman"/>
          <w:sz w:val="18"/>
          <w:szCs w:val="18"/>
        </w:rPr>
      </w:pPr>
      <w:r>
        <w:rPr>
          <w:rFonts w:ascii="Times New Roman" w:hAnsi="Times New Roman" w:cs="Times New Roman"/>
          <w:sz w:val="18"/>
          <w:szCs w:val="18"/>
        </w:rPr>
        <w:t>ETV4表达增高与Gleason评分增高(P = 0.045)、肿瘤病理分期增高(P = 0.041)、预后不良(P = 0.040)有关[PMID: 2544710]，KRAS G12C肺癌细胞(CALU1)的体外研究表明，ETV4的过表达调节了对曲美替尼的耐药性，KRAS G12V胰腺癌细胞(PATU8902)的体外研究表明，ETV4过表达降低了对曲美替尼的敏感性[PMID: 28178529]。</w:t>
      </w:r>
      <w:r>
        <w:rPr>
          <w:rFonts w:hint="eastAsia" w:ascii="Times New Roman" w:hAnsi="Times New Roman" w:cs="Times New Roman"/>
          <w:sz w:val="18"/>
          <w:szCs w:val="18"/>
        </w:rPr>
        <w:t>有研究表明，</w:t>
      </w:r>
      <w:r>
        <w:rPr>
          <w:rFonts w:ascii="Times New Roman" w:hAnsi="Times New Roman" w:cs="Times New Roman"/>
          <w:sz w:val="18"/>
          <w:szCs w:val="18"/>
        </w:rPr>
        <w:t>ETV4和MMP24水平升高，是肺癌和/或胃癌患者的肿瘤进展生物标志物，可能与较差预后相关[PMID: 27869830]。</w:t>
      </w:r>
    </w:p>
    <w:p w14:paraId="7C297DCE">
      <w:pPr>
        <w:spacing w:line="300" w:lineRule="auto"/>
        <w:ind w:left="420"/>
        <w:rPr>
          <w:rFonts w:ascii="Times New Roman" w:hAnsi="Times New Roman" w:cs="Times New Roman"/>
          <w:sz w:val="18"/>
          <w:szCs w:val="18"/>
          <w:highlight w:val="black"/>
        </w:rPr>
      </w:pPr>
    </w:p>
    <w:p w14:paraId="28C8416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022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2" name="直线 3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1" o:spid="_x0000_s1026" o:spt="20" style="position:absolute;left:0pt;margin-left:-2.6pt;margin-top:12.55pt;height:1.7pt;width:453.4pt;z-index:2517002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G20CJ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72acObB044/ffzz+&#10;/MXeTrM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G20CJ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ETV5                                                                          </w:t>
      </w:r>
    </w:p>
    <w:p w14:paraId="058FC72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E0EF6B5">
      <w:pPr>
        <w:spacing w:line="300" w:lineRule="auto"/>
        <w:ind w:left="420"/>
        <w:rPr>
          <w:rFonts w:ascii="Times New Roman" w:hAnsi="Times New Roman" w:cs="Times New Roman"/>
          <w:sz w:val="18"/>
          <w:szCs w:val="18"/>
        </w:rPr>
      </w:pPr>
      <w:r>
        <w:rPr>
          <w:rFonts w:ascii="Times New Roman" w:hAnsi="Times New Roman" w:cs="Times New Roman"/>
          <w:sz w:val="18"/>
          <w:szCs w:val="18"/>
        </w:rPr>
        <w:t>ETV5(ETS变异转录因子5)属于肿瘤易感基因，编码转录因子ETS（E26）家族成员，参与转录调控区域DNA结合和序列特异性DNA结合转录因子的活性调节。目前在肠癌，皮肤癌和尿路癌的癌症中观察到ETV5的错义突变，无义突变，沉默突变和移码缺失。与ETV5相关的疾病包括前列腺癌、肠癌、皮肤癌，还包括神经纤维瘤病、II型和尿道综合征。在所有患有鳞状细胞肺癌和肛门鳞状细胞癌的患者中，约0.19％发生了ETV5的改变。</w:t>
      </w:r>
    </w:p>
    <w:p w14:paraId="7402C7F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8392795">
      <w:pPr>
        <w:spacing w:line="300" w:lineRule="auto"/>
        <w:ind w:left="420"/>
        <w:rPr>
          <w:rFonts w:ascii="Times New Roman" w:hAnsi="Times New Roman" w:cs="Times New Roman"/>
          <w:sz w:val="18"/>
          <w:szCs w:val="18"/>
        </w:rPr>
      </w:pPr>
      <w:r>
        <w:rPr>
          <w:rFonts w:ascii="Times New Roman" w:hAnsi="Times New Roman" w:cs="Times New Roman"/>
          <w:sz w:val="18"/>
          <w:szCs w:val="18"/>
        </w:rPr>
        <w:t>KRAS G12C肺癌细胞(CALU1)的体外研究表明，ETV5的过表达调节了对曲美替尼的耐药性，KRAS G12V胰腺癌细胞(PATU8902)的体外研究表明，ETV5过表达降低了对曲美替尼的敏感性[PMID:</w:t>
      </w:r>
      <w:r>
        <w:rPr>
          <w:rFonts w:hint="eastAsia" w:ascii="Times New Roman" w:hAnsi="Times New Roman" w:cs="Times New Roman"/>
          <w:sz w:val="18"/>
          <w:szCs w:val="18"/>
        </w:rPr>
        <w:t xml:space="preserve"> </w:t>
      </w:r>
      <w:r>
        <w:rPr>
          <w:rFonts w:ascii="Times New Roman" w:hAnsi="Times New Roman" w:cs="Times New Roman"/>
          <w:sz w:val="18"/>
          <w:szCs w:val="18"/>
        </w:rPr>
        <w:t>28178529]。</w:t>
      </w:r>
      <w:r>
        <w:rPr>
          <w:rFonts w:hint="eastAsia" w:ascii="Times New Roman" w:hAnsi="Times New Roman" w:cs="Times New Roman"/>
          <w:sz w:val="18"/>
          <w:szCs w:val="18"/>
        </w:rPr>
        <w:t>研究表明，肺癌中</w:t>
      </w:r>
      <w:r>
        <w:rPr>
          <w:rFonts w:ascii="Times New Roman" w:hAnsi="Times New Roman" w:cs="Times New Roman"/>
          <w:sz w:val="18"/>
          <w:szCs w:val="18"/>
        </w:rPr>
        <w:t>ETV5、LPP或MMP15基因失活是增加肿瘤的恶性程度的预后标志物[PMID: 26028032]。</w:t>
      </w:r>
      <w:r>
        <w:rPr>
          <w:rFonts w:hint="eastAsia" w:ascii="Times New Roman" w:hAnsi="Times New Roman" w:cs="Times New Roman"/>
          <w:sz w:val="18"/>
          <w:szCs w:val="18"/>
        </w:rPr>
        <w:t>临床前研究表明，</w:t>
      </w:r>
      <w:r>
        <w:rPr>
          <w:rFonts w:ascii="Times New Roman" w:hAnsi="Times New Roman" w:cs="Times New Roman"/>
          <w:sz w:val="18"/>
          <w:szCs w:val="18"/>
        </w:rPr>
        <w:t>EVT5可能是结直肠癌（CRC）中潜在的诊断和预后标志物[PMID: 30650178]。</w:t>
      </w:r>
    </w:p>
    <w:p w14:paraId="124250C5">
      <w:pPr>
        <w:spacing w:line="360" w:lineRule="auto"/>
        <w:ind w:left="420"/>
        <w:rPr>
          <w:rFonts w:ascii="Times New Roman" w:hAnsi="Times New Roman" w:cs="Times New Roman"/>
          <w:sz w:val="18"/>
          <w:szCs w:val="18"/>
        </w:rPr>
      </w:pPr>
    </w:p>
    <w:p w14:paraId="195691E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8720"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1" name="直线 3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2" o:spid="_x0000_s1026" o:spt="20" style="position:absolute;left:0pt;margin-left:-2.55pt;margin-top:12.55pt;height:1.7pt;width:453.45pt;z-index:-25163776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6KB2d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FGFR1                                                                           </w:t>
      </w:r>
    </w:p>
    <w:p w14:paraId="55D06C6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3E30FE5">
      <w:pPr>
        <w:spacing w:line="300" w:lineRule="auto"/>
        <w:ind w:left="420"/>
        <w:rPr>
          <w:rFonts w:ascii="Times New Roman" w:hAnsi="Times New Roman" w:cs="Times New Roman"/>
          <w:sz w:val="18"/>
          <w:szCs w:val="18"/>
        </w:rPr>
      </w:pPr>
      <w:r>
        <w:rPr>
          <w:rFonts w:ascii="Times New Roman" w:hAnsi="Times New Roman" w:cs="Times New Roman"/>
          <w:sz w:val="18"/>
          <w:szCs w:val="18"/>
        </w:rPr>
        <w:t>FGFR1编码的蛋白属于成纤维细胞生长因子受体（FGFR）家族，不同成员间的氨基酸序列在进化过程中高度保守，但该家族成员间的配体亲和力和组织相容性不同。蛋白的胞外部分和成纤维细胞生长因子相互作用，开启下游信号转导，最终影响细胞有丝分裂和分化。FGF/FGFR1信号传递是细胞正常生长所必需的，但当FGFR1高水平表达时可引起多种疾病。其激活突变、扩增或融合可进一步促使恶性肿瘤的发生和发展，在中国人FGFR1变异形式上：扩增＞SNV/Indel＞融合/重排。FGFR1在肺癌中的突变频率约为1.07%。与FGFR1相关的疾病包括肺癌、前列腺癌、口腔鳞癌、食管鳞状细胞癌、乳腺癌、膀胱癌、唾液腺癌卵巢癌等。发生FGFR1易位的肿瘤预后很差。</w:t>
      </w:r>
    </w:p>
    <w:p w14:paraId="5846921A">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F66B324">
      <w:pPr>
        <w:spacing w:line="360" w:lineRule="auto"/>
        <w:ind w:left="420"/>
        <w:rPr>
          <w:rFonts w:ascii="Times New Roman" w:hAnsi="Times New Roman" w:cs="Times New Roman"/>
          <w:sz w:val="18"/>
          <w:szCs w:val="18"/>
        </w:rPr>
      </w:pPr>
      <w:r>
        <w:rPr>
          <w:rFonts w:ascii="Times New Roman" w:hAnsi="Times New Roman" w:cs="Times New Roman"/>
          <w:sz w:val="18"/>
          <w:szCs w:val="18"/>
        </w:rPr>
        <w:t>在一项I期临床试验中，携带FGFR1/2/3/4基因激活突变的实体瘤患者（包括扩增、突变以及易位）接受Erdafitinib治疗，70%的患者疾病稳定，22%的患者部分缓解（n=23），在无FGFR基因突变或者突变功能未知的患者中，观察不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26324363]。临床</w:t>
      </w:r>
      <w:r>
        <w:rPr>
          <w:rFonts w:hint="eastAsia" w:ascii="Times New Roman" w:hAnsi="Times New Roman" w:cs="Times New Roman"/>
          <w:sz w:val="18"/>
          <w:szCs w:val="18"/>
        </w:rPr>
        <w:t>I</w:t>
      </w:r>
      <w:r>
        <w:rPr>
          <w:rFonts w:ascii="Times New Roman" w:hAnsi="Times New Roman" w:cs="Times New Roman"/>
          <w:sz w:val="18"/>
          <w:szCs w:val="18"/>
        </w:rPr>
        <w:t>期试验中，携带FGFR1扩增的肺鳞癌患者用Infigratinib治疗表现出50%的疾病控制率（18/36），其中14个病人疾病稳定，4个病人部分响应[PMID:</w:t>
      </w:r>
      <w:r>
        <w:rPr>
          <w:rFonts w:hint="eastAsia" w:ascii="Times New Roman" w:hAnsi="Times New Roman" w:cs="Times New Roman"/>
          <w:sz w:val="18"/>
          <w:szCs w:val="18"/>
        </w:rPr>
        <w:t xml:space="preserve"> </w:t>
      </w:r>
      <w:r>
        <w:rPr>
          <w:rFonts w:ascii="Times New Roman" w:hAnsi="Times New Roman" w:cs="Times New Roman"/>
          <w:sz w:val="18"/>
          <w:szCs w:val="18"/>
        </w:rPr>
        <w:t>27870574]。在AZD4547单药治疗肺鳞癌的Ⅰb期国际多中心试验中，疾病控制率为39%。在携带FGFR1突变的细胞系和小鼠模型中，一些TKI和FGFR特异的小分子抑制剂表现出抑癌活性。在临床前研究中，PRN1371能够抑制具有FGFR1</w:t>
      </w:r>
      <w:r>
        <w:rPr>
          <w:rFonts w:hint="eastAsia" w:ascii="Times New Roman" w:hAnsi="Times New Roman" w:cs="Times New Roman"/>
          <w:sz w:val="18"/>
          <w:szCs w:val="18"/>
        </w:rPr>
        <w:t xml:space="preserve"> </w:t>
      </w:r>
      <w:r>
        <w:rPr>
          <w:rFonts w:ascii="Times New Roman" w:hAnsi="Times New Roman" w:cs="Times New Roman"/>
          <w:sz w:val="18"/>
          <w:szCs w:val="18"/>
        </w:rPr>
        <w:t>V561M突变的细胞的增殖[PMID:</w:t>
      </w:r>
      <w:r>
        <w:rPr>
          <w:rFonts w:hint="eastAsia" w:ascii="Times New Roman" w:hAnsi="Times New Roman" w:cs="Times New Roman"/>
          <w:sz w:val="18"/>
          <w:szCs w:val="18"/>
        </w:rPr>
        <w:t xml:space="preserve"> </w:t>
      </w:r>
      <w:r>
        <w:rPr>
          <w:rFonts w:ascii="Times New Roman" w:hAnsi="Times New Roman" w:cs="Times New Roman"/>
          <w:sz w:val="18"/>
          <w:szCs w:val="18"/>
        </w:rPr>
        <w:t>28978721]。</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GFR1</w:t>
      </w:r>
      <w:r>
        <w:rPr>
          <w:rFonts w:hint="eastAsia" w:ascii="Times New Roman" w:hAnsi="Times New Roman" w:cs="Times New Roman"/>
          <w:sz w:val="18"/>
          <w:szCs w:val="18"/>
        </w:rPr>
        <w:t>突变/扩增的非小细胞肺癌、结直肠癌等实体瘤患者疗效的临床试验正在开展。</w:t>
      </w:r>
    </w:p>
    <w:p w14:paraId="1B6FE7C7">
      <w:pPr>
        <w:spacing w:line="360" w:lineRule="auto"/>
        <w:ind w:left="420"/>
        <w:rPr>
          <w:rFonts w:ascii="Times New Roman" w:hAnsi="Times New Roman" w:cs="Times New Roman"/>
          <w:sz w:val="18"/>
          <w:szCs w:val="18"/>
        </w:rPr>
      </w:pPr>
    </w:p>
    <w:p w14:paraId="136F142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5584"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4" name="直线 3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3" o:spid="_x0000_s1026" o:spt="20" style="position:absolute;left:0pt;margin-left:-2.55pt;margin-top:12.55pt;height:1.7pt;width:453.45pt;z-index:251715584;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Z/3y+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FGFR2                                                                         </w:t>
      </w:r>
    </w:p>
    <w:p w14:paraId="4EAA093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D78DCCB">
      <w:pPr>
        <w:spacing w:line="300" w:lineRule="auto"/>
        <w:ind w:left="420"/>
        <w:rPr>
          <w:rFonts w:ascii="Times New Roman" w:hAnsi="Times New Roman" w:cs="Times New Roman"/>
          <w:sz w:val="18"/>
          <w:szCs w:val="18"/>
        </w:rPr>
      </w:pPr>
      <w:r>
        <w:rPr>
          <w:rFonts w:ascii="Times New Roman" w:hAnsi="Times New Roman" w:cs="Times New Roman"/>
          <w:sz w:val="18"/>
          <w:szCs w:val="18"/>
        </w:rPr>
        <w:t>FGFR2编码的蛋白属于成纤维细胞生长因子受体（FGFR）家族，不同成员间以及进化过程中，氨基酸序列高度保守，但FGFR家族成员间配体亲和力和组织相容性不同。蛋白的胞外部分和成纤维细胞生长因子相互作用，开启了下游信号转导，最终影响细胞有丝分裂和分化。FGFR2在发育中起关键作用，目前在癌症中发现的突变形式包括扩增，点突变和易位突变</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20094046</w:t>
      </w:r>
      <w:r>
        <w:rPr>
          <w:rFonts w:hint="eastAsia" w:ascii="Times New Roman" w:hAnsi="Times New Roman" w:cs="Times New Roman"/>
          <w:sz w:val="18"/>
          <w:szCs w:val="18"/>
        </w:rPr>
        <w:t>]</w:t>
      </w:r>
      <w:r>
        <w:rPr>
          <w:rFonts w:ascii="Times New Roman" w:hAnsi="Times New Roman" w:cs="Times New Roman"/>
          <w:sz w:val="18"/>
          <w:szCs w:val="18"/>
        </w:rPr>
        <w:t>。FGFR2基因的错义突变常发生在子宫内膜癌、宫颈癌、乳腺癌、肺癌以及胃癌中，在乳腺癌和胃癌中常发生FGFR2基因拷贝数的增加，使得FGFR2过表达从而导致FGFR2信号的激活。FGFR2在肺癌中的点突变频率约为1.08%。</w:t>
      </w:r>
    </w:p>
    <w:p w14:paraId="5F616100">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D0F06AC">
      <w:pPr>
        <w:spacing w:line="360" w:lineRule="auto"/>
        <w:ind w:left="420"/>
        <w:rPr>
          <w:rFonts w:ascii="Times New Roman" w:hAnsi="Times New Roman" w:cs="Times New Roman"/>
          <w:sz w:val="18"/>
          <w:szCs w:val="18"/>
        </w:rPr>
      </w:pPr>
      <w:r>
        <w:rPr>
          <w:rFonts w:ascii="Times New Roman" w:hAnsi="Times New Roman" w:cs="Times New Roman"/>
          <w:sz w:val="18"/>
          <w:szCs w:val="18"/>
        </w:rPr>
        <w:t>针对FGFR2异常导致的肿瘤，一般的治疗策略包括多靶点激酶抑制剂，FGFR家族选择性小分子抑制剂，单克隆抗体，以及FGF配体捕获。在一项I期临床试验中，携带FGFR1/2/3/4基因激活突变的实体瘤患者（包括扩增、突变以及易位）接受Erdafitinib治疗，70%的患者疾病稳定，22%的患者部分缓解（n=23），在无FGFR基因突变或者突变功能未知的患者中，观察不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26324363]。一项临床前研究中，FGFR2扩增的非小细胞肺癌的PDX模型中，PRN1371治疗产生了67.5%肿瘤抑制率[PMID:</w:t>
      </w:r>
      <w:r>
        <w:rPr>
          <w:rFonts w:hint="eastAsia" w:ascii="Times New Roman" w:hAnsi="Times New Roman" w:cs="Times New Roman"/>
          <w:sz w:val="18"/>
          <w:szCs w:val="18"/>
        </w:rPr>
        <w:t xml:space="preserve"> </w:t>
      </w:r>
      <w:r>
        <w:rPr>
          <w:rFonts w:ascii="Times New Roman" w:hAnsi="Times New Roman" w:cs="Times New Roman"/>
          <w:sz w:val="18"/>
          <w:szCs w:val="18"/>
        </w:rPr>
        <w:t>28978721]。临床前研究表明，普纳替尼被证明能抑制所有四种FGFR的体外激酶活性，在用于表达激活的FGFR1-4的Ba/F3细胞中，普纳替尼有效地抑制FGFR介导的信号[PMID:</w:t>
      </w:r>
      <w:r>
        <w:rPr>
          <w:rFonts w:hint="eastAsia" w:ascii="Times New Roman" w:hAnsi="Times New Roman" w:cs="Times New Roman"/>
          <w:sz w:val="18"/>
          <w:szCs w:val="18"/>
        </w:rPr>
        <w:t xml:space="preserve"> </w:t>
      </w:r>
      <w:r>
        <w:rPr>
          <w:rFonts w:ascii="Times New Roman" w:hAnsi="Times New Roman" w:cs="Times New Roman"/>
          <w:sz w:val="18"/>
          <w:szCs w:val="18"/>
        </w:rPr>
        <w:t>22238366]。FGF2 mRNA和FGFR2 mRNA的表达与淋巴结转移和TNM分期相关。FGF2 mRNA和FGFR2 mRNA的高表达与肺癌患者的肿瘤转移和不良预后有关[PMID: 30013642]。FGFR2表达与女性、组织亚型、年龄较小、低的肿瘤分期有关[PMID: 27785367]</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GFR2</w:t>
      </w:r>
      <w:r>
        <w:rPr>
          <w:rFonts w:hint="eastAsia" w:ascii="Times New Roman" w:hAnsi="Times New Roman" w:cs="Times New Roman"/>
          <w:sz w:val="18"/>
          <w:szCs w:val="18"/>
        </w:rPr>
        <w:t>突变/扩增/融合的实体瘤患者疗效的临床试验正在开展。</w:t>
      </w:r>
    </w:p>
    <w:p w14:paraId="69E73E14">
      <w:pPr>
        <w:spacing w:line="360" w:lineRule="auto"/>
        <w:ind w:left="420"/>
        <w:rPr>
          <w:rFonts w:ascii="Times New Roman" w:hAnsi="Times New Roman" w:cs="Times New Roman"/>
          <w:sz w:val="18"/>
          <w:szCs w:val="18"/>
        </w:rPr>
      </w:pPr>
    </w:p>
    <w:p w14:paraId="6D217196">
      <w:pPr>
        <w:spacing w:before="120" w:beforeLines="50"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8960" behindDoc="0" locked="0" layoutInCell="1" allowOverlap="1">
                <wp:simplePos x="0" y="0"/>
                <wp:positionH relativeFrom="column">
                  <wp:posOffset>-22860</wp:posOffset>
                </wp:positionH>
                <wp:positionV relativeFrom="paragraph">
                  <wp:posOffset>245745</wp:posOffset>
                </wp:positionV>
                <wp:extent cx="5758815" cy="21590"/>
                <wp:effectExtent l="0" t="9525" r="3810" b="16510"/>
                <wp:wrapNone/>
                <wp:docPr id="31" name="直线 3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4" o:spid="_x0000_s1026" o:spt="20" style="position:absolute;left:0pt;margin-left:-1.8pt;margin-top:19.35pt;height:1.7pt;width:453.45pt;z-index:251688960;mso-width-relative:page;mso-height-relative:page;" filled="f" stroked="t" coordsize="21600,21600" o:gfxdata="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r6acObB044/ffzz+&#10;/MWu3mZ1hoANJd25TTydMGxipnroos1/IsEORdHjWVF1SEyQc/5uvlhM55wJis2m85uiePVcHCKm&#10;D8pblo2WG+0yYWhg/xETNaTUp5TsNo4NtLQ39ZwuUACtX0fXTqYNRAHdrhSjN1rea2NyCcbd9s5E&#10;toe8AvWsvn6a4a+03GUN2I95JTQuh9VJZerQ9ArkeydZOgZSydHr4HkaqyRnRtFjylbJTKDNJZnE&#10;zjgimUUeZc3W1stjUbv46eKLDKclzZv157lUPz/M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fYcG1wAAAAgBAAAPAAAAAAAAAAEAIAAAACIAAABkcnMvZG93bnJldi54bWxQSwECFAAUAAAACACH&#10;TuJABK7G9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FGFR3                                                                          </w:t>
      </w:r>
    </w:p>
    <w:p w14:paraId="388AEDF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BBF8352">
      <w:pPr>
        <w:spacing w:line="300" w:lineRule="auto"/>
        <w:ind w:left="420"/>
        <w:rPr>
          <w:rFonts w:ascii="Times New Roman" w:hAnsi="Times New Roman" w:cs="Times New Roman"/>
          <w:sz w:val="18"/>
          <w:szCs w:val="18"/>
        </w:rPr>
      </w:pPr>
      <w:r>
        <w:rPr>
          <w:rFonts w:ascii="Times New Roman" w:hAnsi="Times New Roman" w:cs="Times New Roman"/>
          <w:sz w:val="18"/>
          <w:szCs w:val="18"/>
        </w:rPr>
        <w:t>FGFR3编码的蛋白属于成纤维细胞生长因子受体（FGFR）家族，不同成员间以及进化过程中，氨基酸序列高度保守。FGFR家族成员间配体亲和力和组织相容性不同。完整的蛋白包括一个由三个类免疫球蛋白结构域构成的细胞外区域、一个跨膜疏水区和一个酪氨酸激酶结构域。FGFR3蛋白胞外部分接触纤维细胞生长因子（FGF），触发下游信号转导，进而影响细胞有丝分裂和分化。FGFR3突变激活会导致一些常染色体显性遗传疾病如致死性侏儒症、软骨发育不全等。大多数FGFR3为单个点突变，膀胱癌中最常见的点突变是S249C（占56%）。FGFR3的融合主要发生在神经胶质瘤，其次是膀胱癌。FGFR3在非小细胞肺癌中的扩增突变频率约为0.5-2%。</w:t>
      </w:r>
    </w:p>
    <w:p w14:paraId="44553AEB">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911A1FD">
      <w:pPr>
        <w:spacing w:line="360" w:lineRule="auto"/>
        <w:ind w:left="420"/>
        <w:rPr>
          <w:rFonts w:ascii="Times New Roman" w:hAnsi="Times New Roman" w:cs="Times New Roman"/>
          <w:sz w:val="18"/>
          <w:szCs w:val="18"/>
        </w:rPr>
      </w:pPr>
      <w:r>
        <w:rPr>
          <w:rFonts w:ascii="Times New Roman" w:hAnsi="Times New Roman" w:cs="Times New Roman"/>
          <w:sz w:val="18"/>
          <w:szCs w:val="18"/>
        </w:rPr>
        <w:t>在一些肺腺癌患者中会有FGFR3-TACC3融合检出，这些病人可以考虑FGFR抑制剂的临床试验[PMID:</w:t>
      </w:r>
      <w:r>
        <w:rPr>
          <w:rFonts w:hint="eastAsia" w:ascii="Times New Roman" w:hAnsi="Times New Roman" w:cs="Times New Roman"/>
          <w:sz w:val="18"/>
          <w:szCs w:val="18"/>
        </w:rPr>
        <w:t xml:space="preserve"> </w:t>
      </w:r>
      <w:r>
        <w:rPr>
          <w:rFonts w:ascii="Times New Roman" w:hAnsi="Times New Roman" w:cs="Times New Roman"/>
          <w:sz w:val="18"/>
          <w:szCs w:val="18"/>
        </w:rPr>
        <w:t>25294908]。在I期临床试验中，Erdafitinib治疗携带FGFR1-4激活突变（包括扩增，突变和易位）的晚期实体瘤患者，导致70％（16/23）患者疾病稳定，22％（5/23）患者部分缓解，在FGFR未知或FGFR未知变异患者中未观察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26324363]。在一项临床前研究中，携带FGFR3突变的肿瘤细胞系对Infigratinib敏感[PMID:</w:t>
      </w:r>
      <w:r>
        <w:rPr>
          <w:rFonts w:hint="eastAsia" w:ascii="Times New Roman" w:hAnsi="Times New Roman" w:cs="Times New Roman"/>
          <w:sz w:val="18"/>
          <w:szCs w:val="18"/>
        </w:rPr>
        <w:t xml:space="preserve"> </w:t>
      </w:r>
      <w:r>
        <w:rPr>
          <w:rFonts w:ascii="Times New Roman" w:hAnsi="Times New Roman" w:cs="Times New Roman"/>
          <w:sz w:val="18"/>
          <w:szCs w:val="18"/>
        </w:rPr>
        <w:t>23002168]。</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GFR3</w:t>
      </w:r>
      <w:r>
        <w:rPr>
          <w:rFonts w:hint="eastAsia" w:ascii="Times New Roman" w:hAnsi="Times New Roman" w:cs="Times New Roman"/>
          <w:sz w:val="18"/>
          <w:szCs w:val="18"/>
        </w:rPr>
        <w:t>突变/扩增/融合的实体瘤患者疗效的临床试验正在开展。</w:t>
      </w:r>
    </w:p>
    <w:p w14:paraId="29DC8129">
      <w:pPr>
        <w:spacing w:line="360" w:lineRule="auto"/>
        <w:rPr>
          <w:rFonts w:ascii="Times New Roman" w:hAnsi="Times New Roman" w:cs="Times New Roman"/>
          <w:sz w:val="18"/>
          <w:szCs w:val="18"/>
        </w:rPr>
      </w:pPr>
    </w:p>
    <w:p w14:paraId="2AF410D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636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5" name="直线 3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5" o:spid="_x0000_s1026" o:spt="20" style="position:absolute;left:0pt;margin-left:-2.6pt;margin-top:12.55pt;height:1.7pt;width:453.4pt;z-index:25170636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lmg8j6gEAAOADAAAOAAAAZHJzL2Uyb0RvYy54bWytU0tu&#10;2zAQ3RfoHQjua8kulC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3jScObB044/ffzz+&#10;/MXeNlmdMWBLSXduE08nDJuYqR76aPOfSLBDUfR4VlQdEhPkbN411/NrEltQbDFvbori1XNxiJg+&#10;KG9ZNjputMuEoYX9R0zUkFKfUrLbODbS0t7UTcYEWr+erp1MG4gCul0pRm+0vNfG5BKMu+2diWwP&#10;eQXqRX31NMNfabnLGnCY8kpoWg6rk8rUoR0UyPdOsnQMpJKj18HzNFZJzoyix5StkplAm0syiZ1x&#10;RDKLPMmara2Xx6J28dPFFxlOS5o3689zqX5+m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OWaDyP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FGFR4                                                                          </w:t>
      </w:r>
    </w:p>
    <w:p w14:paraId="1B7C3DCC">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BEA89BF">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FGFR4基因编码成纤维细胞表面生长因子受体。该蛋白含有一个胞外区域，该区域由三个免疫球蛋白样结构域、一个疏水性跨膜片段和一个胞质酪氨酸激酶结构域组成。胞外区域与成纤维细胞生长因子相互作用，启动一系列下游信号，最终影响有丝分裂和分化，参与细胞增殖、细胞分化、细胞迁移、脂质代谢、胆汁酸生物合成、维生素D代谢、葡萄糖摄取、磷酸盐稳态等多种途径的调控。目前FGFR4的错义突变、无义突变、沉默突变、移码突变和缺失突变在子宫内膜癌、肠癌和皮肤癌中均有发现。与FGFR4相关的疾病包括肺腺癌、乳腺瘤、子宫癌、肠癌等。FGFR4融合在FGFR家族的四个基因中最为少见，在所有癌症中的突变频率为1.54%。 </w:t>
      </w:r>
    </w:p>
    <w:p w14:paraId="147805D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FFD0E87">
      <w:pPr>
        <w:spacing w:line="300" w:lineRule="auto"/>
        <w:ind w:left="420"/>
        <w:rPr>
          <w:rFonts w:ascii="Times New Roman" w:hAnsi="Times New Roman" w:cs="Times New Roman"/>
          <w:sz w:val="18"/>
          <w:szCs w:val="18"/>
        </w:rPr>
      </w:pPr>
      <w:r>
        <w:rPr>
          <w:rFonts w:ascii="Times New Roman" w:hAnsi="Times New Roman" w:cs="Times New Roman"/>
          <w:sz w:val="18"/>
          <w:szCs w:val="18"/>
        </w:rPr>
        <w:t>在临床前研究中，FGFR4-R388的BON1肿瘤细胞对依维莫司的敏感性降低[PMID:</w:t>
      </w:r>
      <w:r>
        <w:rPr>
          <w:rFonts w:hint="eastAsia" w:ascii="Times New Roman" w:hAnsi="Times New Roman" w:cs="Times New Roman"/>
          <w:sz w:val="18"/>
          <w:szCs w:val="18"/>
        </w:rPr>
        <w:t xml:space="preserve"> </w:t>
      </w:r>
      <w:r>
        <w:rPr>
          <w:rFonts w:ascii="Times New Roman" w:hAnsi="Times New Roman" w:cs="Times New Roman"/>
          <w:sz w:val="18"/>
          <w:szCs w:val="18"/>
        </w:rPr>
        <w:t>22986737]。Erdafitinib、LY2874455均为泛FGFR抑制剂，在初期的临床试验中表现出一定的疗效。FGFR4在非小细胞肺癌中高表达（46.8%，111/237），FGFR4表达与肿瘤直径显著相关（P=0.039）[PMID：26045670]。除此之外，还有Lucitanib等泛FGFR抑制剂具有相关的临床实验。</w:t>
      </w:r>
      <w:r>
        <w:rPr>
          <w:rFonts w:hint="eastAsia" w:ascii="Times New Roman" w:hAnsi="Times New Roman" w:cs="Times New Roman"/>
          <w:sz w:val="18"/>
          <w:szCs w:val="18"/>
        </w:rPr>
        <w:t>目前评估安罗替尼、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GFR4</w:t>
      </w:r>
      <w:r>
        <w:rPr>
          <w:rFonts w:hint="eastAsia" w:ascii="Times New Roman" w:hAnsi="Times New Roman" w:cs="Times New Roman"/>
          <w:sz w:val="18"/>
          <w:szCs w:val="18"/>
        </w:rPr>
        <w:t>突变/扩增/融合的实体瘤患者疗效的临床试验正在开展。</w:t>
      </w:r>
    </w:p>
    <w:p w14:paraId="250763C7">
      <w:pPr>
        <w:spacing w:line="300" w:lineRule="auto"/>
        <w:ind w:left="420"/>
        <w:rPr>
          <w:rFonts w:ascii="Times New Roman" w:hAnsi="Times New Roman" w:cs="Times New Roman"/>
          <w:sz w:val="18"/>
          <w:szCs w:val="18"/>
          <w:highlight w:val="black"/>
        </w:rPr>
      </w:pPr>
    </w:p>
    <w:p w14:paraId="4A925E8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5408"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 name="直线 3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6" o:spid="_x0000_s1026" o:spt="20" style="position:absolute;left:0pt;margin-left:-2.6pt;margin-top:12.55pt;height:1.7pt;width:453.4pt;z-index:-25165107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eEX416QEAAN8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BWcOLF344/cfjz9/&#10;sbeLLM4QsKGcO7eN5xOGbcxMj120+U8c2LEIeroIqo6JCXLO382X0yVpLSg2m85viuDVc3GImD4o&#10;b1k2Wm60y3yhgcNHTNSQUp9Ssts4NtDO3tTzjAm0fR3dOpk2EAN0+1KM3mh5r43JJRj3uzsT2QHy&#10;BtSzevE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HhF+Ne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GNA11                                                                          </w:t>
      </w:r>
    </w:p>
    <w:p w14:paraId="5BC05C0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32B9439">
      <w:pPr>
        <w:spacing w:line="300" w:lineRule="auto"/>
        <w:ind w:left="420"/>
        <w:rPr>
          <w:rFonts w:ascii="Times New Roman" w:hAnsi="Times New Roman" w:cs="Times New Roman"/>
          <w:sz w:val="18"/>
          <w:szCs w:val="18"/>
        </w:rPr>
      </w:pPr>
      <w:r>
        <w:rPr>
          <w:rFonts w:ascii="Times New Roman" w:hAnsi="Times New Roman" w:cs="Times New Roman"/>
          <w:sz w:val="18"/>
          <w:szCs w:val="18"/>
        </w:rPr>
        <w:t>GNA11基因编码的蛋白属于鸟嘌呤核苷酸结合蛋白(G蛋白)家族，在各种跨膜信号系统中起调节或转导作用。G蛋白由α、β和γ3个单元组成。GNA11编码其中一个亚基(α-11亚基)。该基因的突变与II型低钙血症(HHC2)和II型显性低钙血症(HYPOC2)有关，其中HHC2患者对细胞外钙浓度变化的敏感性降低而HYPOC2患者对细胞外钙浓度变化的敏感性升高。致癌突变导致组成型活性Gα亚基[PMID</w:t>
      </w:r>
      <w:r>
        <w:rPr>
          <w:rFonts w:hint="eastAsia" w:ascii="Times New Roman" w:hAnsi="Times New Roman" w:cs="Times New Roman"/>
          <w:sz w:val="18"/>
          <w:szCs w:val="18"/>
        </w:rPr>
        <w:t xml:space="preserve">: </w:t>
      </w:r>
      <w:r>
        <w:rPr>
          <w:rFonts w:ascii="Times New Roman" w:hAnsi="Times New Roman" w:cs="Times New Roman"/>
          <w:sz w:val="18"/>
          <w:szCs w:val="18"/>
        </w:rPr>
        <w:t>1328859; PMID</w:t>
      </w:r>
      <w:r>
        <w:rPr>
          <w:rFonts w:hint="eastAsia" w:ascii="Times New Roman" w:hAnsi="Times New Roman" w:cs="Times New Roman"/>
          <w:sz w:val="18"/>
          <w:szCs w:val="18"/>
        </w:rPr>
        <w:t xml:space="preserve">: </w:t>
      </w:r>
      <w:r>
        <w:rPr>
          <w:rFonts w:ascii="Times New Roman" w:hAnsi="Times New Roman" w:cs="Times New Roman"/>
          <w:sz w:val="18"/>
          <w:szCs w:val="18"/>
        </w:rPr>
        <w:t>2549426]。受体激活导致Gα亚基与Gßγ分离，继而Gα和Gßγ都可以激活下游细胞信号通路[PMID</w:t>
      </w:r>
      <w:r>
        <w:rPr>
          <w:rFonts w:hint="eastAsia" w:ascii="Times New Roman" w:hAnsi="Times New Roman" w:cs="Times New Roman"/>
          <w:sz w:val="18"/>
          <w:szCs w:val="18"/>
        </w:rPr>
        <w:t>:</w:t>
      </w:r>
      <w:r>
        <w:rPr>
          <w:rFonts w:ascii="Times New Roman" w:hAnsi="Times New Roman" w:cs="Times New Roman"/>
          <w:sz w:val="18"/>
          <w:szCs w:val="18"/>
        </w:rPr>
        <w:t xml:space="preserve"> 1328859</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w:t>
      </w:r>
      <w:r>
        <w:rPr>
          <w:rFonts w:ascii="Times New Roman" w:hAnsi="Times New Roman" w:cs="Times New Roman"/>
          <w:sz w:val="18"/>
          <w:szCs w:val="18"/>
        </w:rPr>
        <w:t xml:space="preserve"> 2549426]。在80%的葡萄膜黑色素瘤病人中发现GNA11和GNAQ基因的突变，其机制为基因突变导致MEK的异常激活。在所有葡萄膜黑色素瘤、结肠腺癌、肺腺癌、乳腺浸润性导管癌和高级别卵巢浆液性腺癌中，约有0.67％的GNA11发生了突变。 </w:t>
      </w:r>
    </w:p>
    <w:p w14:paraId="24B7683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6E6673C">
      <w:pPr>
        <w:spacing w:line="300" w:lineRule="auto"/>
        <w:ind w:left="420"/>
        <w:rPr>
          <w:rFonts w:ascii="Times New Roman" w:hAnsi="Times New Roman" w:cs="Times New Roman"/>
          <w:sz w:val="18"/>
          <w:szCs w:val="18"/>
        </w:rPr>
      </w:pPr>
      <w:r>
        <w:rPr>
          <w:rFonts w:ascii="Times New Roman" w:hAnsi="Times New Roman"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GNA11 Q209L：Q209P为53：1）[PMID:</w:t>
      </w:r>
      <w:r>
        <w:rPr>
          <w:rFonts w:hint="eastAsia" w:ascii="Times New Roman" w:hAnsi="Times New Roman" w:cs="Times New Roman"/>
          <w:sz w:val="18"/>
          <w:szCs w:val="18"/>
        </w:rPr>
        <w:t xml:space="preserve"> </w:t>
      </w:r>
      <w:r>
        <w:rPr>
          <w:rFonts w:ascii="Times New Roman" w:hAnsi="Times New Roman" w:cs="Times New Roman"/>
          <w:sz w:val="18"/>
          <w:szCs w:val="18"/>
        </w:rPr>
        <w:t>24938562]。在一项临床前研究中，GNA11 Q209L突变体葡萄膜黑色素瘤细胞系生长与野生型细胞相比对曲美替尼更敏感</w:t>
      </w:r>
      <w:r>
        <w:rPr>
          <w:rFonts w:hint="eastAsia" w:ascii="Times New Roman" w:hAnsi="Times New Roman" w:cs="Times New Roman"/>
          <w:sz w:val="18"/>
          <w:szCs w:val="18"/>
        </w:rPr>
        <w:t>；</w:t>
      </w:r>
      <w:r>
        <w:rPr>
          <w:rFonts w:ascii="Times New Roman" w:hAnsi="Times New Roman" w:cs="Times New Roman"/>
          <w:sz w:val="18"/>
          <w:szCs w:val="18"/>
        </w:rPr>
        <w:t>曲美替尼联合Omipalisib能够在大多数GNA11 Q209L突变葡萄膜黑色素瘤细胞系中强烈诱导凋亡性死亡[PMID:</w:t>
      </w:r>
      <w:r>
        <w:rPr>
          <w:rFonts w:hint="eastAsia" w:ascii="Times New Roman" w:hAnsi="Times New Roman" w:cs="Times New Roman"/>
          <w:sz w:val="18"/>
          <w:szCs w:val="18"/>
        </w:rPr>
        <w:t xml:space="preserve"> </w:t>
      </w:r>
      <w:r>
        <w:rPr>
          <w:rFonts w:ascii="Times New Roman" w:hAnsi="Times New Roman" w:cs="Times New Roman"/>
          <w:sz w:val="18"/>
          <w:szCs w:val="18"/>
        </w:rPr>
        <w:t>22733540]。目前</w:t>
      </w:r>
      <w:r>
        <w:rPr>
          <w:rFonts w:hint="eastAsia" w:ascii="Times New Roman" w:hAnsi="Times New Roman" w:cs="Times New Roman"/>
          <w:sz w:val="18"/>
          <w:szCs w:val="18"/>
        </w:rPr>
        <w:t>评估曲美替尼用于</w:t>
      </w:r>
      <w:r>
        <w:rPr>
          <w:rFonts w:ascii="Times New Roman" w:hAnsi="Times New Roman" w:cs="Times New Roman"/>
          <w:sz w:val="18"/>
          <w:szCs w:val="18"/>
        </w:rPr>
        <w:t>携带GNAQ和GNA11基因突变的实体瘤患者</w:t>
      </w:r>
      <w:r>
        <w:rPr>
          <w:rFonts w:hint="eastAsia" w:ascii="Times New Roman" w:hAnsi="Times New Roman" w:cs="Times New Roman"/>
          <w:sz w:val="18"/>
          <w:szCs w:val="18"/>
        </w:rPr>
        <w:t>疗效的临床试验正在开展</w:t>
      </w:r>
      <w:r>
        <w:rPr>
          <w:rFonts w:ascii="Times New Roman" w:hAnsi="Times New Roman" w:cs="Times New Roman"/>
          <w:sz w:val="18"/>
          <w:szCs w:val="18"/>
        </w:rPr>
        <w:t>。</w:t>
      </w:r>
    </w:p>
    <w:p w14:paraId="38BF1731">
      <w:pPr>
        <w:spacing w:line="300" w:lineRule="auto"/>
        <w:ind w:left="420"/>
        <w:rPr>
          <w:rFonts w:ascii="Times New Roman" w:hAnsi="Times New Roman" w:cs="Times New Roman"/>
          <w:sz w:val="18"/>
          <w:szCs w:val="18"/>
        </w:rPr>
      </w:pPr>
    </w:p>
    <w:p w14:paraId="0C530A3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974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2" name="直线 3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7" o:spid="_x0000_s1026" o:spt="20" style="position:absolute;left:0pt;margin-left:-2.6pt;margin-top:12.55pt;height:1.7pt;width:453.4pt;z-index:-25163673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Dk2Fs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 GNAQ                                                                         </w:t>
      </w:r>
    </w:p>
    <w:p w14:paraId="7612C8F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EE8D5FB">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GNAQ编码一种鸟嘌呤核苷酸结合蛋白，是Gq class中的一个亚基，能将一个七跨膜域受体与磷酸脂酶c激活配对。GNAQ的过表达增强了信号转导与转录激活因子的活性，该基因突变与血小板活化和聚集相关。在80%的葡萄膜黑色素瘤病人中发现GNA11和GNAQ基因的突变，其机制为基因突变导致MEK的异常激活。在所有葡萄膜黑素瘤，肺腺癌，结肠腺癌，黑素瘤和膀胱尿路上皮癌中，有0.56％的GNAQ发生了突变。 </w:t>
      </w:r>
    </w:p>
    <w:p w14:paraId="07E85DD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99285B8">
      <w:pPr>
        <w:spacing w:line="300" w:lineRule="auto"/>
        <w:ind w:left="420"/>
        <w:rPr>
          <w:rFonts w:ascii="Times New Roman" w:hAnsi="Times New Roman" w:cs="Times New Roman"/>
          <w:sz w:val="18"/>
          <w:szCs w:val="18"/>
        </w:rPr>
      </w:pPr>
      <w:r>
        <w:rPr>
          <w:rFonts w:ascii="Times New Roman" w:hAnsi="Times New Roman"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PMID:</w:t>
      </w:r>
      <w:r>
        <w:rPr>
          <w:rFonts w:hint="eastAsia" w:ascii="Times New Roman" w:hAnsi="Times New Roman" w:cs="Times New Roman"/>
          <w:sz w:val="18"/>
          <w:szCs w:val="18"/>
        </w:rPr>
        <w:t xml:space="preserve"> </w:t>
      </w:r>
      <w:r>
        <w:rPr>
          <w:rFonts w:ascii="Times New Roman" w:hAnsi="Times New Roman" w:cs="Times New Roman"/>
          <w:sz w:val="18"/>
          <w:szCs w:val="18"/>
        </w:rPr>
        <w:t>24938562]。在一项临床研究中，曲美替尼与Omipalisib的组合在大多数GNAQ Q209L突变葡萄膜黑色素瘤细胞系中强烈诱导凋亡性死亡[PMID:</w:t>
      </w:r>
      <w:r>
        <w:rPr>
          <w:rFonts w:hint="eastAsia" w:ascii="Times New Roman" w:hAnsi="Times New Roman" w:cs="Times New Roman"/>
          <w:sz w:val="18"/>
          <w:szCs w:val="18"/>
        </w:rPr>
        <w:t xml:space="preserve"> </w:t>
      </w:r>
      <w:r>
        <w:rPr>
          <w:rFonts w:ascii="Times New Roman" w:hAnsi="Times New Roman" w:cs="Times New Roman"/>
          <w:sz w:val="18"/>
          <w:szCs w:val="18"/>
        </w:rPr>
        <w:t>22733540]。目前小分子抑制剂IDE196</w:t>
      </w:r>
      <w:r>
        <w:rPr>
          <w:rFonts w:hint="eastAsia" w:ascii="Times New Roman" w:hAnsi="Times New Roman" w:cs="Times New Roman"/>
          <w:sz w:val="18"/>
          <w:szCs w:val="18"/>
        </w:rPr>
        <w:t>、曲美替尼</w:t>
      </w:r>
      <w:r>
        <w:rPr>
          <w:rFonts w:ascii="Times New Roman" w:hAnsi="Times New Roman" w:cs="Times New Roman"/>
          <w:sz w:val="18"/>
          <w:szCs w:val="18"/>
        </w:rPr>
        <w:t>在携带GNAQ和GNA11基因突变的实体瘤患者</w:t>
      </w:r>
      <w:r>
        <w:rPr>
          <w:rFonts w:hint="eastAsia" w:ascii="Times New Roman" w:hAnsi="Times New Roman" w:cs="Times New Roman"/>
          <w:sz w:val="18"/>
          <w:szCs w:val="18"/>
        </w:rPr>
        <w:t>的临床试验正在开展</w:t>
      </w:r>
      <w:r>
        <w:rPr>
          <w:rFonts w:ascii="Times New Roman" w:hAnsi="Times New Roman" w:cs="Times New Roman"/>
          <w:sz w:val="18"/>
          <w:szCs w:val="18"/>
        </w:rPr>
        <w:t>。</w:t>
      </w:r>
    </w:p>
    <w:p w14:paraId="26ECE7A5">
      <w:pPr>
        <w:spacing w:line="300" w:lineRule="auto"/>
        <w:ind w:left="420"/>
        <w:rPr>
          <w:rFonts w:ascii="Times New Roman" w:hAnsi="Times New Roman" w:cs="Times New Roman"/>
          <w:sz w:val="18"/>
          <w:szCs w:val="18"/>
        </w:rPr>
      </w:pPr>
    </w:p>
    <w:p w14:paraId="3AF4E7A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998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2" name="直线 3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8" o:spid="_x0000_s1026" o:spt="20" style="position:absolute;left:0pt;margin-left:-2.6pt;margin-top:12.55pt;height:1.7pt;width:453.4pt;z-index:25168998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4r1gp6wEAAOADAAAOAAAAZHJzL2Uyb0RvYy54bWytU0tu&#10;2zAQ3RfoHQjua8kO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X804c2Dpxp++/3j6&#10;+YtdLbI6Q8CGku7cJp5OGDYxUz100eY/kWCHoujxrKg6JCbIOX8/X0wXJLag2Gw6vymKVy/FIWL6&#10;qLxl2Wi50S4Thgb2nzBRQ0p9Tslu49hAS3tTzzMm0Pp1dO1k2kAU0O1KMXqj5b02Jpdg3G3vTGR7&#10;yCtQz+r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C4r1gp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HRAS                                                                         </w:t>
      </w:r>
    </w:p>
    <w:p w14:paraId="052762B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9C9409E">
      <w:pPr>
        <w:spacing w:line="300" w:lineRule="auto"/>
        <w:ind w:left="420"/>
        <w:rPr>
          <w:rFonts w:ascii="Times New Roman" w:hAnsi="Times New Roman" w:cs="Times New Roman"/>
          <w:sz w:val="18"/>
          <w:szCs w:val="18"/>
        </w:rPr>
      </w:pPr>
      <w:r>
        <w:rPr>
          <w:rFonts w:ascii="Times New Roman" w:hAnsi="Times New Roman" w:cs="Times New Roman"/>
          <w:sz w:val="18"/>
          <w:szCs w:val="18"/>
        </w:rPr>
        <w:t>HRAS基因属于Ras致癌基因家族，该家族成员与哺乳动物肉瘤逆转录病毒的转化基因相关，其编码蛋白可与GTP、GDP结合，具有GTP酶活性，在细胞内信号传递和细胞增殖、分化、凋亡等基本生理功能中起着关键和核心作用。通过连续的去棕榈酰化和再棕榈酰化的循环，调节它在质膜和高尔基体之间的快速交换。HRAS基因缺陷参与了众多肿瘤的发生，包括膀胱癌、滤泡甲状腺癌、口腔鳞状细胞癌、胃癌、非小细胞肺癌等，同时可作为判断肿瘤侵袭性程度的可靠生物学指标。RAS基因常见突变为其第12、13、61位氨基酸的激活突变。膀胱癌患者HRAS基因体细胞突变G12V是一种激活突变，激活下游信号途径，引起细胞分裂不受控制，导致肿瘤发生，并能增加治疗后的复发风险。HRAS基因的激活突变（Q61K）还与甲状腺癌和肾癌发生相关；研究显示HRAS基因激活突变可能增加细胞对MEK抑制剂的响应。G12V突变在肾母细胞瘤（Wilms肿瘤）发生频率为42%。另外HRAS基因表达水平的升高与肿瘤的发生相关。研究表明HRAS在侵袭性垂体腺瘤组织中的表达量显著高于非侵袭垂体腺瘤组织。</w:t>
      </w:r>
    </w:p>
    <w:p w14:paraId="40F1244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BC97500">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在一项临床前研究中，司美替尼和依维莫司联合降低了ERK和S6的磷酸化，并协同抑制携带HRAS G12V的膀胱癌细胞系的生长[PMID:</w:t>
      </w:r>
      <w:r>
        <w:rPr>
          <w:rFonts w:hint="eastAsia" w:ascii="Times New Roman" w:hAnsi="Times New Roman" w:cs="Times New Roman"/>
          <w:sz w:val="18"/>
          <w:szCs w:val="18"/>
        </w:rPr>
        <w:t xml:space="preserve"> </w:t>
      </w:r>
      <w:r>
        <w:rPr>
          <w:rFonts w:ascii="Times New Roman" w:hAnsi="Times New Roman" w:cs="Times New Roman"/>
          <w:sz w:val="18"/>
          <w:szCs w:val="18"/>
        </w:rPr>
        <w:t>26544513]。动物模型研究中，携带HRAS Q61L的Ba/F3细胞系在接受司美替尼治疗后肿瘤生长受到抑制，携带HRAS Q61L的小鼠肺鳞癌模型在接受司美替尼联合依维莫司治疗后肿瘤生长受到抑制，并且两药联合使用的有效性优于单药使用[PMID:</w:t>
      </w:r>
      <w:r>
        <w:rPr>
          <w:rFonts w:hint="eastAsia" w:ascii="Times New Roman" w:hAnsi="Times New Roman" w:cs="Times New Roman"/>
          <w:sz w:val="18"/>
          <w:szCs w:val="18"/>
        </w:rPr>
        <w:t xml:space="preserve"> </w:t>
      </w:r>
      <w:r>
        <w:rPr>
          <w:rFonts w:ascii="Times New Roman" w:hAnsi="Times New Roman" w:cs="Times New Roman"/>
          <w:sz w:val="18"/>
          <w:szCs w:val="18"/>
        </w:rPr>
        <w:t>26544513]。在临床前研究中，携带HRAS Q61R的转化细胞对依维莫司的处理敏感[PMID: 26544513]。</w:t>
      </w:r>
      <w:r>
        <w:rPr>
          <w:rFonts w:hint="eastAsia" w:ascii="Times New Roman" w:hAnsi="Times New Roman" w:cs="Times New Roman"/>
          <w:sz w:val="18"/>
          <w:szCs w:val="18"/>
        </w:rPr>
        <w:t>在头颈部鳞状细胞癌和转移性尿路上皮癌中，</w:t>
      </w:r>
      <w:r>
        <w:rPr>
          <w:rFonts w:ascii="Times New Roman" w:hAnsi="Times New Roman" w:cs="Times New Roman"/>
          <w:sz w:val="18"/>
          <w:szCs w:val="18"/>
        </w:rPr>
        <w:t>HRAS突变对Tipifarnib敏感[Cancer Discov. 9, 1637–1638 (2019); PMID: 32636318]。</w:t>
      </w:r>
      <w:r>
        <w:rPr>
          <w:rFonts w:hint="eastAsia" w:ascii="Times New Roman" w:hAnsi="Times New Roman" w:cs="Times New Roman"/>
          <w:sz w:val="18"/>
          <w:szCs w:val="18"/>
        </w:rPr>
        <w:t>目前索拉非尼、</w:t>
      </w:r>
      <w:r>
        <w:rPr>
          <w:rFonts w:ascii="Times New Roman" w:hAnsi="Times New Roman" w:cs="Times New Roman"/>
          <w:sz w:val="18"/>
          <w:szCs w:val="18"/>
        </w:rPr>
        <w:t>BPI27336</w:t>
      </w:r>
      <w:r>
        <w:rPr>
          <w:rFonts w:hint="eastAsia" w:ascii="Times New Roman" w:hAnsi="Times New Roman" w:cs="Times New Roman"/>
          <w:sz w:val="18"/>
          <w:szCs w:val="18"/>
        </w:rPr>
        <w:t>用于H</w:t>
      </w:r>
      <w:r>
        <w:rPr>
          <w:rFonts w:ascii="Times New Roman" w:hAnsi="Times New Roman" w:cs="Times New Roman"/>
          <w:sz w:val="18"/>
          <w:szCs w:val="18"/>
        </w:rPr>
        <w:t>RAS</w:t>
      </w:r>
      <w:r>
        <w:rPr>
          <w:rFonts w:hint="eastAsia" w:ascii="Times New Roman" w:hAnsi="Times New Roman" w:cs="Times New Roman"/>
          <w:sz w:val="18"/>
          <w:szCs w:val="18"/>
        </w:rPr>
        <w:t>突变实体瘤患者的临床试验正在展开。</w:t>
      </w:r>
    </w:p>
    <w:p w14:paraId="42FF5395">
      <w:pPr>
        <w:spacing w:line="300" w:lineRule="auto"/>
        <w:ind w:left="420"/>
        <w:rPr>
          <w:rFonts w:ascii="Times New Roman" w:hAnsi="Times New Roman" w:cs="Times New Roman"/>
          <w:sz w:val="18"/>
          <w:szCs w:val="18"/>
        </w:rPr>
      </w:pPr>
    </w:p>
    <w:p w14:paraId="40A43577">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7392"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6" name="直线 3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9" o:spid="_x0000_s1026" o:spt="20" style="position:absolute;left:0pt;margin-left:-2.6pt;margin-top:12.55pt;height:1.7pt;width:453.4pt;z-index:25170739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NkSVYT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IDH1                                                                          </w:t>
      </w:r>
    </w:p>
    <w:p w14:paraId="338D967C">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0FA817E">
      <w:pPr>
        <w:spacing w:line="300" w:lineRule="auto"/>
        <w:ind w:left="420"/>
        <w:rPr>
          <w:rFonts w:ascii="Times New Roman" w:hAnsi="Times New Roman" w:cs="Times New Roman"/>
          <w:sz w:val="18"/>
          <w:szCs w:val="18"/>
        </w:rPr>
      </w:pPr>
      <w:r>
        <w:rPr>
          <w:rFonts w:ascii="Times New Roman" w:hAnsi="Times New Roman" w:cs="Times New Roman"/>
          <w:sz w:val="18"/>
          <w:szCs w:val="18"/>
        </w:rPr>
        <w:t>IDH1编码产物为依赖于NADP(+)的异柠檬酸脱氢酶。它位于胞浆和过氧化物酶体内，编码三羧酸循环中的异柠檬酸脱氢酶1，该酶水解异柠檬酸盐为α-酮戊二酸，并产生三羧酸循环中NADPH，调控组蛋白和DNA突变。基因发生突变后，会导致IDH将α-酮戊二酸转变成一种称作r-2-hydroxyglutarate的不同寻常的代谢产物。研究表明，这种代谢产物能产生竞争性抑制，由此降低了α-酮戊二酸依赖性酶的活性，导致染色质高度甲基化，干扰细胞分化，导致未成熟细胞增殖，引起癌症发生。胶质瘤样本中IDH1基因突变的平均突变率高达50%以上，12%的神经胶质瘤样本中IDH1基因存在R132突变，导致细胞内α-酮戊二酸水平下降，一系列的反应导致了细胞缺氧诱导因子（HIF）的稳定性增加，从而激活了HIF信号通路，最终促进肿瘤生长。R132H突变增强了U251细胞对于化疗药物替莫唑胺的敏感性。IDH1突变已在多种癌症类型中被发现，如肉瘤、血液恶性肿瘤、结肠癌和脑癌，与IDH1相关的疾病还包括骨膜性软骨肉瘤、神经胶质瘤、白血病等。</w:t>
      </w:r>
    </w:p>
    <w:p w14:paraId="16BF464D">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E11727C">
      <w:pPr>
        <w:spacing w:line="300" w:lineRule="auto"/>
        <w:ind w:left="420"/>
        <w:rPr>
          <w:rFonts w:ascii="Times New Roman" w:hAnsi="Times New Roman" w:cs="Times New Roman"/>
          <w:sz w:val="18"/>
          <w:szCs w:val="18"/>
        </w:rPr>
      </w:pPr>
      <w:r>
        <w:rPr>
          <w:rFonts w:ascii="Times New Roman" w:hAnsi="Times New Roman" w:cs="Times New Roman"/>
          <w:sz w:val="18"/>
          <w:szCs w:val="18"/>
        </w:rPr>
        <w:t>在胶质母细胞瘤和星形细胞瘤中，IDH1突变的患者比野生型IDH1患者的总体存活率更高。在一项II期临床试验中，凡德他尼联合替莫唑胺和放疗显著增加携带IDH1 R132H突变的胶质瘤患者的无进展生存期（PFS）和总生存期（OS）[PMID</w:t>
      </w:r>
      <w:r>
        <w:rPr>
          <w:rFonts w:hint="eastAsia" w:ascii="Times New Roman" w:hAnsi="Times New Roman" w:cs="Times New Roman"/>
          <w:sz w:val="18"/>
          <w:szCs w:val="18"/>
        </w:rPr>
        <w:t xml:space="preserve">: </w:t>
      </w:r>
      <w:r>
        <w:rPr>
          <w:rFonts w:ascii="Times New Roman" w:hAnsi="Times New Roman" w:cs="Times New Roman"/>
          <w:sz w:val="18"/>
          <w:szCs w:val="18"/>
        </w:rPr>
        <w:t>25910950]。Ivosidenib（AG-120）治疗携带IDH1突变的非增强型胶质瘤患者的I期研究发现，35例入组患者中，在剂量爬坡组（n=11）和剂量扩增组（n=24），分别有73%和88%的患者获得疾病稳定作为最佳反应[Neuro Oncol. 2017 Nov]。</w:t>
      </w:r>
      <w:r>
        <w:rPr>
          <w:rFonts w:hint="eastAsia" w:ascii="Times New Roman" w:hAnsi="Times New Roman" w:cs="Times New Roman"/>
          <w:sz w:val="18"/>
          <w:szCs w:val="18"/>
        </w:rPr>
        <w:t>目前，阿贝西利、奥拉帕利用于胶质瘤或实体瘤患者的临床试验正在开展。</w:t>
      </w:r>
    </w:p>
    <w:p w14:paraId="2B8F265F">
      <w:pPr>
        <w:spacing w:line="300" w:lineRule="auto"/>
        <w:ind w:left="420"/>
        <w:rPr>
          <w:rFonts w:ascii="Times New Roman" w:hAnsi="Times New Roman" w:cs="Times New Roman"/>
          <w:sz w:val="18"/>
          <w:szCs w:val="18"/>
        </w:rPr>
      </w:pPr>
    </w:p>
    <w:p w14:paraId="746CC1A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643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7" name="直线 4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0" o:spid="_x0000_s1026" o:spt="20" style="position:absolute;left:0pt;margin-left:-2.6pt;margin-top:12.55pt;height:1.7pt;width:453.4pt;z-index:-25165004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QTBBue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IDH2                                                                         </w:t>
      </w:r>
    </w:p>
    <w:p w14:paraId="18171009">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A80F829">
      <w:pPr>
        <w:spacing w:line="300" w:lineRule="auto"/>
        <w:ind w:left="420"/>
        <w:rPr>
          <w:rFonts w:ascii="Times New Roman" w:hAnsi="Times New Roman" w:cs="Times New Roman"/>
          <w:sz w:val="18"/>
          <w:szCs w:val="18"/>
        </w:rPr>
      </w:pPr>
      <w:r>
        <w:rPr>
          <w:rFonts w:ascii="Times New Roman" w:hAnsi="Times New Roman" w:cs="Times New Roman"/>
          <w:sz w:val="18"/>
          <w:szCs w:val="18"/>
        </w:rPr>
        <w:t>IDH2基因编码的蛋白是线粒体中存在的NADP(+)依赖的异柠檬酸脱氢酶</w:t>
      </w:r>
      <w:r>
        <w:rPr>
          <w:rFonts w:hint="eastAsia" w:ascii="Times New Roman" w:hAnsi="Times New Roman" w:cs="Times New Roman"/>
          <w:sz w:val="18"/>
          <w:szCs w:val="18"/>
        </w:rPr>
        <w:t>。</w:t>
      </w:r>
      <w:r>
        <w:rPr>
          <w:rFonts w:ascii="Times New Roman" w:hAnsi="Times New Roman" w:cs="Times New Roman"/>
          <w:sz w:val="18"/>
          <w:szCs w:val="18"/>
        </w:rPr>
        <w:t xml:space="preserve">该蛋白与IDH1具有同源性，属于IDH家族蛋白，催化异柠檬酸的脱酸反应，在物质代谢与能量代谢中有重要作用。该蛋白可与丙酮酸脱氢酶复合物紧密结合或相互作用。IDH2突变目前已经在多种癌症类型中被观察到，包括肉瘤、血液恶性肿瘤、结肠癌、脑癌、白血病、恶性胶质瘤等。在上述所有癌种中，IDH2突变频率为1.13%。 </w:t>
      </w:r>
    </w:p>
    <w:p w14:paraId="313FEA6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7286166">
      <w:pPr>
        <w:spacing w:line="300" w:lineRule="auto"/>
        <w:ind w:left="420"/>
        <w:rPr>
          <w:rFonts w:ascii="Times New Roman" w:hAnsi="Times New Roman" w:cs="Times New Roman"/>
          <w:sz w:val="18"/>
          <w:szCs w:val="18"/>
        </w:rPr>
      </w:pPr>
      <w:r>
        <w:rPr>
          <w:rFonts w:ascii="Times New Roman" w:hAnsi="Times New Roman" w:cs="Times New Roman"/>
          <w:sz w:val="18"/>
          <w:szCs w:val="18"/>
        </w:rPr>
        <w:t>在1/2期试验中，复发或IDH2突变的AML患者接受</w:t>
      </w:r>
      <w:r>
        <w:rPr>
          <w:rFonts w:hint="eastAsia" w:ascii="Times New Roman" w:hAnsi="Times New Roman" w:cs="Times New Roman"/>
          <w:sz w:val="18"/>
          <w:szCs w:val="18"/>
        </w:rPr>
        <w:t>恩西地平</w:t>
      </w:r>
      <w:r>
        <w:rPr>
          <w:rFonts w:ascii="Times New Roman" w:hAnsi="Times New Roman" w:cs="Times New Roman"/>
          <w:sz w:val="18"/>
          <w:szCs w:val="18"/>
        </w:rPr>
        <w:t>治疗。总有效率为40.3%，中位反应持续时间为5.8个月，复发/难治性患者中位总生存期为9.3个月，完全缓解34例</w:t>
      </w:r>
      <w:r>
        <w:rPr>
          <w:rFonts w:hint="eastAsia" w:ascii="Times New Roman" w:hAnsi="Times New Roman" w:cs="Times New Roman"/>
          <w:sz w:val="18"/>
          <w:szCs w:val="18"/>
        </w:rPr>
        <w:t>（</w:t>
      </w:r>
      <w:r>
        <w:rPr>
          <w:rFonts w:ascii="Times New Roman" w:hAnsi="Times New Roman" w:cs="Times New Roman"/>
          <w:sz w:val="18"/>
          <w:szCs w:val="18"/>
        </w:rPr>
        <w:t>19.3%</w:t>
      </w:r>
      <w:r>
        <w:rPr>
          <w:rFonts w:hint="eastAsia" w:ascii="Times New Roman" w:hAnsi="Times New Roman" w:cs="Times New Roman"/>
          <w:sz w:val="18"/>
          <w:szCs w:val="18"/>
        </w:rPr>
        <w:t>）</w:t>
      </w:r>
      <w:r>
        <w:rPr>
          <w:rFonts w:ascii="Times New Roman" w:hAnsi="Times New Roman" w:cs="Times New Roman"/>
          <w:sz w:val="18"/>
          <w:szCs w:val="18"/>
        </w:rPr>
        <w:t>患者的中位总生存期为19.7个月[PMID:</w:t>
      </w:r>
      <w:r>
        <w:rPr>
          <w:rFonts w:hint="eastAsia" w:ascii="Times New Roman" w:hAnsi="Times New Roman" w:cs="Times New Roman"/>
          <w:sz w:val="18"/>
          <w:szCs w:val="18"/>
        </w:rPr>
        <w:t xml:space="preserve"> </w:t>
      </w:r>
      <w:r>
        <w:rPr>
          <w:rFonts w:ascii="Times New Roman" w:hAnsi="Times New Roman" w:cs="Times New Roman"/>
          <w:sz w:val="18"/>
          <w:szCs w:val="18"/>
        </w:rPr>
        <w:t>28588020]。此外IDH2(R140)与AML整体生存的改善相关[PMID:</w:t>
      </w:r>
      <w:r>
        <w:rPr>
          <w:rFonts w:hint="eastAsia" w:ascii="Times New Roman" w:hAnsi="Times New Roman" w:cs="Times New Roman"/>
          <w:sz w:val="18"/>
          <w:szCs w:val="18"/>
        </w:rPr>
        <w:t xml:space="preserve"> </w:t>
      </w:r>
      <w:r>
        <w:rPr>
          <w:rFonts w:ascii="Times New Roman" w:hAnsi="Times New Roman" w:cs="Times New Roman"/>
          <w:sz w:val="18"/>
          <w:szCs w:val="18"/>
        </w:rPr>
        <w:t>20421455]，IDH2突变与神经胶质瘤的预后改善有关[PMID:</w:t>
      </w:r>
      <w:r>
        <w:rPr>
          <w:rFonts w:hint="eastAsia" w:ascii="Times New Roman" w:hAnsi="Times New Roman" w:cs="Times New Roman"/>
          <w:sz w:val="18"/>
          <w:szCs w:val="18"/>
        </w:rPr>
        <w:t xml:space="preserve"> </w:t>
      </w:r>
      <w:r>
        <w:rPr>
          <w:rFonts w:ascii="Times New Roman" w:hAnsi="Times New Roman" w:cs="Times New Roman"/>
          <w:sz w:val="18"/>
          <w:szCs w:val="18"/>
        </w:rPr>
        <w:t>26061751]。OxPhos相关基因的研究表明，IDH1和IDH2表达之间的不平衡（被定义为一种亚型相对于另一种亚型的过表达）与CRC患者的预后较差有关[PMID: 25586680]。</w:t>
      </w:r>
    </w:p>
    <w:p w14:paraId="3BF13D8E">
      <w:pPr>
        <w:spacing w:line="300" w:lineRule="auto"/>
        <w:ind w:left="420"/>
        <w:rPr>
          <w:rFonts w:ascii="Times New Roman" w:hAnsi="Times New Roman" w:cs="Times New Roman"/>
          <w:sz w:val="18"/>
          <w:szCs w:val="18"/>
        </w:rPr>
      </w:pPr>
    </w:p>
    <w:p w14:paraId="74DAF51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0768"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3" name="直线 4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1" o:spid="_x0000_s1026" o:spt="20" style="position:absolute;left:0pt;margin-left:-2.6pt;margin-top:12.55pt;height:1.7pt;width:453.4pt;z-index:-25163571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csl7g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s7ecObB044/ffzz+&#10;/MXeTbM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Bcsl7g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JAK1                                                                          </w:t>
      </w:r>
    </w:p>
    <w:p w14:paraId="2D18628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634D2C5">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JAK1基因编码产物为酪氨酸激酶，对I型和II型细胞因子信号传递有重要作用。其编码的非受体型酪氨酸蛋白激酶，既能催化与之相连的细胞因子受体发生酪氨酸磷酸化，又能磷酸化多种含特定SH2区的信号分子从而使其激活，在干扰素α/β和干扰素γ信号转导中起关键作用，因此肿瘤细胞中JAK1的表达能够使癌细胞从肿瘤组织中逃逸并侵染机体其他部位。与JAK1相关的疾病包括白血病、结直肠癌、子宫内膜癌等。JAK1的突变发生在T细胞急性淋巴细胞白血病中，在成年病例中多发，常见多发突变包括A634D、V658F、R724H、R879C。B细胞急性淋巴细胞白血病JAK1常见突变包括A634D、S646F、V658F、R724H。JAK1的突变能够诱导JAK-STAT途径激活，引发白血病的发生。 </w:t>
      </w:r>
    </w:p>
    <w:p w14:paraId="3898B58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56BC4B9">
      <w:pPr>
        <w:spacing w:line="300" w:lineRule="auto"/>
        <w:ind w:left="420"/>
        <w:rPr>
          <w:rFonts w:ascii="Times New Roman" w:hAnsi="Times New Roman" w:cs="Times New Roman"/>
          <w:sz w:val="18"/>
          <w:szCs w:val="18"/>
        </w:rPr>
      </w:pPr>
      <w:r>
        <w:rPr>
          <w:rFonts w:ascii="Times New Roman" w:hAnsi="Times New Roman" w:cs="Times New Roman"/>
          <w:sz w:val="18"/>
          <w:szCs w:val="18"/>
        </w:rPr>
        <w:t>一项临床前研究表明，在22个肺癌细胞系中，JAK1的过表达与PKC抑制剂</w:t>
      </w:r>
      <w:r>
        <w:rPr>
          <w:rFonts w:hint="eastAsia" w:ascii="Times New Roman" w:hAnsi="Times New Roman" w:cs="Times New Roman"/>
          <w:sz w:val="18"/>
          <w:szCs w:val="18"/>
        </w:rPr>
        <w:t>恩扎妥林</w:t>
      </w:r>
      <w:r>
        <w:rPr>
          <w:rFonts w:ascii="Times New Roman" w:hAnsi="Times New Roman" w:cs="Times New Roman"/>
          <w:sz w:val="18"/>
          <w:szCs w:val="18"/>
        </w:rPr>
        <w:t>的敏感性有关[PMID:</w:t>
      </w:r>
      <w:r>
        <w:rPr>
          <w:rFonts w:hint="eastAsia" w:ascii="Times New Roman" w:hAnsi="Times New Roman" w:cs="Times New Roman"/>
          <w:sz w:val="18"/>
          <w:szCs w:val="18"/>
        </w:rPr>
        <w:t xml:space="preserve"> </w:t>
      </w:r>
      <w:r>
        <w:rPr>
          <w:rFonts w:ascii="Times New Roman" w:hAnsi="Times New Roman" w:cs="Times New Roman"/>
          <w:sz w:val="18"/>
          <w:szCs w:val="18"/>
        </w:rPr>
        <w:t>22333600]。</w:t>
      </w:r>
      <w:r>
        <w:rPr>
          <w:rFonts w:hint="eastAsia" w:ascii="Times New Roman" w:hAnsi="Times New Roman" w:cs="Times New Roman"/>
          <w:sz w:val="18"/>
          <w:szCs w:val="18"/>
        </w:rPr>
        <w:t>目前</w:t>
      </w:r>
      <w:r>
        <w:rPr>
          <w:rFonts w:ascii="Times New Roman" w:hAnsi="Times New Roman" w:cs="Times New Roman"/>
          <w:sz w:val="18"/>
          <w:szCs w:val="18"/>
        </w:rPr>
        <w:t>Itacitinib</w:t>
      </w:r>
      <w:r>
        <w:rPr>
          <w:rFonts w:hint="eastAsia" w:ascii="Times New Roman" w:hAnsi="Times New Roman" w:cs="Times New Roman"/>
          <w:sz w:val="18"/>
          <w:szCs w:val="18"/>
        </w:rPr>
        <w:t>用于实体瘤患者的临床试验正在开展。</w:t>
      </w:r>
    </w:p>
    <w:p w14:paraId="0450E661">
      <w:pPr>
        <w:spacing w:line="300" w:lineRule="auto"/>
        <w:ind w:left="420"/>
        <w:rPr>
          <w:rFonts w:ascii="Times New Roman" w:hAnsi="Times New Roman" w:cs="Times New Roman"/>
          <w:b/>
          <w:szCs w:val="18"/>
        </w:rPr>
      </w:pPr>
    </w:p>
    <w:p w14:paraId="6D23CA24">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100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3" name="直线 42"/>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2" o:spid="_x0000_s1026" o:spt="20" style="position:absolute;left:0pt;margin-left:-2.6pt;margin-top:12.55pt;height:1.7pt;width:453.4pt;z-index:2516910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Vzyae6w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r644c2Dpxh+//3j8&#10;+Yu9nWV1hoANJd25TTydMGxipnroos1/IsEORdHjWVF1SEyQc/5uvpguSGxBsdl0flMUr56LQ8T0&#10;QXnLstFyo10mDA3sP2KihpT6lJLdxrGBlvamnmdMoPXr6NrJtIEooNuVYvRGy3ttTC7BuNvemcj2&#10;kFegntX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Vzyae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JAK2                                                                          </w:t>
      </w:r>
    </w:p>
    <w:p w14:paraId="5293A51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AE88F12">
      <w:pPr>
        <w:spacing w:line="300" w:lineRule="auto"/>
        <w:ind w:left="420"/>
        <w:rPr>
          <w:rFonts w:ascii="Times New Roman" w:hAnsi="Times New Roman" w:cs="Times New Roman"/>
          <w:sz w:val="18"/>
          <w:szCs w:val="18"/>
        </w:rPr>
      </w:pPr>
      <w:r>
        <w:rPr>
          <w:rFonts w:ascii="Times New Roman" w:hAnsi="Times New Roman" w:cs="Times New Roman"/>
          <w:sz w:val="18"/>
          <w:szCs w:val="18"/>
        </w:rPr>
        <w:t>JAK2基因编码的酪氨酸蛋白激酶，既能催化与之相连的细胞因子受体发生酪氨酸磷酸化，又能磷酸化多种含特定SH2区的信号分子从而使其激活。已有研究表明它与催乳素受体组成相关，并在γ干扰素的反应中发挥作用。JAK2基因是一种在许多骨髓增生性疾病和癌症中会发生失调或突变的激酶。JAK2的JH2激酶类结构域V617F的突变能够引起造血细胞对于生长因子敏感性增加，是第一个被诊断为骨髓增生性疾病的诊断标记物。该变异激活JAK2能够驱动小鼠模型的骨髓增生性疾病。与JAK2相关的疾病包括骨髓增生性肿瘤、淋巴瘤、白血病、宫颈癌、红细胞增多、原发性血小板增多、骨髓纤维化等。此突变在非典型慢性淋巴细胞白血病中发生率为20%，慢性骨髓单核细胞白血病为10%，巨核细胞性白血病为15%。t(9;12)(p24;p13)染色体异位导致JAK2与TEL（ETV6）发生融合，出现在慢性淋巴细胞白血病中。</w:t>
      </w:r>
    </w:p>
    <w:p w14:paraId="430E9F3B">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FD247B5">
      <w:pPr>
        <w:spacing w:line="300" w:lineRule="auto"/>
        <w:ind w:left="420"/>
        <w:rPr>
          <w:rFonts w:ascii="Times New Roman" w:hAnsi="Times New Roman" w:cs="Times New Roman"/>
          <w:sz w:val="18"/>
          <w:szCs w:val="18"/>
        </w:rPr>
      </w:pPr>
      <w:r>
        <w:rPr>
          <w:rFonts w:ascii="Times New Roman" w:hAnsi="Times New Roman" w:cs="Times New Roman"/>
          <w:sz w:val="18"/>
          <w:szCs w:val="18"/>
        </w:rPr>
        <w:t>在一期试验中，使用Gandotinib (LY2784544)治疗JAK2 V617F的骨髓增生性肿瘤显示了安全性，29%(9/31)的骨髓纤维化患者得到了临床改善[PMID:</w:t>
      </w:r>
      <w:r>
        <w:rPr>
          <w:rFonts w:hint="eastAsia" w:ascii="Times New Roman" w:hAnsi="Times New Roman" w:cs="Times New Roman"/>
          <w:sz w:val="18"/>
          <w:szCs w:val="18"/>
        </w:rPr>
        <w:t xml:space="preserve"> </w:t>
      </w:r>
      <w:r>
        <w:rPr>
          <w:rFonts w:ascii="Times New Roman" w:hAnsi="Times New Roman" w:cs="Times New Roman"/>
          <w:sz w:val="18"/>
          <w:szCs w:val="18"/>
        </w:rPr>
        <w:t>28934680]。在一项临床前研究中，带有G831R突变的ETV6-JAK2表达的免疫细胞在培养中表现出对吡啶酮6(CMP6)的耐药性[PMID:</w:t>
      </w:r>
      <w:r>
        <w:rPr>
          <w:rFonts w:hint="eastAsia" w:ascii="Times New Roman" w:hAnsi="Times New Roman" w:cs="Times New Roman"/>
          <w:sz w:val="18"/>
          <w:szCs w:val="18"/>
        </w:rPr>
        <w:t xml:space="preserve"> </w:t>
      </w:r>
      <w:r>
        <w:rPr>
          <w:rFonts w:ascii="Times New Roman" w:hAnsi="Times New Roman" w:cs="Times New Roman"/>
          <w:sz w:val="18"/>
          <w:szCs w:val="18"/>
        </w:rPr>
        <w:t>22916261]。</w:t>
      </w:r>
      <w:r>
        <w:rPr>
          <w:rFonts w:hint="eastAsia" w:ascii="Times New Roman" w:hAnsi="Times New Roman" w:cs="Times New Roman"/>
          <w:sz w:val="18"/>
          <w:szCs w:val="18"/>
        </w:rPr>
        <w:t>临床前研究表明，芦可替尼单药或联合顺铂可以抑制</w:t>
      </w:r>
      <w:r>
        <w:rPr>
          <w:rFonts w:ascii="Times New Roman" w:hAnsi="Times New Roman" w:cs="Times New Roman"/>
          <w:sz w:val="18"/>
          <w:szCs w:val="18"/>
        </w:rPr>
        <w:t>JAK2过表达及信号通路激活的非小细胞肺癌（NSCLC）细胞系生长，表现治疗作用[PMID: 22319590]，而联合用药对顺铂耐药的NSCLC细胞系产生有效的治疗作用[PMID: 25213670]。</w:t>
      </w:r>
    </w:p>
    <w:p w14:paraId="5B63E79B">
      <w:pPr>
        <w:spacing w:line="300" w:lineRule="auto"/>
        <w:ind w:left="420"/>
        <w:rPr>
          <w:rFonts w:ascii="Times New Roman" w:hAnsi="Times New Roman" w:cs="Times New Roman"/>
          <w:sz w:val="18"/>
          <w:szCs w:val="18"/>
        </w:rPr>
      </w:pPr>
    </w:p>
    <w:p w14:paraId="08AEA0E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8416"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7" name="直线 4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3" o:spid="_x0000_s1026" o:spt="20" style="position:absolute;left:0pt;margin-left:-2.6pt;margin-top:12.55pt;height:1.7pt;width:453.4pt;z-index:25170841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B0cisz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JAK3                                                                        </w:t>
      </w:r>
    </w:p>
    <w:p w14:paraId="590729B9">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D831AFA">
      <w:pPr>
        <w:spacing w:line="300" w:lineRule="auto"/>
        <w:ind w:left="420"/>
        <w:rPr>
          <w:rFonts w:ascii="Times New Roman" w:hAnsi="Times New Roman" w:cs="Times New Roman"/>
          <w:sz w:val="18"/>
          <w:szCs w:val="18"/>
        </w:rPr>
      </w:pPr>
      <w:r>
        <w:rPr>
          <w:rFonts w:ascii="Times New Roman" w:hAnsi="Times New Roman" w:cs="Times New Roman"/>
          <w:sz w:val="18"/>
          <w:szCs w:val="18"/>
        </w:rPr>
        <w:t>JAK3基因编码的蛋白是酪氨酸激酶家族中的一员，参与细胞因子受体介导的细胞内信号转导。它主要在免疫细胞中表达，是JAK/STAT信号通路的成员，并通过白细胞介素受体的酪氨酸磷酸化来传递信号。该基因的突变与严重的联合免疫缺陷病有关。JAK3功能突变在T细胞白血病和淋巴瘤中较为常见，在肠癌、皮肤癌、胃癌等实体肿瘤中均有不同突变形式的存在。除此之外，与JAK3相关的疾病还包括严重的联合免疫缺陷、常染色体隐性遗传病、B细胞阳性、NK细胞阴性和炎症性肠病。</w:t>
      </w:r>
    </w:p>
    <w:p w14:paraId="2ADB9E49">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C742002">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在一项临床前研究中，一种pan-JAK抑制剂Tofacitinib降低了JAK3 A572V突变型自然杀伤/t细胞淋巴瘤细胞系的细胞活力并增加了细胞凋亡[PMID:</w:t>
      </w:r>
      <w:r>
        <w:rPr>
          <w:rFonts w:hint="eastAsia" w:ascii="Times New Roman" w:hAnsi="Times New Roman" w:cs="Times New Roman"/>
          <w:sz w:val="18"/>
          <w:szCs w:val="18"/>
        </w:rPr>
        <w:t xml:space="preserve"> </w:t>
      </w:r>
      <w:r>
        <w:rPr>
          <w:rFonts w:ascii="Times New Roman" w:hAnsi="Times New Roman" w:cs="Times New Roman"/>
          <w:sz w:val="18"/>
          <w:szCs w:val="18"/>
        </w:rPr>
        <w:t>22705984]。Tofacitinib治疗还可以将细胞培养中表达JAK3 V221I的细胞从因子独立生长转化为因子依赖生长[PMID: 25146434]。JAK3选择性抑制剂Tofacitinib对白血病小鼠的体内治疗降低了白细胞计数，导致白血病细胞凋亡[PMID:</w:t>
      </w:r>
      <w:r>
        <w:rPr>
          <w:rFonts w:hint="eastAsia" w:ascii="Times New Roman" w:hAnsi="Times New Roman" w:cs="Times New Roman"/>
          <w:sz w:val="18"/>
          <w:szCs w:val="18"/>
        </w:rPr>
        <w:t xml:space="preserve"> </w:t>
      </w:r>
      <w:r>
        <w:rPr>
          <w:rFonts w:ascii="Times New Roman" w:hAnsi="Times New Roman" w:cs="Times New Roman"/>
          <w:sz w:val="18"/>
          <w:szCs w:val="18"/>
        </w:rPr>
        <w:t>25193870]。</w:t>
      </w:r>
      <w:r>
        <w:rPr>
          <w:rFonts w:hint="eastAsia" w:ascii="Times New Roman" w:hAnsi="Times New Roman" w:cs="Times New Roman"/>
          <w:sz w:val="18"/>
          <w:szCs w:val="18"/>
        </w:rPr>
        <w:t>鼻型结外</w:t>
      </w:r>
      <w:r>
        <w:rPr>
          <w:rFonts w:ascii="Times New Roman" w:hAnsi="Times New Roman" w:cs="Times New Roman"/>
          <w:sz w:val="18"/>
          <w:szCs w:val="18"/>
        </w:rPr>
        <w:t>NK/t细胞淋巴瘤（ENTKL）中，ATM和JAK3突变等位基因频率与疾病分期显著相关，KMT2D、ASXL3和JAK3突变与患者的肿瘤代谢负荷呈正相关[PMID: 32695399]。</w:t>
      </w:r>
    </w:p>
    <w:p w14:paraId="05F59B9F">
      <w:pPr>
        <w:spacing w:line="300" w:lineRule="auto"/>
        <w:ind w:left="420"/>
        <w:rPr>
          <w:rFonts w:ascii="Times New Roman" w:hAnsi="Times New Roman" w:cs="Times New Roman"/>
          <w:sz w:val="18"/>
          <w:szCs w:val="18"/>
        </w:rPr>
      </w:pPr>
    </w:p>
    <w:p w14:paraId="08C8B99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745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8" name="直线 4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4" o:spid="_x0000_s1026" o:spt="20" style="position:absolute;left:0pt;margin-left:-2.6pt;margin-top:12.55pt;height:1.7pt;width:453.4pt;z-index:-2516490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aFGYu6gEAAN8DAAAOAAAAZHJzL2Uyb0RvYy54bWytU0tu&#10;2zAQ3RfoHQjua8lG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07U7sHThT99/PP38&#10;xa6usjhDwIZy7twmnk4YNjEzPXTR5j9xYIci6PEsqDokJsg5fz9fTBektaDYbDq/KYJXL8UhYvqo&#10;vGXZaLnRLvOFBvafMFFDSn1OyW7j2EA7e1PPMybQ9nV062TaQAzQ7UoxeqPlvTYml2Dcbe9MZHvI&#10;G1DP6uvnGf5Ky13WgP2YV0LjblidVKYOTa9AfnCSpWMglRw9Dp6nsUpyZhS9pWyVzATaXJJJ7Iwj&#10;klnkUdZsbb08FrWLn+69yHDa0bxYf55L9cu7XP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NoUZi7qAQAA3w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KIT                                                                          </w:t>
      </w:r>
    </w:p>
    <w:p w14:paraId="137CF6E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D26002F">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KIT基因又称c-Kit，为原癌基因，位于人类染色体4q12-13。它编码的跨膜糖蛋白（CD117）属于受体酪氨酸激酶家族。KIT与SCF的胞外结构域结合后使受体二聚化，激活下游信号通路，包括PI3K-AKT-mTOR通路及RAS-RAF-MEK-ERK通路等，在细胞生长增殖、造血、干细胞维护、配子形成、肥大细胞发育、迁移和黑色素形成中发挥重要作用，是人类多种组织细胞生长发育的重要调控因素。与KIT相关的疾病包括胃肠道间质瘤、精原细胞癌、骨髓性白血病、黑色素瘤等。KIT基因可发生功能缺失或功能获得性突变，多发生于外显子9、11、13、17。KIT基因体细胞突变可见于侵袭性系统性肥大细胞增生症、肥大细胞白血病、骨髓增生性疾病、结肠癌、胃肠道间质肿瘤及生殖细胞瘤等肿瘤中，种系突变则可发生于家族性胃肠道间质肿瘤中。GISTs中，KIT基因突变是导致c-kit蛋白高度表达的原因，突变率约为90%，且突变形式多样，其中位于11号外显子Lys550-Val560区段的变异最为常见（约占60-70%）。检测KIT基因突变对于指导GISTs患者的合理用药，具有重要的参考价值。   </w:t>
      </w:r>
    </w:p>
    <w:p w14:paraId="02F7DCCF">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伊马替尼*、舒尼替尼*、瑞戈非尼*、普纳替尼、培唑帕尼*（都是胃肠道间质瘤获益药物）</w:t>
      </w:r>
    </w:p>
    <w:p w14:paraId="42495220">
      <w:pPr>
        <w:spacing w:line="360" w:lineRule="auto"/>
        <w:ind w:left="420"/>
        <w:rPr>
          <w:rFonts w:ascii="Times New Roman" w:hAnsi="Times New Roman" w:cs="Times New Roman"/>
          <w:sz w:val="18"/>
          <w:szCs w:val="18"/>
        </w:rPr>
      </w:pPr>
      <w:r>
        <w:rPr>
          <w:rFonts w:ascii="Times New Roman" w:hAnsi="Times New Roman" w:cs="Times New Roman"/>
          <w:sz w:val="18"/>
          <w:szCs w:val="18"/>
        </w:rPr>
        <w:t>FDA/NMPA批准伊马替尼用于不可切除或转移的KIT（CD117）阳性GIST患者，还可用于KIT（CD117）阳性的成年GIST患者手术切除后的辅助治疗。</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指南推荐伊马替尼用于</w:t>
      </w:r>
      <w:r>
        <w:rPr>
          <w:rFonts w:ascii="Times New Roman" w:hAnsi="Times New Roman" w:cs="Times New Roman"/>
          <w:sz w:val="18"/>
          <w:szCs w:val="18"/>
        </w:rPr>
        <w:t>KIT 11号外显子突变（除PDGFRA D842V以外），以及双倍剂量用于KIT 9号外显子突变的胃肠间质瘤患者的治疗。</w:t>
      </w:r>
      <w:r>
        <w:rPr>
          <w:rFonts w:hint="eastAsia" w:ascii="Times New Roman" w:hAnsi="Times New Roman" w:cs="Times New Roman"/>
          <w:sz w:val="18"/>
          <w:szCs w:val="18"/>
        </w:rPr>
        <w:t>胃肠道间质瘤中，</w:t>
      </w:r>
      <w:r>
        <w:rPr>
          <w:rFonts w:ascii="Times New Roman" w:hAnsi="Times New Roman" w:cs="Times New Roman"/>
          <w:sz w:val="18"/>
          <w:szCs w:val="18"/>
        </w:rPr>
        <w:t>KIT 11号外显子突变对伊马替尼[PMID: 26687836]、培唑帕尼[PMID: 27068858]、普纳替尼[J Clin Oncol. 2015; 33(suppl 15): abstr 10535]、</w:t>
      </w:r>
      <w:r>
        <w:rPr>
          <w:rFonts w:hint="eastAsia" w:ascii="Times New Roman" w:hAnsi="Times New Roman" w:cs="Times New Roman"/>
          <w:sz w:val="18"/>
          <w:szCs w:val="18"/>
        </w:rPr>
        <w:t>舒尼替尼[</w:t>
      </w:r>
      <w:r>
        <w:rPr>
          <w:rFonts w:ascii="Times New Roman" w:hAnsi="Times New Roman" w:cs="Times New Roman"/>
          <w:sz w:val="18"/>
          <w:szCs w:val="18"/>
        </w:rPr>
        <w:t>PMID: 30346846]瑞戈非尼[PMID: 27371698; PMID: 22614970]、尼洛替尼[PMID: 25882987]和达沙替尼[PMID: 29315500]敏感，与11号外显子突变相比，9号外显子突变对伊马替尼的敏感性中等[PMID: 14645423]；在皮肤黑色素瘤中，KIT激</w:t>
      </w:r>
      <w:r>
        <w:rPr>
          <w:rFonts w:hint="eastAsia" w:ascii="Times New Roman" w:hAnsi="Times New Roman" w:cs="Times New Roman"/>
          <w:sz w:val="18"/>
          <w:szCs w:val="18"/>
        </w:rPr>
        <w:t>活突变对伊马替尼敏感</w:t>
      </w:r>
      <w:r>
        <w:rPr>
          <w:rFonts w:ascii="Times New Roman" w:hAnsi="Times New Roman" w:cs="Times New Roman"/>
          <w:sz w:val="18"/>
          <w:szCs w:val="18"/>
        </w:rPr>
        <w:t>[PMID: 23775962; PMID: 21642685]。</w:t>
      </w:r>
    </w:p>
    <w:p w14:paraId="0B85E7B8">
      <w:pPr>
        <w:spacing w:line="360" w:lineRule="auto"/>
        <w:ind w:left="420"/>
        <w:rPr>
          <w:rFonts w:ascii="Times New Roman" w:hAnsi="Times New Roman" w:cs="Times New Roman"/>
          <w:sz w:val="18"/>
          <w:szCs w:val="18"/>
        </w:rPr>
      </w:pPr>
    </w:p>
    <w:p w14:paraId="51D92E7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1792"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4" name="直线 4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5" o:spid="_x0000_s1026" o:spt="20" style="position:absolute;left:0pt;margin-left:-2.55pt;margin-top:12.55pt;height:1.7pt;width:453.45pt;z-index:-25163468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KtTFr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MAP2K1                                                                          </w:t>
      </w:r>
    </w:p>
    <w:p w14:paraId="0A8D491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631B3F5">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MAP2K1编码编码促分裂原活化蛋白激酶激酶1（MEK1蛋白激酶），属于双重特异性蛋白激酶家族成员，是一种有丝分裂原激活蛋白（MAP）激酶激酶，通过传导胞外和胞内信号刺激蛋白激酶活性。作为MAP激酶信号转导途径中关键的组成成分，MAP2K1参与细胞增殖、分化、基因转录调控和发育过程。该基因在肺癌中的突变频率为0.6-1%。与MAP2K1相关的疾病包括白血病、结直肠癌、肺癌、黑色素瘤、原发胶质母细胞瘤等，3.5%上皮性细胞瘤存在MAP2K1激活突变，可增加MEK1促增殖能力。  </w:t>
      </w:r>
    </w:p>
    <w:p w14:paraId="115491A7">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20FFDB9">
      <w:pPr>
        <w:spacing w:line="300" w:lineRule="auto"/>
        <w:ind w:left="420"/>
        <w:rPr>
          <w:rFonts w:ascii="Times New Roman" w:hAnsi="Times New Roman" w:cs="Times New Roman"/>
          <w:sz w:val="18"/>
          <w:szCs w:val="18"/>
        </w:rPr>
      </w:pPr>
      <w:r>
        <w:rPr>
          <w:rFonts w:ascii="Times New Roman" w:hAnsi="Times New Roman" w:cs="Times New Roman"/>
          <w:sz w:val="18"/>
          <w:szCs w:val="18"/>
        </w:rPr>
        <w:t>MAP2K1是BRAF下游增殖信号通路的丝氨酸苏氨酸激酶，约0.6-1%的NSCLC存在MAP2K1突变，在肺腺癌中较肺鳞癌多见，主要突变位点为K57N，Q56P和D67N。在体外模型中，MAP2K1突变可以导致信号通路持续激活并对MAP2K抑制剂敏感。携带MAP2K1</w:t>
      </w:r>
      <w:r>
        <w:rPr>
          <w:rFonts w:hint="eastAsia" w:ascii="Times New Roman" w:hAnsi="Times New Roman" w:cs="Times New Roman"/>
          <w:sz w:val="18"/>
          <w:szCs w:val="18"/>
        </w:rPr>
        <w:t xml:space="preserve"> </w:t>
      </w:r>
      <w:r>
        <w:rPr>
          <w:rFonts w:ascii="Times New Roman" w:hAnsi="Times New Roman" w:cs="Times New Roman"/>
          <w:sz w:val="18"/>
          <w:szCs w:val="18"/>
        </w:rPr>
        <w:t>K57T或MAP2K1</w:t>
      </w:r>
      <w:r>
        <w:rPr>
          <w:rFonts w:hint="eastAsia" w:ascii="Times New Roman" w:hAnsi="Times New Roman" w:cs="Times New Roman"/>
          <w:sz w:val="18"/>
          <w:szCs w:val="18"/>
        </w:rPr>
        <w:t xml:space="preserve"> </w:t>
      </w:r>
      <w:r>
        <w:rPr>
          <w:rFonts w:ascii="Times New Roman" w:hAnsi="Times New Roman" w:cs="Times New Roman"/>
          <w:sz w:val="18"/>
          <w:szCs w:val="18"/>
        </w:rPr>
        <w:t>K57N突变的RAS-WT结直肠癌（CRC）细胞系LIM1215，足以产生对西妥昔单抗或帕尼单抗的耐药性[PMID:</w:t>
      </w:r>
      <w:r>
        <w:rPr>
          <w:rFonts w:hint="eastAsia" w:ascii="Times New Roman" w:hAnsi="Times New Roman" w:cs="Times New Roman"/>
          <w:sz w:val="18"/>
          <w:szCs w:val="18"/>
        </w:rPr>
        <w:t xml:space="preserve"> </w:t>
      </w:r>
      <w:r>
        <w:rPr>
          <w:rFonts w:ascii="Times New Roman" w:hAnsi="Times New Roman" w:cs="Times New Roman"/>
          <w:sz w:val="18"/>
          <w:szCs w:val="18"/>
        </w:rPr>
        <w:t>26644315; PMID: 26030179]，而帕尼单抗联合曲美替尼可以抑制具有MEK1突变的西妥昔单抗抗性克隆的结直肠癌细胞系的生长[PMID:</w:t>
      </w:r>
      <w:r>
        <w:rPr>
          <w:rFonts w:hint="eastAsia" w:ascii="Times New Roman" w:hAnsi="Times New Roman" w:cs="Times New Roman"/>
          <w:sz w:val="18"/>
          <w:szCs w:val="18"/>
        </w:rPr>
        <w:t xml:space="preserve"> </w:t>
      </w:r>
      <w:r>
        <w:rPr>
          <w:rFonts w:ascii="Times New Roman" w:hAnsi="Times New Roman" w:cs="Times New Roman"/>
          <w:sz w:val="18"/>
          <w:szCs w:val="18"/>
        </w:rPr>
        <w:t>26644315]。临床前研究表明，具有MAP2K1</w:t>
      </w:r>
      <w:r>
        <w:rPr>
          <w:rFonts w:hint="eastAsia" w:ascii="Times New Roman" w:hAnsi="Times New Roman" w:cs="Times New Roman"/>
          <w:sz w:val="18"/>
          <w:szCs w:val="18"/>
        </w:rPr>
        <w:t xml:space="preserve"> </w:t>
      </w:r>
      <w:r>
        <w:rPr>
          <w:rFonts w:ascii="Times New Roman" w:hAnsi="Times New Roman" w:cs="Times New Roman"/>
          <w:sz w:val="18"/>
          <w:szCs w:val="18"/>
        </w:rPr>
        <w:t>F53L突变的结肠癌细胞系对曲美替尼敏感，导致细胞活性降低[PMID:</w:t>
      </w:r>
      <w:r>
        <w:rPr>
          <w:rFonts w:hint="eastAsia" w:ascii="Times New Roman" w:hAnsi="Times New Roman" w:cs="Times New Roman"/>
          <w:sz w:val="18"/>
          <w:szCs w:val="18"/>
        </w:rPr>
        <w:t xml:space="preserve"> </w:t>
      </w:r>
      <w:r>
        <w:rPr>
          <w:rFonts w:ascii="Times New Roman" w:hAnsi="Times New Roman" w:cs="Times New Roman"/>
          <w:sz w:val="18"/>
          <w:szCs w:val="18"/>
        </w:rPr>
        <w:t>26582713]，西妥昔单抗联合曲美替尼也可以降低具有MAP2K1</w:t>
      </w:r>
      <w:r>
        <w:rPr>
          <w:rFonts w:hint="eastAsia" w:ascii="Times New Roman" w:hAnsi="Times New Roman" w:cs="Times New Roman"/>
          <w:sz w:val="18"/>
          <w:szCs w:val="18"/>
        </w:rPr>
        <w:t xml:space="preserve"> </w:t>
      </w:r>
      <w:r>
        <w:rPr>
          <w:rFonts w:ascii="Times New Roman" w:hAnsi="Times New Roman" w:cs="Times New Roman"/>
          <w:sz w:val="18"/>
          <w:szCs w:val="18"/>
        </w:rPr>
        <w:t>F53L突变的结肠癌细胞系的细胞活力</w:t>
      </w:r>
      <w:bookmarkStart w:id="14" w:name="OLE_LINK1"/>
      <w:r>
        <w:rPr>
          <w:rFonts w:ascii="Times New Roman" w:hAnsi="Times New Roman" w:cs="Times New Roman"/>
          <w:sz w:val="18"/>
          <w:szCs w:val="18"/>
        </w:rPr>
        <w:t>[</w:t>
      </w:r>
      <w:bookmarkEnd w:id="14"/>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28179366]。MAP2K抑制剂对很多癌种的疗效还未明确，临床前和临床上均在努力确认MAP2K1抑制剂对于其他适应症的疗效[PMID</w:t>
      </w:r>
      <w:r>
        <w:rPr>
          <w:rFonts w:hint="eastAsia" w:ascii="Times New Roman" w:hAnsi="Times New Roman" w:cs="Times New Roman"/>
          <w:sz w:val="18"/>
          <w:szCs w:val="18"/>
        </w:rPr>
        <w:t xml:space="preserve">: </w:t>
      </w:r>
      <w:r>
        <w:rPr>
          <w:rFonts w:ascii="Times New Roman" w:hAnsi="Times New Roman" w:cs="Times New Roman"/>
          <w:sz w:val="18"/>
          <w:szCs w:val="18"/>
        </w:rPr>
        <w:t>25435214]。</w:t>
      </w:r>
    </w:p>
    <w:p w14:paraId="23D398EA">
      <w:pPr>
        <w:spacing w:line="300" w:lineRule="auto"/>
        <w:ind w:left="420"/>
        <w:rPr>
          <w:rFonts w:ascii="Times New Roman" w:hAnsi="Times New Roman" w:cs="Times New Roman"/>
          <w:sz w:val="18"/>
          <w:szCs w:val="18"/>
        </w:rPr>
      </w:pPr>
    </w:p>
    <w:p w14:paraId="4A77E8C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462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7" name="直线 4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6" o:spid="_x0000_s1026" o:spt="20" style="position:absolute;left:0pt;margin-left:-2.6pt;margin-top:12.55pt;height:1.7pt;width:453.4pt;z-index:-25164185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EazMtT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MAP2K2                                                                        </w:t>
      </w:r>
    </w:p>
    <w:p w14:paraId="35DAF5B5">
      <w:pPr>
        <w:spacing w:line="300" w:lineRule="auto"/>
        <w:ind w:left="420"/>
        <w:rPr>
          <w:rFonts w:ascii="Times New Roman" w:hAnsi="Times New Roman" w:cs="Times New Roman"/>
          <w:sz w:val="18"/>
          <w:szCs w:val="18"/>
        </w:rPr>
      </w:pPr>
      <w:r>
        <w:rPr>
          <w:rFonts w:ascii="Times New Roman" w:hAnsi="Times New Roman" w:cs="Times New Roman"/>
          <w:b/>
          <w:szCs w:val="18"/>
        </w:rPr>
        <w:t>基因说明：</w:t>
      </w:r>
    </w:p>
    <w:p w14:paraId="7E4D6F4B">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MAP2K2基因编码的蛋白是一种双重特异性蛋白激酶，属于MAP激酶家族，具有双重特异性蛋白激酶活性。该激酶在丝裂原生长因子信号转导中起重要作用，参与RAS/RAF/MAPK信号通路，调控细胞增殖、分化、转录调节等一系列细胞生理活动。它通过磷酸化，从而激活MAPK1/ERK2和MAPK2/ERK3。与MAP2K2相关的疾病包括黑色素瘤、皮肤癌、胃癌、胰脏癌、结直肠癌、骨癌等，突变频率约为0.66%。 </w:t>
      </w:r>
    </w:p>
    <w:p w14:paraId="7ED472F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DC8A8FB">
      <w:pPr>
        <w:spacing w:line="300" w:lineRule="auto"/>
        <w:ind w:left="420"/>
        <w:rPr>
          <w:rFonts w:ascii="Times New Roman" w:hAnsi="Times New Roman" w:cs="Times New Roman"/>
          <w:sz w:val="18"/>
          <w:szCs w:val="18"/>
        </w:rPr>
      </w:pPr>
      <w:r>
        <w:rPr>
          <w:rFonts w:ascii="Times New Roman" w:hAnsi="Times New Roman" w:cs="Times New Roman"/>
          <w:sz w:val="18"/>
          <w:szCs w:val="18"/>
        </w:rPr>
        <w:t>一项临床前研究表明，具有BRAF V600E突变和MAP2K2 C125S突变的黑色素瘤细胞对达拉非尼和曲美替尼耐药[PMID:</w:t>
      </w:r>
      <w:r>
        <w:rPr>
          <w:rFonts w:hint="eastAsia" w:ascii="Times New Roman" w:hAnsi="Times New Roman" w:cs="Times New Roman"/>
          <w:sz w:val="18"/>
          <w:szCs w:val="18"/>
        </w:rPr>
        <w:t xml:space="preserve"> </w:t>
      </w:r>
      <w:r>
        <w:rPr>
          <w:rFonts w:ascii="Times New Roman" w:hAnsi="Times New Roman" w:cs="Times New Roman"/>
          <w:sz w:val="18"/>
          <w:szCs w:val="18"/>
        </w:rPr>
        <w:t>24265153]。一项临床前研究表明，具有BRAF V600E突变和MAP2K2 C125S突变的黑色素瘤细胞对VRT11E敏感，可减缓细胞生长[PMID:</w:t>
      </w:r>
      <w:r>
        <w:rPr>
          <w:rFonts w:hint="eastAsia" w:ascii="Times New Roman" w:hAnsi="Times New Roman" w:cs="Times New Roman"/>
          <w:sz w:val="18"/>
          <w:szCs w:val="18"/>
        </w:rPr>
        <w:t xml:space="preserve"> </w:t>
      </w:r>
      <w:r>
        <w:rPr>
          <w:rFonts w:ascii="Times New Roman" w:hAnsi="Times New Roman" w:cs="Times New Roman"/>
          <w:sz w:val="18"/>
          <w:szCs w:val="18"/>
        </w:rPr>
        <w:t>24265153]。</w:t>
      </w:r>
    </w:p>
    <w:p w14:paraId="120EAF1A">
      <w:pPr>
        <w:spacing w:line="360" w:lineRule="auto"/>
        <w:rPr>
          <w:rFonts w:ascii="Times New Roman" w:hAnsi="Times New Roman" w:cs="Times New Roman"/>
          <w:sz w:val="18"/>
          <w:szCs w:val="18"/>
        </w:rPr>
      </w:pPr>
    </w:p>
    <w:p w14:paraId="6694A7D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170180</wp:posOffset>
                </wp:positionV>
                <wp:extent cx="5760085" cy="16510"/>
                <wp:effectExtent l="0" t="9525" r="2540" b="12065"/>
                <wp:wrapNone/>
                <wp:docPr id="34" name="直线 47"/>
                <wp:cNvGraphicFramePr/>
                <a:graphic xmlns:a="http://schemas.openxmlformats.org/drawingml/2006/main">
                  <a:graphicData uri="http://schemas.microsoft.com/office/word/2010/wordprocessingShape">
                    <wps:wsp>
                      <wps:cNvCnPr/>
                      <wps:spPr>
                        <a:xfrm flipV="1">
                          <a:off x="0" y="0"/>
                          <a:ext cx="5760085" cy="1651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7" o:spid="_x0000_s1026" o:spt="20" style="position:absolute;left:0pt;flip:y;margin-left:0pt;margin-top:13.4pt;height:1.3pt;width:453.55pt;z-index:251692032;mso-width-relative:page;mso-height-relative:page;" filled="f" stroked="t" coordsize="21600,21600" o:gfxdata="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IgoUHYAAAABgEAAA8AAAAAAAAAAQAgAAAAIgAAAGRycy9kb3ducmV2LnhtbFBLAQIU&#10;ABQAAAAIAIdO4kAS2b1F8wEAAOoDAAAOAAAAAAAAAAEAIAAAACcBAABkcnMvZTJvRG9jLnhtbFBL&#10;BQYAAAAABgAGAFkBAACMBQAAAAA=&#10;">
                <v:fill on="f" focussize="0,0"/>
                <v:stroke weight="1.5pt" color="#002060" joinstyle="miter"/>
                <v:imagedata o:title=""/>
                <o:lock v:ext="edit" aspectratio="f"/>
              </v:line>
            </w:pict>
          </mc:Fallback>
        </mc:AlternateContent>
      </w:r>
      <w:r>
        <w:rPr>
          <w:rFonts w:ascii="Times New Roman" w:hAnsi="Times New Roman" w:cs="Times New Roman"/>
          <w:b/>
        </w:rPr>
        <w:t>MET</w:t>
      </w:r>
      <w:r>
        <w:rPr>
          <w:rFonts w:ascii="Times New Roman" w:hAnsi="Times New Roman" w:cs="Times New Roman"/>
          <w:b/>
          <w:color w:val="0000FF"/>
        </w:rPr>
        <w:t xml:space="preserve">     </w:t>
      </w:r>
      <w:r>
        <w:rPr>
          <w:rFonts w:ascii="Times New Roman" w:hAnsi="Times New Roman" w:cs="Times New Roman"/>
          <w:b/>
        </w:rPr>
        <w:t xml:space="preserve">                                                                     </w:t>
      </w:r>
    </w:p>
    <w:p w14:paraId="06EBA51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D65B9A5">
      <w:pPr>
        <w:spacing w:line="300" w:lineRule="auto"/>
        <w:ind w:left="420"/>
        <w:rPr>
          <w:rFonts w:ascii="Times New Roman" w:hAnsi="Times New Roman" w:cs="Times New Roman"/>
          <w:sz w:val="18"/>
          <w:szCs w:val="18"/>
        </w:rPr>
      </w:pPr>
      <w:r>
        <w:rPr>
          <w:rFonts w:ascii="Times New Roman" w:hAnsi="Times New Roman" w:cs="Times New Roman"/>
          <w:sz w:val="18"/>
          <w:szCs w:val="18"/>
        </w:rPr>
        <w:t>MET基因位于7q31.2，是原癌基因，编码肝细胞生长因子受体（cMet），属于酪氨酸激酶，因此具有酪氨酸激酶活性，与多种癌基因产物和调节蛋白相关。MET激活后，使底物磷酸化，激活细胞内PI3K-AKT-mTOR及RAS-RAF-MEK-ERK等多个下游通路。恶性肿瘤中，MET受体影响信号通路而促进细胞生长、存活、入侵、迁移、血管生成和转移等，许多肿瘤病人在其肿瘤的发生和转移过程中均有c-MET过度表达和扩增，在肺癌、结肠癌、肝癌、直肠癌、胃癌、肾癌、卵巢癌、乳腺癌以及前列腺癌等组织中呈现扩增和过表达等现象。在对靶向药物治疗产生抗药性的肺癌、胃癌等肿瘤患者中也出现MET基因的扩增。MET扩增在肺癌中的突变频率约为2-4%。</w:t>
      </w:r>
    </w:p>
    <w:p w14:paraId="514675D5">
      <w:pPr>
        <w:spacing w:line="300" w:lineRule="auto"/>
        <w:ind w:left="420"/>
        <w:rPr>
          <w:rFonts w:ascii="Times New Roman" w:hAnsi="Times New Roman" w:cs="Times New Roman"/>
          <w:b/>
          <w:szCs w:val="18"/>
        </w:rPr>
      </w:pPr>
      <w:r>
        <w:rPr>
          <w:rFonts w:ascii="Times New Roman" w:hAnsi="Times New Roman" w:cs="Times New Roman"/>
          <w:b/>
          <w:szCs w:val="18"/>
        </w:rPr>
        <w:t>用药说明：</w:t>
      </w:r>
      <w:bookmarkStart w:id="15" w:name="OLE_LINK7"/>
      <w:r>
        <w:rPr>
          <w:rFonts w:ascii="Times New Roman" w:hAnsi="Times New Roman" w:cs="Times New Roman"/>
          <w:b/>
          <w:color w:val="000000"/>
          <w:sz w:val="18"/>
          <w:szCs w:val="18"/>
        </w:rPr>
        <w:t>克唑替尼</w:t>
      </w:r>
      <w:bookmarkEnd w:id="15"/>
      <w:r>
        <w:rPr>
          <w:rFonts w:ascii="Times New Roman" w:hAnsi="Times New Roman" w:cs="Times New Roman"/>
          <w:b/>
          <w:color w:val="000000"/>
          <w:sz w:val="18"/>
          <w:szCs w:val="18"/>
        </w:rPr>
        <w:t>*</w:t>
      </w:r>
      <w:r>
        <w:rPr>
          <w:rFonts w:ascii="Times New Roman" w:hAnsi="Times New Roman" w:cs="Times New Roman"/>
          <w:color w:val="000000"/>
          <w:sz w:val="18"/>
          <w:szCs w:val="18"/>
        </w:rPr>
        <w:t>、</w:t>
      </w:r>
      <w:r>
        <w:rPr>
          <w:rFonts w:ascii="Times New Roman" w:hAnsi="Times New Roman" w:cs="Times New Roman"/>
          <w:b/>
          <w:sz w:val="18"/>
          <w:szCs w:val="18"/>
        </w:rPr>
        <w:t>Tepotinib</w:t>
      </w:r>
      <w:r>
        <w:rPr>
          <w:rFonts w:hint="eastAsia" w:ascii="Times New Roman" w:hAnsi="Times New Roman" w:cs="Times New Roman"/>
          <w:sz w:val="18"/>
          <w:szCs w:val="18"/>
        </w:rPr>
        <w:t>、</w:t>
      </w:r>
      <w:r>
        <w:rPr>
          <w:rFonts w:ascii="Times New Roman" w:hAnsi="Times New Roman" w:cs="Times New Roman"/>
          <w:b/>
          <w:sz w:val="18"/>
          <w:szCs w:val="18"/>
        </w:rPr>
        <w:t>Capmatinib</w:t>
      </w:r>
      <w:r>
        <w:rPr>
          <w:rFonts w:ascii="Times New Roman" w:hAnsi="Times New Roman" w:cs="Times New Roman"/>
          <w:color w:val="000000"/>
          <w:sz w:val="18"/>
          <w:szCs w:val="18"/>
        </w:rPr>
        <w:t>、</w:t>
      </w:r>
      <w:r>
        <w:rPr>
          <w:rFonts w:ascii="Times New Roman" w:hAnsi="Times New Roman" w:cs="Times New Roman"/>
          <w:b/>
          <w:color w:val="000000"/>
          <w:sz w:val="18"/>
          <w:szCs w:val="18"/>
        </w:rPr>
        <w:t>卡博替尼</w:t>
      </w:r>
      <w:r>
        <w:rPr>
          <w:rFonts w:ascii="Times New Roman" w:hAnsi="Times New Roman" w:cs="Times New Roman"/>
          <w:color w:val="000000"/>
          <w:sz w:val="18"/>
          <w:szCs w:val="18"/>
        </w:rPr>
        <w:t>、</w:t>
      </w:r>
      <w:r>
        <w:rPr>
          <w:rFonts w:hint="eastAsia" w:ascii="Times New Roman" w:hAnsi="Times New Roman" w:cs="Times New Roman"/>
          <w:color w:val="000000"/>
          <w:sz w:val="18"/>
          <w:szCs w:val="18"/>
        </w:rPr>
        <w:t>沃利替尼</w:t>
      </w:r>
    </w:p>
    <w:p w14:paraId="760FC048">
      <w:pPr>
        <w:spacing w:line="300" w:lineRule="auto"/>
        <w:ind w:left="420"/>
        <w:rPr>
          <w:rFonts w:ascii="Times New Roman" w:hAnsi="Times New Roman" w:cs="Times New Roman"/>
          <w:sz w:val="18"/>
          <w:szCs w:val="18"/>
        </w:rPr>
      </w:pPr>
      <w:r>
        <w:rPr>
          <w:rFonts w:ascii="Times New Roman" w:hAnsi="Times New Roman" w:cs="Times New Roman"/>
          <w:sz w:val="18"/>
          <w:szCs w:val="18"/>
        </w:rPr>
        <w:t>MET常发生的变异主要包括14号外显子跳跃突变，尤其高发于肺肉瘤样癌。</w:t>
      </w:r>
      <w:r>
        <w:rPr>
          <w:rFonts w:hint="eastAsia" w:ascii="Times New Roman" w:hAnsi="Times New Roman" w:cs="Times New Roman"/>
          <w:sz w:val="18"/>
          <w:szCs w:val="18"/>
        </w:rPr>
        <w:t>F</w:t>
      </w:r>
      <w:r>
        <w:rPr>
          <w:rFonts w:ascii="Times New Roman" w:hAnsi="Times New Roman" w:cs="Times New Roman"/>
          <w:sz w:val="18"/>
          <w:szCs w:val="18"/>
        </w:rPr>
        <w:t>DA</w:t>
      </w:r>
      <w:r>
        <w:rPr>
          <w:rFonts w:hint="eastAsia" w:ascii="Times New Roman" w:hAnsi="Times New Roman" w:cs="Times New Roman"/>
          <w:sz w:val="18"/>
          <w:szCs w:val="18"/>
        </w:rPr>
        <w:t>批准</w:t>
      </w:r>
      <w:r>
        <w:rPr>
          <w:rFonts w:ascii="Times New Roman" w:hAnsi="Times New Roman" w:cs="Times New Roman"/>
          <w:sz w:val="18"/>
          <w:szCs w:val="18"/>
        </w:rPr>
        <w:t>Tepotinib</w:t>
      </w:r>
      <w:r>
        <w:rPr>
          <w:rFonts w:hint="eastAsia" w:ascii="Times New Roman" w:hAnsi="Times New Roman" w:cs="Times New Roman"/>
          <w:sz w:val="18"/>
          <w:szCs w:val="18"/>
        </w:rPr>
        <w:t>、</w:t>
      </w:r>
      <w:r>
        <w:rPr>
          <w:rFonts w:ascii="Times New Roman" w:hAnsi="Times New Roman" w:cs="Times New Roman"/>
          <w:sz w:val="18"/>
          <w:szCs w:val="18"/>
        </w:rPr>
        <w:t>Capmatinib</w:t>
      </w:r>
      <w:r>
        <w:rPr>
          <w:rFonts w:hint="eastAsia" w:ascii="Times New Roman" w:hAnsi="Times New Roman" w:cs="Times New Roman"/>
          <w:sz w:val="18"/>
          <w:szCs w:val="18"/>
        </w:rPr>
        <w:t>用于M</w:t>
      </w:r>
      <w:r>
        <w:rPr>
          <w:rFonts w:ascii="Times New Roman" w:hAnsi="Times New Roman" w:cs="Times New Roman"/>
          <w:sz w:val="18"/>
          <w:szCs w:val="18"/>
        </w:rPr>
        <w:t xml:space="preserve">ET </w:t>
      </w:r>
      <w:r>
        <w:rPr>
          <w:rFonts w:hint="eastAsia" w:ascii="Times New Roman" w:hAnsi="Times New Roman" w:cs="Times New Roman"/>
          <w:sz w:val="18"/>
          <w:szCs w:val="18"/>
        </w:rPr>
        <w:t>1</w:t>
      </w:r>
      <w:r>
        <w:rPr>
          <w:rFonts w:ascii="Times New Roman" w:hAnsi="Times New Roman" w:cs="Times New Roman"/>
          <w:sz w:val="18"/>
          <w:szCs w:val="18"/>
        </w:rPr>
        <w:t>4</w:t>
      </w:r>
      <w:r>
        <w:rPr>
          <w:rFonts w:hint="eastAsia" w:ascii="Times New Roman" w:hAnsi="Times New Roman" w:cs="Times New Roman"/>
          <w:sz w:val="18"/>
          <w:szCs w:val="18"/>
        </w:rPr>
        <w:t>号外显子跳跃突变的非小细胞肺癌患者。</w:t>
      </w:r>
      <w:r>
        <w:rPr>
          <w:rFonts w:ascii="Times New Roman" w:hAnsi="Times New Roman" w:cs="Times New Roman"/>
          <w:sz w:val="18"/>
          <w:szCs w:val="18"/>
        </w:rPr>
        <w:t>NCCN指南推荐克唑替尼</w:t>
      </w:r>
      <w:r>
        <w:rPr>
          <w:rFonts w:hint="eastAsia" w:ascii="Times New Roman" w:hAnsi="Times New Roman" w:cs="Times New Roman"/>
          <w:sz w:val="18"/>
          <w:szCs w:val="18"/>
        </w:rPr>
        <w:t>、</w:t>
      </w:r>
      <w:r>
        <w:rPr>
          <w:rFonts w:ascii="Times New Roman" w:hAnsi="Times New Roman" w:cs="Times New Roman"/>
          <w:sz w:val="18"/>
          <w:szCs w:val="18"/>
        </w:rPr>
        <w:t>Capmatinib用于有较高MET扩增或者MET 14号外显子跳跃突变的非小细胞肺癌患者的治疗</w:t>
      </w:r>
      <w:r>
        <w:rPr>
          <w:rFonts w:hint="eastAsia" w:ascii="Times New Roman" w:hAnsi="Times New Roman" w:cs="Times New Roman"/>
          <w:sz w:val="18"/>
          <w:szCs w:val="18"/>
        </w:rPr>
        <w:t>；</w:t>
      </w:r>
      <w:r>
        <w:rPr>
          <w:rFonts w:ascii="Times New Roman" w:hAnsi="Times New Roman" w:cs="Times New Roman"/>
          <w:sz w:val="18"/>
          <w:szCs w:val="18"/>
        </w:rPr>
        <w:t>Tepotinib用于MET 14号外显子跳跃突变的非小细胞肺癌患者的一线或后续治疗[NCCN_Non-Small Cell Lung Cancer_2021_V5]。</w:t>
      </w:r>
      <w:r>
        <w:rPr>
          <w:rFonts w:hint="eastAsia" w:ascii="Times New Roman" w:hAnsi="Times New Roman" w:cs="Times New Roman"/>
          <w:sz w:val="18"/>
          <w:szCs w:val="18"/>
        </w:rPr>
        <w:t>在</w:t>
      </w:r>
      <w:r>
        <w:rPr>
          <w:rFonts w:ascii="Times New Roman" w:hAnsi="Times New Roman" w:cs="Times New Roman"/>
          <w:sz w:val="18"/>
          <w:szCs w:val="18"/>
        </w:rPr>
        <w:t>II期试验中，沃利替尼治疗MET 14号外显子跳跃突变肺肉瘤样癌患者或其他类型（包括MET 14号外显子跳跃突变）的非小细胞肺癌患者，57.1%为腺癌，35.7%为PSC，其余为其他病理类型（n=70），61名患者可通过IRC评估疗效（N = 61）：ORR为47.5% （95% CI: 34.6%, 60.7%），疾病控制率为93.4%（95% CI: 84.1%, 98.2%），中位反应持续时间尚未达到。所有接受治疗的患者中位无进展生存期为6.8个月（95% CI 4.2, 13.8）[J Clin Oncol 38: 2020 (suppl; abstr 9519)]。还有一项II期试验中，Capmatinib治疗MET 14号外显子跳跃突变非小细胞肺癌患者（n=31），BIRC评估：ORR为48.4%，中位DOR为6.93个月（not yet mature, 95% CI: 4.17–NE），中位PFS为8.11个月（not yet mature, 95% CI: 4.17–9.86）[J Clin Oncol 38: 2020 (suppl; abstr 9520)]。在一项I期试验中，卡博替尼（INC280）治疗导致63％（5/8）的MET扩增非小细胞肺癌患者产生部分缓解[JClinOncol34，2016]。NCCN指南指出MET扩增是非小细胞肺癌对EGFR TKIs原发性耐药的机制[NCCN_Non-SmallCellLungCancer_2021_V5]。研究显示，MET基因扩增与非小细胞肺癌患者的不良预后相关，携带MET扩增的患者总生存率较低。</w:t>
      </w:r>
      <w:r>
        <w:rPr>
          <w:rFonts w:hint="eastAsia" w:ascii="Times New Roman" w:hAnsi="Times New Roman" w:cs="Times New Roman"/>
          <w:sz w:val="18"/>
          <w:szCs w:val="18"/>
        </w:rPr>
        <w:t>目前卡博替尼、伯瑞替尼、</w:t>
      </w:r>
      <w:r>
        <w:rPr>
          <w:rFonts w:ascii="Times New Roman" w:hAnsi="Times New Roman" w:cs="Times New Roman"/>
          <w:sz w:val="18"/>
          <w:szCs w:val="18"/>
        </w:rPr>
        <w:t>Tepotinib</w:t>
      </w:r>
      <w:r>
        <w:rPr>
          <w:rFonts w:hint="eastAsia" w:ascii="Times New Roman" w:hAnsi="Times New Roman" w:cs="Times New Roman"/>
          <w:sz w:val="18"/>
          <w:szCs w:val="18"/>
        </w:rPr>
        <w:t>、克唑替尼等用于非小细胞肺癌或实体瘤患者的临床试验正在开展。</w:t>
      </w:r>
    </w:p>
    <w:p w14:paraId="325749EA">
      <w:pPr>
        <w:spacing w:line="300" w:lineRule="auto"/>
        <w:ind w:left="420"/>
        <w:rPr>
          <w:rFonts w:ascii="Times New Roman" w:hAnsi="Times New Roman" w:cs="Times New Roman"/>
          <w:sz w:val="18"/>
          <w:szCs w:val="18"/>
        </w:rPr>
      </w:pPr>
    </w:p>
    <w:p w14:paraId="11D35A17">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305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5" name="直线 4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8" o:spid="_x0000_s1026" o:spt="20" style="position:absolute;left:0pt;margin-left:-2.6pt;margin-top:12.55pt;height:1.7pt;width:453.4pt;z-index:-2516234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Du4Fb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b+ecObB044/ffzz+&#10;/MXeLbI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DDu4Fb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MTOR                                                                          </w:t>
      </w:r>
    </w:p>
    <w:p w14:paraId="3C123704">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730DF79">
      <w:pPr>
        <w:spacing w:line="300" w:lineRule="auto"/>
        <w:ind w:left="420"/>
        <w:rPr>
          <w:rFonts w:ascii="Times New Roman" w:hAnsi="Times New Roman" w:cs="Times New Roman"/>
          <w:sz w:val="18"/>
          <w:szCs w:val="18"/>
        </w:rPr>
      </w:pPr>
      <w:r>
        <w:rPr>
          <w:rFonts w:ascii="Times New Roman" w:hAnsi="Times New Roman" w:cs="Times New Roman"/>
          <w:sz w:val="18"/>
          <w:szCs w:val="18"/>
        </w:rPr>
        <w:t>MTOR编码一种丝氨酸/苏氨酸蛋白激酶，是细胞信号通路中的关键蛋白，属于磷脂酰肌醇激酶相关的激酶家族。这些激酶介导细胞对DNA损伤和营养缺乏等压力的反应，在细胞生长、分化、增殖、迁移和存活中发挥重要作用，该蛋白还是FKBP12-雷帕霉素复合物的细胞周期阻滞和免疫抑制作用的靶点。近年来发现mTOR相关的信号通路复杂且涉及面广泛，其中多个元素的调控异常均与肿瘤的发生密切相关。超过50%的恶性肿瘤存在mTOR信号通路的过度激活，激活的靶蛋白mTOR影响PI3K-AKT-TSC-mTOMRC1信号通路、as-MAPK-TSC-mTORC1信号通路、LKB1AMPK-TSC-mTOR信号通路，引起肿瘤细胞的快速增殖、癌蛋白分泌增加、细胞周期加快、G1期时程缩短，引发多种肿瘤且利于肿瘤的发展。与MTOR相关的疾病包括食管鳞状细胞癌、乳腺癌、肾癌等。</w:t>
      </w:r>
    </w:p>
    <w:p w14:paraId="2452DF89">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1A63BEC">
      <w:pPr>
        <w:spacing w:line="300" w:lineRule="auto"/>
        <w:ind w:left="420"/>
        <w:rPr>
          <w:rFonts w:ascii="Times New Roman" w:hAnsi="Times New Roman" w:cs="Times New Roman"/>
          <w:sz w:val="18"/>
          <w:szCs w:val="18"/>
        </w:rPr>
      </w:pPr>
      <w:r>
        <w:rPr>
          <w:rFonts w:ascii="Times New Roman" w:hAnsi="Times New Roman" w:cs="Times New Roman"/>
          <w:sz w:val="18"/>
          <w:szCs w:val="18"/>
        </w:rPr>
        <w:t>依维莫司、替西罗莫司和zotarolimus是目前临床治疗中最常用的三种mTOR抑制剂，并取得了一定的成功。一项III期临床试验表明采用依维莫司治疗的肺或胃肠道的神经内分泌瘤患者能显著提PFS [PMID: 26703889]。在临床前的研究中，替西罗莫司治疗显然抑制了mTOR及其下游效应物的活化，导致食管鳞状细胞癌细胞增殖能力的降低。每周给予替西罗莫司可显著减少裸鼠皮下肿瘤的大小，并有效延长携带原位食管癌的小鼠的生存期，通过替西罗莫司靶向mTOR可能成为食管癌治疗的替代方案[PMID:</w:t>
      </w:r>
      <w:r>
        <w:rPr>
          <w:rFonts w:hint="eastAsia" w:ascii="Times New Roman" w:hAnsi="Times New Roman" w:cs="Times New Roman"/>
          <w:sz w:val="18"/>
          <w:szCs w:val="18"/>
        </w:rPr>
        <w:t xml:space="preserve"> </w:t>
      </w:r>
      <w:r>
        <w:rPr>
          <w:rFonts w:ascii="Times New Roman" w:hAnsi="Times New Roman" w:cs="Times New Roman"/>
          <w:sz w:val="18"/>
          <w:szCs w:val="18"/>
        </w:rPr>
        <w:t>23291985]。mTOR通路的激活已被发现与不良临床预后、侵袭和转移相关[PMID: 32016810]。</w:t>
      </w:r>
      <w:r>
        <w:rPr>
          <w:rFonts w:hint="eastAsia" w:ascii="Times New Roman" w:hAnsi="Times New Roman" w:cs="Times New Roman"/>
          <w:sz w:val="18"/>
          <w:szCs w:val="18"/>
        </w:rPr>
        <w:t>目前</w:t>
      </w:r>
      <w:r>
        <w:rPr>
          <w:rFonts w:ascii="Times New Roman" w:hAnsi="Times New Roman" w:cs="Times New Roman"/>
          <w:sz w:val="18"/>
          <w:szCs w:val="18"/>
        </w:rPr>
        <w:t>Sapanisertib</w:t>
      </w:r>
      <w:r>
        <w:rPr>
          <w:rFonts w:hint="eastAsia" w:ascii="Times New Roman" w:hAnsi="Times New Roman" w:cs="Times New Roman"/>
          <w:sz w:val="18"/>
          <w:szCs w:val="18"/>
        </w:rPr>
        <w:t>、依维莫司用于M</w:t>
      </w:r>
      <w:r>
        <w:rPr>
          <w:rFonts w:ascii="Times New Roman" w:hAnsi="Times New Roman" w:cs="Times New Roman"/>
          <w:sz w:val="18"/>
          <w:szCs w:val="18"/>
        </w:rPr>
        <w:t>TOR</w:t>
      </w:r>
      <w:r>
        <w:rPr>
          <w:rFonts w:hint="eastAsia" w:ascii="Times New Roman" w:hAnsi="Times New Roman" w:cs="Times New Roman"/>
          <w:sz w:val="18"/>
          <w:szCs w:val="18"/>
        </w:rPr>
        <w:t>突变实体瘤患者的临床试验正在开展。</w:t>
      </w:r>
    </w:p>
    <w:p w14:paraId="371CA571">
      <w:pPr>
        <w:spacing w:line="300" w:lineRule="auto"/>
        <w:ind w:left="420"/>
        <w:rPr>
          <w:rFonts w:ascii="Times New Roman" w:hAnsi="Times New Roman" w:cs="Times New Roman"/>
          <w:sz w:val="18"/>
          <w:szCs w:val="18"/>
        </w:rPr>
      </w:pPr>
    </w:p>
    <w:p w14:paraId="0505550A">
      <w:pPr>
        <w:spacing w:line="360" w:lineRule="auto"/>
        <w:rPr>
          <w:rFonts w:ascii="Times New Roman" w:hAnsi="Times New Roman" w:cs="Times New Roman"/>
          <w:b/>
          <w:color w:val="000000"/>
        </w:rPr>
      </w:pPr>
      <w:r>
        <w:rPr>
          <w:rFonts w:ascii="Times New Roman" w:hAnsi="Times New Roman" w:cs="Times New Roman"/>
          <w:color w:val="000000"/>
        </w:rPr>
        <mc:AlternateContent>
          <mc:Choice Requires="wps">
            <w:drawing>
              <wp:anchor distT="0" distB="0" distL="114300" distR="114300" simplePos="0" relativeHeight="25170124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3" name="直线 4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9" o:spid="_x0000_s1026" o:spt="20" style="position:absolute;left:0pt;margin-left:-2.6pt;margin-top:12.55pt;height:1.7pt;width:453.4pt;z-index:25170124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D82141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color w:val="000000"/>
        </w:rPr>
        <w:t xml:space="preserve">MYC                                                                         </w:t>
      </w:r>
    </w:p>
    <w:p w14:paraId="3D3CB427">
      <w:pPr>
        <w:spacing w:line="300" w:lineRule="auto"/>
        <w:ind w:left="420"/>
        <w:rPr>
          <w:rFonts w:ascii="Times New Roman" w:hAnsi="Times New Roman" w:cs="Times New Roman"/>
          <w:b/>
          <w:color w:val="000000"/>
          <w:szCs w:val="18"/>
        </w:rPr>
      </w:pPr>
      <w:r>
        <w:rPr>
          <w:rFonts w:ascii="Times New Roman" w:hAnsi="Times New Roman" w:cs="Times New Roman"/>
          <w:b/>
          <w:color w:val="000000"/>
          <w:szCs w:val="18"/>
        </w:rPr>
        <w:t>基因说明：</w:t>
      </w:r>
    </w:p>
    <w:p w14:paraId="7544FD0B">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 xml:space="preserve">MYC是最早被鉴定的一组核内原癌基因，包括C-Myc、N-Myc、L-Myc，编码多功能核磷蛋白核转录因子，接受来自细胞表明生长信号，刺激基因表达，能够促进细胞增殖，永生化，去分化和转化等。MYC编码的蛋白与相关转录因子MAX形成异二聚体，通过结合Ebox DNA共有序列，调节特定靶基因的转录。该基因的扩增突变发生在许多人类癌症中，与该基因相关的易位突变与人类患者的Burkitt淋巴瘤和多发性骨髓瘤有关。MYC基因扩增与多种肿瘤相关，包括乳腺癌、宫颈癌、大肠癌、头颈鳞状细胞癌、黑色素瘤、非霍奇金淋巴瘤、肝癌、胃癌和卵巢癌、造血系统肿瘤、白血病、脑癌等。  </w:t>
      </w:r>
    </w:p>
    <w:p w14:paraId="24C4EB97">
      <w:pPr>
        <w:spacing w:line="300" w:lineRule="auto"/>
        <w:ind w:left="420"/>
        <w:rPr>
          <w:rFonts w:ascii="Times New Roman" w:hAnsi="Times New Roman" w:cs="Times New Roman"/>
          <w:b/>
          <w:color w:val="000000"/>
          <w:szCs w:val="18"/>
        </w:rPr>
      </w:pPr>
      <w:r>
        <w:rPr>
          <w:rFonts w:ascii="Times New Roman" w:hAnsi="Times New Roman" w:cs="Times New Roman"/>
          <w:b/>
          <w:color w:val="000000"/>
          <w:szCs w:val="18"/>
        </w:rPr>
        <w:t>用药说明：</w:t>
      </w:r>
    </w:p>
    <w:p w14:paraId="223A28B4">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在小细胞肺癌的研究中发现，携带MYC扩增或过表达的肿瘤中，Prexasertib可以增强顺铂或者PARP抑制剂奥拉帕利的作用[PMID:</w:t>
      </w:r>
      <w:r>
        <w:rPr>
          <w:rFonts w:hint="eastAsia" w:ascii="Times New Roman" w:hAnsi="Times New Roman" w:cs="Times New Roman"/>
          <w:color w:val="000000"/>
          <w:sz w:val="18"/>
          <w:szCs w:val="18"/>
        </w:rPr>
        <w:t xml:space="preserve"> </w:t>
      </w:r>
      <w:r>
        <w:rPr>
          <w:rFonts w:ascii="Times New Roman" w:hAnsi="Times New Roman" w:cs="Times New Roman"/>
          <w:color w:val="000000"/>
          <w:sz w:val="18"/>
          <w:szCs w:val="18"/>
        </w:rPr>
        <w:t>28490518]。临床前研究表明，ERBB2抑制剂来那替尼联合多西他赛以及Aurora抑制剂GSK1070916对于携带MYC扩增的肿瘤细胞系有协同抑制作用[PMID:</w:t>
      </w:r>
      <w:r>
        <w:rPr>
          <w:rFonts w:hint="eastAsia" w:ascii="Times New Roman" w:hAnsi="Times New Roman" w:cs="Times New Roman"/>
          <w:color w:val="000000"/>
          <w:sz w:val="18"/>
          <w:szCs w:val="18"/>
        </w:rPr>
        <w:t xml:space="preserve"> </w:t>
      </w:r>
      <w:r>
        <w:rPr>
          <w:rFonts w:ascii="Times New Roman" w:hAnsi="Times New Roman" w:cs="Times New Roman"/>
          <w:color w:val="000000"/>
          <w:sz w:val="18"/>
          <w:szCs w:val="18"/>
        </w:rPr>
        <w:t>26018524]。</w:t>
      </w:r>
      <w:r>
        <w:rPr>
          <w:rFonts w:hint="eastAsia" w:ascii="Times New Roman" w:hAnsi="Times New Roman" w:cs="Times New Roman"/>
          <w:color w:val="000000"/>
          <w:sz w:val="18"/>
          <w:szCs w:val="18"/>
        </w:rPr>
        <w:t>对接受吉非替尼治疗的</w:t>
      </w:r>
      <w:r>
        <w:rPr>
          <w:rFonts w:ascii="Times New Roman" w:hAnsi="Times New Roman" w:cs="Times New Roman"/>
          <w:color w:val="000000"/>
          <w:sz w:val="18"/>
          <w:szCs w:val="18"/>
        </w:rPr>
        <w:t>NSCLC患者的研究发现，MYC FISH阳性患者比MYC阴性患者有更高的反应率（p=0.003），更长的进展时间（p=0.01）和总生存率OS（p=0.02）[PMID: 19204574]。</w:t>
      </w:r>
      <w:r>
        <w:rPr>
          <w:rFonts w:hint="eastAsia" w:ascii="Times New Roman" w:hAnsi="Times New Roman" w:cs="Times New Roman"/>
          <w:color w:val="000000"/>
          <w:sz w:val="18"/>
          <w:szCs w:val="18"/>
        </w:rPr>
        <w:t>有研究表明，</w:t>
      </w:r>
      <w:r>
        <w:rPr>
          <w:rFonts w:ascii="Times New Roman" w:hAnsi="Times New Roman" w:cs="Times New Roman"/>
          <w:color w:val="000000"/>
          <w:sz w:val="18"/>
          <w:szCs w:val="18"/>
        </w:rPr>
        <w:t>MYC的激活或者扩增是小细胞肺癌细胞对依维莫司（mTOR抑制剂）耐药的主要原因之一[PMID: 25884680; PMID: 25122428]。</w:t>
      </w:r>
      <w:r>
        <w:rPr>
          <w:rFonts w:hint="eastAsia" w:ascii="Times New Roman" w:hAnsi="Times New Roman" w:cs="Times New Roman"/>
          <w:color w:val="000000"/>
          <w:sz w:val="18"/>
          <w:szCs w:val="18"/>
        </w:rPr>
        <w:t>在结直肠癌患者中，</w:t>
      </w:r>
      <w:r>
        <w:rPr>
          <w:rFonts w:ascii="Times New Roman" w:hAnsi="Times New Roman" w:cs="Times New Roman"/>
          <w:color w:val="000000"/>
          <w:sz w:val="18"/>
          <w:szCs w:val="18"/>
        </w:rPr>
        <w:t>c-MYC拷贝数增加是预后不良的独立因素[PMID: 26426996]。</w:t>
      </w:r>
      <w:r>
        <w:rPr>
          <w:rFonts w:hint="eastAsia" w:ascii="Times New Roman" w:hAnsi="Times New Roman" w:cs="Times New Roman"/>
          <w:sz w:val="18"/>
          <w:szCs w:val="18"/>
        </w:rPr>
        <w:t>目前</w:t>
      </w:r>
      <w:r>
        <w:rPr>
          <w:rFonts w:ascii="Times New Roman" w:hAnsi="Times New Roman" w:cs="Times New Roman"/>
          <w:sz w:val="18"/>
          <w:szCs w:val="18"/>
        </w:rPr>
        <w:t>KB0742</w:t>
      </w:r>
      <w:r>
        <w:rPr>
          <w:rFonts w:hint="eastAsia" w:ascii="Times New Roman" w:hAnsi="Times New Roman" w:cs="Times New Roman"/>
          <w:sz w:val="18"/>
          <w:szCs w:val="18"/>
        </w:rPr>
        <w:t>用于</w:t>
      </w:r>
      <w:r>
        <w:rPr>
          <w:rFonts w:ascii="Times New Roman" w:hAnsi="Times New Roman" w:cs="Times New Roman"/>
          <w:sz w:val="18"/>
          <w:szCs w:val="18"/>
        </w:rPr>
        <w:t>MYC</w:t>
      </w:r>
      <w:r>
        <w:rPr>
          <w:rFonts w:hint="eastAsia" w:ascii="Times New Roman" w:hAnsi="Times New Roman" w:cs="Times New Roman"/>
          <w:sz w:val="18"/>
          <w:szCs w:val="18"/>
        </w:rPr>
        <w:t>突变实体瘤患者的临床试验正在开展。</w:t>
      </w:r>
    </w:p>
    <w:p w14:paraId="1EC59B02">
      <w:pPr>
        <w:spacing w:line="300" w:lineRule="auto"/>
        <w:ind w:left="420"/>
        <w:rPr>
          <w:rFonts w:ascii="Times New Roman" w:hAnsi="Times New Roman" w:cs="Times New Roman"/>
          <w:color w:val="000000"/>
          <w:sz w:val="18"/>
          <w:szCs w:val="18"/>
        </w:rPr>
      </w:pPr>
    </w:p>
    <w:p w14:paraId="61FB73B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660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5" name="直线 5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0" o:spid="_x0000_s1026" o:spt="20" style="position:absolute;left:0pt;margin-left:-2.6pt;margin-top:12.55pt;height:1.7pt;width:453.4pt;z-index:2517166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b3+2X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MYCN                                                                          </w:t>
      </w:r>
    </w:p>
    <w:p w14:paraId="4598ADF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F828B9C">
      <w:pPr>
        <w:spacing w:line="300" w:lineRule="auto"/>
        <w:ind w:left="420"/>
        <w:rPr>
          <w:rFonts w:ascii="Times New Roman" w:hAnsi="Times New Roman" w:cs="Times New Roman"/>
          <w:sz w:val="18"/>
          <w:szCs w:val="18"/>
        </w:rPr>
      </w:pPr>
      <w:r>
        <w:rPr>
          <w:rFonts w:ascii="Times New Roman" w:hAnsi="Times New Roman" w:cs="Times New Roman"/>
          <w:sz w:val="18"/>
          <w:szCs w:val="18"/>
        </w:rPr>
        <w:t>MYCN为原癌基因，是MYC家族成员之一，其编码的蛋白具有基本的螺旋-环-螺旋(bHLH) 结构域，该蛋白位于细胞核内中，必须与另一种bHLH蛋白形成二聚体才能结合DNA。磷酸化的MYVN蛋白会与AURKA和FBXW7竞争，但是未磷酸化的不参与竞争结合。该基因参与细胞凋亡抑制功能以及参与肿瘤干细胞信号通路从而发挥作用。已经发现MYCN既可以作为转录激活物又可以作为阻遏物起作用，调节参与细胞周期、增殖、凋亡、代谢和肿瘤微环境调节，以及其他过程[PMID</w:t>
      </w:r>
      <w:r>
        <w:rPr>
          <w:rFonts w:hint="eastAsia" w:ascii="Times New Roman" w:hAnsi="Times New Roman" w:cs="Times New Roman"/>
          <w:sz w:val="18"/>
          <w:szCs w:val="18"/>
        </w:rPr>
        <w:t xml:space="preserve">: </w:t>
      </w:r>
      <w:r>
        <w:rPr>
          <w:rFonts w:ascii="Times New Roman" w:hAnsi="Times New Roman" w:cs="Times New Roman"/>
          <w:sz w:val="18"/>
          <w:szCs w:val="18"/>
        </w:rPr>
        <w:t xml:space="preserve">20399964]。该基因的扩增与多种肿瘤相关，尤其是神经母细胞瘤。已发现该基因存在多个编码不同亚型的交替剪接转录变体。与MYCN相关的疾病包括眼癌、神经母细胞瘤、子宫内膜癌、肠道癌症等。 </w:t>
      </w:r>
    </w:p>
    <w:p w14:paraId="42A3766D">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114BDA0">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目前没有FDA批准的用于MYCN突变的靶向药物。在1596名神经母细胞瘤患者的队列中，非MYCN扩增病例无进展生存时间为74个月，MYCN扩增病例的无进展生存期为39个月，两组之间具有统计学差异（p &lt; 0.0001)，提示MYCN扩增的神经母细胞瘤患者预后较差[PMID: 25517749]。目前临床阶段的药物多集中于靶向MYCN下游靶点、参与MYCN转录活性和稳定的药物，例如CBL0137、GSK126、比拉瑞塞等都可以抑制MYCN突变，发挥药物抑制作用。</w:t>
      </w:r>
      <w:r>
        <w:rPr>
          <w:rFonts w:hint="eastAsia" w:ascii="Times New Roman" w:hAnsi="Times New Roman" w:cs="Times New Roman"/>
          <w:color w:val="000000"/>
          <w:sz w:val="18"/>
          <w:szCs w:val="18"/>
        </w:rPr>
        <w:t>有研究报道，</w:t>
      </w:r>
      <w:r>
        <w:rPr>
          <w:rFonts w:ascii="Times New Roman" w:hAnsi="Times New Roman" w:cs="Times New Roman"/>
          <w:color w:val="000000"/>
          <w:sz w:val="18"/>
          <w:szCs w:val="18"/>
        </w:rPr>
        <w:t>MYCN与非小细胞肺癌的复发时间有关[PMID: 26858029]。</w:t>
      </w:r>
    </w:p>
    <w:p w14:paraId="08D619B8">
      <w:pPr>
        <w:spacing w:line="300" w:lineRule="auto"/>
        <w:ind w:left="420"/>
        <w:rPr>
          <w:rFonts w:ascii="Times New Roman" w:hAnsi="Times New Roman" w:cs="Times New Roman"/>
          <w:sz w:val="18"/>
          <w:szCs w:val="18"/>
        </w:rPr>
      </w:pPr>
    </w:p>
    <w:p w14:paraId="486026C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9440"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8" name="直线 51"/>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1" o:spid="_x0000_s1026" o:spt="20" style="position:absolute;left:0pt;margin-left:-2.55pt;margin-top:12.55pt;height:1.7pt;width:453.45pt;z-index:25170944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ra5SV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NRAS                                                                          </w:t>
      </w:r>
    </w:p>
    <w:p w14:paraId="39835A68">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9029C59">
      <w:pPr>
        <w:spacing w:line="300" w:lineRule="auto"/>
        <w:ind w:left="420"/>
        <w:rPr>
          <w:rFonts w:ascii="Times New Roman" w:hAnsi="Times New Roman" w:cs="Times New Roman"/>
          <w:b/>
          <w:szCs w:val="18"/>
        </w:rPr>
      </w:pPr>
      <w:r>
        <w:rPr>
          <w:rFonts w:ascii="Times New Roman" w:hAnsi="Times New Roman" w:cs="Times New Roman"/>
          <w:sz w:val="18"/>
          <w:szCs w:val="18"/>
        </w:rPr>
        <w:t>NRAS基因属于RAS基因家族，是一种致癌基因，编码的膜蛋白穿梭于高尔基体和细胞质膜之间。这种穿梭机制是通过调节ZDHHC9-GOLGA7复合体的棕榈酰化和去棕榈酰化实现的。在正常细胞中</w:t>
      </w:r>
      <w:r>
        <w:rPr>
          <w:rFonts w:hint="eastAsia" w:ascii="Times New Roman" w:hAnsi="Times New Roman" w:cs="Times New Roman"/>
          <w:sz w:val="18"/>
          <w:szCs w:val="18"/>
        </w:rPr>
        <w:t>，</w:t>
      </w:r>
      <w:r>
        <w:rPr>
          <w:rFonts w:ascii="Times New Roman" w:hAnsi="Times New Roman" w:cs="Times New Roman"/>
          <w:sz w:val="18"/>
          <w:szCs w:val="18"/>
        </w:rPr>
        <w:t>Ras以非活化状态（GDP结合型）存在，当受到外源信号刺激，Ras发生磷酸化，构象改变而成为活化的GTP结合型，刺激下游信号传导，导致肿瘤的发生。NRAS信号的激活会导致下游多条信号通路激活，包括RAS/RAF/MEK/ERK信号通路和PI3K/AKT/mTOR信号通路，从而刺激细胞持续增殖、分化和生存。NRAS G12A/C/D/N/P/R/S/V是位于NRAS蛋白GTP结合区的热点突变。变体尚未被表征，但可以预测将使NRAS蛋白会丧失功能，这导致GTPase活性降低，对GTPase激活蛋白的反应丧失，以及培养细胞的转化[PMID: 6092966; PMID: 26037647; PMID: 19075190]。NRAS基因突变常见于结直肠癌、黑色素瘤、肝细胞癌、髓系白血病和甲状腺癌。</w:t>
      </w:r>
    </w:p>
    <w:p w14:paraId="5E3968F5">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color w:val="000000"/>
          <w:sz w:val="18"/>
          <w:szCs w:val="18"/>
        </w:rPr>
        <w:t>西妥昔单抗*</w:t>
      </w:r>
      <w:r>
        <w:rPr>
          <w:rFonts w:ascii="Times New Roman" w:hAnsi="Times New Roman" w:cs="Times New Roman"/>
          <w:color w:val="000000"/>
          <w:sz w:val="18"/>
          <w:szCs w:val="18"/>
        </w:rPr>
        <w:t>、</w:t>
      </w:r>
      <w:r>
        <w:rPr>
          <w:rFonts w:ascii="Times New Roman" w:hAnsi="Times New Roman" w:cs="Times New Roman"/>
          <w:b/>
          <w:color w:val="000000"/>
          <w:sz w:val="18"/>
          <w:szCs w:val="18"/>
        </w:rPr>
        <w:t>帕尼单抗</w:t>
      </w:r>
      <w:r>
        <w:rPr>
          <w:rFonts w:ascii="Times New Roman" w:hAnsi="Times New Roman" w:cs="Times New Roman"/>
          <w:color w:val="000000"/>
          <w:sz w:val="18"/>
          <w:szCs w:val="18"/>
        </w:rPr>
        <w:t>、Navitoclax + 曲美替尼、贝美替尼</w:t>
      </w:r>
    </w:p>
    <w:p w14:paraId="03A8C3A1">
      <w:pPr>
        <w:spacing w:line="360" w:lineRule="auto"/>
        <w:ind w:left="420"/>
        <w:rPr>
          <w:rFonts w:ascii="Times New Roman" w:hAnsi="Times New Roman" w:cs="Times New Roman"/>
          <w:sz w:val="18"/>
          <w:szCs w:val="18"/>
        </w:rPr>
      </w:pPr>
      <w:r>
        <w:rPr>
          <w:rFonts w:ascii="Times New Roman" w:hAnsi="Times New Roman" w:cs="Times New Roman"/>
          <w:sz w:val="18"/>
          <w:szCs w:val="18"/>
        </w:rPr>
        <w:t>临床前模型中NRAS突变的NSCLC显示出对MEK抑制剂敏感。FDA批准西妥昔单抗和帕尼单抗用于RAS野生型(定义为KRAS和NRAS中的野生型)转移性结直肠癌(mCRC)患者</w:t>
      </w:r>
      <w:r>
        <w:rPr>
          <w:rFonts w:hint="eastAsia" w:ascii="Times New Roman" w:hAnsi="Times New Roman" w:cs="Times New Roman"/>
          <w:sz w:val="18"/>
          <w:szCs w:val="18"/>
        </w:rPr>
        <w:t>。结直肠癌中，</w:t>
      </w:r>
      <w:r>
        <w:rPr>
          <w:rFonts w:ascii="Times New Roman" w:hAnsi="Times New Roman" w:cs="Times New Roman"/>
          <w:sz w:val="18"/>
          <w:szCs w:val="18"/>
        </w:rPr>
        <w:t>NRAS野生型对西妥昔单抗[PMID: 30463680]、帕尼单抗（EGFR单抗）[PMID: 29587749; PMID: 29737864]敏感性增加</w:t>
      </w:r>
      <w:r>
        <w:rPr>
          <w:rFonts w:hint="eastAsia" w:ascii="Times New Roman" w:hAnsi="Times New Roman" w:cs="Times New Roman"/>
          <w:sz w:val="18"/>
          <w:szCs w:val="18"/>
        </w:rPr>
        <w:t>。</w:t>
      </w:r>
      <w:r>
        <w:rPr>
          <w:rFonts w:ascii="Times New Roman" w:hAnsi="Times New Roman" w:cs="Times New Roman"/>
          <w:sz w:val="18"/>
          <w:szCs w:val="18"/>
        </w:rPr>
        <w:t>案例研究报道，2例携带Q61K NRAS突变的转移性结直肠癌（mCRC）对贝伐珠单抗联合组蛋白脱乙酰酶抑制剂丙戊酸有良好反应，两名患者第一次评估均表现出肿瘤缩小，患者1持续治疗了13个月以上。患者2获得部分响应并且在报道时已持续治疗8个月以上[PMID: 23400451]。黑色素瘤中，NRAS突变的患者对贝美替尼敏感[PMID: 28284557]。NRAS突变和上调会对表皮生长因子受体(EGFR)和BRAF抑制剂治疗产生抗性[PMID: 24024839]。KRAS、NRAS及BRAF处于EGFR的下游通路中，NRAS的突变状态可能对于帕尼单抗的用药具有一定影响。</w:t>
      </w:r>
      <w:r>
        <w:rPr>
          <w:rFonts w:hint="eastAsia" w:ascii="Times New Roman" w:hAnsi="Times New Roman" w:cs="Times New Roman"/>
          <w:sz w:val="18"/>
          <w:szCs w:val="18"/>
        </w:rPr>
        <w:t>目前</w:t>
      </w:r>
      <w:r>
        <w:rPr>
          <w:rFonts w:ascii="Times New Roman" w:hAnsi="Times New Roman" w:cs="Times New Roman"/>
          <w:sz w:val="18"/>
          <w:szCs w:val="18"/>
        </w:rPr>
        <w:t>HH2710</w:t>
      </w:r>
      <w:r>
        <w:rPr>
          <w:rFonts w:hint="eastAsia" w:ascii="Times New Roman" w:hAnsi="Times New Roman" w:cs="Times New Roman"/>
          <w:sz w:val="18"/>
          <w:szCs w:val="18"/>
        </w:rPr>
        <w:t>、西罗莫司、贝美替尼用于N</w:t>
      </w:r>
      <w:r>
        <w:rPr>
          <w:rFonts w:ascii="Times New Roman" w:hAnsi="Times New Roman" w:cs="Times New Roman"/>
          <w:sz w:val="18"/>
          <w:szCs w:val="18"/>
        </w:rPr>
        <w:t>RAS</w:t>
      </w:r>
      <w:r>
        <w:rPr>
          <w:rFonts w:hint="eastAsia" w:ascii="Times New Roman" w:hAnsi="Times New Roman" w:cs="Times New Roman"/>
          <w:sz w:val="18"/>
          <w:szCs w:val="18"/>
        </w:rPr>
        <w:t>突变的实体瘤患者的临床试验正在开展。</w:t>
      </w:r>
    </w:p>
    <w:p w14:paraId="758C4AD5">
      <w:pPr>
        <w:spacing w:line="300" w:lineRule="auto"/>
        <w:rPr>
          <w:rFonts w:ascii="Times New Roman" w:hAnsi="Times New Roman" w:cs="Times New Roman"/>
          <w:sz w:val="18"/>
          <w:szCs w:val="18"/>
        </w:rPr>
      </w:pPr>
    </w:p>
    <w:p w14:paraId="63338B05">
      <w:pPr>
        <w:spacing w:line="360" w:lineRule="auto"/>
        <w:rPr>
          <w:rFonts w:ascii="Times New Roman" w:hAnsi="Times New Roman" w:cs="Times New Roman"/>
          <w:b/>
          <w:szCs w:val="18"/>
        </w:rPr>
      </w:pPr>
      <w:r>
        <w:rPr>
          <w:rFonts w:ascii="Times New Roman" w:hAnsi="Times New Roman" w:cs="Times New Roman"/>
        </w:rPr>
        <mc:AlternateContent>
          <mc:Choice Requires="wps">
            <w:drawing>
              <wp:anchor distT="0" distB="0" distL="114300" distR="114300" simplePos="0" relativeHeight="251675648" behindDoc="1" locked="0" layoutInCell="1" allowOverlap="1">
                <wp:simplePos x="0" y="0"/>
                <wp:positionH relativeFrom="column">
                  <wp:posOffset>-32385</wp:posOffset>
                </wp:positionH>
                <wp:positionV relativeFrom="paragraph">
                  <wp:posOffset>168275</wp:posOffset>
                </wp:positionV>
                <wp:extent cx="5758815" cy="21590"/>
                <wp:effectExtent l="0" t="9525" r="3810" b="16510"/>
                <wp:wrapNone/>
                <wp:docPr id="18" name="直线 5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2" o:spid="_x0000_s1026" o:spt="20" style="position:absolute;left:0pt;margin-left:-2.55pt;margin-top:13.25pt;height:1.7pt;width:453.45pt;z-index:-251640832;mso-width-relative:page;mso-height-relative:page;" filled="f" stroked="t" coordsize="21600,21600" o:gfxdata="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sq&#10;JgTXAAAACAEAAA8AAAAAAAAAAQAgAAAAIgAAAGRycy9kb3ducmV2LnhtbFBLAQIUABQAAAAIAIdO&#10;4kBmz+uu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NTRK1                                                                    </w:t>
      </w:r>
    </w:p>
    <w:p w14:paraId="3817B4B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5D6D7A8">
      <w:pPr>
        <w:spacing w:line="300" w:lineRule="auto"/>
        <w:ind w:left="420"/>
        <w:rPr>
          <w:rFonts w:ascii="Times New Roman" w:hAnsi="Times New Roman" w:cs="Times New Roman"/>
          <w:sz w:val="18"/>
          <w:szCs w:val="18"/>
        </w:rPr>
      </w:pPr>
      <w:r>
        <w:rPr>
          <w:rFonts w:ascii="Times New Roman" w:hAnsi="Times New Roman" w:cs="Times New Roman"/>
          <w:sz w:val="18"/>
          <w:szCs w:val="18"/>
        </w:rPr>
        <w:t>NTRK1 基因编码原肌球蛋白受体激酶 A（TrkA），是 Trk 受体酪氨酸激酶家族的成员。NTRK1基因位于1q23.1，编码的蛋白属于神经营养因子酪氨酸激酶受体家族的成员，在生物学上， TrkAI 被认为是神经母细胞瘤中的肿瘤抑制因子。这种激酶是一种膜结合受体，通过与神经营养因子结合，使其自身以及MAPK信号通路的成员磷酸化。如果与其它基因发生融合，可导致异常激活，从而引起肿瘤的发生，与NTRK1相关的疾病包括无汗症、精神发育迟滞、乳头状甲状腺癌、肺癌、多形性胶质母细胞瘤等。NTRK1 重排发生在 12%的乳头状甲状腺癌中， 3.3%的肺癌和近 1%的多形性恶性胶质瘤中。NTRK1 基因融合了完整的 TRKA 激酶结构域，导致了 TRKA 激酶活性组成</w:t>
      </w:r>
      <w:r>
        <w:rPr>
          <w:rFonts w:hint="eastAsia" w:ascii="Times New Roman" w:hAnsi="Times New Roman" w:cs="Times New Roman"/>
          <w:sz w:val="18"/>
          <w:szCs w:val="18"/>
        </w:rPr>
        <w:t>型</w:t>
      </w:r>
      <w:r>
        <w:rPr>
          <w:rFonts w:ascii="Times New Roman" w:hAnsi="Times New Roman" w:cs="Times New Roman"/>
          <w:sz w:val="18"/>
          <w:szCs w:val="18"/>
        </w:rPr>
        <w:t>激活。MPRIP-NTRK1(M21;N14)和CD74-NTRK1 (C8;N12)融合基因是肺腺癌的致癌基因，是肺癌新的癌基因靶点。</w:t>
      </w:r>
    </w:p>
    <w:p w14:paraId="3D60F13F">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恩曲替尼、拉罗替尼</w:t>
      </w:r>
    </w:p>
    <w:p w14:paraId="3B9BD0EB">
      <w:pPr>
        <w:spacing w:line="360" w:lineRule="auto"/>
        <w:ind w:left="420"/>
        <w:rPr>
          <w:rFonts w:ascii="Times New Roman" w:hAnsi="Times New Roman" w:cs="Times New Roman"/>
          <w:sz w:val="18"/>
          <w:szCs w:val="18"/>
        </w:rPr>
      </w:pPr>
      <w:r>
        <w:rPr>
          <w:rFonts w:ascii="Times New Roman" w:hAnsi="Times New Roman" w:cs="Times New Roman"/>
          <w:sz w:val="18"/>
          <w:szCs w:val="18"/>
        </w:rPr>
        <w:t>FDA批准NTRK基因抑制剂拉罗替尼和恩曲替尼用于治疗患有NTRK基因融合的局部晚期或转移性实体瘤的成人和儿童患者。恩曲替尼和拉罗替尼是一种广谱抗癌靶向药，在多种肿瘤中有效性一致。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VMD928</w:t>
      </w:r>
      <w:r>
        <w:rPr>
          <w:rFonts w:hint="eastAsia" w:ascii="Times New Roman" w:hAnsi="Times New Roman" w:cs="Times New Roman"/>
          <w:sz w:val="18"/>
          <w:szCs w:val="18"/>
        </w:rPr>
        <w:t>、</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TRK1</w:t>
      </w:r>
      <w:r>
        <w:rPr>
          <w:rFonts w:hint="eastAsia" w:ascii="Times New Roman" w:hAnsi="Times New Roman" w:cs="Times New Roman"/>
          <w:sz w:val="18"/>
          <w:szCs w:val="18"/>
        </w:rPr>
        <w:t>扩增或融合的实体瘤患者的临床试验正在开展。</w:t>
      </w:r>
    </w:p>
    <w:p w14:paraId="0B029B89">
      <w:pPr>
        <w:spacing w:line="360" w:lineRule="auto"/>
        <w:ind w:left="420"/>
        <w:rPr>
          <w:rFonts w:ascii="Times New Roman" w:hAnsi="Times New Roman" w:cs="Times New Roman"/>
          <w:sz w:val="18"/>
          <w:szCs w:val="18"/>
        </w:rPr>
      </w:pPr>
    </w:p>
    <w:p w14:paraId="47E5285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848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9" name="直线 5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3" o:spid="_x0000_s1026" o:spt="20" style="position:absolute;left:0pt;margin-left:-2.6pt;margin-top:12.55pt;height:1.7pt;width:453.4pt;z-index:-25164800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WbC2O6QEAAN8DAAAOAAAAZHJzL2Uyb0RvYy54bWytU0uO&#10;EzEQ3SNxB8t70p2g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S84cWLrwx+8/Hn/+&#10;YvO3WZwhYEM5d24bzycM25iZHrto8584sGMR9HQRVB0TE+Scv5svpgvSWlBsNp0vi+DVc3GImD4o&#10;b1k2Wm60y3yhgcNHTNSQUp9Ssts4NtDOLut5xgTavo5unUwbiAG6fSlGb7S818bkEoz73Z2J7AB5&#10;A+pZffM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lmwtju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NTRK2</w:t>
      </w:r>
      <w:r>
        <w:rPr>
          <w:rFonts w:ascii="Times New Roman" w:hAnsi="Times New Roman" w:cs="Times New Roman"/>
          <w:b/>
          <w:color w:val="FF0000"/>
        </w:rPr>
        <w:t xml:space="preserve"> </w:t>
      </w:r>
      <w:r>
        <w:rPr>
          <w:rFonts w:ascii="Times New Roman" w:hAnsi="Times New Roman" w:cs="Times New Roman"/>
          <w:b/>
        </w:rPr>
        <w:t xml:space="preserve">                                                                        </w:t>
      </w:r>
    </w:p>
    <w:p w14:paraId="0F88064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70FFC00">
      <w:pPr>
        <w:spacing w:line="300" w:lineRule="auto"/>
        <w:ind w:left="420"/>
        <w:rPr>
          <w:rFonts w:ascii="Times New Roman" w:hAnsi="Times New Roman" w:cs="Times New Roman"/>
          <w:sz w:val="18"/>
          <w:szCs w:val="18"/>
        </w:rPr>
      </w:pPr>
      <w:r>
        <w:rPr>
          <w:rFonts w:ascii="Times New Roman" w:hAnsi="Times New Roman" w:cs="Times New Roman"/>
          <w:sz w:val="18"/>
          <w:szCs w:val="18"/>
        </w:rPr>
        <w:t>NTRK2基因</w:t>
      </w:r>
      <w:r>
        <w:rPr>
          <w:rFonts w:hint="eastAsia" w:ascii="Times New Roman" w:hAnsi="Times New Roman" w:cs="Times New Roman"/>
          <w:sz w:val="18"/>
          <w:szCs w:val="18"/>
        </w:rPr>
        <w:t>（</w:t>
      </w:r>
      <w:r>
        <w:rPr>
          <w:rFonts w:ascii="Times New Roman" w:hAnsi="Times New Roman" w:cs="Times New Roman"/>
          <w:sz w:val="18"/>
          <w:szCs w:val="18"/>
        </w:rPr>
        <w:t>神经营养受体酪氨酸激酶2</w:t>
      </w:r>
      <w:r>
        <w:rPr>
          <w:rFonts w:hint="eastAsia" w:ascii="Times New Roman" w:hAnsi="Times New Roman" w:cs="Times New Roman"/>
          <w:sz w:val="18"/>
          <w:szCs w:val="18"/>
        </w:rPr>
        <w:t>）</w:t>
      </w:r>
      <w:r>
        <w:rPr>
          <w:rFonts w:ascii="Times New Roman" w:hAnsi="Times New Roman" w:cs="Times New Roman"/>
          <w:sz w:val="18"/>
          <w:szCs w:val="18"/>
        </w:rPr>
        <w:t>编码跨膜神经营养受体，该受体参与对正常神经发育重要的信号传导[PMID: 8145823]。NTRK2由胞外配体结合结构域、跨膜结构域和含有酪氨酸激酶结构域的胞内区域组成。神经细胞中的正常激活发生在结合其三个配体之一时，即神经生长因子(NGF)、脑源性神经营养因子(BDNF)或神经营养因子-3 (NT-3)，导致通过MAPK和PI3K[PMID: 10851172]。在神经细胞中的正常的激活机制是通过结合NGF、BDNF、NT-3引发自磷酸化和下游的MAPK等信号通路的激活，继而调控和促进细胞的增殖、生存以及分化。在几种人类癌症中发现了NTRK2的改变，特别是融合，例如肺癌、毛细胞星形细胞瘤和神经母细胞瘤[PMID: 9049830]。</w:t>
      </w:r>
    </w:p>
    <w:p w14:paraId="78990EAA">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拉罗替尼、恩曲替尼</w:t>
      </w:r>
    </w:p>
    <w:p w14:paraId="15404917">
      <w:pPr>
        <w:spacing w:line="360" w:lineRule="auto"/>
        <w:ind w:left="420"/>
        <w:rPr>
          <w:rFonts w:ascii="Times New Roman" w:hAnsi="Times New Roman" w:cs="Times New Roman"/>
          <w:sz w:val="18"/>
          <w:szCs w:val="18"/>
        </w:rPr>
      </w:pPr>
      <w:r>
        <w:rPr>
          <w:rFonts w:ascii="Times New Roman" w:hAnsi="Times New Roman"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TRK2</w:t>
      </w:r>
      <w:r>
        <w:rPr>
          <w:rFonts w:hint="eastAsia" w:ascii="Times New Roman" w:hAnsi="Times New Roman" w:cs="Times New Roman"/>
          <w:sz w:val="18"/>
          <w:szCs w:val="18"/>
        </w:rPr>
        <w:t>融合的实体瘤患者的临床试验正在开展。</w:t>
      </w:r>
    </w:p>
    <w:p w14:paraId="2B5695EE">
      <w:pPr>
        <w:spacing w:line="300" w:lineRule="auto"/>
        <w:rPr>
          <w:rFonts w:ascii="Times New Roman" w:hAnsi="Times New Roman" w:cs="Times New Roman"/>
          <w:sz w:val="18"/>
          <w:szCs w:val="18"/>
        </w:rPr>
      </w:pPr>
    </w:p>
    <w:p w14:paraId="5C1078F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281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5" name="直线 5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4" o:spid="_x0000_s1026" o:spt="20" style="position:absolute;left:0pt;margin-left:-2.6pt;margin-top:12.55pt;height:1.7pt;width:453.4pt;z-index:-25163366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fhepq6wEAAOADAAAOAAAAZHJzL2Uyb0RvYy54bWytU0tu&#10;2zAQ3RfoHQjua8lGlS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vmg4c2Dpxh+//3j8&#10;+Ys1b7M6Y8CWku7cJp5OGDYxUz300eY/kWCHoujxrKg6JCbI2bxrrufXJLag2GLe3BTFq+fiEDF9&#10;UN6ybHTcaJcJQwv7j5ioIaU+pWS3cWykpb2pm4wJtH49XTuZNhAFdLtSjN5oea+NySUYd9s7E9ke&#10;8grUi/rqaYa/0nKXNeAw5ZXQtBxWJ5WpQzsokO+dZOkYSCVHr4PnaaySnBlFjylbJTOBNpdkEjvj&#10;iGQWeZI1W1svj0Xt4qeLLzKcljRv1p/nUv38MF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fhepq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NTRK3                                                                         </w:t>
      </w:r>
    </w:p>
    <w:p w14:paraId="08473111">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50C73A9">
      <w:pPr>
        <w:spacing w:line="300" w:lineRule="auto"/>
        <w:ind w:left="420"/>
        <w:rPr>
          <w:rFonts w:ascii="Times New Roman" w:hAnsi="Times New Roman" w:cs="Times New Roman"/>
          <w:b/>
          <w:szCs w:val="18"/>
        </w:rPr>
      </w:pPr>
      <w:r>
        <w:rPr>
          <w:rFonts w:ascii="Times New Roman" w:hAnsi="Times New Roman" w:cs="Times New Roman"/>
          <w:sz w:val="18"/>
          <w:szCs w:val="18"/>
        </w:rPr>
        <w:t>NTRK3又</w:t>
      </w:r>
      <w:r>
        <w:rPr>
          <w:rFonts w:hint="eastAsia" w:ascii="Times New Roman" w:hAnsi="Times New Roman" w:cs="Times New Roman"/>
          <w:sz w:val="18"/>
          <w:szCs w:val="18"/>
        </w:rPr>
        <w:t>称</w:t>
      </w:r>
      <w:r>
        <w:rPr>
          <w:rFonts w:ascii="Times New Roman" w:hAnsi="Times New Roman" w:cs="Times New Roman"/>
          <w:sz w:val="18"/>
          <w:szCs w:val="18"/>
        </w:rPr>
        <w:t>为TRKC，编码神经营养酪氨酸受体激酶(NTRK)家族成员。该激酶由胞外配体结合区域、跨膜区域以及胞内含酪氨酸激酶区域构成，是一种膜结合受体，通过与神经营养蛋白结合，从而磷酸化自身和MAPK通路的成员，通过这种激酶的信号传导导致细胞分化，并在能够感觉身体位置的本体感受神经元的发育中起作用。已经发现，在几种人类癌症中，NTRK3主要以致癌融合的形式发生改变[PMID: 24705251]。NTRK3表达主要见于神经元细胞和神经外胚叶肿瘤，与NTRK3相关的疾病还包括分泌性乳腺癌、纤维肉瘤和先天性中胚层肾瘤。约有14%急性髓细胞白血病AML-M2患者存在ETV6-NTRK3融合基因t(12;15) (p12;q25) ；融合基</w:t>
      </w:r>
      <w:r>
        <w:rPr>
          <w:rFonts w:hint="eastAsia" w:ascii="Times New Roman" w:hAnsi="Times New Roman" w:cs="Times New Roman"/>
          <w:sz w:val="18"/>
          <w:szCs w:val="18"/>
        </w:rPr>
        <w:t>因</w:t>
      </w:r>
      <w:r>
        <w:rPr>
          <w:rFonts w:ascii="Times New Roman" w:hAnsi="Times New Roman" w:cs="Times New Roman"/>
          <w:sz w:val="18"/>
          <w:szCs w:val="18"/>
        </w:rPr>
        <w:t xml:space="preserve">ETV6-NTRK3在分泌型乳腺癌中的表达率为90.9%，特异性达100%；食管癌组织标本中验证NTRK3基因的断裂频率为14.7%。 </w:t>
      </w:r>
    </w:p>
    <w:p w14:paraId="73E4B70A">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拉罗替尼、恩曲替尼</w:t>
      </w:r>
    </w:p>
    <w:p w14:paraId="67CF046A">
      <w:pPr>
        <w:spacing w:line="360" w:lineRule="auto"/>
        <w:ind w:left="420"/>
        <w:rPr>
          <w:rFonts w:ascii="Times New Roman" w:hAnsi="Times New Roman" w:cs="Times New Roman"/>
          <w:sz w:val="18"/>
          <w:szCs w:val="18"/>
        </w:rPr>
      </w:pPr>
      <w:r>
        <w:rPr>
          <w:rFonts w:ascii="Times New Roman" w:hAnsi="Times New Roman"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TRK2</w:t>
      </w:r>
      <w:r>
        <w:rPr>
          <w:rFonts w:hint="eastAsia" w:ascii="Times New Roman" w:hAnsi="Times New Roman" w:cs="Times New Roman"/>
          <w:sz w:val="18"/>
          <w:szCs w:val="18"/>
        </w:rPr>
        <w:t>融合的实体瘤患者的临床试验正在开展。</w:t>
      </w:r>
    </w:p>
    <w:p w14:paraId="09198A2F">
      <w:pPr>
        <w:spacing w:line="300" w:lineRule="auto"/>
        <w:ind w:left="420"/>
        <w:rPr>
          <w:rFonts w:ascii="Times New Roman" w:hAnsi="Times New Roman" w:cs="Times New Roman"/>
          <w:b/>
          <w:szCs w:val="18"/>
        </w:rPr>
      </w:pPr>
    </w:p>
    <w:p w14:paraId="7059572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408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6" name="直线 5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5" o:spid="_x0000_s1026" o:spt="20" style="position:absolute;left:0pt;margin-left:-2.6pt;margin-top:12.55pt;height:1.7pt;width:453.4pt;z-index:25169408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M9R6YP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PDGFRA                                                                         </w:t>
      </w:r>
    </w:p>
    <w:p w14:paraId="1962C258">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83DA98F">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PDGFRA基因编码血小板衍生生长因子家族成员的细胞表面酪氨酸激酶受体PDGFR，分子量为180kD的单链膜糖蛋白。受体分子由α，β两种亚基组成，成熟后的PDGFR以二聚体稳态形式与配体PDGF相应异构体(PDGF-AA，AB，BB)结合。基因编码血小板衍生生长因子家族成员的细胞表面酪氨酸激酶受体。结直肠癌组织中PDGFR α和PDGFR β均有表达分布，PDGFR α分布于结直肠正常组织、息肉组织及肿瘤组织上； PDGFR β表达于肿瘤细胞、肿瘤间质细胞和微血管细胞（包括微血管周细胞）上。研究表明，该基因在器官发育、伤口愈合和肿瘤进展中起作用。该基因的突变与特发性嗜酸性粒细胞增多综合征、家族性胃肠道间质瘤以及其他多种癌症有关。PDGFRA基因突变常见于胃肠道间质瘤、胶质母细胞瘤、恶性外周神经鞘等肿瘤，其中GIST中PDGFRA基因突变率在 5~10%左右。 </w:t>
      </w:r>
    </w:p>
    <w:p w14:paraId="283D62FD">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伊马替尼*、达沙替尼*、</w:t>
      </w:r>
      <w:r>
        <w:rPr>
          <w:rFonts w:hint="eastAsia" w:ascii="Times New Roman" w:hAnsi="Times New Roman" w:cs="Times New Roman"/>
          <w:b/>
          <w:sz w:val="18"/>
          <w:szCs w:val="18"/>
        </w:rPr>
        <w:t>阿伐替尼</w:t>
      </w:r>
      <w:r>
        <w:rPr>
          <w:rFonts w:ascii="Times New Roman" w:hAnsi="Times New Roman" w:cs="Times New Roman"/>
          <w:b/>
          <w:sz w:val="18"/>
          <w:szCs w:val="18"/>
        </w:rPr>
        <w:t>*（主要都是胃肠道间质瘤获益药物）</w:t>
      </w:r>
    </w:p>
    <w:p w14:paraId="200D9870">
      <w:pPr>
        <w:spacing w:line="300" w:lineRule="auto"/>
        <w:ind w:left="420"/>
        <w:rPr>
          <w:rFonts w:ascii="Times New Roman" w:hAnsi="Times New Roman" w:cs="Times New Roman"/>
          <w:sz w:val="18"/>
          <w:szCs w:val="18"/>
        </w:rPr>
      </w:pPr>
      <w:r>
        <w:rPr>
          <w:rFonts w:ascii="Times New Roman" w:hAnsi="Times New Roman" w:cs="Times New Roman"/>
          <w:sz w:val="18"/>
          <w:szCs w:val="18"/>
        </w:rPr>
        <w:t>FDA/NMPA批准</w:t>
      </w:r>
      <w:r>
        <w:rPr>
          <w:rFonts w:hint="eastAsia" w:ascii="Times New Roman" w:hAnsi="Times New Roman" w:cs="Times New Roman"/>
          <w:sz w:val="18"/>
          <w:szCs w:val="18"/>
        </w:rPr>
        <w:t>阿伐替尼</w:t>
      </w:r>
      <w:r>
        <w:rPr>
          <w:rFonts w:ascii="Times New Roman" w:hAnsi="Times New Roman" w:cs="Times New Roman"/>
          <w:sz w:val="18"/>
          <w:szCs w:val="18"/>
        </w:rPr>
        <w:t>用于治疗携带PDGFRA</w:t>
      </w:r>
      <w:r>
        <w:rPr>
          <w:rFonts w:hint="eastAsia" w:ascii="Times New Roman" w:hAnsi="Times New Roman" w:cs="Times New Roman"/>
          <w:sz w:val="18"/>
          <w:szCs w:val="18"/>
        </w:rPr>
        <w:t xml:space="preserve"> </w:t>
      </w:r>
      <w:r>
        <w:rPr>
          <w:rFonts w:ascii="Times New Roman" w:hAnsi="Times New Roman" w:cs="Times New Roman"/>
          <w:sz w:val="18"/>
          <w:szCs w:val="18"/>
        </w:rPr>
        <w:t>18号外显子突变（包括PDGFRA D842V突变）的患有不可切除或转移性胃肠道间质瘤（GIST）的成人患者。NCCN指南指出除了D842V位点，大部分PDGFRA基因突变的胃肠道间质瘤患者对伊马替尼有反应，携带PDGFRA D842V的胃肠道间质瘤患者对伊马替尼耐药，而对达沙替尼敏感，达沙替尼可能为该类患者的有效治疗选择[NCCN_Gastrointestinal Stromal Tumors_2021_V1]。一项临床前研究表明，舒尼替尼降低了具有PDGFRA扩增的非小细胞肺癌（NSCLC）患者的细胞增殖，抑制下游信号[PMID: 19366796]。一项临床前研究表明，伊马替尼和达沙替尼能够抑制具有PDGFRA扩增的肺鳞癌的细胞生长，抑制具有PDGFRA扩增的非鳞癌异植体的肿瘤生长[PMID: 22328973]。研究伊马替尼</w:t>
      </w:r>
      <w:r>
        <w:rPr>
          <w:rFonts w:hint="eastAsia" w:ascii="Times New Roman" w:hAnsi="Times New Roman" w:cs="Times New Roman"/>
          <w:sz w:val="18"/>
          <w:szCs w:val="18"/>
        </w:rPr>
        <w:t>对</w:t>
      </w:r>
      <w:r>
        <w:rPr>
          <w:rFonts w:ascii="Times New Roman" w:hAnsi="Times New Roman" w:cs="Times New Roman"/>
          <w:sz w:val="18"/>
          <w:szCs w:val="18"/>
        </w:rPr>
        <w:t>携带PDGFRA突变的GIST患者的效力，在31例可评估携带D842V突变的患者中，没有一例具有应答，21例疾病进展，携带D842V突变患者的中位PFS为2.8个月，携带其他PDGFA突变为28.5个月，因此伊马替尼在具有D842V突变的患者亚组中几乎没有效力，而其他突变似乎对伊马替尼敏感[PMID: 22718859]。</w:t>
      </w:r>
    </w:p>
    <w:p w14:paraId="4F345244">
      <w:pPr>
        <w:spacing w:line="300" w:lineRule="auto"/>
        <w:ind w:left="420"/>
        <w:rPr>
          <w:rFonts w:ascii="Times New Roman" w:hAnsi="Times New Roman" w:cs="Times New Roman"/>
          <w:sz w:val="18"/>
          <w:szCs w:val="18"/>
        </w:rPr>
      </w:pPr>
    </w:p>
    <w:p w14:paraId="1E23F2A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046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9" name="直线 5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6" o:spid="_x0000_s1026" o:spt="20" style="position:absolute;left:0pt;margin-left:-2.6pt;margin-top:12.55pt;height:1.7pt;width:453.4pt;z-index:25171046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FqO5xn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PPARG                                                                         </w:t>
      </w:r>
    </w:p>
    <w:p w14:paraId="48EC6ECA">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7573E07">
      <w:pPr>
        <w:spacing w:line="300" w:lineRule="auto"/>
        <w:ind w:left="420"/>
        <w:rPr>
          <w:rFonts w:ascii="Times New Roman" w:hAnsi="Times New Roman" w:cs="Times New Roman"/>
          <w:sz w:val="18"/>
          <w:szCs w:val="18"/>
        </w:rPr>
      </w:pPr>
      <w:r>
        <w:rPr>
          <w:rFonts w:ascii="Times New Roman" w:hAnsi="Times New Roman" w:cs="Times New Roman"/>
          <w:sz w:val="18"/>
          <w:szCs w:val="18"/>
        </w:rPr>
        <w:t>PPARG编码核受体过氧化物酶体增殖激活受体（PPAR）亚家族成员，PPAR-γ，PPAR-γ与类视黄醇X受体-α形成异二聚体，对过氧化物酶体增殖物如RXR-α激动剂、9-顺式视黄酸作出反应，并激活参与脂肪形成、脂质代谢、葡萄糖体内平衡、动脉粥样硬化形成、炎症和肿瘤易感性调节的各种基因的表达[PMID: 8536636]。染色体易位(2；3)(q13；p25)导致甲状腺转录因子配对盒基因8 (PAX8)和PPAR- γ1的DNA结合结构域之间的融合，已经在甲状腺滤泡癌的一个子集</w:t>
      </w:r>
      <w:r>
        <w:rPr>
          <w:rFonts w:hint="eastAsia" w:ascii="Times New Roman" w:hAnsi="Times New Roman" w:cs="Times New Roman"/>
          <w:sz w:val="18"/>
          <w:szCs w:val="18"/>
        </w:rPr>
        <w:t>观察到</w:t>
      </w:r>
      <w:r>
        <w:rPr>
          <w:rFonts w:ascii="Times New Roman" w:hAnsi="Times New Roman" w:cs="Times New Roman"/>
          <w:sz w:val="18"/>
          <w:szCs w:val="18"/>
        </w:rPr>
        <w:t xml:space="preserve">[PMID: 10958784]。PPAR-γ已经涉及许多疾病的病理学，包括肥胖症、糖尿病、动脉粥样硬化和癌症。与PPARG相关的疾病包括子宫内膜癌、皮肤癌、胃癌等。 </w:t>
      </w:r>
    </w:p>
    <w:p w14:paraId="318C620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F3B079F">
      <w:pPr>
        <w:spacing w:line="360" w:lineRule="auto"/>
        <w:ind w:left="420"/>
        <w:rPr>
          <w:rFonts w:ascii="Times New Roman" w:hAnsi="Times New Roman" w:cs="Times New Roman"/>
          <w:sz w:val="18"/>
          <w:szCs w:val="18"/>
        </w:rPr>
      </w:pPr>
      <w:r>
        <w:rPr>
          <w:rFonts w:ascii="Times New Roman" w:hAnsi="Times New Roman" w:cs="Times New Roman"/>
          <w:sz w:val="18"/>
          <w:szCs w:val="18"/>
        </w:rPr>
        <w:t>PAX8-PPARG基因融合在12/33滤泡性甲状腺癌样本中发现，但在甲状腺损伤细胞肿瘤中很少发现[PMID: 12727991]。临床试验阶段，已知激活PPAR-γ的配体，通常是噻唑烷二酮类，由于参与调节细胞周期和细胞存活/死亡的蛋白质的重新表达，使大量癌细胞对死亡受体(DR)介导的凋亡敏感，并且还作为血管生成的抑制剂[PMID: 15041792]。相反，据报道，PPAR-γ激动剂也增加了结肠癌APCMin/+小鼠模型中结肠肿瘤的频率和大小[PMID: 9734400]。</w:t>
      </w:r>
      <w:r>
        <w:rPr>
          <w:rFonts w:hint="eastAsia" w:ascii="Times New Roman" w:hAnsi="Times New Roman" w:cs="Times New Roman"/>
          <w:sz w:val="18"/>
          <w:szCs w:val="18"/>
        </w:rPr>
        <w:t>有研究表明，</w:t>
      </w:r>
      <w:r>
        <w:rPr>
          <w:rFonts w:ascii="Times New Roman" w:hAnsi="Times New Roman" w:cs="Times New Roman"/>
          <w:sz w:val="18"/>
          <w:szCs w:val="18"/>
        </w:rPr>
        <w:t>PPARG过表达的高浆液型卵巢癌患者的OS（总生存期）较差[PMID: 23200915]。</w:t>
      </w:r>
      <w:r>
        <w:rPr>
          <w:rFonts w:hint="eastAsia" w:ascii="Times New Roman" w:hAnsi="Times New Roman" w:cs="Times New Roman"/>
          <w:sz w:val="18"/>
          <w:szCs w:val="18"/>
        </w:rPr>
        <w:t>有研究表明，</w:t>
      </w:r>
      <w:r>
        <w:rPr>
          <w:rFonts w:ascii="Times New Roman" w:hAnsi="Times New Roman" w:cs="Times New Roman"/>
          <w:sz w:val="18"/>
          <w:szCs w:val="18"/>
        </w:rPr>
        <w:t>PPARG多态性可能影响肝癌的易感性[PMID: 30122956]。</w:t>
      </w:r>
    </w:p>
    <w:p w14:paraId="4E00D087">
      <w:pPr>
        <w:spacing w:line="300" w:lineRule="auto"/>
        <w:ind w:left="420"/>
        <w:rPr>
          <w:rFonts w:ascii="Times New Roman" w:hAnsi="Times New Roman" w:cs="Times New Roman"/>
          <w:sz w:val="18"/>
          <w:szCs w:val="18"/>
        </w:rPr>
      </w:pPr>
    </w:p>
    <w:p w14:paraId="15502091">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695104" behindDoc="1" locked="0" layoutInCell="1" allowOverlap="1">
                <wp:simplePos x="0" y="0"/>
                <wp:positionH relativeFrom="column">
                  <wp:posOffset>-30480</wp:posOffset>
                </wp:positionH>
                <wp:positionV relativeFrom="paragraph">
                  <wp:posOffset>159385</wp:posOffset>
                </wp:positionV>
                <wp:extent cx="5757545" cy="21590"/>
                <wp:effectExtent l="0" t="9525" r="5080" b="16510"/>
                <wp:wrapNone/>
                <wp:docPr id="37" name="直线 57"/>
                <wp:cNvGraphicFramePr/>
                <a:graphic xmlns:a="http://schemas.openxmlformats.org/drawingml/2006/main">
                  <a:graphicData uri="http://schemas.microsoft.com/office/word/2010/wordprocessingShape">
                    <wps:wsp>
                      <wps:cNvCnPr/>
                      <wps:spPr>
                        <a:xfrm>
                          <a:off x="0" y="0"/>
                          <a:ext cx="575754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7" o:spid="_x0000_s1026" o:spt="20" style="position:absolute;left:0pt;margin-left:-2.4pt;margin-top:12.55pt;height:1.7pt;width:453.35pt;z-index:-251621376;mso-width-relative:page;mso-height-relative:page;" filled="f" stroked="t" coordsize="21600,21600" o:gfxdata="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Oo&#10;u47YAAAACAEAAA8AAAAAAAAAAQAgAAAAIgAAAGRycy9kb3ducmV2LnhtbFBLAQIUABQAAAAIAIdO&#10;4kAXjrub6gEAAOADAAAOAAAAAAAAAAEAIAAAACc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PTEN                                                                          </w:t>
      </w:r>
    </w:p>
    <w:p w14:paraId="4A5FD80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DBAE5B6">
      <w:pPr>
        <w:spacing w:line="300" w:lineRule="auto"/>
        <w:ind w:left="440" w:leftChars="200" w:firstLine="59" w:firstLineChars="33"/>
        <w:rPr>
          <w:rFonts w:ascii="Times New Roman" w:hAnsi="Times New Roman" w:cs="Times New Roman"/>
          <w:sz w:val="18"/>
          <w:szCs w:val="18"/>
        </w:rPr>
      </w:pPr>
      <w:r>
        <w:rPr>
          <w:rFonts w:ascii="Times New Roman" w:hAnsi="Times New Roman" w:cs="Times New Roman"/>
          <w:sz w:val="18"/>
          <w:szCs w:val="18"/>
        </w:rPr>
        <w:t>PTEN基因是编码具有磷酸酶活性产物的抑癌基因，在细胞的分化、增殖和凋亡过程中起重要作用，并参与细胞的黏附和运动。其不仅能诱导细胞凋亡及抑制细胞有丝分裂，还能调节细胞黏附、转移、分化等。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w:t>
      </w:r>
    </w:p>
    <w:p w14:paraId="6A919258">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E86ABFC">
      <w:pPr>
        <w:spacing w:line="300" w:lineRule="auto"/>
        <w:ind w:left="420"/>
        <w:rPr>
          <w:rFonts w:ascii="Times New Roman" w:hAnsi="Times New Roman" w:cs="Times New Roman"/>
          <w:sz w:val="18"/>
          <w:szCs w:val="18"/>
        </w:rPr>
      </w:pPr>
      <w:r>
        <w:rPr>
          <w:rFonts w:ascii="Times New Roman" w:hAnsi="Times New Roman" w:cs="Times New Roman"/>
          <w:sz w:val="18"/>
          <w:szCs w:val="18"/>
        </w:rPr>
        <w:t>临床前研究表明，AKT/mTOR通路抑制剂（依维莫司、替西罗莫司等）可能具有抑制PTEN缺失导致的肿瘤增殖的作用。PTEN基因损伤可能对替西罗莫司 (mTOR抑制剂)、GSK2636771[PMID: 28645941]、AZD6482 (PI3Kβ 抑制剂)、MK-2206 (AKT抑制剂)、和17-AAG (HSP90抑制剂)敏感性增强</w:t>
      </w:r>
      <w:r>
        <w:rPr>
          <w:rFonts w:hint="eastAsia" w:ascii="Times New Roman" w:hAnsi="Times New Roman" w:cs="Times New Roman"/>
          <w:sz w:val="18"/>
          <w:szCs w:val="18"/>
        </w:rPr>
        <w:t>。非霍奇金淋巴瘤和多发性骨髓瘤中，</w:t>
      </w:r>
      <w:r>
        <w:rPr>
          <w:rFonts w:ascii="Times New Roman" w:hAnsi="Times New Roman" w:cs="Times New Roman"/>
          <w:sz w:val="18"/>
          <w:szCs w:val="18"/>
        </w:rPr>
        <w:t>PTEN失活突变对替西罗莫司敏感[PMID: 16916489]。</w:t>
      </w:r>
      <w:r>
        <w:rPr>
          <w:rFonts w:hint="eastAsia" w:ascii="Times New Roman" w:hAnsi="Times New Roman" w:cs="Times New Roman"/>
          <w:sz w:val="18"/>
          <w:szCs w:val="18"/>
        </w:rPr>
        <w:t>目前</w:t>
      </w:r>
      <w:r>
        <w:rPr>
          <w:rFonts w:ascii="Times New Roman" w:hAnsi="Times New Roman" w:cs="Times New Roman"/>
          <w:sz w:val="18"/>
          <w:szCs w:val="18"/>
        </w:rPr>
        <w:t>GSK2636771</w:t>
      </w:r>
      <w:r>
        <w:rPr>
          <w:rFonts w:hint="eastAsia" w:ascii="Times New Roman" w:hAnsi="Times New Roman" w:cs="Times New Roman"/>
          <w:sz w:val="18"/>
          <w:szCs w:val="18"/>
        </w:rPr>
        <w:t>、</w:t>
      </w:r>
      <w:r>
        <w:rPr>
          <w:rFonts w:ascii="Times New Roman" w:hAnsi="Times New Roman" w:cs="Times New Roman"/>
          <w:sz w:val="18"/>
          <w:szCs w:val="18"/>
        </w:rPr>
        <w:t>Copanlisib</w:t>
      </w:r>
      <w:r>
        <w:rPr>
          <w:rFonts w:hint="eastAsia" w:ascii="Times New Roman" w:hAnsi="Times New Roman" w:cs="Times New Roman"/>
          <w:sz w:val="18"/>
          <w:szCs w:val="18"/>
        </w:rPr>
        <w:t>、替西罗莫司、尼拉帕利等用于P</w:t>
      </w:r>
      <w:r>
        <w:rPr>
          <w:rFonts w:ascii="Times New Roman" w:hAnsi="Times New Roman" w:cs="Times New Roman"/>
          <w:sz w:val="18"/>
          <w:szCs w:val="18"/>
        </w:rPr>
        <w:t>TEN</w:t>
      </w:r>
      <w:r>
        <w:rPr>
          <w:rFonts w:hint="eastAsia" w:ascii="Times New Roman" w:hAnsi="Times New Roman" w:cs="Times New Roman"/>
          <w:sz w:val="18"/>
          <w:szCs w:val="18"/>
        </w:rPr>
        <w:t>突变实体瘤患者的临床试验正在开展。</w:t>
      </w:r>
    </w:p>
    <w:p w14:paraId="7FC9D49A">
      <w:pPr>
        <w:spacing w:line="300" w:lineRule="auto"/>
        <w:ind w:left="420"/>
        <w:rPr>
          <w:rFonts w:ascii="Times New Roman" w:hAnsi="Times New Roman" w:cs="Times New Roman"/>
          <w:sz w:val="18"/>
          <w:szCs w:val="18"/>
        </w:rPr>
      </w:pPr>
    </w:p>
    <w:p w14:paraId="103CAFD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2272"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4" name="直线 5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8" o:spid="_x0000_s1026" o:spt="20" style="position:absolute;left:0pt;margin-left:-2.6pt;margin-top:12.55pt;height:1.7pt;width:453.4pt;z-index:25170227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UlvNr6wEAAOADAAAOAAAAZHJzL2Uyb0RvYy54bWytU0tu&#10;2zAQ3RfoHQjua8lG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X11x5sDSjT99//H0&#10;8xebL7I6Q8CGku7cJp5OGDYxUz100eY/kWCHoujxrKg6JCbIOX8/X0wXJLag2Gw6vymKVy/FIWL6&#10;qLxl2Wi50S4Thgb2nzBRQ0p9Tslu49hAS3tTzzMm0Pp1dO1k2kAU0O1KMXqj5b02Jpdg3G3vTGR7&#10;yCtQz+r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CUlvNr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RAF1                                                                          </w:t>
      </w:r>
    </w:p>
    <w:p w14:paraId="394EE00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29CD6BC">
      <w:pPr>
        <w:spacing w:line="300" w:lineRule="auto"/>
        <w:ind w:left="420"/>
        <w:rPr>
          <w:rFonts w:ascii="Times New Roman" w:hAnsi="Times New Roman" w:cs="Times New Roman"/>
          <w:sz w:val="18"/>
          <w:szCs w:val="18"/>
        </w:rPr>
      </w:pPr>
      <w:r>
        <w:rPr>
          <w:rFonts w:ascii="Times New Roman" w:hAnsi="Times New Roman" w:cs="Times New Roman"/>
          <w:sz w:val="18"/>
          <w:szCs w:val="18"/>
        </w:rPr>
        <w:t>RAF1基因是病毒raf基因(v-raf)的细胞同源基因。RAF1（c-Raf）作为致癌基因，是细胞信号传导通路“Ras/Raf-1/ERK/MAPK”中Ras家族的一个下游因子，参与细胞生长、分化、增殖、凋亡、恶性转化及转移等过程的调控。RAF1突变与Noonan综合征5和LEOPARD综合征2的发生相关。编码的蛋白是MAP激酶激酶激酶(MAP3K)，它在Ras家族膜相关的GTPases的下游起作用，并直接与之结合。与RAF1相关的疾病包括子宫内膜癌、肠癌、胃癌等。</w:t>
      </w:r>
    </w:p>
    <w:p w14:paraId="143DA98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AE666FA">
      <w:pPr>
        <w:spacing w:line="300" w:lineRule="auto"/>
        <w:ind w:left="420"/>
        <w:rPr>
          <w:rFonts w:ascii="Times New Roman" w:hAnsi="Times New Roman" w:cs="Times New Roman"/>
          <w:sz w:val="18"/>
          <w:szCs w:val="18"/>
        </w:rPr>
      </w:pPr>
      <w:r>
        <w:rPr>
          <w:rFonts w:ascii="Times New Roman" w:hAnsi="Times New Roman" w:cs="Times New Roman"/>
          <w:sz w:val="18"/>
          <w:szCs w:val="18"/>
        </w:rPr>
        <w:t>RAF1作为对细胞外刺激的反应，RAS介导的信号传导诱导了CRAF同源二聚体或CRAF/BRAF异源二聚体的形成，CRAF激活的MAPK信号也与黑色素瘤中BRAF抑制剂</w:t>
      </w:r>
      <w:r>
        <w:rPr>
          <w:rFonts w:hint="eastAsia" w:ascii="Times New Roman" w:hAnsi="Times New Roman" w:cs="Times New Roman"/>
          <w:sz w:val="18"/>
          <w:szCs w:val="18"/>
        </w:rPr>
        <w:t>维莫非尼</w:t>
      </w:r>
      <w:r>
        <w:rPr>
          <w:rFonts w:ascii="Times New Roman" w:hAnsi="Times New Roman" w:cs="Times New Roman"/>
          <w:sz w:val="18"/>
          <w:szCs w:val="18"/>
        </w:rPr>
        <w:t>的耐药性有关[PMID: 27327499]。在一项随机III期的回顾性临床试验中发现，119名黑色素瘤患者接受化疗方案（卡铂+多西他赛）联合索拉非尼方案的治疗，结果显示，在携带RAF1扩增的患者亚组中，化疗（卡铂+多西他赛）联合索拉非尼的治疗效果要比单独化疗方案（卡铂+多西他赛）有更长的PFS [PMID: 26307133]。</w:t>
      </w:r>
      <w:r>
        <w:rPr>
          <w:rFonts w:hint="eastAsia" w:ascii="Times New Roman" w:hAnsi="Times New Roman" w:cs="Times New Roman"/>
          <w:sz w:val="18"/>
          <w:szCs w:val="18"/>
        </w:rPr>
        <w:t>研究表明，</w:t>
      </w:r>
      <w:r>
        <w:rPr>
          <w:rFonts w:ascii="Times New Roman" w:hAnsi="Times New Roman" w:cs="Times New Roman"/>
          <w:sz w:val="18"/>
          <w:szCs w:val="18"/>
        </w:rPr>
        <w:t>RAF1过表达与非小细胞肺癌（NSCLC）的早期进展相关。RAF1可能成为改善NSCLC患者长期预后的新预后因子和潜在靶标[PMID: 29484414]。</w:t>
      </w:r>
      <w:r>
        <w:rPr>
          <w:rFonts w:hint="eastAsia" w:ascii="Times New Roman" w:hAnsi="Times New Roman" w:cs="Times New Roman"/>
          <w:sz w:val="18"/>
          <w:szCs w:val="18"/>
        </w:rPr>
        <w:t>目前瑞戈非尼、阿贝西利联合</w:t>
      </w:r>
      <w:r>
        <w:rPr>
          <w:rFonts w:ascii="Times New Roman" w:hAnsi="Times New Roman" w:cs="Times New Roman"/>
          <w:sz w:val="18"/>
          <w:szCs w:val="18"/>
        </w:rPr>
        <w:t>LY3214996</w:t>
      </w:r>
      <w:r>
        <w:rPr>
          <w:rFonts w:hint="eastAsia" w:ascii="Times New Roman" w:hAnsi="Times New Roman" w:cs="Times New Roman"/>
          <w:sz w:val="18"/>
          <w:szCs w:val="18"/>
        </w:rPr>
        <w:t>用于实体瘤的临床试验正在开展。</w:t>
      </w:r>
    </w:p>
    <w:p w14:paraId="5F68621F">
      <w:pPr>
        <w:spacing w:line="300" w:lineRule="auto"/>
        <w:ind w:left="420"/>
        <w:rPr>
          <w:rFonts w:ascii="Times New Roman" w:hAnsi="Times New Roman" w:cs="Times New Roman"/>
          <w:sz w:val="18"/>
          <w:szCs w:val="18"/>
        </w:rPr>
      </w:pPr>
    </w:p>
    <w:p w14:paraId="18C44C2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147320</wp:posOffset>
                </wp:positionV>
                <wp:extent cx="5760085" cy="33020"/>
                <wp:effectExtent l="0" t="9525" r="2540" b="14605"/>
                <wp:wrapNone/>
                <wp:docPr id="66" name="直线 59"/>
                <wp:cNvGraphicFramePr/>
                <a:graphic xmlns:a="http://schemas.openxmlformats.org/drawingml/2006/main">
                  <a:graphicData uri="http://schemas.microsoft.com/office/word/2010/wordprocessingShape">
                    <wps:wsp>
                      <wps:cNvCnPr/>
                      <wps:spPr>
                        <a:xfrm flipV="1">
                          <a:off x="0" y="0"/>
                          <a:ext cx="5760085" cy="3302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9" o:spid="_x0000_s1026" o:spt="20" style="position:absolute;left:0pt;flip:y;margin-left:0pt;margin-top:11.6pt;height:2.6pt;width:453.55pt;z-index:251717632;mso-width-relative:page;mso-height-relative:page;" filled="f" stroked="t" coordsize="21600,21600" o:gfxdata="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FEVUvYAAAABgEAAA8AAAAAAAAAAQAgAAAAIgAAAGRycy9kb3ducmV2LnhtbFBLAQIU&#10;ABQAAAAIAIdO4kDGR5rL8wEAAOoDAAAOAAAAAAAAAAEAIAAAACcBAABkcnMvZTJvRG9jLnhtbFBL&#10;BQYAAAAABgAGAFkBAACMBQAAAAA=&#10;">
                <v:fill on="f" focussize="0,0"/>
                <v:stroke weight="1.5pt" color="#002060" joinstyle="miter"/>
                <v:imagedata o:title=""/>
                <o:lock v:ext="edit" aspectratio="f"/>
              </v:line>
            </w:pict>
          </mc:Fallback>
        </mc:AlternateContent>
      </w:r>
      <w:r>
        <w:rPr>
          <w:rFonts w:ascii="Times New Roman" w:hAnsi="Times New Roman" w:cs="Times New Roman"/>
          <w:b/>
        </w:rPr>
        <w:t xml:space="preserve">RET                                                                          </w:t>
      </w:r>
    </w:p>
    <w:p w14:paraId="4B23CAA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5DFEA50">
      <w:pPr>
        <w:spacing w:line="300" w:lineRule="auto"/>
        <w:ind w:left="420"/>
        <w:rPr>
          <w:rFonts w:ascii="Times New Roman" w:hAnsi="Times New Roman" w:cs="Times New Roman"/>
          <w:sz w:val="18"/>
          <w:szCs w:val="18"/>
        </w:rPr>
      </w:pPr>
      <w:r>
        <w:rPr>
          <w:rFonts w:ascii="Times New Roman" w:hAnsi="Times New Roman" w:cs="Times New Roman"/>
          <w:sz w:val="18"/>
          <w:szCs w:val="18"/>
        </w:rPr>
        <w:t>RET基因位于10q11.21，编码受体酪氨酸激酶，是钙粘蛋白超家族的成员，参与转导细胞生长和分化信号。 RET基因在神经嵴发展中起至关重要的作用，活化的RET可使其底物磷酸化，引起多个下游细胞通路激活。RET基因的激活点突变可引起遗传性癌症综合征、先天性巨肠症和多发性内分泌瘤，体细胞点突变与甲状腺髓样癌有关。已证实其两个不同亚型的突变均与疾病相关联：IIA型-多发性内分泌瘤，IIB型-巨结肠疾病和甲状腺髓样癌。约1%~2%的肺癌中发生RET基因融合，尤其是肺腺癌，可单独突变诱发肺癌的发生。非小细胞肺癌中，由 inv(10)(p11;q11)引起10号染色体上驱动蛋白家族基因KIF5B和受体酪氨酸激酶基因RET之间形成的融合驱动基因KIF5B-RET</w:t>
      </w:r>
      <w:r>
        <w:rPr>
          <w:rFonts w:hint="eastAsia" w:ascii="Times New Roman" w:hAnsi="Times New Roman" w:cs="Times New Roman"/>
          <w:sz w:val="18"/>
          <w:szCs w:val="18"/>
        </w:rPr>
        <w:t>，</w:t>
      </w:r>
      <w:r>
        <w:rPr>
          <w:rFonts w:ascii="Times New Roman" w:hAnsi="Times New Roman" w:cs="Times New Roman"/>
          <w:sz w:val="18"/>
          <w:szCs w:val="18"/>
        </w:rPr>
        <w:t>导致RET原癌基因的高表达。因此RET激活和过表达</w:t>
      </w:r>
      <w:r>
        <w:rPr>
          <w:rFonts w:hint="eastAsia" w:ascii="Times New Roman" w:hAnsi="Times New Roman" w:cs="Times New Roman"/>
          <w:sz w:val="18"/>
          <w:szCs w:val="18"/>
        </w:rPr>
        <w:t>常</w:t>
      </w:r>
      <w:r>
        <w:rPr>
          <w:rFonts w:ascii="Times New Roman" w:hAnsi="Times New Roman" w:cs="Times New Roman"/>
          <w:sz w:val="18"/>
          <w:szCs w:val="18"/>
        </w:rPr>
        <w:t>见于家族性甲状腺样瘤、肺癌、结直肠癌[PMID: 20930041</w:t>
      </w:r>
      <w:r>
        <w:rPr>
          <w:rFonts w:hint="eastAsia" w:ascii="Times New Roman" w:hAnsi="Times New Roman" w:cs="Times New Roman"/>
          <w:sz w:val="18"/>
          <w:szCs w:val="18"/>
        </w:rPr>
        <w:t>;</w:t>
      </w:r>
      <w:r>
        <w:rPr>
          <w:rFonts w:ascii="Times New Roman" w:hAnsi="Times New Roman" w:cs="Times New Roman"/>
          <w:sz w:val="18"/>
          <w:szCs w:val="18"/>
        </w:rPr>
        <w:t xml:space="preserve"> PMID: 30257958</w:t>
      </w:r>
      <w:r>
        <w:rPr>
          <w:rFonts w:hint="eastAsia" w:ascii="Times New Roman" w:hAnsi="Times New Roman" w:cs="Times New Roman"/>
          <w:sz w:val="18"/>
          <w:szCs w:val="18"/>
        </w:rPr>
        <w:t>;</w:t>
      </w:r>
      <w:r>
        <w:rPr>
          <w:rFonts w:ascii="Times New Roman" w:hAnsi="Times New Roman" w:cs="Times New Roman"/>
          <w:sz w:val="18"/>
          <w:szCs w:val="18"/>
        </w:rPr>
        <w:t xml:space="preserve"> PMID: 30210625]。RET重排在肺癌中是一种非小细胞肺癌的新的驱动癌基因，发现于1-2%的NSCLC患者中。</w:t>
      </w:r>
    </w:p>
    <w:p w14:paraId="33AB885E">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color w:val="000000"/>
          <w:sz w:val="18"/>
          <w:szCs w:val="18"/>
        </w:rPr>
        <w:t>凡德他尼</w:t>
      </w:r>
      <w:r>
        <w:rPr>
          <w:rFonts w:ascii="Times New Roman" w:hAnsi="Times New Roman" w:cs="Times New Roman"/>
          <w:b/>
          <w:szCs w:val="18"/>
        </w:rPr>
        <w:t>、</w:t>
      </w:r>
      <w:r>
        <w:rPr>
          <w:rFonts w:ascii="Times New Roman" w:hAnsi="Times New Roman" w:cs="Times New Roman"/>
          <w:b/>
          <w:color w:val="000000"/>
          <w:sz w:val="18"/>
          <w:szCs w:val="18"/>
        </w:rPr>
        <w:t>卡博替尼</w:t>
      </w:r>
      <w:r>
        <w:rPr>
          <w:rFonts w:ascii="Times New Roman" w:hAnsi="Times New Roman" w:cs="Times New Roman"/>
          <w:b/>
          <w:szCs w:val="18"/>
        </w:rPr>
        <w:t>、</w:t>
      </w:r>
      <w:r>
        <w:rPr>
          <w:rFonts w:ascii="Times New Roman" w:hAnsi="Times New Roman" w:cs="Times New Roman"/>
          <w:b/>
          <w:color w:val="000000"/>
          <w:sz w:val="18"/>
          <w:szCs w:val="18"/>
        </w:rPr>
        <w:t>仑伐替尼*</w:t>
      </w:r>
      <w:r>
        <w:rPr>
          <w:rFonts w:ascii="Times New Roman" w:hAnsi="Times New Roman" w:cs="Times New Roman"/>
          <w:b/>
          <w:szCs w:val="18"/>
        </w:rPr>
        <w:t>、</w:t>
      </w:r>
      <w:r>
        <w:rPr>
          <w:rFonts w:hint="eastAsia" w:ascii="Times New Roman" w:hAnsi="Times New Roman" w:cs="Times New Roman"/>
          <w:b/>
          <w:color w:val="000000"/>
          <w:sz w:val="18"/>
          <w:szCs w:val="18"/>
        </w:rPr>
        <w:t>普拉替尼</w:t>
      </w:r>
      <w:r>
        <w:rPr>
          <w:rFonts w:ascii="Times New Roman" w:hAnsi="Times New Roman" w:cs="Times New Roman"/>
          <w:b/>
          <w:color w:val="000000"/>
          <w:sz w:val="18"/>
          <w:szCs w:val="18"/>
        </w:rPr>
        <w:t>*</w:t>
      </w:r>
      <w:r>
        <w:rPr>
          <w:rFonts w:hint="eastAsia" w:ascii="Times New Roman" w:hAnsi="Times New Roman" w:cs="Times New Roman"/>
          <w:b/>
          <w:color w:val="000000"/>
          <w:sz w:val="18"/>
          <w:szCs w:val="18"/>
        </w:rPr>
        <w:t>、</w:t>
      </w:r>
      <w:r>
        <w:rPr>
          <w:rFonts w:ascii="Times New Roman" w:hAnsi="Times New Roman" w:cs="Times New Roman"/>
          <w:b/>
          <w:color w:val="000000"/>
          <w:sz w:val="18"/>
          <w:szCs w:val="18"/>
        </w:rPr>
        <w:t>Selpercatinib</w:t>
      </w:r>
    </w:p>
    <w:p w14:paraId="06F61CB4">
      <w:pPr>
        <w:adjustRightInd w:val="0"/>
        <w:snapToGrid w:val="0"/>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F</w:t>
      </w:r>
      <w:r>
        <w:rPr>
          <w:rFonts w:ascii="Times New Roman" w:hAnsi="Times New Roman" w:cs="Times New Roman"/>
          <w:sz w:val="18"/>
          <w:szCs w:val="18"/>
        </w:rPr>
        <w:t>DA/NMPA</w:t>
      </w:r>
      <w:r>
        <w:rPr>
          <w:rFonts w:hint="eastAsia" w:ascii="Times New Roman" w:hAnsi="Times New Roman" w:cs="Times New Roman"/>
          <w:sz w:val="18"/>
          <w:szCs w:val="18"/>
        </w:rPr>
        <w:t>批准普拉替尼用于治疗</w:t>
      </w:r>
      <w:r>
        <w:rPr>
          <w:rFonts w:ascii="Times New Roman" w:hAnsi="Times New Roman" w:cs="Times New Roman"/>
          <w:sz w:val="18"/>
          <w:szCs w:val="18"/>
        </w:rPr>
        <w:t>RET融合阳性</w:t>
      </w:r>
      <w:r>
        <w:rPr>
          <w:rFonts w:hint="eastAsia" w:ascii="Times New Roman" w:hAnsi="Times New Roman" w:cs="Times New Roman"/>
          <w:sz w:val="18"/>
          <w:szCs w:val="18"/>
        </w:rPr>
        <w:t>的</w:t>
      </w:r>
      <w:r>
        <w:rPr>
          <w:rFonts w:ascii="Times New Roman" w:hAnsi="Times New Roman" w:cs="Times New Roman"/>
          <w:sz w:val="18"/>
          <w:szCs w:val="18"/>
        </w:rPr>
        <w:t>非小细胞肺癌（NSCLC）成人患者</w:t>
      </w:r>
      <w:r>
        <w:rPr>
          <w:rFonts w:hint="eastAsia" w:ascii="Times New Roman" w:hAnsi="Times New Roman" w:cs="Times New Roman"/>
          <w:sz w:val="18"/>
          <w:szCs w:val="18"/>
        </w:rPr>
        <w:t>；</w:t>
      </w:r>
      <w:r>
        <w:rPr>
          <w:rFonts w:ascii="Times New Roman" w:hAnsi="Times New Roman" w:cs="Times New Roman"/>
          <w:sz w:val="18"/>
          <w:szCs w:val="18"/>
        </w:rPr>
        <w:t>FDA批准Selpercatinib用于RET融合阳性的转移性非小细胞肺癌（NSCLC）成人患者</w:t>
      </w:r>
      <w:r>
        <w:rPr>
          <w:rFonts w:hint="eastAsia" w:ascii="Times New Roman" w:hAnsi="Times New Roman" w:cs="Times New Roman"/>
          <w:sz w:val="18"/>
          <w:szCs w:val="18"/>
        </w:rPr>
        <w:t>；F</w:t>
      </w:r>
      <w:r>
        <w:rPr>
          <w:rFonts w:ascii="Times New Roman" w:hAnsi="Times New Roman" w:cs="Times New Roman"/>
          <w:sz w:val="18"/>
          <w:szCs w:val="18"/>
        </w:rPr>
        <w:t>DA</w:t>
      </w:r>
      <w:r>
        <w:rPr>
          <w:rFonts w:hint="eastAsia" w:ascii="Times New Roman" w:hAnsi="Times New Roman" w:cs="Times New Roman"/>
          <w:sz w:val="18"/>
          <w:szCs w:val="18"/>
        </w:rPr>
        <w:t>批准普拉替尼、</w:t>
      </w:r>
      <w:r>
        <w:rPr>
          <w:rFonts w:ascii="Times New Roman" w:hAnsi="Times New Roman" w:cs="Times New Roman"/>
          <w:sz w:val="18"/>
          <w:szCs w:val="18"/>
        </w:rPr>
        <w:t>Selpercatinib</w:t>
      </w:r>
      <w:r>
        <w:rPr>
          <w:rFonts w:hint="eastAsia" w:ascii="Times New Roman" w:hAnsi="Times New Roman" w:cs="Times New Roman"/>
          <w:sz w:val="18"/>
          <w:szCs w:val="18"/>
        </w:rPr>
        <w:t>用于</w:t>
      </w:r>
      <w:r>
        <w:rPr>
          <w:rFonts w:ascii="Times New Roman" w:hAnsi="Times New Roman" w:cs="Times New Roman"/>
          <w:sz w:val="18"/>
          <w:szCs w:val="18"/>
        </w:rPr>
        <w:t>12岁及以上儿童及成人需要全身治疗的晚期或转移性RET突变的甲状腺髓样癌（MTC）患者</w:t>
      </w:r>
      <w:r>
        <w:rPr>
          <w:rFonts w:hint="eastAsia" w:ascii="Times New Roman" w:hAnsi="Times New Roman" w:cs="Times New Roman"/>
          <w:sz w:val="18"/>
          <w:szCs w:val="18"/>
        </w:rPr>
        <w:t>或</w:t>
      </w:r>
      <w:r>
        <w:rPr>
          <w:rFonts w:ascii="Times New Roman" w:hAnsi="Times New Roman" w:cs="Times New Roman"/>
          <w:sz w:val="18"/>
          <w:szCs w:val="18"/>
        </w:rPr>
        <w:t>12岁及以上儿童及成人需要全身治疗且放射性碘难治性（如果放射性碘适合）、晚期或转移性RET融合阳性甲状腺癌患者。NCCN指南推荐携带RET融合的晚期非小细胞肺癌患者使用凡德他尼、卡博替尼</w:t>
      </w:r>
      <w:r>
        <w:rPr>
          <w:rFonts w:hint="eastAsia" w:ascii="Times New Roman" w:hAnsi="Times New Roman" w:cs="Times New Roman"/>
          <w:sz w:val="18"/>
          <w:szCs w:val="18"/>
        </w:rPr>
        <w:t>、</w:t>
      </w:r>
      <w:r>
        <w:rPr>
          <w:rFonts w:ascii="Times New Roman" w:hAnsi="Times New Roman" w:cs="Times New Roman"/>
          <w:sz w:val="18"/>
          <w:szCs w:val="18"/>
        </w:rPr>
        <w:t>Selpercatinib</w:t>
      </w:r>
      <w:r>
        <w:rPr>
          <w:rFonts w:hint="eastAsia" w:ascii="Times New Roman" w:hAnsi="Times New Roman" w:cs="Times New Roman"/>
          <w:sz w:val="18"/>
          <w:szCs w:val="18"/>
        </w:rPr>
        <w:t>、普拉替尼</w:t>
      </w:r>
      <w:r>
        <w:rPr>
          <w:rFonts w:ascii="Times New Roman" w:hAnsi="Times New Roman" w:cs="Times New Roman"/>
          <w:sz w:val="18"/>
          <w:szCs w:val="18"/>
        </w:rPr>
        <w:t>[NCCN_NSCLC_2021_V5]。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PMID: 31710864]。II期临床试验显示，19名（10名KIF5B-RET，6名CCDC6-RET，3名RET未知融合）入组接受凡德他尼非小细胞肺癌患者中，17名可进行疗效分析，9名患者局部缓解达到主要研究终点，疾病控制率达88%，中位PFS为4.7月；其中CCDC6-RET融合亚型患者疾病客观缓解率为83%（5/6），中位PFS为8.3月，KIF5B-RET融合亚型患者疾病客观缓解率为20%（2/10），中位PFS为2.9月，提示凡德他尼对于RET重排非小细胞肺癌患者具有显著抗肿瘤活性[PMID: 27825616]。</w:t>
      </w:r>
      <w:r>
        <w:rPr>
          <w:rFonts w:hint="eastAsia" w:ascii="Times New Roman" w:hAnsi="Times New Roman" w:cs="Times New Roman"/>
          <w:sz w:val="18"/>
          <w:szCs w:val="18"/>
        </w:rPr>
        <w:t>卡博替尼治疗晚期</w:t>
      </w:r>
      <w:r>
        <w:rPr>
          <w:rFonts w:ascii="Times New Roman" w:hAnsi="Times New Roman" w:cs="Times New Roman"/>
          <w:sz w:val="18"/>
          <w:szCs w:val="18"/>
        </w:rPr>
        <w:t>RET重排肺癌患者中的II期临床研究中，26例RET重排肺腺癌患者接受卡博替尼治疗，KIF5B-RET是16例（62％）患者中发现的主要融合类型。在25例可评估反应的患者中有7例观察到确诊的部分反应（总缓解率为28％[95％CI 12–49％]），1例RET-ERC1融合肺腺癌患者疾病稳定[PMID: 27825636]。在I/II期试验（LIBRETTO-001）中，RET激酶抑制剂Selpercatinib（LOXO-292）治疗的RET融合阳性非小细胞肺癌患者，其中KIF5B占59%，先前接受过铂类化疗的105例患者客观缓解率为68%，先前未接受治疗的34例患者客观缓解率为85% [PMID: 31554640]。I/II期临床研究中，普拉替尼治疗RET融合NSCLC患者 (n=116; 72% KIF5B; 16% CCDC6; 12% 其他) ，先前接受过铂治疗患者ORR达到61 %，先前未接受系统性治疗患者ORR达到73%[J Clin Oncol 38: 2020 (suppl; abstr 9515) ]。</w:t>
      </w:r>
      <w:r>
        <w:rPr>
          <w:rFonts w:hint="eastAsia" w:ascii="Times New Roman" w:hAnsi="Times New Roman" w:cs="Times New Roman"/>
          <w:sz w:val="18"/>
          <w:szCs w:val="18"/>
        </w:rPr>
        <w:t>目前舒尼替尼、卡博替尼、索拉非尼、</w:t>
      </w:r>
      <w:r>
        <w:rPr>
          <w:rFonts w:ascii="Times New Roman" w:hAnsi="Times New Roman" w:cs="Times New Roman"/>
          <w:sz w:val="18"/>
          <w:szCs w:val="18"/>
        </w:rPr>
        <w:t>Selpercatinib</w:t>
      </w:r>
      <w:r>
        <w:rPr>
          <w:rFonts w:hint="eastAsia" w:ascii="Times New Roman" w:hAnsi="Times New Roman" w:cs="Times New Roman"/>
          <w:sz w:val="18"/>
          <w:szCs w:val="18"/>
        </w:rPr>
        <w:t>等用于R</w:t>
      </w:r>
      <w:r>
        <w:rPr>
          <w:rFonts w:ascii="Times New Roman" w:hAnsi="Times New Roman" w:cs="Times New Roman"/>
          <w:sz w:val="18"/>
          <w:szCs w:val="18"/>
        </w:rPr>
        <w:t>ET</w:t>
      </w:r>
      <w:r>
        <w:rPr>
          <w:rFonts w:hint="eastAsia" w:ascii="Times New Roman" w:hAnsi="Times New Roman" w:cs="Times New Roman"/>
          <w:sz w:val="18"/>
          <w:szCs w:val="18"/>
        </w:rPr>
        <w:t>突变/融合的实体瘤的临床试验正在开展。</w:t>
      </w:r>
    </w:p>
    <w:p w14:paraId="49F5EB6A">
      <w:pPr>
        <w:adjustRightInd w:val="0"/>
        <w:snapToGrid w:val="0"/>
        <w:spacing w:line="300" w:lineRule="auto"/>
        <w:ind w:left="420"/>
        <w:rPr>
          <w:rFonts w:ascii="Times New Roman" w:hAnsi="Times New Roman" w:cs="Times New Roman"/>
          <w:sz w:val="18"/>
          <w:szCs w:val="18"/>
        </w:rPr>
      </w:pPr>
    </w:p>
    <w:p w14:paraId="289DB3F8">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669504" behindDoc="1" locked="0" layoutInCell="1" allowOverlap="1">
                <wp:simplePos x="0" y="0"/>
                <wp:positionH relativeFrom="column">
                  <wp:posOffset>-31115</wp:posOffset>
                </wp:positionH>
                <wp:positionV relativeFrom="paragraph">
                  <wp:posOffset>159385</wp:posOffset>
                </wp:positionV>
                <wp:extent cx="5756910" cy="21590"/>
                <wp:effectExtent l="0" t="9525" r="5715" b="16510"/>
                <wp:wrapNone/>
                <wp:docPr id="10" name="直线 60"/>
                <wp:cNvGraphicFramePr/>
                <a:graphic xmlns:a="http://schemas.openxmlformats.org/drawingml/2006/main">
                  <a:graphicData uri="http://schemas.microsoft.com/office/word/2010/wordprocessingShape">
                    <wps:wsp>
                      <wps:cNvCnPr/>
                      <wps:spPr>
                        <a:xfrm>
                          <a:off x="0" y="0"/>
                          <a:ext cx="575691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0" o:spid="_x0000_s1026" o:spt="20" style="position:absolute;left:0pt;margin-left:-2.45pt;margin-top:12.55pt;height:1.7pt;width:453.3pt;z-index:-251646976;mso-width-relative:page;mso-height-relative:page;" filled="f" stroked="t" coordsize="21600,21600" o:gfxdata="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wbSNrY&#10;AAAACAEAAA8AAAAAAAAAAQAgAAAAIgAAAGRycy9kb3ducmV2LnhtbFBLAQIUABQAAAAIAIdO4kCF&#10;XUBu5wEAAOADAAAOAAAAAAAAAAEAIAAAACcBAABkcnMvZTJvRG9jLnhtbFBLBQYAAAAABgAGAFkB&#10;AACABQAAAAA=&#10;">
                <v:fill on="f" focussize="0,0"/>
                <v:stroke weight="1.5pt" color="#002060" joinstyle="miter"/>
                <v:imagedata o:title=""/>
                <o:lock v:ext="edit" aspectratio="f"/>
              </v:line>
            </w:pict>
          </mc:Fallback>
        </mc:AlternateContent>
      </w:r>
      <w:r>
        <w:rPr>
          <w:rFonts w:ascii="Times New Roman" w:hAnsi="Times New Roman" w:cs="Times New Roman"/>
          <w:b/>
        </w:rPr>
        <w:t xml:space="preserve">RB1                                                                        </w:t>
      </w:r>
    </w:p>
    <w:p w14:paraId="10B674A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E9E773A">
      <w:pPr>
        <w:spacing w:line="300" w:lineRule="auto"/>
        <w:ind w:left="420"/>
        <w:rPr>
          <w:rFonts w:ascii="Times New Roman" w:hAnsi="Times New Roman" w:cs="Times New Roman"/>
          <w:color w:val="404040"/>
        </w:rPr>
      </w:pPr>
      <w:r>
        <w:rPr>
          <w:rFonts w:ascii="Times New Roman" w:hAnsi="Times New Roman" w:cs="Times New Roman"/>
          <w:sz w:val="18"/>
          <w:szCs w:val="18"/>
        </w:rPr>
        <w:t>视网膜母细胞瘤基因1（RB1）是人类第一个分离克隆的抑癌基因，确认为视网膜母细胞瘤（RB）的唯一致病基因。RB1基因是细胞周期的负调控因子，通过与转录因子结合调节细胞增殖和分化所需基因的表达，从而维持细胞生长发育的平衡。RB1基因的突变不仅存在于视网膜母细胞瘤患者中，而且见于许多恶性肿瘤，如小细胞肺癌、骨肉瘤、膀胱癌、胰腺癌和乳腺癌等。大量研究表明，RB1的抑癌作用与其对细胞周期、细胞分化、细胞衰老、细胞凋亡和生长抑制等的调控是密切相关的。RB1基因的种系突变和体细胞突变均可导致肉瘤的易感性，如软组织肉瘤和骨肉瘤。90%以上的小细胞肺癌都存在RB1基因的异常。</w:t>
      </w:r>
      <w:r>
        <w:rPr>
          <w:rFonts w:ascii="Times New Roman" w:hAnsi="Times New Roman" w:cs="Times New Roman"/>
          <w:color w:val="404040"/>
          <w:sz w:val="18"/>
          <w:szCs w:val="18"/>
        </w:rPr>
        <w:t xml:space="preserve"> </w:t>
      </w:r>
    </w:p>
    <w:p w14:paraId="124EA842">
      <w:pPr>
        <w:spacing w:line="300" w:lineRule="auto"/>
        <w:ind w:left="420"/>
        <w:rPr>
          <w:rFonts w:ascii="Times New Roman" w:hAnsi="Times New Roman" w:cs="Times New Roman"/>
          <w:b/>
          <w:szCs w:val="18"/>
        </w:rPr>
      </w:pPr>
      <w:r>
        <w:rPr>
          <w:rFonts w:ascii="Times New Roman" w:hAnsi="Times New Roman" w:cs="Times New Roman"/>
          <w:b/>
          <w:szCs w:val="18"/>
        </w:rPr>
        <w:t xml:space="preserve">用药说明： </w:t>
      </w:r>
    </w:p>
    <w:p w14:paraId="798FC2CC">
      <w:pPr>
        <w:spacing w:line="300" w:lineRule="auto"/>
        <w:ind w:left="420"/>
        <w:rPr>
          <w:rFonts w:ascii="Times New Roman" w:hAnsi="Times New Roman" w:cs="Times New Roman"/>
          <w:b/>
          <w:szCs w:val="18"/>
        </w:rPr>
      </w:pPr>
      <w:r>
        <w:rPr>
          <w:rFonts w:ascii="Times New Roman" w:hAnsi="Times New Roman" w:cs="Times New Roman"/>
          <w:sz w:val="18"/>
          <w:szCs w:val="18"/>
        </w:rPr>
        <w:t>目前，FDA尚未批准任何靶向RB1突变的抗癌药物。针对RB1失活的靶向药物（如AURORA激酶抑制剂、BCL-2 抑制剂和NOTCH 通路激活剂）均处于临床前</w:t>
      </w:r>
      <w:r>
        <w:rPr>
          <w:rFonts w:hint="eastAsia" w:ascii="Times New Roman" w:hAnsi="Times New Roman" w:cs="Times New Roman"/>
          <w:sz w:val="18"/>
          <w:szCs w:val="18"/>
        </w:rPr>
        <w:t>实</w:t>
      </w:r>
      <w:r>
        <w:rPr>
          <w:rFonts w:ascii="Times New Roman" w:hAnsi="Times New Roman" w:cs="Times New Roman"/>
          <w:sz w:val="18"/>
          <w:szCs w:val="18"/>
        </w:rPr>
        <w:t>验阶段。在非小细胞肺癌耐药的患者中，部分患者会展示出从非小细胞肺癌（NSCLC）到小细胞肺癌（SCLC）的组织学转变，这些患者存在RB1功能丢失。对来自抗EGFR突变治疗的患者的肿瘤样品和细胞系的分析显示RB缺失出现在这些小细胞肺癌转化的病例（100％），但很少在那些仍然是非小细胞肺癌的患者中。但是在EGFR突变细胞系中的RB敲低实验表明RB丢失不足以引起抗性或诱导神经内分泌（NE）分化[PMID: 25758528]。</w:t>
      </w:r>
      <w:r>
        <w:rPr>
          <w:rFonts w:hint="eastAsia" w:ascii="Times New Roman" w:hAnsi="Times New Roman" w:cs="Times New Roman"/>
          <w:sz w:val="18"/>
          <w:szCs w:val="18"/>
        </w:rPr>
        <w:t>临床前研究中，</w:t>
      </w:r>
      <w:r>
        <w:rPr>
          <w:rFonts w:ascii="Times New Roman" w:hAnsi="Times New Roman" w:cs="Times New Roman"/>
          <w:sz w:val="18"/>
          <w:szCs w:val="18"/>
        </w:rPr>
        <w:t>Trilaciclib和托泊替康的组合抑制RB1缺陷的小细胞肺癌（SCLC）异种移植模型中的肿瘤生长，比单独使用托泊替康更有效[PMID: 26826116]。临床前研究发现，RB1敲除的SCLC细胞系高度依赖与染色体分离相关的多种蛋白，包括Aurora B激酶，Aurora B激酶抑制剂在多种临床前SCLC模型中是有效的，提示RB1的缺失是SCLC对Aurora B激酶抑制剂敏感的预测生物标志物[PMID: 30373918]。紫杉醇加Alisertib或紫杉醇加安慰剂作为SCLC二线治疗的</w:t>
      </w:r>
      <w:r>
        <w:rPr>
          <w:rFonts w:hint="eastAsia" w:ascii="Times New Roman" w:hAnsi="Times New Roman" w:cs="Times New Roman"/>
          <w:sz w:val="18"/>
          <w:szCs w:val="18"/>
        </w:rPr>
        <w:t>随机</w:t>
      </w:r>
      <w:r>
        <w:rPr>
          <w:rFonts w:ascii="Times New Roman" w:hAnsi="Times New Roman" w:cs="Times New Roman"/>
          <w:sz w:val="18"/>
          <w:szCs w:val="18"/>
        </w:rPr>
        <w:t>II期研究中，在140名基因变异的患者中，细胞周期调节因子（CDK6、RBL1、RBL2、RB1）突变的患者使用Alisertib/紫杉醇显著改善PFS（分别为3.68和1.80个月, p = 0.0003）和总生存期（分别为7.20和4.47个月, p = 0.00085）[PMID: 31655296]。</w:t>
      </w:r>
    </w:p>
    <w:p w14:paraId="4A86EA33">
      <w:pPr>
        <w:spacing w:line="300" w:lineRule="auto"/>
        <w:ind w:left="420"/>
        <w:rPr>
          <w:rFonts w:ascii="Times New Roman" w:hAnsi="Times New Roman" w:cs="Times New Roman"/>
          <w:sz w:val="18"/>
          <w:szCs w:val="18"/>
        </w:rPr>
      </w:pPr>
    </w:p>
    <w:p w14:paraId="022096B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667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9" name="直线 6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1" o:spid="_x0000_s1026" o:spt="20" style="position:absolute;left:0pt;margin-left:-2.6pt;margin-top:12.55pt;height:1.7pt;width:453.4pt;z-index:-2516398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M1qgl+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SMO                                                                        </w:t>
      </w:r>
    </w:p>
    <w:p w14:paraId="08659C2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293BD9E">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SMO编码一种G蛋白偶联受体蛋白，是Sonic Hedgehog信号通路的主要成员，在正常胚胎和神经元发育以及肿瘤发生中起重要作用[PMID: 26912893]。SMO蛋白是一种七跨膜结构域蛋白，与G蛋白偶联受体在结构和功能上有一些相似性[PMID: 23636324]。SMO活性通常受到patched (PTCH1)的抑制，patched是Hedgehog途径的上游成分[PMID: 23719536]。胞外Hedgehog配体与PTCH1的结合导致SMO的连续激活，这又诱导下游GLI转录因子的修饰，从而导致它们的激活。激活SMO突变导致GLI介导的重要致癌基因转录的组成性激活。SHH信号与肿瘤干细胞的自我复制、肿瘤血管和基质形成密切相关。SMO与散发性基底细胞癌[PMID: 26950094]和髓母细胞瘤[PMID: 21614026]有关，并且已经在许多其他肿瘤类型中被鉴定。 </w:t>
      </w:r>
    </w:p>
    <w:p w14:paraId="6DCDE6EB">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B66A263">
      <w:pPr>
        <w:adjustRightInd w:val="0"/>
        <w:snapToGrid w:val="0"/>
        <w:spacing w:line="300" w:lineRule="auto"/>
        <w:ind w:left="420"/>
        <w:rPr>
          <w:rFonts w:ascii="Times New Roman" w:hAnsi="Times New Roman" w:cs="Times New Roman"/>
          <w:sz w:val="18"/>
          <w:szCs w:val="18"/>
        </w:rPr>
      </w:pPr>
      <w:r>
        <w:rPr>
          <w:rFonts w:ascii="Times New Roman" w:hAnsi="Times New Roman" w:cs="Times New Roman"/>
          <w:sz w:val="18"/>
          <w:szCs w:val="18"/>
        </w:rPr>
        <w:t>在一项开放性临床研究中，携带对维莫德吉耐药的SMO Q477E突变的基底细胞癌患者使用索尼德吉治疗，疾病进展[PMID: 26546616]。在临床研究中，携带SMO D473H的髓母细胞瘤患者对Hedgehog通路抑制剂维莫德吉表现出继发耐药[PMID:</w:t>
      </w:r>
      <w:r>
        <w:rPr>
          <w:rFonts w:hint="eastAsia" w:ascii="Times New Roman" w:hAnsi="Times New Roman" w:cs="Times New Roman"/>
          <w:sz w:val="18"/>
          <w:szCs w:val="18"/>
        </w:rPr>
        <w:t xml:space="preserve"> </w:t>
      </w:r>
      <w:r>
        <w:rPr>
          <w:rFonts w:ascii="Times New Roman" w:hAnsi="Times New Roman" w:cs="Times New Roman"/>
          <w:sz w:val="18"/>
          <w:szCs w:val="18"/>
        </w:rPr>
        <w:t>19726788]。在体外研究中，与表达野生型SMO的C3H10T1/2细胞相比，表达SMO A459V突变的C3H10T1/2细胞系显示出对维莫德吉治疗的耐药性[PMID: 25759019]。除此之外，SMO的配体结合口袋中的一组独特的突变赋予了对SMO抑制剂例如维莫德单抗和相关环巴胺药物的抗性[PMID：26960983]。</w:t>
      </w:r>
      <w:r>
        <w:rPr>
          <w:rFonts w:hint="eastAsia" w:ascii="Times New Roman" w:hAnsi="Times New Roman" w:cs="Times New Roman"/>
          <w:sz w:val="18"/>
          <w:szCs w:val="18"/>
        </w:rPr>
        <w:t>研究表明，在结直肠癌中，</w:t>
      </w:r>
      <w:r>
        <w:rPr>
          <w:rFonts w:ascii="Times New Roman" w:hAnsi="Times New Roman" w:cs="Times New Roman"/>
          <w:sz w:val="18"/>
          <w:szCs w:val="18"/>
        </w:rPr>
        <w:t>SMO的表达与临床病理和预后有关[PMID: 25023548]。SMO过表达与结直肠癌患者吸烟、晚期疾病及淋巴结转移相关[PMID: 30784110]。结直肠癌中，激活SHH通路后，DFS更长(HR=0.49, p=0.032)[PMID: 30952759]。</w:t>
      </w:r>
      <w:r>
        <w:rPr>
          <w:rFonts w:hint="eastAsia" w:ascii="Times New Roman" w:hAnsi="Times New Roman" w:cs="Times New Roman"/>
          <w:sz w:val="18"/>
          <w:szCs w:val="18"/>
        </w:rPr>
        <w:t>目前维莫德吉用于S</w:t>
      </w:r>
      <w:r>
        <w:rPr>
          <w:rFonts w:ascii="Times New Roman" w:hAnsi="Times New Roman" w:cs="Times New Roman"/>
          <w:sz w:val="18"/>
          <w:szCs w:val="18"/>
        </w:rPr>
        <w:t>MO</w:t>
      </w:r>
      <w:r>
        <w:rPr>
          <w:rFonts w:hint="eastAsia" w:ascii="Times New Roman" w:hAnsi="Times New Roman" w:cs="Times New Roman"/>
          <w:sz w:val="18"/>
          <w:szCs w:val="18"/>
        </w:rPr>
        <w:t>突变的实体瘤的临床试验正在开展。</w:t>
      </w:r>
    </w:p>
    <w:p w14:paraId="29256966">
      <w:pPr>
        <w:adjustRightInd w:val="0"/>
        <w:snapToGrid w:val="0"/>
        <w:spacing w:line="300" w:lineRule="auto"/>
        <w:ind w:left="420"/>
        <w:rPr>
          <w:rFonts w:ascii="Times New Roman" w:hAnsi="Times New Roman" w:cs="Times New Roman"/>
          <w:sz w:val="18"/>
          <w:szCs w:val="18"/>
        </w:rPr>
      </w:pPr>
    </w:p>
    <w:p w14:paraId="27AB638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6128"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38" name="直线 6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2" o:spid="_x0000_s1026" o:spt="20" style="position:absolute;left:0pt;margin-left:-2.55pt;margin-top:12.55pt;height:1.7pt;width:453.45pt;z-index:-2516203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AeCFL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STK11                                                                         </w:t>
      </w:r>
    </w:p>
    <w:p w14:paraId="0B52B4F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D8EBE54">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STK11基因（也称LKB1基因）位于染色体19p13.3，为一种抑癌基因，编码由433个氨基酸残基组成的丝氨酸/苏氨酸蛋白激酶，在体内广泛表达。只有与STRAD及MO25结合形成一种完整的复合物才能发挥正常的生物学效应，涉及调控细胞周期、调节细胞极性以及细胞基础能量代谢、DNA损伤响应等重要功能。非小细胞肺癌中STK11突变频率约为7%，STK11蛋白的失活促进肺癌发生、发展和转移。</w:t>
      </w:r>
    </w:p>
    <w:p w14:paraId="23DFB6CF">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A575AA9">
      <w:pPr>
        <w:adjustRightInd w:val="0"/>
        <w:snapToGrid w:val="0"/>
        <w:spacing w:line="300" w:lineRule="auto"/>
        <w:ind w:left="420"/>
        <w:jc w:val="both"/>
        <w:rPr>
          <w:rFonts w:ascii="Times New Roman" w:hAnsi="Times New Roman" w:cs="Times New Roman"/>
          <w:sz w:val="18"/>
          <w:szCs w:val="18"/>
        </w:rPr>
      </w:pPr>
      <w:r>
        <w:rPr>
          <w:rFonts w:hint="eastAsia" w:ascii="Times New Roman" w:hAnsi="Times New Roman" w:cs="Times New Roman"/>
          <w:sz w:val="18"/>
          <w:szCs w:val="18"/>
        </w:rPr>
        <w:t>在一项</w:t>
      </w:r>
      <w:r>
        <w:rPr>
          <w:rFonts w:ascii="Times New Roman" w:hAnsi="Times New Roman" w:cs="Times New Roman"/>
          <w:sz w:val="18"/>
          <w:szCs w:val="18"/>
        </w:rPr>
        <w:t>Ib/II期试验中，携带STK11和/或KEAP1突变的非鳞NSCLC患者（n=14）接受卡瑞利珠单抗联合阿帕替尼治疗，相对于野生型STK11/KEAP1患者（n=32），12个月生存率得到了改善（85.1% vs 53.1%，p=0.01），客观有效率（42.9% vs 28.1%，p=0.33）、疾病控制率（92.9% vs 65.6%，p=0.053）和中位无进展生存期（9.4 vs 5.3个月，p=0.64）有改善的趋势，其中两例STK11移码突变患者获得部分缓解[PMID: 33323401]。临床前研究表明，西罗莫司 (Rapamune) 能够降低STK11（LKB1）缺陷型子宫内膜癌小鼠模型（包括晚期肿瘤模型）的S6K磷酸化水平并抑制肿瘤生长[PMID: 20142330]；人类肿瘤细胞系中STK11失活变异和STK11缺失表达与司美替尼（AZD6244）的敏感性增加有关[PMID: 27821489]；携带STK11失活突变的非小细胞肺癌细胞系对曲美替尼处理敏感[PMID: 27821489]；在一项临床前研究中，携带STK11突变的H1666细胞系接受Gedatolisib的处理后细胞生长受到抑制[PMID: 21325073]。</w:t>
      </w:r>
      <w:r>
        <w:rPr>
          <w:rFonts w:hint="eastAsia" w:ascii="Times New Roman" w:hAnsi="Times New Roman" w:cs="Times New Roman"/>
          <w:sz w:val="18"/>
          <w:szCs w:val="18"/>
        </w:rPr>
        <w:t>有研究表明，</w:t>
      </w:r>
      <w:r>
        <w:rPr>
          <w:rFonts w:ascii="Times New Roman" w:hAnsi="Times New Roman" w:cs="Times New Roman"/>
          <w:sz w:val="18"/>
          <w:szCs w:val="18"/>
        </w:rPr>
        <w:t>STK11 1-2号外显子突变与不良预后相关（P=0.002）[PMID: 26625312]。</w:t>
      </w:r>
      <w:r>
        <w:rPr>
          <w:rFonts w:hint="eastAsia" w:ascii="Times New Roman" w:hAnsi="Times New Roman" w:cs="Times New Roman"/>
          <w:sz w:val="18"/>
          <w:szCs w:val="18"/>
        </w:rPr>
        <w:t>目前替西罗莫司、</w:t>
      </w:r>
      <w:r>
        <w:rPr>
          <w:rFonts w:ascii="Times New Roman" w:hAnsi="Times New Roman" w:cs="Times New Roman"/>
          <w:sz w:val="18"/>
          <w:szCs w:val="18"/>
        </w:rPr>
        <w:t>Telaglenastat</w:t>
      </w:r>
      <w:r>
        <w:rPr>
          <w:rFonts w:hint="eastAsia" w:ascii="Times New Roman" w:hAnsi="Times New Roman" w:cs="Times New Roman"/>
          <w:sz w:val="18"/>
          <w:szCs w:val="18"/>
        </w:rPr>
        <w:t>、</w:t>
      </w:r>
      <w:r>
        <w:rPr>
          <w:rFonts w:ascii="Times New Roman" w:hAnsi="Times New Roman" w:cs="Times New Roman"/>
          <w:sz w:val="18"/>
          <w:szCs w:val="18"/>
        </w:rPr>
        <w:t>Sirpiglenastat</w:t>
      </w:r>
      <w:r>
        <w:rPr>
          <w:rFonts w:hint="eastAsia" w:ascii="Times New Roman" w:hAnsi="Times New Roman" w:cs="Times New Roman"/>
          <w:sz w:val="18"/>
          <w:szCs w:val="18"/>
        </w:rPr>
        <w:t>等用于S</w:t>
      </w:r>
      <w:r>
        <w:rPr>
          <w:rFonts w:ascii="Times New Roman" w:hAnsi="Times New Roman" w:cs="Times New Roman"/>
          <w:sz w:val="18"/>
          <w:szCs w:val="18"/>
        </w:rPr>
        <w:t>TK11</w:t>
      </w:r>
      <w:r>
        <w:rPr>
          <w:rFonts w:hint="eastAsia" w:ascii="Times New Roman" w:hAnsi="Times New Roman" w:cs="Times New Roman"/>
          <w:sz w:val="18"/>
          <w:szCs w:val="18"/>
        </w:rPr>
        <w:t>突变的实体瘤的临床试验正在开展。</w:t>
      </w:r>
    </w:p>
    <w:p w14:paraId="228D238D">
      <w:pPr>
        <w:adjustRightInd w:val="0"/>
        <w:snapToGrid w:val="0"/>
        <w:spacing w:line="300" w:lineRule="auto"/>
        <w:ind w:left="420"/>
        <w:jc w:val="both"/>
        <w:rPr>
          <w:rFonts w:ascii="Times New Roman" w:hAnsi="Times New Roman" w:cs="Times New Roman"/>
          <w:sz w:val="18"/>
          <w:szCs w:val="18"/>
        </w:rPr>
      </w:pPr>
    </w:p>
    <w:p w14:paraId="5AF11300">
      <w:pPr>
        <w:spacing w:before="120" w:beforeLines="50"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224155</wp:posOffset>
                </wp:positionV>
                <wp:extent cx="5760085" cy="33655"/>
                <wp:effectExtent l="0" t="9525" r="2540" b="13970"/>
                <wp:wrapNone/>
                <wp:docPr id="45" name="直线 63"/>
                <wp:cNvGraphicFramePr/>
                <a:graphic xmlns:a="http://schemas.openxmlformats.org/drawingml/2006/main">
                  <a:graphicData uri="http://schemas.microsoft.com/office/word/2010/wordprocessingShape">
                    <wps:wsp>
                      <wps:cNvCnPr/>
                      <wps:spPr>
                        <a:xfrm flipV="1">
                          <a:off x="0" y="0"/>
                          <a:ext cx="5760085" cy="33655"/>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3" o:spid="_x0000_s1026" o:spt="20" style="position:absolute;left:0pt;flip:y;margin-left:0pt;margin-top:17.65pt;height:2.65pt;width:453.55pt;z-index:251703296;mso-width-relative:page;mso-height-relative:page;" filled="f" stroked="t" coordsize="21600,21600" o:gfxdata="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Dxj342AAAAAYBAAAPAAAAAAAAAAEAIAAAACIAAABkcnMvZG93bnJldi54bWxQSwEC&#10;FAAUAAAACACHTuJAfdaN3fQBAADqAwAADgAAAAAAAAABACAAAAAnAQAAZHJzL2Uyb0RvYy54bWxQ&#10;SwUGAAAAAAYABgBZAQAAjQUAAAAA&#10;">
                <v:fill on="f" focussize="0,0"/>
                <v:stroke weight="1.5pt" color="#002060" joinstyle="miter"/>
                <v:imagedata o:title=""/>
                <o:lock v:ext="edit" aspectratio="f"/>
              </v:line>
            </w:pict>
          </mc:Fallback>
        </mc:AlternateContent>
      </w:r>
      <w:r>
        <w:rPr>
          <w:rFonts w:ascii="Times New Roman" w:hAnsi="Times New Roman" w:cs="Times New Roman"/>
          <w:b/>
        </w:rPr>
        <w:t xml:space="preserve">TP53                                                                               </w:t>
      </w:r>
    </w:p>
    <w:p w14:paraId="5A66C29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72E0E55">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TP53是抑癌基因，编码一种包括转录激活、DNA结合及寡聚化结构域的肿瘤抑制蛋白。编码的蛋白响应不同的细胞压力，调节靶基因的表达，从而诱导细胞周期阻滞、凋亡、衰老、DNA修复或代谢变化。该基因的异常与多种人类癌症有关。TP53的胚系突变会导致家族性肉瘤综合征，从而导致成年人在早期发生乳腺癌、脑癌及白血病等。在正常细胞中p53表达较低，TP53功能缺失突变可能导致细胞核中p53表达增加且维持稳定。TP53基因突变高发于多种肿瘤类型中。</w:t>
      </w:r>
    </w:p>
    <w:p w14:paraId="53B1C68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2084676">
      <w:pPr>
        <w:adjustRightInd w:val="0"/>
        <w:snapToGrid w:val="0"/>
        <w:spacing w:line="300" w:lineRule="auto"/>
        <w:ind w:left="420"/>
        <w:jc w:val="both"/>
        <w:rPr>
          <w:rFonts w:ascii="Times New Roman" w:hAnsi="Times New Roman" w:cs="Times New Roman"/>
          <w:sz w:val="18"/>
          <w:szCs w:val="18"/>
          <w:lang w:bidi="zh-CN"/>
        </w:rPr>
      </w:pPr>
      <w:r>
        <w:rPr>
          <w:rFonts w:ascii="Times New Roman" w:hAnsi="Times New Roman" w:cs="Times New Roman"/>
          <w:sz w:val="18"/>
          <w:szCs w:val="18"/>
        </w:rPr>
        <w:t>目前，FDA尚未批准任何靶向TP53突变的药物。有研究报道KRAS和TP53都突变的患者，使用PD-1抗体的有效率高达33.3%。针对TP53突变的基因疗法、靶向肿瘤疫苗和抗癌药物正处于临床试验早期阶段。这些治疗方法包括NSC59984、Alisertib等，它们在晚期实体肿瘤的治疗中表现出一定的疗效。一项I期临床试验结果表明，培唑帕尼联合伏立诺他能够延长具有TP53热点突变的晚期实体瘤患者的PFS和OS，SD率为45%，而TP53野生型的SD率为16% [PMID: 25669829]。另有研究表明，携带TP53突变的癌细胞对极光激酶A抑制剂敏感[PMID: 23955083]。</w:t>
      </w:r>
      <w:r>
        <w:rPr>
          <w:rFonts w:hint="eastAsia" w:ascii="Times New Roman" w:hAnsi="Times New Roman" w:cs="Times New Roman"/>
          <w:sz w:val="18"/>
          <w:szCs w:val="18"/>
        </w:rPr>
        <w:t>在靶向</w:t>
      </w:r>
      <w:r>
        <w:rPr>
          <w:rFonts w:ascii="Times New Roman" w:hAnsi="Times New Roman" w:cs="Times New Roman"/>
          <w:sz w:val="18"/>
          <w:szCs w:val="18"/>
        </w:rPr>
        <w:t>MDSC治疗广泛期小细胞肺癌的临床试验，组A对照，组B接种转导野生型p53的树突细胞，组C以全反式维甲酸（ATRA）与MDSC靶向治疗联合接种。在来自组A的14名患者中，没有任何一位出现p53阳性反应。免疫后，组B中，15例患者中仅有3例（20%）出现p53特异性应答（p = 0.22）。相比之下，在组C中，12个病人中有5个（41.7%）有可检测到的p53反应（p = 0.012）[PMID: 23589106]。一项临床前研究表明，NSC59984可以增加具有TP53 S241F突变的结肠癌细胞系的TP53信号，促进细胞凋亡[PMID: 26294215]。顺铂联合NSC59984可以抑制具有TP53 R273H和P309S突变的结肠癌细胞的活性[PMID: 26294215]</w:t>
      </w:r>
      <w:r>
        <w:rPr>
          <w:rFonts w:ascii="Times New Roman" w:hAnsi="Times New Roman" w:cs="Times New Roman"/>
          <w:sz w:val="18"/>
          <w:szCs w:val="18"/>
          <w:lang w:bidi="zh-CN"/>
        </w:rPr>
        <w:t>。</w:t>
      </w:r>
      <w:r>
        <w:rPr>
          <w:rFonts w:hint="eastAsia" w:ascii="Times New Roman" w:hAnsi="Times New Roman" w:cs="Times New Roman"/>
          <w:sz w:val="18"/>
          <w:szCs w:val="18"/>
          <w:lang w:bidi="zh-CN"/>
        </w:rPr>
        <w:t>目前</w:t>
      </w:r>
      <w:r>
        <w:rPr>
          <w:rFonts w:ascii="Times New Roman" w:hAnsi="Times New Roman" w:cs="Times New Roman"/>
          <w:sz w:val="18"/>
          <w:szCs w:val="18"/>
          <w:lang w:bidi="zh-CN"/>
        </w:rPr>
        <w:t>APR246</w:t>
      </w:r>
      <w:r>
        <w:rPr>
          <w:rFonts w:hint="eastAsia" w:ascii="Times New Roman" w:hAnsi="Times New Roman" w:cs="Times New Roman"/>
          <w:sz w:val="18"/>
          <w:szCs w:val="18"/>
          <w:lang w:bidi="zh-CN"/>
        </w:rPr>
        <w:t>联合帕博利珠单抗治疗T</w:t>
      </w:r>
      <w:r>
        <w:rPr>
          <w:rFonts w:ascii="Times New Roman" w:hAnsi="Times New Roman" w:cs="Times New Roman"/>
          <w:sz w:val="18"/>
          <w:szCs w:val="18"/>
          <w:lang w:bidi="zh-CN"/>
        </w:rPr>
        <w:t>P53</w:t>
      </w:r>
      <w:r>
        <w:rPr>
          <w:rFonts w:hint="eastAsia" w:ascii="Times New Roman" w:hAnsi="Times New Roman" w:cs="Times New Roman"/>
          <w:sz w:val="18"/>
          <w:szCs w:val="18"/>
          <w:lang w:bidi="zh-CN"/>
        </w:rPr>
        <w:t>突变的实体瘤患者的临床试验正在开展。</w:t>
      </w:r>
    </w:p>
    <w:p w14:paraId="7A1E8002">
      <w:pPr>
        <w:adjustRightInd w:val="0"/>
        <w:snapToGrid w:val="0"/>
        <w:spacing w:line="300" w:lineRule="auto"/>
        <w:ind w:left="420"/>
        <w:jc w:val="both"/>
        <w:rPr>
          <w:rFonts w:ascii="Times New Roman" w:hAnsi="Times New Roman" w:cs="Times New Roman"/>
          <w:sz w:val="18"/>
          <w:szCs w:val="18"/>
          <w:lang w:bidi="zh-CN"/>
        </w:rPr>
      </w:pPr>
    </w:p>
    <w:p w14:paraId="53F98DC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3840"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6" name="直线 6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4" o:spid="_x0000_s1026" o:spt="20" style="position:absolute;left:0pt;margin-left:-2.55pt;margin-top:12.55pt;height:1.7pt;width:453.45pt;z-index:-25163264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dsAvu7A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2YIzB5Zu/PH7j8ef&#10;v9jibVZnCNhQ0p3bxvMJwzZmqscu2vwnEuxYFD1dFFXHxAQ55+/my+V0zpmg2Gw6vymKV8/FIWL6&#10;oLxl2Wi50S4ThgYOHzFRQ0p9Sslu49hAS3tTz+kCBdD6dXTtZNpAFNDtSzF6o+W9NiaXYNzv7kxk&#10;B8grUM/qxdMMf6XlLhvAfswroXE5rE4qU4emVyDfO8nSKZBKjl4Hz9NYJTkzih5TtkpmAm2uySR2&#10;xhHJLPIoa7Z2Xp6K2sVPF19kOC9p3qw/z6X6+WGu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XbAL7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UGT1A1                                                                          </w:t>
      </w:r>
    </w:p>
    <w:p w14:paraId="6F56234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F75E2BB">
      <w:pPr>
        <w:spacing w:line="300" w:lineRule="auto"/>
        <w:ind w:left="420"/>
        <w:rPr>
          <w:rFonts w:ascii="Times New Roman" w:hAnsi="Times New Roman" w:cs="Times New Roman"/>
          <w:sz w:val="18"/>
          <w:szCs w:val="18"/>
        </w:rPr>
      </w:pPr>
      <w:r>
        <w:rPr>
          <w:rFonts w:ascii="Times New Roman" w:hAnsi="Times New Roman" w:cs="Times New Roman"/>
          <w:sz w:val="18"/>
          <w:szCs w:val="18"/>
        </w:rPr>
        <w:t>UGT1A1基因编码一种UDP-葡萄糖醛酸基转移酶，参与类固醇、胆红素、激素和药物等葡萄苷酸化代谢过程。UGT1A1是药物代谢相关基因，基因变异导致其表达的多态性影响药物的代谢和耐受。UGT1A1基因突变可导致Crigler-Najjar综合征和Gilbert综合</w:t>
      </w:r>
      <w:r>
        <w:rPr>
          <w:rFonts w:hint="eastAsia" w:ascii="Times New Roman" w:hAnsi="Times New Roman" w:cs="Times New Roman"/>
          <w:sz w:val="18"/>
          <w:szCs w:val="18"/>
        </w:rPr>
        <w:t>征（</w:t>
      </w:r>
      <w:r>
        <w:rPr>
          <w:rFonts w:ascii="Times New Roman" w:hAnsi="Times New Roman" w:cs="Times New Roman"/>
          <w:sz w:val="18"/>
          <w:szCs w:val="18"/>
        </w:rPr>
        <w:t>先天性非溶血性黄疸</w:t>
      </w:r>
      <w:r>
        <w:rPr>
          <w:rFonts w:hint="eastAsia" w:ascii="Times New Roman" w:hAnsi="Times New Roman" w:cs="Times New Roman"/>
          <w:sz w:val="18"/>
          <w:szCs w:val="18"/>
        </w:rPr>
        <w:t>）</w:t>
      </w:r>
      <w:r>
        <w:rPr>
          <w:rFonts w:ascii="Times New Roman" w:hAnsi="Times New Roman" w:cs="Times New Roman"/>
          <w:sz w:val="18"/>
          <w:szCs w:val="18"/>
        </w:rPr>
        <w:t>的发生。</w:t>
      </w:r>
    </w:p>
    <w:p w14:paraId="4B02180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36E5CE9">
      <w:pPr>
        <w:spacing w:line="300" w:lineRule="auto"/>
        <w:ind w:left="420"/>
        <w:rPr>
          <w:rFonts w:ascii="Times New Roman" w:hAnsi="Times New Roman" w:cs="Times New Roman"/>
          <w:sz w:val="18"/>
          <w:szCs w:val="18"/>
        </w:rPr>
      </w:pPr>
      <w:r>
        <w:rPr>
          <w:rFonts w:ascii="Times New Roman" w:hAnsi="Times New Roman" w:cs="Times New Roman"/>
          <w:sz w:val="18"/>
          <w:szCs w:val="18"/>
        </w:rPr>
        <w:t>美国FDA要求在伊立替康药品标签上加入警示，建议患者在使用伊立替康前应检测是否带有UGT1A1*28突变。临床试验研究表明，UGT1A1基因的遗传多态性对减轻化疗药物的毒副作用有重要的临床意义。携带 (TA)6/(TA)6 基因型的结直肠癌患者，相比于(TA)7/(TA)7基因型，嗜中性白血球减少症和腹泻风险可能减小[PMID:</w:t>
      </w:r>
      <w:r>
        <w:rPr>
          <w:rFonts w:hint="eastAsia" w:ascii="Times New Roman" w:hAnsi="Times New Roman" w:cs="Times New Roman"/>
          <w:sz w:val="18"/>
          <w:szCs w:val="18"/>
        </w:rPr>
        <w:t xml:space="preserve"> </w:t>
      </w:r>
      <w:r>
        <w:rPr>
          <w:rFonts w:ascii="Times New Roman" w:hAnsi="Times New Roman" w:cs="Times New Roman"/>
          <w:sz w:val="18"/>
          <w:szCs w:val="18"/>
        </w:rPr>
        <w:t>24519753</w:t>
      </w:r>
      <w:r>
        <w:rPr>
          <w:rFonts w:hint="eastAsia" w:ascii="Times New Roman" w:hAnsi="Times New Roman" w:cs="Times New Roman"/>
          <w:sz w:val="18"/>
          <w:szCs w:val="18"/>
        </w:rPr>
        <w:t>;</w:t>
      </w:r>
      <w:r>
        <w:rPr>
          <w:rFonts w:ascii="Times New Roman" w:hAnsi="Times New Roman" w:cs="Times New Roman"/>
          <w:sz w:val="18"/>
          <w:szCs w:val="18"/>
        </w:rPr>
        <w:t xml:space="preserve"> PMID:18300238</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26862009]。携带 (TA)6/(TA)6 基因型的肿瘤患者，相比于(TA)6/(TA)7 和 (TA)7/(TA)7 基因型，毒副反应风险可能减小（包括嗜中性白血球减少症、腹泻、乏力）。文献证据支持嗜中性白血球减少症的毒副风险较腹泻和乏力更强[PMID:</w:t>
      </w:r>
      <w:r>
        <w:rPr>
          <w:rFonts w:hint="eastAsia" w:ascii="Times New Roman" w:hAnsi="Times New Roman" w:cs="Times New Roman"/>
          <w:sz w:val="18"/>
          <w:szCs w:val="18"/>
        </w:rPr>
        <w:t xml:space="preserve"> </w:t>
      </w:r>
      <w:r>
        <w:rPr>
          <w:rFonts w:ascii="Times New Roman" w:hAnsi="Times New Roman" w:cs="Times New Roman"/>
          <w:sz w:val="18"/>
          <w:szCs w:val="18"/>
        </w:rPr>
        <w:t>24519753</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23529007</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26862009]。</w:t>
      </w:r>
      <w:r>
        <w:rPr>
          <w:rFonts w:hint="eastAsia" w:ascii="Times New Roman" w:hAnsi="Times New Roman" w:cs="Times New Roman"/>
          <w:sz w:val="18"/>
          <w:szCs w:val="18"/>
        </w:rPr>
        <w:t>另外发现，</w:t>
      </w:r>
      <w:r>
        <w:rPr>
          <w:rFonts w:ascii="Times New Roman" w:hAnsi="Times New Roman" w:cs="Times New Roman"/>
          <w:sz w:val="18"/>
          <w:szCs w:val="18"/>
        </w:rPr>
        <w:t>UGT1A1的遗传多态性与血浆阿昔替尼水平显著相关，血浆阿昔替尼水平与转移性肾细胞癌（mRCC）患者的不良反应（AE）和总生存期（OS）显著相关[PMID: 29524031]。</w:t>
      </w:r>
    </w:p>
    <w:p w14:paraId="57A2A74A">
      <w:pPr>
        <w:adjustRightInd w:val="0"/>
        <w:snapToGrid w:val="0"/>
        <w:spacing w:line="300" w:lineRule="auto"/>
        <w:jc w:val="both"/>
        <w:rPr>
          <w:rFonts w:ascii="Times New Roman" w:hAnsi="Times New Roman" w:cs="Times New Roman"/>
          <w:sz w:val="18"/>
          <w:szCs w:val="18"/>
          <w:lang w:bidi="zh-CN"/>
        </w:rPr>
      </w:pPr>
    </w:p>
    <w:p w14:paraId="755D685E">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7152"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39" name="直线 6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5" o:spid="_x0000_s1026" o:spt="20" style="position:absolute;left:0pt;margin-left:-2.55pt;margin-top:12.55pt;height:1.7pt;width:453.45pt;z-index:2516971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dkn0G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FBXW7                                                                          </w:t>
      </w:r>
    </w:p>
    <w:p w14:paraId="1FC99D2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FFC61DF">
      <w:pPr>
        <w:spacing w:line="300" w:lineRule="auto"/>
        <w:ind w:left="420"/>
        <w:rPr>
          <w:rFonts w:ascii="Times New Roman" w:hAnsi="Times New Roman" w:cs="Times New Roman"/>
          <w:sz w:val="18"/>
          <w:szCs w:val="18"/>
        </w:rPr>
      </w:pPr>
      <w:r>
        <w:rPr>
          <w:rFonts w:ascii="Times New Roman" w:hAnsi="Times New Roman" w:cs="Times New Roman"/>
          <w:sz w:val="18"/>
          <w:szCs w:val="18"/>
        </w:rPr>
        <w:t>FBXW7编码的蛋白属于F框蛋白家族，F框蛋白的特点是有一个约40个氨基酸的基序，就是F框。F框蛋白构成了泛素连接酶的四个亚基之一，在依赖泛素的磷酸化中发挥作用。F框蛋白分为3个区域：FBWS包含WD40区域，FBLS包含多亮氨酸重复，FBXS包含不同的蛋白相互作用模块和可识别的基序。FBXW7基因编码F-box蛋白亚基，参与SCF（Skp1-Cul1-F-box 蛋白）型泛素连接酶复合物的底物识别。在识别底物后，该复合物会修饰底物，使其成为蛋白质降解的目标。FBXW7的底物包括蛋白质c-MYC、mTOR [PMID: 18787170]、NOTCH1、细胞周期蛋白-E 和 JUN，它们有助于调节细胞分裂、分化和生长，并且通常在癌症中被不适当地激活。由于大多数 FBXW7 底物是被SCF复合物处理降解的原癌基因，因此FBXW7起到肿瘤抑制因子的作用。通过突变或拷贝</w:t>
      </w:r>
      <w:r>
        <w:rPr>
          <w:rFonts w:hint="eastAsia" w:ascii="Times New Roman" w:hAnsi="Times New Roman" w:cs="Times New Roman"/>
          <w:sz w:val="18"/>
          <w:szCs w:val="18"/>
        </w:rPr>
        <w:t>数丢失使</w:t>
      </w:r>
      <w:r>
        <w:rPr>
          <w:rFonts w:ascii="Times New Roman" w:hAnsi="Times New Roman" w:cs="Times New Roman"/>
          <w:sz w:val="18"/>
          <w:szCs w:val="18"/>
        </w:rPr>
        <w:t xml:space="preserve"> FBXW7失活会导致癌蛋白的异常积累，进而导致恶性转化[PMID: 27399335]。FBXW7的交替剪接产生三种不同的蛋白质亚型（α、β、γ），每种都具有不同的定位</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22673505</w:t>
      </w:r>
      <w:r>
        <w:rPr>
          <w:rFonts w:hint="eastAsia" w:ascii="Times New Roman" w:hAnsi="Times New Roman" w:cs="Times New Roman"/>
          <w:sz w:val="18"/>
          <w:szCs w:val="18"/>
        </w:rPr>
        <w:t>]</w:t>
      </w:r>
      <w:r>
        <w:rPr>
          <w:rFonts w:ascii="Times New Roman" w:hAnsi="Times New Roman" w:cs="Times New Roman"/>
          <w:sz w:val="18"/>
          <w:szCs w:val="18"/>
        </w:rPr>
        <w:t>。FBXW7中的突变会对同种型特异性功能、亚基二聚化、蛋白质定位、SCF组装或底物识别产生负面影响。FBXW7中的大多数突变是破坏底物结合的点突变，而&lt;10% 是小的缺失或插入</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17909001</w:t>
      </w:r>
      <w:r>
        <w:rPr>
          <w:rFonts w:hint="eastAsia" w:ascii="Times New Roman" w:hAnsi="Times New Roman" w:cs="Times New Roman"/>
          <w:sz w:val="18"/>
          <w:szCs w:val="18"/>
        </w:rPr>
        <w:t>]</w:t>
      </w:r>
      <w:r>
        <w:rPr>
          <w:rFonts w:ascii="Times New Roman" w:hAnsi="Times New Roman" w:cs="Times New Roman"/>
          <w:sz w:val="18"/>
          <w:szCs w:val="18"/>
        </w:rPr>
        <w:t>。与FBXW7相关的疾病包括结直肠癌、非小细胞肺癌、乳腺癌等。</w:t>
      </w:r>
    </w:p>
    <w:p w14:paraId="16473B3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E87E879">
      <w:pPr>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在一项</w:t>
      </w:r>
      <w:r>
        <w:rPr>
          <w:rFonts w:ascii="Times New Roman" w:hAnsi="Times New Roman" w:cs="Times New Roman"/>
          <w:sz w:val="18"/>
          <w:szCs w:val="18"/>
        </w:rPr>
        <w:t>I期临床试验中，418例患者接受FBXW7检测，17例携带FBXW7突变。其中10例患者接受mTOR抑制剂（包括替西罗莫司，西罗莫司，依维莫司）的治疗，无部分或完全缓解，7例（70%）患者以疾病稳定（SD）为最佳响应，其中2例（20%）患者SD持续时间超过16周[PMID: 24586741]。</w:t>
      </w:r>
      <w:r>
        <w:rPr>
          <w:rFonts w:hint="eastAsia" w:ascii="Times New Roman" w:hAnsi="Times New Roman" w:cs="Times New Roman"/>
          <w:sz w:val="18"/>
          <w:szCs w:val="18"/>
        </w:rPr>
        <w:t>在一项案例研究中，携带</w:t>
      </w:r>
      <w:r>
        <w:rPr>
          <w:rFonts w:ascii="Times New Roman" w:hAnsi="Times New Roman" w:cs="Times New Roman"/>
          <w:sz w:val="18"/>
          <w:szCs w:val="18"/>
        </w:rPr>
        <w:t>FBXW7失活突变（例如R465H）的肺腺癌患者在已经接受多线系统治疗后，使用替西罗莫司治疗发现临床与影像学获益[PMID: 24360397]。</w:t>
      </w:r>
      <w:r>
        <w:rPr>
          <w:rFonts w:hint="eastAsia" w:ascii="Times New Roman" w:hAnsi="Times New Roman" w:cs="Times New Roman"/>
          <w:sz w:val="18"/>
          <w:szCs w:val="18"/>
        </w:rPr>
        <w:t>有个案报道</w:t>
      </w:r>
      <w:r>
        <w:rPr>
          <w:rFonts w:ascii="Times New Roman" w:hAnsi="Times New Roman" w:cs="Times New Roman"/>
          <w:sz w:val="18"/>
          <w:szCs w:val="18"/>
        </w:rPr>
        <w:t>FBXW7突变而EGFR和ALK阴性的肺癌患者对mTOR抑制剂敏感[PMID: 24360397]。</w:t>
      </w:r>
      <w:r>
        <w:rPr>
          <w:rFonts w:hint="eastAsia" w:ascii="Times New Roman" w:hAnsi="Times New Roman" w:cs="Times New Roman"/>
          <w:sz w:val="18"/>
          <w:szCs w:val="18"/>
        </w:rPr>
        <w:t>研究发现，</w:t>
      </w:r>
      <w:r>
        <w:rPr>
          <w:rFonts w:ascii="Times New Roman" w:hAnsi="Times New Roman" w:cs="Times New Roman"/>
          <w:sz w:val="18"/>
          <w:szCs w:val="18"/>
        </w:rPr>
        <w:t>FBXW7的缺失发生在30.9%的肺腺癌和63.5%的肺鳞癌中，FBXW7敲除显著促进非小细胞肺癌细胞的上皮-间质转化、迁移和侵袭。体外实验中，沉默FBXW7后，EGFR-TKI敏感细胞对吉非替尼产生了耐药性，这种耐药性被雷帕霉素逆转[PMID: 29633504]。临床前研究表明，沉默FBXW7的非小细胞肺癌细胞系显示增强的Entinostat敏感性和紫杉醇抗性。FBXW7介导非小细胞肺癌的化疗敏感性和预后[PMID: 24165483]。</w:t>
      </w:r>
      <w:r>
        <w:rPr>
          <w:rFonts w:hint="eastAsia" w:ascii="Times New Roman" w:hAnsi="Times New Roman" w:cs="Times New Roman"/>
          <w:sz w:val="18"/>
          <w:szCs w:val="18"/>
        </w:rPr>
        <w:t>目前替西罗莫司用于F</w:t>
      </w:r>
      <w:r>
        <w:rPr>
          <w:rFonts w:ascii="Times New Roman" w:hAnsi="Times New Roman" w:cs="Times New Roman"/>
          <w:sz w:val="18"/>
          <w:szCs w:val="18"/>
        </w:rPr>
        <w:t>BXW7</w:t>
      </w:r>
      <w:r>
        <w:rPr>
          <w:rFonts w:hint="eastAsia" w:ascii="Times New Roman" w:hAnsi="Times New Roman" w:cs="Times New Roman"/>
          <w:sz w:val="18"/>
          <w:szCs w:val="18"/>
        </w:rPr>
        <w:t>突变的实体瘤的临床试验正在开展。</w:t>
      </w:r>
    </w:p>
    <w:p w14:paraId="7BFD8A2E">
      <w:pPr>
        <w:adjustRightInd w:val="0"/>
        <w:snapToGrid w:val="0"/>
        <w:spacing w:line="300" w:lineRule="auto"/>
        <w:ind w:left="420"/>
        <w:jc w:val="both"/>
        <w:rPr>
          <w:rFonts w:ascii="Times New Roman" w:hAnsi="Times New Roman" w:cs="Times New Roman"/>
          <w:sz w:val="18"/>
          <w:szCs w:val="18"/>
          <w:lang w:bidi="zh-CN"/>
        </w:rPr>
      </w:pPr>
    </w:p>
    <w:p w14:paraId="75DE97F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1488"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0" name="直线 66"/>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6" o:spid="_x0000_s1026" o:spt="20" style="position:absolute;left:0pt;margin-left:-2.55pt;margin-top:12.55pt;height:1.7pt;width:453.45pt;z-index:25171148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BA9/wf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NOTCH1                                                                          </w:t>
      </w:r>
    </w:p>
    <w:p w14:paraId="712E79D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834DE02">
      <w:pPr>
        <w:spacing w:line="300" w:lineRule="auto"/>
        <w:ind w:left="420"/>
        <w:rPr>
          <w:rFonts w:ascii="Times New Roman" w:hAnsi="Times New Roman" w:cs="Times New Roman"/>
          <w:sz w:val="18"/>
          <w:szCs w:val="18"/>
        </w:rPr>
      </w:pPr>
      <w:r>
        <w:rPr>
          <w:rFonts w:ascii="Times New Roman" w:hAnsi="Times New Roman" w:cs="Times New Roman"/>
          <w:sz w:val="18"/>
          <w:szCs w:val="18"/>
        </w:rPr>
        <w:t>NOTCH1编码的蛋白属于NOTCH家族成员。该蛋白作为受体行使功能，在发育过程中发挥多种作用。细胞水平的研究表明，该基因既可以作为癌基因又可以作为抑癌基因发挥功能。NOTCH1是一种跨膜受体，参与进化上保守的细胞间信号转导通路[PMID: 24651013]。NOTCH1受体与相邻细胞上的配体分子的相互作用导致NOTCH1被γ分泌酶蛋白水解切割 [PMID: 24651013]。然后，裂解的细胞内NOTCH1结构域可以激活细胞核中的基因表达并调节细胞分化、生长、增殖、存活和代谢的各个方面[PMID: 27507209]。NOTCH1信号的具体影响因蜂窝环境而异[PMID: 24651013</w:t>
      </w:r>
      <w:r>
        <w:rPr>
          <w:rFonts w:hint="eastAsia" w:ascii="Times New Roman" w:hAnsi="Times New Roman" w:cs="Times New Roman"/>
          <w:sz w:val="18"/>
          <w:szCs w:val="18"/>
        </w:rPr>
        <w:t>]</w:t>
      </w:r>
      <w:r>
        <w:rPr>
          <w:rFonts w:ascii="Times New Roman" w:hAnsi="Times New Roman" w:cs="Times New Roman"/>
          <w:sz w:val="18"/>
          <w:szCs w:val="18"/>
        </w:rPr>
        <w:t>。NOTCH家族成员经常在各种癌症中</w:t>
      </w:r>
      <w:r>
        <w:rPr>
          <w:rFonts w:hint="eastAsia" w:ascii="Times New Roman" w:hAnsi="Times New Roman" w:cs="Times New Roman"/>
          <w:sz w:val="18"/>
          <w:szCs w:val="18"/>
        </w:rPr>
        <w:t>发生突变，这些突变可以是功能获得或功能丧失突变</w:t>
      </w:r>
      <w:r>
        <w:rPr>
          <w:rFonts w:ascii="Times New Roman" w:hAnsi="Times New Roman" w:cs="Times New Roman"/>
          <w:sz w:val="18"/>
          <w:szCs w:val="18"/>
        </w:rPr>
        <w:t>[PMID: 21948802]。已在T细胞急性淋巴细胞白血病 (T-ALL)、慢性淋巴细胞白血病和腺样囊性癌[PMID: 27870570]中发现了NOTCH1的易位和激活突变。这些NOTCH1激活突变要么增强了γ-分泌酶对NOTCH1的切割，要么延长了细胞内NOTCH1的半衰期</w:t>
      </w:r>
      <w:r>
        <w:rPr>
          <w:rFonts w:hint="eastAsia" w:ascii="Times New Roman" w:hAnsi="Times New Roman" w:cs="Times New Roman"/>
          <w:sz w:val="18"/>
          <w:szCs w:val="18"/>
        </w:rPr>
        <w:t>[</w:t>
      </w:r>
      <w:r>
        <w:rPr>
          <w:rFonts w:ascii="Times New Roman" w:hAnsi="Times New Roman" w:cs="Times New Roman"/>
          <w:sz w:val="18"/>
          <w:szCs w:val="18"/>
        </w:rPr>
        <w:t>PMID: 15472075]。NOTCH1功能缺失突变在实体瘤中最常见，即鳞状细胞癌，并且在重要的NOTCH1功能域中以错义、移码或</w:t>
      </w:r>
      <w:r>
        <w:rPr>
          <w:rFonts w:hint="eastAsia" w:ascii="Times New Roman" w:hAnsi="Times New Roman" w:cs="Times New Roman"/>
          <w:sz w:val="18"/>
          <w:szCs w:val="18"/>
        </w:rPr>
        <w:t>无义突变的形式出现</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30087145</w:t>
      </w:r>
      <w:r>
        <w:rPr>
          <w:rFonts w:hint="eastAsia" w:ascii="Times New Roman" w:hAnsi="Times New Roman" w:cs="Times New Roman"/>
          <w:sz w:val="18"/>
          <w:szCs w:val="18"/>
        </w:rPr>
        <w:t>]</w:t>
      </w:r>
      <w:r>
        <w:rPr>
          <w:rFonts w:ascii="Times New Roman" w:hAnsi="Times New Roman" w:cs="Times New Roman"/>
          <w:sz w:val="18"/>
          <w:szCs w:val="18"/>
        </w:rPr>
        <w:t>。靶向γ-分泌酶的抑制剂目前正在进行临床试验，可能对激活NOTCH1突变的患者具有活性[PMID: 28539479]。</w:t>
      </w:r>
    </w:p>
    <w:p w14:paraId="7ECD9DD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DC547DA">
      <w:pPr>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在临床前研究中，γ分泌酶抑制剂</w:t>
      </w:r>
      <w:r>
        <w:rPr>
          <w:rFonts w:ascii="Times New Roman" w:hAnsi="Times New Roman" w:cs="Times New Roman"/>
          <w:sz w:val="18"/>
          <w:szCs w:val="18"/>
        </w:rPr>
        <w:t>Nirogacestat能够减少Notch1裂解，减弱Notch活性，并促进Notch活性增加的结直肠癌细胞凋亡[PMID: 23868008]。</w:t>
      </w:r>
      <w:r>
        <w:rPr>
          <w:rFonts w:hint="eastAsia" w:ascii="Times New Roman" w:hAnsi="Times New Roman" w:cs="Times New Roman"/>
          <w:sz w:val="18"/>
          <w:szCs w:val="18"/>
        </w:rPr>
        <w:t>临床前试验研究表明</w:t>
      </w:r>
      <w:r>
        <w:rPr>
          <w:rFonts w:ascii="Times New Roman" w:hAnsi="Times New Roman" w:cs="Times New Roman"/>
          <w:sz w:val="18"/>
          <w:szCs w:val="18"/>
        </w:rPr>
        <w:t>NOTCH1的失活突变被证实对LGK974敏感[PMID: 24277854]。</w:t>
      </w:r>
      <w:r>
        <w:rPr>
          <w:rFonts w:hint="eastAsia" w:ascii="Times New Roman" w:hAnsi="Times New Roman" w:cs="Times New Roman"/>
          <w:sz w:val="18"/>
          <w:szCs w:val="18"/>
        </w:rPr>
        <w:t>有研究表明，</w:t>
      </w:r>
      <w:r>
        <w:rPr>
          <w:rFonts w:ascii="Times New Roman" w:hAnsi="Times New Roman" w:cs="Times New Roman"/>
          <w:sz w:val="18"/>
          <w:szCs w:val="18"/>
        </w:rPr>
        <w:t>Notch信号成分与肺腺癌的预后相关，可作为潜在的肺腺癌预后的指示标志[PMID: 27196489]。</w:t>
      </w:r>
      <w:r>
        <w:rPr>
          <w:rFonts w:hint="eastAsia" w:ascii="Times New Roman" w:hAnsi="Times New Roman" w:cs="Times New Roman"/>
          <w:sz w:val="18"/>
          <w:szCs w:val="18"/>
        </w:rPr>
        <w:t>有研究表明，在小细胞肺癌中，</w:t>
      </w:r>
      <w:r>
        <w:rPr>
          <w:rFonts w:ascii="Times New Roman" w:hAnsi="Times New Roman" w:cs="Times New Roman"/>
          <w:sz w:val="18"/>
          <w:szCs w:val="18"/>
        </w:rPr>
        <w:t>NOTCH1高表达与预后良好相关[PMID: 28060745]。</w:t>
      </w:r>
      <w:r>
        <w:rPr>
          <w:rFonts w:hint="eastAsia" w:ascii="Times New Roman" w:hAnsi="Times New Roman" w:cs="Times New Roman"/>
          <w:sz w:val="18"/>
          <w:szCs w:val="18"/>
        </w:rPr>
        <w:t>高表达</w:t>
      </w:r>
      <w:r>
        <w:rPr>
          <w:rFonts w:ascii="Times New Roman" w:hAnsi="Times New Roman" w:cs="Times New Roman"/>
          <w:sz w:val="18"/>
          <w:szCs w:val="18"/>
        </w:rPr>
        <w:t>Notch1的结直肠癌患者的总生存率（OS）和无病生存率（DFS）均低于低表达Notch1的患者[PMID: 24312514]。结直肠癌中，分级、淋巴血管侵犯、淋巴细胞浸润程度、瘤周出芽、淋巴结比率、淋巴结转移和Notch1表达之间存在高度相关性（p&lt;0.001）。在AJCC分期和Notch1表达之间存在高度相关性（p&lt;0.001）[PMID: 30136202]。</w:t>
      </w:r>
    </w:p>
    <w:p w14:paraId="1651CAEA">
      <w:pPr>
        <w:adjustRightInd w:val="0"/>
        <w:snapToGrid w:val="0"/>
        <w:spacing w:line="300" w:lineRule="auto"/>
        <w:ind w:left="420"/>
        <w:jc w:val="both"/>
        <w:rPr>
          <w:rFonts w:ascii="Times New Roman" w:hAnsi="Times New Roman" w:cs="Times New Roman"/>
          <w:sz w:val="18"/>
          <w:szCs w:val="18"/>
          <w:lang w:bidi="zh-CN"/>
        </w:rPr>
      </w:pPr>
    </w:p>
    <w:p w14:paraId="2AC6F4C7">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0528"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11" name="直线 67"/>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7" o:spid="_x0000_s1026" o:spt="20" style="position:absolute;left:0pt;margin-left:-2.55pt;margin-top:12.55pt;height:1.7pt;width:453.45pt;z-index:-2516459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AnuLxQ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SMAD4                                                                          </w:t>
      </w:r>
    </w:p>
    <w:p w14:paraId="3ED841B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70FF173">
      <w:pPr>
        <w:spacing w:line="300" w:lineRule="auto"/>
        <w:ind w:left="420"/>
        <w:rPr>
          <w:rFonts w:ascii="Times New Roman" w:hAnsi="Times New Roman" w:cs="Times New Roman"/>
          <w:sz w:val="18"/>
          <w:szCs w:val="18"/>
        </w:rPr>
      </w:pPr>
      <w:r>
        <w:rPr>
          <w:rFonts w:ascii="Times New Roman" w:hAnsi="Times New Roman" w:cs="Times New Roman"/>
          <w:sz w:val="18"/>
          <w:szCs w:val="18"/>
        </w:rPr>
        <w:t>SMAD4是SMADs家族成员之一，是转导TGF信号的重要胞浆内信号级联分子，它与活化的受体激活型SMAD分子形成复合物，移位到细胞核，与其他转录因子协同作用，调节TGF应答基因的转录。SMAD4在肿瘤形成之初起到抑癌作用，而在肿瘤晚期浸润及转移过程中则起促进作用。SMAD4是一种转录因子，在转化生长因子β (TGFß)信号通路中起关键效应器的作用。TGFß信号控制多种生物过程，包括细胞增殖、分化和组织稳态[PMID: 11057902]。SMAD受体调节的信号分子（例如SMAD2和SMAD3）在与TGFß细胞因子超家族（例如TGFß1、TGFß2、TGFß3、激活素和节点）结合后被膜受体丝氨酸激酶激活</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9759503</w:t>
      </w:r>
      <w:r>
        <w:rPr>
          <w:rFonts w:hint="eastAsia" w:ascii="Times New Roman" w:hAnsi="Times New Roman" w:cs="Times New Roman"/>
          <w:sz w:val="18"/>
          <w:szCs w:val="18"/>
        </w:rPr>
        <w:t>]</w:t>
      </w:r>
      <w:r>
        <w:rPr>
          <w:rFonts w:ascii="Times New Roman" w:hAnsi="Times New Roman" w:cs="Times New Roman"/>
          <w:sz w:val="18"/>
          <w:szCs w:val="18"/>
        </w:rPr>
        <w:t>。在TGFß受体二聚化和激活后，两种磷酸化受体调节的SMAD蛋白与SMAD4形成三聚体复合物，以允</w:t>
      </w:r>
      <w:r>
        <w:rPr>
          <w:rFonts w:hint="eastAsia" w:ascii="Times New Roman" w:hAnsi="Times New Roman" w:cs="Times New Roman"/>
          <w:sz w:val="18"/>
          <w:szCs w:val="18"/>
        </w:rPr>
        <w:t>许与</w:t>
      </w:r>
      <w:r>
        <w:rPr>
          <w:rFonts w:ascii="Times New Roman" w:hAnsi="Times New Roman" w:cs="Times New Roman"/>
          <w:sz w:val="18"/>
          <w:szCs w:val="18"/>
        </w:rPr>
        <w:t>DNA结合 [PMID: 9759503</w:t>
      </w:r>
      <w:r>
        <w:rPr>
          <w:rFonts w:hint="eastAsia" w:ascii="Times New Roman" w:hAnsi="Times New Roman" w:cs="Times New Roman"/>
          <w:sz w:val="18"/>
          <w:szCs w:val="18"/>
        </w:rPr>
        <w:t>]</w:t>
      </w:r>
      <w:r>
        <w:rPr>
          <w:rFonts w:ascii="Times New Roman" w:hAnsi="Times New Roman" w:cs="Times New Roman"/>
          <w:sz w:val="18"/>
          <w:szCs w:val="18"/>
        </w:rPr>
        <w:t>。SMAD三聚体复合物可以转移到细胞核并以细胞类型依赖的方式调节TGFß介导的基因转录，部分原因是转录共激活因子的可用性和染色质可及性[PMID: 9759503]。TGFß依赖性转录的性质允许TGFß途径抑制癌前状态的肿瘤发生并促进癌症进展过程中的侵袭和转移[ PMID: 20495575]。SMAD4中的种系突变与幼年性息肉病综合征 (JPS) [PMID: 18662538]相关。在胰腺癌中发现SMAD4表达</w:t>
      </w:r>
      <w:r>
        <w:rPr>
          <w:rFonts w:hint="eastAsia" w:ascii="Times New Roman" w:hAnsi="Times New Roman" w:cs="Times New Roman"/>
          <w:sz w:val="18"/>
          <w:szCs w:val="18"/>
        </w:rPr>
        <w:t>缺失或</w:t>
      </w:r>
      <w:r>
        <w:rPr>
          <w:rFonts w:ascii="Times New Roman" w:hAnsi="Times New Roman" w:cs="Times New Roman"/>
          <w:sz w:val="18"/>
          <w:szCs w:val="18"/>
        </w:rPr>
        <w:t>SMAD4 体细胞突变，并且与肿瘤分级相关[PMID: 12821112</w:t>
      </w:r>
      <w:r>
        <w:rPr>
          <w:rFonts w:hint="eastAsia" w:ascii="Times New Roman" w:hAnsi="Times New Roman" w:cs="Times New Roman"/>
          <w:sz w:val="18"/>
          <w:szCs w:val="18"/>
        </w:rPr>
        <w:t>]</w:t>
      </w:r>
      <w:r>
        <w:rPr>
          <w:rFonts w:ascii="Times New Roman" w:hAnsi="Times New Roman" w:cs="Times New Roman"/>
          <w:sz w:val="18"/>
          <w:szCs w:val="18"/>
        </w:rPr>
        <w:t>。在包括结肠和肺腺癌在内的多种肿瘤类型中，以较低频率观察到SMAD4的体细胞改变[PMID: 25890228]。</w:t>
      </w:r>
    </w:p>
    <w:p w14:paraId="2569FBE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0641074">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在一项临床研究中，携带SMAD4突变的中国转移性结直肠癌患者对西妥昔单抗治疗没有反应，并显示了较短的无进展生存期(中位：90天 vs 250天，p=0.0081) [PMID: 29703253]</w:t>
      </w:r>
      <w:r>
        <w:rPr>
          <w:rFonts w:hint="eastAsia"/>
        </w:rPr>
        <w:t>。</w:t>
      </w:r>
      <w:r>
        <w:rPr>
          <w:rFonts w:hint="eastAsia" w:ascii="Times New Roman" w:hAnsi="Times New Roman" w:cs="Times New Roman"/>
          <w:sz w:val="18"/>
          <w:szCs w:val="18"/>
        </w:rPr>
        <w:t>一项结直肠癌相关研究报道，</w:t>
      </w:r>
      <w:r>
        <w:rPr>
          <w:rFonts w:ascii="Times New Roman" w:hAnsi="Times New Roman" w:cs="Times New Roman"/>
          <w:sz w:val="18"/>
          <w:szCs w:val="18"/>
        </w:rPr>
        <w:t>SMAD4的缺失与较差的临床结果、对化疗的耐药性和免疫浸润的减少相关[PMID: 30587545]。</w:t>
      </w:r>
      <w:r>
        <w:rPr>
          <w:rFonts w:hint="eastAsia" w:ascii="Times New Roman" w:hAnsi="Times New Roman" w:cs="Times New Roman"/>
          <w:sz w:val="18"/>
          <w:szCs w:val="18"/>
        </w:rPr>
        <w:t>究报道，</w:t>
      </w:r>
      <w:r>
        <w:rPr>
          <w:rFonts w:ascii="Times New Roman" w:hAnsi="Times New Roman" w:cs="Times New Roman"/>
          <w:sz w:val="18"/>
          <w:szCs w:val="18"/>
        </w:rPr>
        <w:t>SMAD4表达降低与结直肠癌不良预后相关[PMID: 25749173; PMID: 19478385; PMID: 25681512; PMID: 26861460]。</w:t>
      </w:r>
      <w:r>
        <w:rPr>
          <w:rFonts w:hint="eastAsia" w:ascii="Times New Roman" w:hAnsi="Times New Roman" w:cs="Times New Roman"/>
          <w:sz w:val="18"/>
          <w:szCs w:val="18"/>
        </w:rPr>
        <w:t>临床前研究表明，</w:t>
      </w:r>
      <w:r>
        <w:rPr>
          <w:rFonts w:ascii="Times New Roman" w:hAnsi="Times New Roman" w:cs="Times New Roman"/>
          <w:sz w:val="18"/>
          <w:szCs w:val="18"/>
        </w:rPr>
        <w:t>SMAD4缺失促进肺癌的形成，但增加了对DNA拓扑异构酶抑制剂的敏感性[PMID: 25893305]。</w:t>
      </w:r>
      <w:r>
        <w:rPr>
          <w:rFonts w:hint="eastAsia" w:ascii="Times New Roman" w:hAnsi="Times New Roman" w:cs="Times New Roman"/>
          <w:sz w:val="18"/>
          <w:szCs w:val="18"/>
        </w:rPr>
        <w:t>肺腺癌中，</w:t>
      </w:r>
      <w:r>
        <w:rPr>
          <w:rFonts w:ascii="Times New Roman" w:hAnsi="Times New Roman" w:cs="Times New Roman"/>
          <w:sz w:val="18"/>
          <w:szCs w:val="18"/>
        </w:rPr>
        <w:t>SMAD4表达缺失与肿瘤大小（P=0.033）、淋巴结转移（P=0.014）、病理分期（P=0.017）和肿瘤分化（P=0.022）有关，p16或SMAD4表达的缺失（P&lt;0.001）与总生存时间缩短显著相关[PMID: 25890228]。</w:t>
      </w:r>
    </w:p>
    <w:p w14:paraId="582A2226">
      <w:pPr>
        <w:rPr>
          <w:rFonts w:hint="default" w:ascii="Times New Roman" w:hAnsi="Times New Roman" w:eastAsia="微软雅黑" w:cs="Times New Roman"/>
          <w:b/>
          <w:sz w:val="13"/>
          <w:lang w:val="en-US" w:eastAsia="zh-CN"/>
        </w:rPr>
      </w:pPr>
    </w:p>
    <w:sectPr>
      <w:headerReference r:id="rId5" w:type="default"/>
      <w:footerReference r:id="rId6" w:type="default"/>
      <w:pgSz w:w="11910" w:h="16840"/>
      <w:pgMar w:top="1440" w:right="1418" w:bottom="1440" w:left="1418" w:header="558" w:footer="6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Segoe Print"/>
    <w:panose1 w:val="00000000000000000000"/>
    <w:charset w:val="00"/>
    <w:family w:val="auto"/>
    <w:pitch w:val="default"/>
    <w:sig w:usb0="00000000" w:usb1="00000000" w:usb2="00000000" w:usb3="00000000" w:csb0="00000000" w:csb1="00000000"/>
  </w:font>
  <w:font w:name="FZLTXHJW--GB1-0">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36DAC">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6560">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4B640">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9E4B640">
                    <w:pPr>
                      <w:pStyle w:val="13"/>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ED238">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93972">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79267F"/>
    <w:multiLevelType w:val="singleLevel"/>
    <w:tmpl w:val="6979267F"/>
    <w:lvl w:ilvl="0" w:tentative="0">
      <w:start w:val="1"/>
      <w:numFmt w:val="decimal"/>
      <w:lvlText w:val="%1."/>
      <w:lvlJc w:val="left"/>
      <w:pPr>
        <w:ind w:left="425" w:hanging="425"/>
      </w:pPr>
      <w:rPr>
        <w:rFonts w:hint="default"/>
      </w:rPr>
    </w:lvl>
  </w:abstractNum>
  <w:abstractNum w:abstractNumId="1">
    <w:nsid w:val="6EF75A2D"/>
    <w:multiLevelType w:val="singleLevel"/>
    <w:tmpl w:val="6EF75A2D"/>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yN2RjY2U1ZDAzZWMyYzFlOTBlZjhiNjIyZTM0MTE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9705A5"/>
    <w:rsid w:val="02377BF2"/>
    <w:rsid w:val="02711243"/>
    <w:rsid w:val="030A1074"/>
    <w:rsid w:val="035C523B"/>
    <w:rsid w:val="03643579"/>
    <w:rsid w:val="03B74961"/>
    <w:rsid w:val="041F4A7D"/>
    <w:rsid w:val="0618781B"/>
    <w:rsid w:val="066A44EA"/>
    <w:rsid w:val="09E27E40"/>
    <w:rsid w:val="0ACD30F7"/>
    <w:rsid w:val="0B697485"/>
    <w:rsid w:val="0B773DCE"/>
    <w:rsid w:val="0F6A208A"/>
    <w:rsid w:val="0F97095C"/>
    <w:rsid w:val="10286214"/>
    <w:rsid w:val="10952DF6"/>
    <w:rsid w:val="130C6140"/>
    <w:rsid w:val="134645CE"/>
    <w:rsid w:val="175A7638"/>
    <w:rsid w:val="1836136A"/>
    <w:rsid w:val="18377229"/>
    <w:rsid w:val="1A627D5C"/>
    <w:rsid w:val="1B125754"/>
    <w:rsid w:val="1C46724D"/>
    <w:rsid w:val="1DEC0A98"/>
    <w:rsid w:val="1EDA2B4A"/>
    <w:rsid w:val="20A0049E"/>
    <w:rsid w:val="21E4370A"/>
    <w:rsid w:val="22496E75"/>
    <w:rsid w:val="271D2C97"/>
    <w:rsid w:val="27792A1B"/>
    <w:rsid w:val="2818563C"/>
    <w:rsid w:val="293140D5"/>
    <w:rsid w:val="29CF0D5E"/>
    <w:rsid w:val="2C2C457C"/>
    <w:rsid w:val="2CAB7CC5"/>
    <w:rsid w:val="2CF7541B"/>
    <w:rsid w:val="2E375BE2"/>
    <w:rsid w:val="2E57008F"/>
    <w:rsid w:val="2F2B0C86"/>
    <w:rsid w:val="2F5F153D"/>
    <w:rsid w:val="31EE517C"/>
    <w:rsid w:val="32A777DC"/>
    <w:rsid w:val="32E07F1D"/>
    <w:rsid w:val="340C0A8D"/>
    <w:rsid w:val="343949EB"/>
    <w:rsid w:val="352F54A6"/>
    <w:rsid w:val="387A7805"/>
    <w:rsid w:val="39FA584D"/>
    <w:rsid w:val="3A0504C9"/>
    <w:rsid w:val="3A670D93"/>
    <w:rsid w:val="3B361E49"/>
    <w:rsid w:val="3C573483"/>
    <w:rsid w:val="3CE47669"/>
    <w:rsid w:val="3ED529B9"/>
    <w:rsid w:val="3F2D78C6"/>
    <w:rsid w:val="40000DB3"/>
    <w:rsid w:val="40581B86"/>
    <w:rsid w:val="41146FE8"/>
    <w:rsid w:val="415617C0"/>
    <w:rsid w:val="42AB2BD6"/>
    <w:rsid w:val="430C6805"/>
    <w:rsid w:val="43C2164A"/>
    <w:rsid w:val="43E31A09"/>
    <w:rsid w:val="44D12FF3"/>
    <w:rsid w:val="451832ED"/>
    <w:rsid w:val="452D092C"/>
    <w:rsid w:val="45F85206"/>
    <w:rsid w:val="4ACE6BD0"/>
    <w:rsid w:val="4BAD2017"/>
    <w:rsid w:val="4C7F4215"/>
    <w:rsid w:val="4D1F7D6E"/>
    <w:rsid w:val="4DCF77C6"/>
    <w:rsid w:val="4F1700B8"/>
    <w:rsid w:val="4FA06224"/>
    <w:rsid w:val="4FC374CC"/>
    <w:rsid w:val="4FEB0A35"/>
    <w:rsid w:val="500619DA"/>
    <w:rsid w:val="5081012C"/>
    <w:rsid w:val="52DA0153"/>
    <w:rsid w:val="56D35F07"/>
    <w:rsid w:val="570B25AE"/>
    <w:rsid w:val="57117FB5"/>
    <w:rsid w:val="57307DE4"/>
    <w:rsid w:val="57974C8E"/>
    <w:rsid w:val="58162B65"/>
    <w:rsid w:val="58E35061"/>
    <w:rsid w:val="58FC26D7"/>
    <w:rsid w:val="5A33044A"/>
    <w:rsid w:val="5ACB2D46"/>
    <w:rsid w:val="5B356BDD"/>
    <w:rsid w:val="5B976FC1"/>
    <w:rsid w:val="5D6D5411"/>
    <w:rsid w:val="5DF53F95"/>
    <w:rsid w:val="5E0448E8"/>
    <w:rsid w:val="5E3877B6"/>
    <w:rsid w:val="5E490546"/>
    <w:rsid w:val="5E59788A"/>
    <w:rsid w:val="5EAC6BDE"/>
    <w:rsid w:val="60095BA6"/>
    <w:rsid w:val="600A6729"/>
    <w:rsid w:val="60654544"/>
    <w:rsid w:val="635147E4"/>
    <w:rsid w:val="645F5CDC"/>
    <w:rsid w:val="654F43C0"/>
    <w:rsid w:val="65933096"/>
    <w:rsid w:val="65B34677"/>
    <w:rsid w:val="65B53A3E"/>
    <w:rsid w:val="65ED32AC"/>
    <w:rsid w:val="672664B0"/>
    <w:rsid w:val="680E1E3E"/>
    <w:rsid w:val="6822110B"/>
    <w:rsid w:val="68A12EED"/>
    <w:rsid w:val="69182419"/>
    <w:rsid w:val="69DB74AC"/>
    <w:rsid w:val="6BFA5082"/>
    <w:rsid w:val="6CE161F0"/>
    <w:rsid w:val="6DDC33FB"/>
    <w:rsid w:val="6E75472D"/>
    <w:rsid w:val="6F4C2AA5"/>
    <w:rsid w:val="70CF12BD"/>
    <w:rsid w:val="71BA61B5"/>
    <w:rsid w:val="71DF3A36"/>
    <w:rsid w:val="71F44ACA"/>
    <w:rsid w:val="723E266C"/>
    <w:rsid w:val="72653CB7"/>
    <w:rsid w:val="73BB2205"/>
    <w:rsid w:val="73F9408B"/>
    <w:rsid w:val="74692B38"/>
    <w:rsid w:val="74C23FF5"/>
    <w:rsid w:val="74DC1521"/>
    <w:rsid w:val="765B0A6B"/>
    <w:rsid w:val="76CD26D9"/>
    <w:rsid w:val="77FCF607"/>
    <w:rsid w:val="78BA0E7B"/>
    <w:rsid w:val="7A082CD3"/>
    <w:rsid w:val="7A9C7AB4"/>
    <w:rsid w:val="7B3E7DA0"/>
    <w:rsid w:val="7BA16014"/>
    <w:rsid w:val="7C735456"/>
    <w:rsid w:val="7DC37B21"/>
    <w:rsid w:val="7F9B0356"/>
    <w:rsid w:val="7FCE7BBB"/>
    <w:rsid w:val="FBFDEC2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宋体" w:hAnsi="宋体" w:eastAsia="宋体" w:cs="宋体"/>
      <w:sz w:val="22"/>
      <w:szCs w:val="22"/>
      <w:lang w:val="en-US" w:eastAsia="zh-CN"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autoRedefine/>
    <w:qFormat/>
    <w:uiPriority w:val="0"/>
    <w:pPr>
      <w:ind w:left="412"/>
      <w:outlineLvl w:val="1"/>
    </w:pPr>
    <w:rPr>
      <w:rFonts w:ascii="黑体" w:hAnsi="黑体" w:eastAsia="黑体" w:cs="黑体"/>
      <w:b/>
      <w:sz w:val="30"/>
      <w:szCs w:val="30"/>
    </w:rPr>
  </w:style>
  <w:style w:type="paragraph" w:styleId="4">
    <w:name w:val="heading 3"/>
    <w:basedOn w:val="1"/>
    <w:next w:val="1"/>
    <w:link w:val="24"/>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9">
    <w:name w:val="annotation text"/>
    <w:basedOn w:val="1"/>
    <w:link w:val="25"/>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26"/>
    <w:autoRedefine/>
    <w:qFormat/>
    <w:uiPriority w:val="0"/>
    <w:rPr>
      <w:sz w:val="18"/>
      <w:szCs w:val="18"/>
    </w:rPr>
  </w:style>
  <w:style w:type="paragraph" w:styleId="13">
    <w:name w:val="footer"/>
    <w:basedOn w:val="1"/>
    <w:link w:val="27"/>
    <w:autoRedefine/>
    <w:qFormat/>
    <w:uiPriority w:val="0"/>
    <w:pPr>
      <w:snapToGrid w:val="0"/>
    </w:pPr>
    <w:rPr>
      <w:sz w:val="18"/>
      <w:szCs w:val="18"/>
    </w:rPr>
  </w:style>
  <w:style w:type="paragraph" w:styleId="14">
    <w:name w:val="header"/>
    <w:basedOn w:val="1"/>
    <w:link w:val="28"/>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paragraph" w:styleId="17">
    <w:name w:val="Normal (Web)"/>
    <w:basedOn w:val="1"/>
    <w:autoRedefine/>
    <w:qFormat/>
    <w:uiPriority w:val="0"/>
    <w:pPr>
      <w:widowControl/>
      <w:spacing w:before="100" w:beforeAutospacing="1" w:after="100" w:afterAutospacing="1"/>
    </w:pPr>
    <w:rPr>
      <w:sz w:val="24"/>
      <w:szCs w:val="24"/>
    </w:rPr>
  </w:style>
  <w:style w:type="paragraph" w:styleId="18">
    <w:name w:val="annotation subject"/>
    <w:basedOn w:val="9"/>
    <w:next w:val="9"/>
    <w:link w:val="29"/>
    <w:autoRedefine/>
    <w:qFormat/>
    <w:uiPriority w:val="0"/>
    <w:rPr>
      <w:b/>
      <w:bCs/>
    </w:r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Hyperlink"/>
    <w:autoRedefine/>
    <w:qFormat/>
    <w:uiPriority w:val="0"/>
    <w:rPr>
      <w:color w:val="0000FF"/>
      <w:u w:val="single"/>
    </w:rPr>
  </w:style>
  <w:style w:type="character" w:styleId="23">
    <w:name w:val="annotation reference"/>
    <w:autoRedefine/>
    <w:qFormat/>
    <w:uiPriority w:val="0"/>
    <w:rPr>
      <w:sz w:val="21"/>
      <w:szCs w:val="21"/>
    </w:rPr>
  </w:style>
  <w:style w:type="character" w:customStyle="1" w:styleId="24">
    <w:name w:val="标题 3 Char"/>
    <w:basedOn w:val="21"/>
    <w:link w:val="4"/>
    <w:autoRedefine/>
    <w:qFormat/>
    <w:uiPriority w:val="0"/>
    <w:rPr>
      <w:rFonts w:ascii="宋体" w:hAnsi="宋体" w:cs="宋体"/>
      <w:sz w:val="30"/>
      <w:szCs w:val="30"/>
    </w:rPr>
  </w:style>
  <w:style w:type="character" w:customStyle="1" w:styleId="25">
    <w:name w:val="批注文字 Char"/>
    <w:basedOn w:val="21"/>
    <w:link w:val="9"/>
    <w:autoRedefine/>
    <w:qFormat/>
    <w:uiPriority w:val="0"/>
    <w:rPr>
      <w:rFonts w:ascii="宋体" w:hAnsi="宋体" w:cs="宋体"/>
      <w:sz w:val="22"/>
      <w:szCs w:val="22"/>
    </w:rPr>
  </w:style>
  <w:style w:type="character" w:customStyle="1" w:styleId="26">
    <w:name w:val="批注框文本 Char"/>
    <w:link w:val="12"/>
    <w:autoRedefine/>
    <w:qFormat/>
    <w:uiPriority w:val="0"/>
    <w:rPr>
      <w:rFonts w:hint="default" w:ascii="宋体" w:hAnsi="宋体" w:cs="宋体"/>
      <w:sz w:val="18"/>
      <w:szCs w:val="18"/>
      <w:lang w:eastAsia="en-US"/>
    </w:rPr>
  </w:style>
  <w:style w:type="character" w:customStyle="1" w:styleId="27">
    <w:name w:val="页脚 Char"/>
    <w:link w:val="13"/>
    <w:autoRedefine/>
    <w:qFormat/>
    <w:uiPriority w:val="0"/>
    <w:rPr>
      <w:rFonts w:hint="default" w:ascii="宋体" w:hAnsi="宋体" w:eastAsia="宋体" w:cs="宋体"/>
      <w:sz w:val="18"/>
      <w:szCs w:val="18"/>
    </w:rPr>
  </w:style>
  <w:style w:type="character" w:customStyle="1" w:styleId="28">
    <w:name w:val="页眉 Char"/>
    <w:link w:val="14"/>
    <w:autoRedefine/>
    <w:qFormat/>
    <w:uiPriority w:val="0"/>
    <w:rPr>
      <w:rFonts w:hint="default" w:ascii="宋体" w:hAnsi="宋体" w:eastAsia="宋体" w:cs="宋体"/>
      <w:sz w:val="18"/>
      <w:szCs w:val="18"/>
    </w:rPr>
  </w:style>
  <w:style w:type="character" w:customStyle="1" w:styleId="29">
    <w:name w:val="批注主题 Char"/>
    <w:basedOn w:val="25"/>
    <w:link w:val="18"/>
    <w:autoRedefine/>
    <w:qFormat/>
    <w:uiPriority w:val="0"/>
    <w:rPr>
      <w:rFonts w:ascii="宋体" w:hAnsi="宋体" w:cs="宋体"/>
      <w:b/>
      <w:bCs/>
      <w:sz w:val="22"/>
      <w:szCs w:val="22"/>
    </w:rPr>
  </w:style>
  <w:style w:type="table" w:customStyle="1" w:styleId="30">
    <w:name w:val="Table Normal"/>
    <w:autoRedefine/>
    <w:qFormat/>
    <w:uiPriority w:val="0"/>
    <w:tblPr>
      <w:tblCellMar>
        <w:top w:w="0" w:type="dxa"/>
        <w:left w:w="0" w:type="dxa"/>
        <w:bottom w:w="0" w:type="dxa"/>
        <w:right w:w="0" w:type="dxa"/>
      </w:tblCellMar>
    </w:tblPr>
  </w:style>
  <w:style w:type="paragraph" w:customStyle="1" w:styleId="31">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32">
    <w:name w:val="Table Paragraph"/>
    <w:basedOn w:val="1"/>
    <w:autoRedefine/>
    <w:qFormat/>
    <w:uiPriority w:val="0"/>
  </w:style>
  <w:style w:type="character" w:customStyle="1" w:styleId="33">
    <w:name w:val="font21"/>
    <w:autoRedefine/>
    <w:qFormat/>
    <w:uiPriority w:val="0"/>
    <w:rPr>
      <w:rFonts w:hint="default" w:ascii="font-weight : 400" w:hAnsi="font-weight : 400" w:eastAsia="font-weight : 400" w:cs="font-weight : 400"/>
      <w:color w:val="FF0000"/>
      <w:sz w:val="22"/>
      <w:szCs w:val="22"/>
      <w:u w:val="none"/>
    </w:rPr>
  </w:style>
  <w:style w:type="character" w:customStyle="1" w:styleId="34">
    <w:name w:val="font01"/>
    <w:autoRedefine/>
    <w:qFormat/>
    <w:uiPriority w:val="0"/>
    <w:rPr>
      <w:rFonts w:hint="default" w:ascii="font-weight : 400" w:hAnsi="font-weight : 400" w:eastAsia="font-weight : 400" w:cs="font-weight : 400"/>
      <w:color w:val="000000"/>
      <w:sz w:val="22"/>
      <w:szCs w:val="22"/>
      <w:u w:val="none"/>
    </w:rPr>
  </w:style>
  <w:style w:type="character" w:customStyle="1" w:styleId="35">
    <w:name w:val="font11"/>
    <w:autoRedefine/>
    <w:qFormat/>
    <w:uiPriority w:val="0"/>
    <w:rPr>
      <w:rFonts w:hint="eastAsia" w:ascii="宋体" w:hAnsi="宋体" w:eastAsia="宋体" w:cs="宋体"/>
      <w:color w:val="FF0000"/>
      <w:sz w:val="22"/>
      <w:szCs w:val="22"/>
      <w:u w:val="none"/>
    </w:rPr>
  </w:style>
  <w:style w:type="paragraph" w:customStyle="1" w:styleId="36">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7">
    <w:name w:val="List Paragraph"/>
    <w:basedOn w:val="1"/>
    <w:autoRedefine/>
    <w:qFormat/>
    <w:uiPriority w:val="0"/>
    <w:pPr>
      <w:ind w:firstLine="420" w:firstLineChars="200"/>
    </w:pPr>
  </w:style>
  <w:style w:type="table" w:customStyle="1" w:styleId="38">
    <w:name w:val="网格型浅色11"/>
    <w:basedOn w:val="19"/>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9">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0">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1">
    <w:name w:val="正文1"/>
    <w:autoRedefine/>
    <w:qFormat/>
    <w:uiPriority w:val="0"/>
    <w:rPr>
      <w:rFonts w:ascii="Times New Roman" w:hAnsi="Times New Roman" w:eastAsia="宋体" w:cs="Times New Roman"/>
      <w:sz w:val="24"/>
      <w:szCs w:val="24"/>
      <w:lang w:val="en-US" w:eastAsia="zh-CN" w:bidi="ar-SA"/>
    </w:rPr>
  </w:style>
  <w:style w:type="paragraph" w:customStyle="1" w:styleId="42">
    <w:name w:val="普通(网站)2"/>
    <w:autoRedefine/>
    <w:qFormat/>
    <w:uiPriority w:val="0"/>
    <w:rPr>
      <w:rFonts w:ascii="Times New Roman" w:hAnsi="Times New Roman" w:eastAsia="宋体" w:cs="Times New Roman"/>
      <w:sz w:val="24"/>
      <w:szCs w:val="24"/>
      <w:lang w:val="en-US" w:eastAsia="zh-CN" w:bidi="ar-SA"/>
    </w:rPr>
  </w:style>
  <w:style w:type="character" w:customStyle="1" w:styleId="43">
    <w:name w:val="fontstyle01"/>
    <w:autoRedefine/>
    <w:qFormat/>
    <w:uiPriority w:val="0"/>
    <w:rPr>
      <w:rFonts w:hint="default" w:ascii="DINPro-Regular" w:hAnsi="DINPro-Regular"/>
      <w:color w:val="404040"/>
      <w:sz w:val="20"/>
      <w:szCs w:val="20"/>
    </w:rPr>
  </w:style>
  <w:style w:type="character" w:customStyle="1" w:styleId="44">
    <w:name w:val="fontstyle21"/>
    <w:autoRedefine/>
    <w:qFormat/>
    <w:uiPriority w:val="0"/>
    <w:rPr>
      <w:rFonts w:hint="default" w:ascii="FZLTXHJW--GB1-0" w:hAnsi="FZLTXHJW--GB1-0"/>
      <w:color w:val="404040"/>
      <w:sz w:val="18"/>
      <w:szCs w:val="18"/>
    </w:rPr>
  </w:style>
  <w:style w:type="paragraph" w:customStyle="1" w:styleId="45">
    <w:name w:val="修订1"/>
    <w:autoRedefine/>
    <w:hidden/>
    <w:semiHidden/>
    <w:qFormat/>
    <w:uiPriority w:val="99"/>
    <w:rPr>
      <w:rFonts w:ascii="宋体" w:hAnsi="宋体" w:eastAsia="宋体" w:cs="宋体"/>
      <w:sz w:val="22"/>
      <w:szCs w:val="22"/>
      <w:lang w:val="en-US" w:eastAsia="zh-CN" w:bidi="ar-SA"/>
    </w:rPr>
  </w:style>
  <w:style w:type="table" w:customStyle="1" w:styleId="46">
    <w:name w:val="网格表 4 - 着色 11"/>
    <w:basedOn w:val="19"/>
    <w:autoRedefine/>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7">
    <w:name w:val="Grid Table 4 Accent 1"/>
    <w:basedOn w:val="19"/>
    <w:autoRedefine/>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48">
    <w:name w:val="样式1"/>
    <w:basedOn w:val="10"/>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49">
    <w:name w:val="font41"/>
    <w:basedOn w:val="21"/>
    <w:qFormat/>
    <w:uiPriority w:val="0"/>
    <w:rPr>
      <w:rFonts w:ascii="宋体" w:hAnsi="宋体" w:eastAsia="宋体" w:cs="宋体"/>
      <w:b/>
      <w:bCs/>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apple\Library\Containers\com.kingsoft.wpsoffice.mac\Data\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31</Pages>
  <Words>8806</Words>
  <Characters>17187</Characters>
  <Lines>524</Lines>
  <Paragraphs>147</Paragraphs>
  <TotalTime>0</TotalTime>
  <ScaleCrop>false</ScaleCrop>
  <LinksUpToDate>false</LinksUpToDate>
  <CharactersWithSpaces>19085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2021-06-30T10:32:00Z</dcterms:created>
  <dc:creator>Administrator</dc:creator>
  <cp:lastModifiedBy>levi</cp:lastModifiedBy>
  <dcterms:modified xsi:type="dcterms:W3CDTF">2025-04-16T03:04:03Z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D8067B79DB7549E69B5AB4B4C10E9CA6_13</vt:lpwstr>
  </property>
  <property fmtid="{D5CDD505-2E9C-101B-9397-08002B2CF9AE}" pid="4" name="KSOTemplateDocerSaveRecord">
    <vt:lpwstr>eyJoZGlkIjoiY2Y2NjU5MGIzZGFmM2M5NTIxMmI2NjdmNGQ0NDdjMDUiLCJ1c2VySWQiOiI2MjE3NDUxNTQifQ==</vt:lpwstr>
  </property>
</Properties>
</file>