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F0F4F">
      <w:pPr>
        <w:rPr>
          <w:rFonts w:hint="eastAsia"/>
        </w:rPr>
      </w:pPr>
      <w:r>
        <w:drawing>
          <wp:anchor distT="0" distB="0" distL="0" distR="0" simplePos="0" relativeHeight="251659264" behindDoc="1" locked="0" layoutInCell="1" allowOverlap="1">
            <wp:simplePos x="0" y="0"/>
            <wp:positionH relativeFrom="column">
              <wp:posOffset>-681355</wp:posOffset>
            </wp:positionH>
            <wp:positionV relativeFrom="paragraph">
              <wp:posOffset>-1080770</wp:posOffset>
            </wp:positionV>
            <wp:extent cx="7552690" cy="10687685"/>
            <wp:effectExtent l="0" t="0" r="16510" b="5715"/>
            <wp:wrapNone/>
            <wp:docPr id="1" name="图片 8" descr="半页"/>
            <wp:cNvGraphicFramePr/>
            <a:graphic xmlns:a="http://schemas.openxmlformats.org/drawingml/2006/main">
              <a:graphicData uri="http://schemas.openxmlformats.org/drawingml/2006/picture">
                <pic:pic xmlns:pic="http://schemas.openxmlformats.org/drawingml/2006/picture">
                  <pic:nvPicPr>
                    <pic:cNvPr id="1" name="图片 8" descr="半页"/>
                    <pic:cNvPicPr/>
                  </pic:nvPicPr>
                  <pic:blipFill>
                    <a:blip r:embed="rId6" cstate="print"/>
                    <a:srcRect/>
                    <a:stretch>
                      <a:fillRect/>
                    </a:stretch>
                  </pic:blipFill>
                  <pic:spPr>
                    <a:xfrm>
                      <a:off x="0" y="0"/>
                      <a:ext cx="7552689" cy="10687684"/>
                    </a:xfrm>
                    <a:prstGeom prst="rect">
                      <a:avLst/>
                    </a:prstGeom>
                  </pic:spPr>
                </pic:pic>
              </a:graphicData>
            </a:graphic>
          </wp:anchor>
        </w:drawing>
      </w:r>
    </w:p>
    <w:p w14:paraId="25B132D4">
      <w:pPr>
        <w:widowControl/>
        <w:jc w:val="left"/>
        <w:rPr>
          <w:rFonts w:hint="eastAsia"/>
        </w:rPr>
      </w:pPr>
      <w:r>
        <w:br w:type="page"/>
      </w:r>
    </w:p>
    <w:p w14:paraId="2636608A">
      <w:pPr>
        <w:rPr>
          <w:rFonts w:hint="eastAsia"/>
        </w:rPr>
      </w:pPr>
    </w:p>
    <w:p w14:paraId="4580B253">
      <w:pPr>
        <w:widowControl/>
        <w:spacing w:line="360" w:lineRule="auto"/>
        <w:ind w:left="105" w:leftChars="50" w:right="105" w:rightChars="50"/>
        <w:jc w:val="left"/>
        <w:rPr>
          <w:rFonts w:hint="eastAsia" w:ascii="黑体" w:hAnsi="黑体" w:eastAsia="黑体" w:cs="黑体"/>
          <w:bCs/>
          <w:color w:val="01528E"/>
          <w:sz w:val="28"/>
          <w:szCs w:val="28"/>
        </w:rPr>
      </w:pPr>
      <w:r>
        <w:rPr>
          <w:rFonts w:hint="eastAsia" w:ascii="黑体" w:hAnsi="黑体" w:eastAsia="黑体" w:cs="黑体"/>
          <w:b/>
          <w:color w:val="01528E"/>
          <w:sz w:val="28"/>
          <w:szCs w:val="28"/>
        </w:rPr>
        <w:t>尊敬的客户：</w:t>
      </w:r>
    </w:p>
    <w:p w14:paraId="531171C9">
      <w:pPr>
        <w:widowControl/>
        <w:spacing w:before="156" w:beforeLines="50" w:line="360" w:lineRule="auto"/>
        <w:ind w:left="105" w:leftChars="50" w:right="105" w:rightChars="50" w:firstLine="480" w:firstLineChars="200"/>
        <w:jc w:val="left"/>
        <w:rPr>
          <w:rFonts w:hint="eastAsia" w:ascii="黑体" w:hAnsi="黑体" w:eastAsia="黑体" w:cs="黑体"/>
          <w:color w:val="595959"/>
          <w:sz w:val="24"/>
          <w:szCs w:val="24"/>
        </w:rPr>
      </w:pPr>
      <w:r>
        <w:rPr>
          <w:rFonts w:hint="eastAsia" w:ascii="黑体" w:hAnsi="黑体" w:eastAsia="黑体" w:cs="黑体"/>
          <w:color w:val="595959"/>
          <w:sz w:val="24"/>
          <w:szCs w:val="24"/>
        </w:rPr>
        <w:t>您好！</w:t>
      </w:r>
    </w:p>
    <w:p w14:paraId="47D223B6">
      <w:pPr>
        <w:widowControl/>
        <w:spacing w:before="156" w:beforeLines="50" w:line="480" w:lineRule="auto"/>
        <w:ind w:left="105" w:leftChars="50" w:right="105" w:rightChars="50" w:firstLine="480" w:firstLineChars="200"/>
        <w:rPr>
          <w:rFonts w:hint="eastAsia" w:ascii="黑体" w:hAnsi="黑体" w:eastAsia="黑体" w:cs="黑体"/>
          <w:color w:val="595959"/>
          <w:sz w:val="24"/>
          <w:szCs w:val="24"/>
        </w:rPr>
      </w:pPr>
      <w:r>
        <w:rPr>
          <w:rFonts w:hint="eastAsia" w:ascii="黑体" w:hAnsi="黑体" w:eastAsia="黑体" w:cs="黑体"/>
          <w:color w:val="595959"/>
          <w:sz w:val="24"/>
          <w:szCs w:val="24"/>
        </w:rPr>
        <w:t>感谢您选择基石医学肿瘤用药指导基因检测服务。我们本着科学、严谨、求真、务实的态度，运用先进的基因检测技术，以国际权威研究进展和专业指南为理论依据，严格按照各大数据库以及参考文献中报道的基因、疾病、药物的关联强度，准确客观的为您提供一份个性化的基因检测报告。我们期待这份报告能为您和您的临床医生在药物筛选时提供一定的参考，有助于改善您的疾病状况。</w:t>
      </w:r>
    </w:p>
    <w:p w14:paraId="54404665">
      <w:pPr>
        <w:widowControl/>
        <w:spacing w:before="156" w:beforeLines="50" w:line="480" w:lineRule="auto"/>
        <w:ind w:left="105" w:leftChars="50" w:right="105" w:rightChars="50" w:firstLine="480" w:firstLineChars="200"/>
        <w:rPr>
          <w:rFonts w:hint="eastAsia" w:ascii="黑体" w:hAnsi="黑体" w:eastAsia="黑体" w:cs="黑体"/>
          <w:color w:val="595959"/>
          <w:sz w:val="24"/>
          <w:szCs w:val="24"/>
        </w:rPr>
      </w:pPr>
      <w:r>
        <w:rPr>
          <w:rFonts w:hint="eastAsia" w:ascii="黑体" w:hAnsi="黑体" w:eastAsia="黑体" w:cs="黑体"/>
          <w:color w:val="595959"/>
          <w:sz w:val="24"/>
          <w:szCs w:val="24"/>
        </w:rPr>
        <w:t>本报告从基因层面阐释患者携带的基因变异与肿瘤药物的敏感性，毒副作用，预后等相关性，辅助临床医生选择更适合的治疗方案和治疗药物。肿瘤基因检测是临床医生制定治疗方案时的有力依据，但不是全部依据，肿瘤临床诊疗疗效仍需参考其他因素，最终的治疗方案是临床医生统筹各方面情况进行的综合判断与选择。</w:t>
      </w:r>
    </w:p>
    <w:p w14:paraId="233B6EB0">
      <w:pPr>
        <w:widowControl/>
        <w:spacing w:before="156" w:beforeLines="50" w:line="480" w:lineRule="auto"/>
        <w:ind w:left="105" w:leftChars="50" w:right="105" w:rightChars="50" w:firstLine="480" w:firstLineChars="200"/>
        <w:rPr>
          <w:rFonts w:hint="eastAsia" w:ascii="黑体" w:hAnsi="黑体" w:eastAsia="黑体" w:cs="黑体"/>
          <w:color w:val="595959"/>
          <w:sz w:val="24"/>
          <w:szCs w:val="24"/>
        </w:rPr>
      </w:pPr>
      <w:r>
        <w:rPr>
          <w:rFonts w:hint="eastAsia" w:ascii="黑体" w:hAnsi="黑体" w:eastAsia="黑体" w:cs="黑体"/>
          <w:color w:val="595959"/>
          <w:sz w:val="24"/>
          <w:szCs w:val="24"/>
        </w:rPr>
        <w:t>公司郑重承诺对您的基因数据和个人资料予以严格保密，在没有获得您本人同意或国家法律法规强制性要求公开的情况下，我们不会将您的数据泄露给任何第三方机构和个人。</w:t>
      </w:r>
    </w:p>
    <w:p w14:paraId="38E76E3F">
      <w:pPr>
        <w:widowControl/>
        <w:spacing w:before="156" w:beforeLines="50" w:line="480" w:lineRule="auto"/>
        <w:ind w:left="105" w:leftChars="50" w:right="105" w:rightChars="50" w:firstLine="480" w:firstLineChars="200"/>
        <w:rPr>
          <w:rFonts w:hint="eastAsia" w:ascii="黑体" w:hAnsi="黑体" w:eastAsia="黑体" w:cs="黑体"/>
          <w:sz w:val="24"/>
          <w:szCs w:val="24"/>
        </w:rPr>
      </w:pPr>
      <w:r>
        <w:rPr>
          <w:rFonts w:hint="eastAsia" w:ascii="黑体" w:hAnsi="黑体" w:eastAsia="黑体" w:cs="黑体"/>
          <w:color w:val="595959"/>
          <w:sz w:val="24"/>
          <w:szCs w:val="24"/>
        </w:rPr>
        <w:t>基石全体将竭诚为您科学护航，真诚地祝愿您早日康复！</w:t>
      </w:r>
    </w:p>
    <w:p w14:paraId="2FBE1B62">
      <w:pPr>
        <w:widowControl/>
        <w:spacing w:line="360" w:lineRule="auto"/>
        <w:ind w:right="105" w:rightChars="50"/>
        <w:jc w:val="left"/>
        <w:rPr>
          <w:rFonts w:hint="eastAsia" w:ascii="黑体" w:hAnsi="黑体" w:eastAsia="黑体" w:cs="黑体"/>
          <w:bCs/>
          <w:color w:val="262626"/>
          <w:sz w:val="24"/>
          <w:szCs w:val="24"/>
        </w:rPr>
      </w:pPr>
    </w:p>
    <w:p w14:paraId="129747E3">
      <w:pPr>
        <w:widowControl/>
        <w:spacing w:line="360" w:lineRule="auto"/>
        <w:ind w:left="105" w:leftChars="50" w:right="105" w:rightChars="50"/>
        <w:jc w:val="right"/>
        <w:rPr>
          <w:rFonts w:hint="eastAsia" w:ascii="黑体" w:hAnsi="黑体" w:eastAsia="黑体" w:cs="黑体"/>
          <w:b/>
          <w:color w:val="01528E"/>
          <w:sz w:val="28"/>
          <w:szCs w:val="28"/>
        </w:rPr>
      </w:pP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 xml:space="preserve">             </w:t>
      </w:r>
      <w:r>
        <w:rPr>
          <w:rFonts w:hint="eastAsia" w:ascii="黑体" w:hAnsi="黑体" w:eastAsia="黑体" w:cs="黑体"/>
          <w:b/>
          <w:color w:val="01528E"/>
          <w:sz w:val="28"/>
          <w:szCs w:val="28"/>
        </w:rPr>
        <w:t>北京基石医学检验实验室有限公司</w:t>
      </w:r>
    </w:p>
    <w:p w14:paraId="7B14FF58">
      <w:pPr>
        <w:widowControl/>
        <w:ind w:left="105" w:leftChars="50" w:right="105" w:rightChars="50"/>
        <w:jc w:val="left"/>
        <w:rPr>
          <w:rFonts w:hint="eastAsia" w:ascii="微软雅黑" w:hAnsi="微软雅黑" w:eastAsia="微软雅黑" w:cs="Heiti SC Medium"/>
          <w:b/>
          <w:bCs/>
          <w:color w:val="005BAB"/>
          <w:sz w:val="28"/>
          <w:szCs w:val="28"/>
        </w:rPr>
      </w:pPr>
    </w:p>
    <w:p w14:paraId="70193577">
      <w:pPr>
        <w:rPr>
          <w:rFonts w:hint="eastAsia"/>
        </w:rPr>
      </w:pPr>
    </w:p>
    <w:p w14:paraId="6B09CA53">
      <w:pPr>
        <w:rPr>
          <w:rFonts w:hint="eastAsia"/>
        </w:rPr>
      </w:pPr>
      <w:r>
        <w:br w:type="page"/>
      </w:r>
    </w:p>
    <w:p w14:paraId="516B5215">
      <w:pPr>
        <w:tabs>
          <w:tab w:val="center" w:pos="4937"/>
          <w:tab w:val="left" w:pos="8664"/>
        </w:tabs>
        <w:spacing w:before="120"/>
        <w:jc w:val="left"/>
        <w:outlineLvl w:val="9"/>
        <w:rPr>
          <w:rFonts w:hint="eastAsia" w:eastAsia="黑体"/>
          <w:color w:val="01528E"/>
          <w:sz w:val="36"/>
          <w:szCs w:val="36"/>
        </w:rPr>
      </w:pPr>
      <w:bookmarkStart w:id="0" w:name="_Toc81408789"/>
      <w:bookmarkStart w:id="1" w:name="_Toc117522755"/>
      <w:bookmarkStart w:id="2" w:name="_Toc116571888"/>
      <w:bookmarkStart w:id="3" w:name="_Toc114664075"/>
      <w:r>
        <w:rPr>
          <w:rFonts w:hint="eastAsia" w:eastAsia="黑体"/>
          <w:color w:val="01528E"/>
          <w:sz w:val="36"/>
          <w:szCs w:val="36"/>
        </w:rPr>
        <w:tab/>
      </w:r>
      <w:bookmarkStart w:id="4" w:name="_Toc205305054"/>
      <w:bookmarkStart w:id="5" w:name="_Toc14652"/>
      <w:bookmarkStart w:id="6" w:name="_Toc21118"/>
      <w:r>
        <w:rPr>
          <w:rFonts w:hint="eastAsia" w:eastAsia="黑体"/>
          <w:color w:val="01528E"/>
          <w:sz w:val="36"/>
          <w:szCs w:val="36"/>
        </w:rPr>
        <w:t>目  录</w:t>
      </w:r>
      <w:bookmarkEnd w:id="0"/>
      <w:bookmarkEnd w:id="1"/>
      <w:bookmarkEnd w:id="2"/>
      <w:bookmarkEnd w:id="3"/>
      <w:bookmarkEnd w:id="4"/>
      <w:bookmarkEnd w:id="5"/>
      <w:bookmarkEnd w:id="6"/>
    </w:p>
    <w:p w14:paraId="306762CA">
      <w:pPr>
        <w:rPr>
          <w:rFonts w:hint="eastAsia" w:ascii="黑体" w:hAnsi="黑体" w:eastAsia="黑体"/>
          <w:b/>
          <w:bCs/>
          <w:color w:val="01528E"/>
          <w:sz w:val="24"/>
          <w:szCs w:val="24"/>
        </w:rPr>
      </w:pPr>
    </w:p>
    <w:p w14:paraId="5A5521A5">
      <w:pPr>
        <w:pStyle w:val="11"/>
        <w:tabs>
          <w:tab w:val="right" w:leader="dot" w:pos="9742"/>
        </w:tabs>
        <w:spacing w:line="360" w:lineRule="auto"/>
        <w:ind w:left="0" w:leftChars="0" w:firstLine="0" w:firstLineChars="0"/>
        <w:rPr>
          <w:rFonts w:hint="eastAsia" w:ascii="黑体" w:hAnsi="黑体" w:eastAsia="黑体" w:cs="宋体"/>
          <w:b/>
          <w:bCs/>
          <w:color w:val="01528E"/>
          <w:kern w:val="2"/>
          <w:sz w:val="24"/>
          <w:szCs w:val="24"/>
          <w:lang w:val="en-US" w:eastAsia="zh-CN" w:bidi="ar-SA"/>
        </w:rPr>
      </w:pP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instrText xml:space="preserve"> TOC \o "1-3" \h \z \u </w:instrTex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separate"/>
      </w:r>
      <w:r>
        <w:rPr>
          <w:rFonts w:hint="eastAsia" w:ascii="黑体" w:hAnsi="黑体" w:eastAsia="黑体" w:cs="宋体"/>
          <w:b/>
          <w:bCs/>
          <w:color w:val="01528E"/>
          <w:kern w:val="2"/>
          <w:sz w:val="24"/>
          <w:szCs w:val="24"/>
          <w:lang w:val="en-US" w:eastAsia="zh-CN" w:bidi="ar-SA"/>
        </w:rPr>
        <w:fldChar w:fldCharType="begin"/>
      </w:r>
      <w:r>
        <w:rPr>
          <w:rFonts w:hint="eastAsia" w:ascii="黑体" w:hAnsi="黑体" w:eastAsia="黑体" w:cs="宋体"/>
          <w:b/>
          <w:bCs/>
          <w:color w:val="01528E"/>
          <w:kern w:val="2"/>
          <w:sz w:val="24"/>
          <w:szCs w:val="24"/>
          <w:lang w:val="en-US" w:eastAsia="zh-CN" w:bidi="ar-SA"/>
        </w:rPr>
        <w:instrText xml:space="preserve"> HYPERLINK \l _Toc10000 </w:instrText>
      </w:r>
      <w:r>
        <w:rPr>
          <w:rFonts w:hint="eastAsia" w:ascii="黑体" w:hAnsi="黑体" w:eastAsia="黑体" w:cs="宋体"/>
          <w:b/>
          <w:bCs/>
          <w:color w:val="01528E"/>
          <w:kern w:val="2"/>
          <w:sz w:val="24"/>
          <w:szCs w:val="24"/>
          <w:lang w:val="en-US" w:eastAsia="zh-CN" w:bidi="ar-SA"/>
        </w:rPr>
        <w:fldChar w:fldCharType="separate"/>
      </w:r>
      <w:r>
        <w:rPr>
          <w:rFonts w:hint="eastAsia" w:ascii="黑体" w:hAnsi="黑体" w:eastAsia="黑体" w:cs="宋体"/>
          <w:b/>
          <w:bCs/>
          <w:color w:val="01528E"/>
          <w:kern w:val="2"/>
          <w:sz w:val="24"/>
          <w:szCs w:val="24"/>
          <w:lang w:val="en-US" w:eastAsia="zh-CN" w:bidi="ar-SA"/>
        </w:rPr>
        <w:t>第一部分：检测基本信息</w:t>
      </w:r>
      <w:r>
        <w:rPr>
          <w:rFonts w:hint="eastAsia" w:ascii="黑体" w:hAnsi="黑体" w:eastAsia="黑体" w:cs="宋体"/>
          <w:b/>
          <w:bCs/>
          <w:color w:val="01528E"/>
          <w:kern w:val="2"/>
          <w:sz w:val="24"/>
          <w:szCs w:val="24"/>
          <w:lang w:val="en-US" w:eastAsia="zh-CN" w:bidi="ar-SA"/>
        </w:rPr>
        <w:tab/>
      </w:r>
      <w:r>
        <w:rPr>
          <w:rFonts w:hint="eastAsia" w:ascii="黑体" w:hAnsi="黑体" w:eastAsia="黑体" w:cs="宋体"/>
          <w:b/>
          <w:bCs/>
          <w:color w:val="01528E"/>
          <w:kern w:val="2"/>
          <w:sz w:val="24"/>
          <w:szCs w:val="24"/>
          <w:lang w:val="en-US" w:eastAsia="zh-CN" w:bidi="ar-SA"/>
        </w:rPr>
        <w:fldChar w:fldCharType="begin"/>
      </w:r>
      <w:r>
        <w:rPr>
          <w:rFonts w:hint="eastAsia" w:ascii="黑体" w:hAnsi="黑体" w:eastAsia="黑体" w:cs="宋体"/>
          <w:b/>
          <w:bCs/>
          <w:color w:val="01528E"/>
          <w:kern w:val="2"/>
          <w:sz w:val="24"/>
          <w:szCs w:val="24"/>
          <w:lang w:val="en-US" w:eastAsia="zh-CN" w:bidi="ar-SA"/>
        </w:rPr>
        <w:instrText xml:space="preserve"> PAGEREF _Toc10000 \h </w:instrText>
      </w:r>
      <w:r>
        <w:rPr>
          <w:rFonts w:hint="eastAsia" w:ascii="黑体" w:hAnsi="黑体" w:eastAsia="黑体" w:cs="宋体"/>
          <w:b/>
          <w:bCs/>
          <w:color w:val="01528E"/>
          <w:kern w:val="2"/>
          <w:sz w:val="24"/>
          <w:szCs w:val="24"/>
          <w:lang w:val="en-US" w:eastAsia="zh-CN" w:bidi="ar-SA"/>
        </w:rPr>
        <w:fldChar w:fldCharType="separate"/>
      </w:r>
      <w:r>
        <w:rPr>
          <w:rFonts w:hint="eastAsia" w:ascii="黑体" w:hAnsi="黑体" w:eastAsia="黑体" w:cs="宋体"/>
          <w:b/>
          <w:bCs/>
          <w:color w:val="01528E"/>
          <w:kern w:val="2"/>
          <w:sz w:val="24"/>
          <w:szCs w:val="24"/>
          <w:lang w:val="en-US" w:eastAsia="zh-CN" w:bidi="ar-SA"/>
        </w:rPr>
        <w:t>3</w:t>
      </w:r>
      <w:r>
        <w:rPr>
          <w:rFonts w:hint="eastAsia" w:ascii="黑体" w:hAnsi="黑体" w:eastAsia="黑体" w:cs="宋体"/>
          <w:b/>
          <w:bCs/>
          <w:color w:val="01528E"/>
          <w:kern w:val="2"/>
          <w:sz w:val="24"/>
          <w:szCs w:val="24"/>
          <w:lang w:val="en-US" w:eastAsia="zh-CN" w:bidi="ar-SA"/>
        </w:rPr>
        <w:fldChar w:fldCharType="end"/>
      </w:r>
      <w:r>
        <w:rPr>
          <w:rFonts w:hint="eastAsia" w:ascii="黑体" w:hAnsi="黑体" w:eastAsia="黑体" w:cs="宋体"/>
          <w:b/>
          <w:bCs/>
          <w:color w:val="01528E"/>
          <w:kern w:val="2"/>
          <w:sz w:val="24"/>
          <w:szCs w:val="24"/>
          <w:lang w:val="en-US" w:eastAsia="zh-CN" w:bidi="ar-SA"/>
        </w:rPr>
        <w:fldChar w:fldCharType="end"/>
      </w:r>
    </w:p>
    <w:p w14:paraId="5F30C916">
      <w:pPr>
        <w:pStyle w:val="11"/>
        <w:tabs>
          <w:tab w:val="right" w:leader="dot" w:pos="9742"/>
        </w:tabs>
        <w:spacing w:line="360" w:lineRule="auto"/>
        <w:rPr>
          <w:rStyle w:val="18"/>
          <w:rFonts w:hint="eastAsia" w:ascii="黑体" w:hAnsi="黑体" w:eastAsia="黑体" w:cs="黑体"/>
          <w:color w:val="595959" w:themeColor="text1" w:themeTint="A6"/>
          <w14:textFill>
            <w14:solidFill>
              <w14:schemeClr w14:val="tx1">
                <w14:lumMod w14:val="65000"/>
                <w14:lumOff w14:val="35000"/>
              </w14:schemeClr>
            </w14:solidFill>
          </w14:textFill>
        </w:rPr>
      </w:pP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instrText xml:space="preserve"> HYPERLINK \l _Toc24977 </w:instrText>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个人信息</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ab/>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instrText xml:space="preserve"> PAGEREF _Toc24977 \h </w:instrTex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3</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end"/>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end"/>
      </w:r>
    </w:p>
    <w:p w14:paraId="417AF6B0">
      <w:pPr>
        <w:pStyle w:val="11"/>
        <w:tabs>
          <w:tab w:val="right" w:leader="dot" w:pos="9742"/>
        </w:tabs>
        <w:spacing w:line="360" w:lineRule="auto"/>
        <w:rPr>
          <w:rStyle w:val="18"/>
          <w:rFonts w:hint="eastAsia" w:ascii="黑体" w:hAnsi="黑体" w:eastAsia="黑体" w:cs="黑体"/>
          <w:color w:val="595959" w:themeColor="text1" w:themeTint="A6"/>
          <w14:textFill>
            <w14:solidFill>
              <w14:schemeClr w14:val="tx1">
                <w14:lumMod w14:val="65000"/>
                <w14:lumOff w14:val="35000"/>
              </w14:schemeClr>
            </w14:solidFill>
          </w14:textFill>
        </w:rPr>
      </w:pP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instrText xml:space="preserve"> HYPERLINK \l _Toc7383 </w:instrText>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检测概况</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ab/>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instrText xml:space="preserve"> PAGEREF _Toc7383 \h </w:instrTex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4</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end"/>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end"/>
      </w:r>
    </w:p>
    <w:p w14:paraId="350178E4">
      <w:pPr>
        <w:pStyle w:val="11"/>
        <w:tabs>
          <w:tab w:val="right" w:leader="dot" w:pos="9742"/>
        </w:tabs>
        <w:spacing w:line="360" w:lineRule="auto"/>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pP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instrText xml:space="preserve"> HYPERLINK \l _Toc31190 </w:instrText>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样本质控</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ab/>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instrText xml:space="preserve"> PAGEREF _Toc31190 \h </w:instrTex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5</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end"/>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end"/>
      </w:r>
    </w:p>
    <w:p w14:paraId="69D7E24B">
      <w:pPr>
        <w:rPr>
          <w:rFonts w:hint="eastAsia"/>
        </w:rPr>
      </w:pPr>
    </w:p>
    <w:p w14:paraId="7A9A8B9E">
      <w:pPr>
        <w:pStyle w:val="11"/>
        <w:tabs>
          <w:tab w:val="right" w:leader="dot" w:pos="9742"/>
        </w:tabs>
        <w:spacing w:line="360" w:lineRule="auto"/>
        <w:ind w:left="0" w:leftChars="0" w:firstLine="0" w:firstLineChars="0"/>
        <w:rPr>
          <w:rFonts w:hint="eastAsia" w:ascii="黑体" w:hAnsi="黑体" w:eastAsia="黑体" w:cs="宋体"/>
          <w:b/>
          <w:bCs/>
          <w:color w:val="01528E"/>
          <w:kern w:val="2"/>
          <w:sz w:val="24"/>
          <w:szCs w:val="24"/>
          <w:lang w:val="en-US" w:eastAsia="zh-CN" w:bidi="ar-SA"/>
        </w:rPr>
      </w:pPr>
      <w:r>
        <w:rPr>
          <w:rFonts w:hint="eastAsia" w:ascii="黑体" w:hAnsi="黑体" w:eastAsia="黑体" w:cs="宋体"/>
          <w:b/>
          <w:bCs/>
          <w:color w:val="01528E"/>
          <w:kern w:val="2"/>
          <w:sz w:val="24"/>
          <w:szCs w:val="24"/>
          <w:lang w:val="zh-CN" w:eastAsia="zh-CN" w:bidi="ar-SA"/>
        </w:rPr>
        <w:fldChar w:fldCharType="begin"/>
      </w:r>
      <w:r>
        <w:rPr>
          <w:rFonts w:hint="eastAsia" w:ascii="黑体" w:hAnsi="黑体" w:eastAsia="黑体" w:cs="宋体"/>
          <w:b/>
          <w:bCs/>
          <w:color w:val="01528E"/>
          <w:kern w:val="2"/>
          <w:sz w:val="24"/>
          <w:szCs w:val="24"/>
          <w:lang w:val="zh-CN" w:eastAsia="zh-CN" w:bidi="ar-SA"/>
        </w:rPr>
        <w:instrText xml:space="preserve"> HYPERLINK \l _Toc2261 </w:instrText>
      </w:r>
      <w:r>
        <w:rPr>
          <w:rFonts w:hint="eastAsia" w:ascii="黑体" w:hAnsi="黑体" w:eastAsia="黑体" w:cs="宋体"/>
          <w:b/>
          <w:bCs/>
          <w:color w:val="01528E"/>
          <w:kern w:val="2"/>
          <w:sz w:val="24"/>
          <w:szCs w:val="24"/>
          <w:lang w:val="zh-CN" w:eastAsia="zh-CN" w:bidi="ar-SA"/>
        </w:rPr>
        <w:fldChar w:fldCharType="separate"/>
      </w:r>
      <w:r>
        <w:rPr>
          <w:rFonts w:hint="eastAsia" w:ascii="黑体" w:hAnsi="黑体" w:eastAsia="黑体" w:cs="宋体"/>
          <w:b/>
          <w:bCs/>
          <w:color w:val="01528E"/>
          <w:kern w:val="2"/>
          <w:sz w:val="24"/>
          <w:szCs w:val="24"/>
          <w:lang w:val="en-US" w:eastAsia="zh-CN" w:bidi="ar-SA"/>
        </w:rPr>
        <w:t>第二部分：检测结果总览</w:t>
      </w:r>
      <w:r>
        <w:rPr>
          <w:rFonts w:hint="eastAsia" w:ascii="黑体" w:hAnsi="黑体" w:eastAsia="黑体" w:cs="宋体"/>
          <w:b/>
          <w:bCs/>
          <w:color w:val="01528E"/>
          <w:kern w:val="2"/>
          <w:sz w:val="24"/>
          <w:szCs w:val="24"/>
          <w:lang w:val="en-US" w:eastAsia="zh-CN" w:bidi="ar-SA"/>
        </w:rPr>
        <w:tab/>
      </w:r>
      <w:r>
        <w:rPr>
          <w:rFonts w:hint="eastAsia" w:ascii="黑体" w:hAnsi="黑体" w:eastAsia="黑体" w:cs="宋体"/>
          <w:b/>
          <w:bCs/>
          <w:color w:val="01528E"/>
          <w:kern w:val="2"/>
          <w:sz w:val="24"/>
          <w:szCs w:val="24"/>
          <w:lang w:val="en-US" w:eastAsia="zh-CN" w:bidi="ar-SA"/>
        </w:rPr>
        <w:fldChar w:fldCharType="begin"/>
      </w:r>
      <w:r>
        <w:rPr>
          <w:rFonts w:hint="eastAsia" w:ascii="黑体" w:hAnsi="黑体" w:eastAsia="黑体" w:cs="宋体"/>
          <w:b/>
          <w:bCs/>
          <w:color w:val="01528E"/>
          <w:kern w:val="2"/>
          <w:sz w:val="24"/>
          <w:szCs w:val="24"/>
          <w:lang w:val="en-US" w:eastAsia="zh-CN" w:bidi="ar-SA"/>
        </w:rPr>
        <w:instrText xml:space="preserve"> PAGEREF _Toc2261 \h </w:instrText>
      </w:r>
      <w:r>
        <w:rPr>
          <w:rFonts w:hint="eastAsia" w:ascii="黑体" w:hAnsi="黑体" w:eastAsia="黑体" w:cs="宋体"/>
          <w:b/>
          <w:bCs/>
          <w:color w:val="01528E"/>
          <w:kern w:val="2"/>
          <w:sz w:val="24"/>
          <w:szCs w:val="24"/>
          <w:lang w:val="en-US" w:eastAsia="zh-CN" w:bidi="ar-SA"/>
        </w:rPr>
        <w:fldChar w:fldCharType="separate"/>
      </w:r>
      <w:r>
        <w:rPr>
          <w:rFonts w:hint="eastAsia" w:ascii="黑体" w:hAnsi="黑体" w:eastAsia="黑体" w:cs="宋体"/>
          <w:b/>
          <w:bCs/>
          <w:color w:val="01528E"/>
          <w:kern w:val="2"/>
          <w:sz w:val="24"/>
          <w:szCs w:val="24"/>
          <w:lang w:val="en-US" w:eastAsia="zh-CN" w:bidi="ar-SA"/>
        </w:rPr>
        <w:t>6</w:t>
      </w:r>
      <w:r>
        <w:rPr>
          <w:rFonts w:hint="eastAsia" w:ascii="黑体" w:hAnsi="黑体" w:eastAsia="黑体" w:cs="宋体"/>
          <w:b/>
          <w:bCs/>
          <w:color w:val="01528E"/>
          <w:kern w:val="2"/>
          <w:sz w:val="24"/>
          <w:szCs w:val="24"/>
          <w:lang w:val="en-US" w:eastAsia="zh-CN" w:bidi="ar-SA"/>
        </w:rPr>
        <w:fldChar w:fldCharType="end"/>
      </w:r>
      <w:r>
        <w:rPr>
          <w:rFonts w:hint="eastAsia" w:ascii="黑体" w:hAnsi="黑体" w:eastAsia="黑体" w:cs="宋体"/>
          <w:b/>
          <w:bCs/>
          <w:color w:val="01528E"/>
          <w:kern w:val="2"/>
          <w:sz w:val="24"/>
          <w:szCs w:val="24"/>
          <w:lang w:val="zh-CN" w:eastAsia="zh-CN" w:bidi="ar-SA"/>
        </w:rPr>
        <w:fldChar w:fldCharType="end"/>
      </w:r>
    </w:p>
    <w:p w14:paraId="7459A77F">
      <w:pPr>
        <w:pStyle w:val="11"/>
        <w:tabs>
          <w:tab w:val="right" w:leader="dot" w:pos="9742"/>
        </w:tabs>
        <w:spacing w:line="360" w:lineRule="auto"/>
        <w:rPr>
          <w:rStyle w:val="18"/>
          <w:rFonts w:hint="eastAsia" w:ascii="黑体" w:hAnsi="黑体" w:eastAsia="黑体" w:cs="黑体"/>
          <w:color w:val="595959" w:themeColor="text1" w:themeTint="A6"/>
          <w14:textFill>
            <w14:solidFill>
              <w14:schemeClr w14:val="tx1">
                <w14:lumMod w14:val="65000"/>
                <w14:lumOff w14:val="35000"/>
              </w14:schemeClr>
            </w14:solidFill>
          </w14:textFill>
        </w:rPr>
      </w:pP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instrText xml:space="preserve"> HYPERLINK \l _Toc12953 </w:instrText>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1. ctDNA检测预后提示</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ab/>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instrText xml:space="preserve"> PAGEREF _Toc12953 \h </w:instrTex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6</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end"/>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end"/>
      </w:r>
    </w:p>
    <w:p w14:paraId="07A39A72">
      <w:pPr>
        <w:pStyle w:val="11"/>
        <w:tabs>
          <w:tab w:val="right" w:leader="dot" w:pos="9742"/>
        </w:tabs>
        <w:spacing w:line="360" w:lineRule="auto"/>
        <w:rPr>
          <w:rStyle w:val="18"/>
          <w:rFonts w:hint="eastAsia" w:ascii="黑体" w:hAnsi="黑体" w:eastAsia="黑体" w:cs="黑体"/>
          <w:color w:val="595959" w:themeColor="text1" w:themeTint="A6"/>
          <w14:textFill>
            <w14:solidFill>
              <w14:schemeClr w14:val="tx1">
                <w14:lumMod w14:val="65000"/>
                <w14:lumOff w14:val="35000"/>
              </w14:schemeClr>
            </w14:solidFill>
          </w14:textFill>
        </w:rPr>
      </w:pP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instrText xml:space="preserve"> HYPERLINK \l _Toc5882 </w:instrText>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2. ctDNA变化趋势</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ab/>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instrText xml:space="preserve"> PAGEREF _Toc5882 \h </w:instrTex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8</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end"/>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end"/>
      </w:r>
    </w:p>
    <w:p w14:paraId="6EF0EBB9">
      <w:pPr>
        <w:pStyle w:val="11"/>
        <w:tabs>
          <w:tab w:val="right" w:leader="dot" w:pos="9742"/>
        </w:tabs>
        <w:spacing w:line="360" w:lineRule="auto"/>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pP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instrText xml:space="preserve"> HYPERLINK \l _Toc21244 </w:instrText>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3. 循环肿瘤DNA检测结果</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ab/>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instrText xml:space="preserve"> PAGEREF _Toc21244 \h </w:instrTex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9</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end"/>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end"/>
      </w:r>
    </w:p>
    <w:p w14:paraId="4D8B940E">
      <w:pPr>
        <w:rPr>
          <w:rFonts w:hint="eastAsia"/>
        </w:rPr>
      </w:pPr>
    </w:p>
    <w:p w14:paraId="281BCC57">
      <w:pPr>
        <w:pStyle w:val="11"/>
        <w:tabs>
          <w:tab w:val="right" w:leader="dot" w:pos="9742"/>
        </w:tabs>
        <w:spacing w:line="360" w:lineRule="auto"/>
        <w:ind w:left="0" w:leftChars="0" w:firstLine="0" w:firstLineChars="0"/>
        <w:rPr>
          <w:rFonts w:hint="eastAsia" w:ascii="黑体" w:hAnsi="黑体" w:eastAsia="黑体" w:cs="宋体"/>
          <w:b/>
          <w:bCs/>
          <w:color w:val="01528E"/>
          <w:kern w:val="2"/>
          <w:sz w:val="24"/>
          <w:szCs w:val="24"/>
          <w:lang w:val="zh-CN" w:eastAsia="zh-CN" w:bidi="ar-SA"/>
        </w:rPr>
      </w:pPr>
      <w:r>
        <w:rPr>
          <w:rFonts w:hint="eastAsia" w:ascii="黑体" w:hAnsi="黑体" w:eastAsia="黑体" w:cs="宋体"/>
          <w:b/>
          <w:bCs/>
          <w:color w:val="01528E"/>
          <w:kern w:val="2"/>
          <w:sz w:val="24"/>
          <w:szCs w:val="24"/>
          <w:lang w:val="zh-CN" w:eastAsia="zh-CN" w:bidi="ar-SA"/>
        </w:rPr>
        <w:fldChar w:fldCharType="begin"/>
      </w:r>
      <w:r>
        <w:rPr>
          <w:rFonts w:hint="eastAsia" w:ascii="黑体" w:hAnsi="黑体" w:eastAsia="黑体" w:cs="宋体"/>
          <w:b/>
          <w:bCs/>
          <w:color w:val="01528E"/>
          <w:kern w:val="2"/>
          <w:sz w:val="24"/>
          <w:szCs w:val="24"/>
          <w:lang w:val="zh-CN" w:eastAsia="zh-CN" w:bidi="ar-SA"/>
        </w:rPr>
        <w:instrText xml:space="preserve"> HYPERLINK \l _Toc30962 </w:instrText>
      </w:r>
      <w:r>
        <w:rPr>
          <w:rFonts w:hint="eastAsia" w:ascii="黑体" w:hAnsi="黑体" w:eastAsia="黑体" w:cs="宋体"/>
          <w:b/>
          <w:bCs/>
          <w:color w:val="01528E"/>
          <w:kern w:val="2"/>
          <w:sz w:val="24"/>
          <w:szCs w:val="24"/>
          <w:lang w:val="zh-CN" w:eastAsia="zh-CN" w:bidi="ar-SA"/>
        </w:rPr>
        <w:fldChar w:fldCharType="separate"/>
      </w:r>
      <w:r>
        <w:rPr>
          <w:rFonts w:hint="eastAsia" w:ascii="黑体" w:hAnsi="黑体" w:eastAsia="黑体" w:cs="宋体"/>
          <w:b/>
          <w:bCs/>
          <w:color w:val="01528E"/>
          <w:kern w:val="2"/>
          <w:sz w:val="24"/>
          <w:szCs w:val="24"/>
          <w:lang w:val="en-US" w:eastAsia="zh-CN" w:bidi="ar-SA"/>
        </w:rPr>
        <w:t>第三部分：备注与附录</w:t>
      </w:r>
      <w:r>
        <w:rPr>
          <w:rFonts w:hint="eastAsia" w:ascii="黑体" w:hAnsi="黑体" w:eastAsia="黑体" w:cs="宋体"/>
          <w:b/>
          <w:bCs/>
          <w:color w:val="01528E"/>
          <w:kern w:val="2"/>
          <w:sz w:val="24"/>
          <w:szCs w:val="24"/>
          <w:lang w:val="zh-CN" w:eastAsia="zh-CN" w:bidi="ar-SA"/>
        </w:rPr>
        <w:tab/>
      </w:r>
      <w:r>
        <w:rPr>
          <w:rFonts w:hint="eastAsia" w:ascii="黑体" w:hAnsi="黑体" w:eastAsia="黑体" w:cs="宋体"/>
          <w:b/>
          <w:bCs/>
          <w:color w:val="01528E"/>
          <w:kern w:val="2"/>
          <w:sz w:val="24"/>
          <w:szCs w:val="24"/>
          <w:lang w:val="zh-CN" w:eastAsia="zh-CN" w:bidi="ar-SA"/>
        </w:rPr>
        <w:fldChar w:fldCharType="begin"/>
      </w:r>
      <w:r>
        <w:rPr>
          <w:rFonts w:hint="eastAsia" w:ascii="黑体" w:hAnsi="黑体" w:eastAsia="黑体" w:cs="宋体"/>
          <w:b/>
          <w:bCs/>
          <w:color w:val="01528E"/>
          <w:kern w:val="2"/>
          <w:sz w:val="24"/>
          <w:szCs w:val="24"/>
          <w:lang w:val="zh-CN" w:eastAsia="zh-CN" w:bidi="ar-SA"/>
        </w:rPr>
        <w:instrText xml:space="preserve"> PAGEREF _Toc30962 \h </w:instrText>
      </w:r>
      <w:r>
        <w:rPr>
          <w:rFonts w:hint="eastAsia" w:ascii="黑体" w:hAnsi="黑体" w:eastAsia="黑体" w:cs="宋体"/>
          <w:b/>
          <w:bCs/>
          <w:color w:val="01528E"/>
          <w:kern w:val="2"/>
          <w:sz w:val="24"/>
          <w:szCs w:val="24"/>
          <w:lang w:val="zh-CN" w:eastAsia="zh-CN" w:bidi="ar-SA"/>
        </w:rPr>
        <w:fldChar w:fldCharType="separate"/>
      </w:r>
      <w:r>
        <w:rPr>
          <w:rFonts w:hint="eastAsia" w:ascii="黑体" w:hAnsi="黑体" w:eastAsia="黑体" w:cs="宋体"/>
          <w:b/>
          <w:bCs/>
          <w:color w:val="01528E"/>
          <w:kern w:val="2"/>
          <w:sz w:val="24"/>
          <w:szCs w:val="24"/>
          <w:lang w:val="zh-CN" w:eastAsia="zh-CN" w:bidi="ar-SA"/>
        </w:rPr>
        <w:t>10</w:t>
      </w:r>
      <w:r>
        <w:rPr>
          <w:rFonts w:hint="eastAsia" w:ascii="黑体" w:hAnsi="黑体" w:eastAsia="黑体" w:cs="宋体"/>
          <w:b/>
          <w:bCs/>
          <w:color w:val="01528E"/>
          <w:kern w:val="2"/>
          <w:sz w:val="24"/>
          <w:szCs w:val="24"/>
          <w:lang w:val="zh-CN" w:eastAsia="zh-CN" w:bidi="ar-SA"/>
        </w:rPr>
        <w:fldChar w:fldCharType="end"/>
      </w:r>
      <w:r>
        <w:rPr>
          <w:rFonts w:hint="eastAsia" w:ascii="黑体" w:hAnsi="黑体" w:eastAsia="黑体" w:cs="宋体"/>
          <w:b/>
          <w:bCs/>
          <w:color w:val="01528E"/>
          <w:kern w:val="2"/>
          <w:sz w:val="24"/>
          <w:szCs w:val="24"/>
          <w:lang w:val="zh-CN" w:eastAsia="zh-CN" w:bidi="ar-SA"/>
        </w:rPr>
        <w:fldChar w:fldCharType="end"/>
      </w:r>
    </w:p>
    <w:p w14:paraId="0215F9FF">
      <w:pPr>
        <w:pStyle w:val="11"/>
        <w:tabs>
          <w:tab w:val="right" w:leader="dot" w:pos="9742"/>
        </w:tabs>
        <w:spacing w:line="360" w:lineRule="auto"/>
        <w:rPr>
          <w:rStyle w:val="18"/>
          <w:rFonts w:hint="eastAsia" w:ascii="黑体" w:hAnsi="黑体" w:eastAsia="黑体" w:cs="黑体"/>
          <w:color w:val="595959" w:themeColor="text1" w:themeTint="A6"/>
          <w14:textFill>
            <w14:solidFill>
              <w14:schemeClr w14:val="tx1">
                <w14:lumMod w14:val="65000"/>
                <w14:lumOff w14:val="35000"/>
              </w14:schemeClr>
            </w14:solidFill>
          </w14:textFill>
        </w:rPr>
      </w:pP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instrText xml:space="preserve"> HYPERLINK \l _Toc30924 </w:instrText>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备  注</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ab/>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instrText xml:space="preserve"> PAGEREF _Toc30924 \h </w:instrTex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10</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end"/>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end"/>
      </w:r>
    </w:p>
    <w:p w14:paraId="61D5A188">
      <w:pPr>
        <w:pStyle w:val="11"/>
        <w:tabs>
          <w:tab w:val="right" w:leader="dot" w:pos="9742"/>
        </w:tabs>
        <w:spacing w:line="360" w:lineRule="auto"/>
        <w:rPr>
          <w:rStyle w:val="18"/>
          <w:rFonts w:hint="eastAsia" w:ascii="黑体" w:hAnsi="黑体" w:eastAsia="黑体" w:cs="黑体"/>
          <w:color w:val="595959" w:themeColor="text1" w:themeTint="A6"/>
          <w14:textFill>
            <w14:solidFill>
              <w14:schemeClr w14:val="tx1">
                <w14:lumMod w14:val="65000"/>
                <w14:lumOff w14:val="35000"/>
              </w14:schemeClr>
            </w14:solidFill>
          </w14:textFill>
        </w:rPr>
      </w:pP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instrText xml:space="preserve"> HYPERLINK \l _Toc25852 </w:instrText>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附录.参考文献</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ab/>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begin"/>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instrText xml:space="preserve"> PAGEREF _Toc25852 \h </w:instrTex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separate"/>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t>12</w:t>
      </w:r>
      <w:r>
        <w:rPr>
          <w:rStyle w:val="18"/>
          <w:rFonts w:hint="eastAsia" w:ascii="黑体" w:hAnsi="黑体" w:eastAsia="黑体" w:cs="黑体"/>
          <w:color w:val="595959" w:themeColor="text1" w:themeTint="A6"/>
          <w14:textFill>
            <w14:solidFill>
              <w14:schemeClr w14:val="tx1">
                <w14:lumMod w14:val="65000"/>
                <w14:lumOff w14:val="35000"/>
              </w14:schemeClr>
            </w14:solidFill>
          </w14:textFill>
        </w:rPr>
        <w:fldChar w:fldCharType="end"/>
      </w: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end"/>
      </w:r>
    </w:p>
    <w:p w14:paraId="0F5597B3">
      <w:pPr>
        <w:pStyle w:val="11"/>
        <w:tabs>
          <w:tab w:val="right" w:leader="dot" w:pos="9742"/>
        </w:tabs>
        <w:spacing w:line="360" w:lineRule="auto"/>
        <w:rPr>
          <w:rFonts w:hint="eastAsia" w:ascii="黑体" w:hAnsi="黑体" w:eastAsia="黑体"/>
          <w:sz w:val="24"/>
          <w:szCs w:val="24"/>
        </w:rPr>
      </w:pPr>
      <w:r>
        <w:rPr>
          <w:rStyle w:val="18"/>
          <w:rFonts w:hint="eastAsia" w:ascii="黑体" w:hAnsi="黑体" w:eastAsia="黑体" w:cs="黑体"/>
          <w:color w:val="595959" w:themeColor="text1" w:themeTint="A6"/>
          <w:lang w:val="zh-CN"/>
          <w14:textFill>
            <w14:solidFill>
              <w14:schemeClr w14:val="tx1">
                <w14:lumMod w14:val="65000"/>
                <w14:lumOff w14:val="35000"/>
              </w14:schemeClr>
            </w14:solidFill>
          </w14:textFill>
        </w:rPr>
        <w:fldChar w:fldCharType="end"/>
      </w:r>
    </w:p>
    <w:p w14:paraId="531FEC95">
      <w:pPr>
        <w:widowControl/>
        <w:jc w:val="left"/>
        <w:rPr>
          <w:rFonts w:hint="eastAsia"/>
        </w:rPr>
      </w:pPr>
      <w:r>
        <w:br w:type="page"/>
      </w:r>
    </w:p>
    <w:p w14:paraId="545D3BF7">
      <w:pPr>
        <w:pStyle w:val="2"/>
        <w:keepNext w:val="0"/>
        <w:keepLines w:val="0"/>
        <w:pageBreakBefore w:val="0"/>
        <w:widowControl w:val="0"/>
        <w:kinsoku/>
        <w:wordWrap/>
        <w:overflowPunct/>
        <w:topLinePunct w:val="0"/>
        <w:autoSpaceDE/>
        <w:autoSpaceDN/>
        <w:bidi w:val="0"/>
        <w:adjustRightInd/>
        <w:snapToGrid w:val="0"/>
        <w:spacing w:after="0" w:line="360" w:lineRule="auto"/>
        <w:jc w:val="center"/>
        <w:textAlignment w:val="auto"/>
        <w:outlineLvl w:val="0"/>
        <w:rPr>
          <w:rFonts w:hint="eastAsia" w:ascii="黑体" w:hAnsi="黑体" w:eastAsia="黑体" w:cs="黑体"/>
          <w:bCs w:val="0"/>
          <w:color w:val="01528E"/>
          <w:sz w:val="44"/>
          <w:szCs w:val="44"/>
        </w:rPr>
      </w:pPr>
      <w:bookmarkStart w:id="7" w:name="_Toc10000"/>
      <w:bookmarkStart w:id="8" w:name="_Toc114664077"/>
      <w:bookmarkStart w:id="9" w:name="_Toc93496790"/>
      <w:r>
        <w:rPr>
          <w:rFonts w:hint="eastAsia" w:ascii="黑体" w:hAnsi="黑体" w:eastAsia="黑体" w:cs="黑体"/>
          <w:bCs w:val="0"/>
          <w:color w:val="01528E"/>
          <w:sz w:val="44"/>
          <w:szCs w:val="44"/>
          <w:lang w:val="en-US" w:eastAsia="zh-CN"/>
        </w:rPr>
        <w:t>第</w:t>
      </w:r>
      <w:r>
        <w:rPr>
          <w:rFonts w:hint="eastAsia" w:ascii="黑体" w:hAnsi="黑体" w:eastAsia="黑体" w:cs="黑体"/>
          <w:bCs w:val="0"/>
          <w:color w:val="01528E"/>
          <w:sz w:val="44"/>
          <w:szCs w:val="44"/>
        </w:rPr>
        <w:t>一部分：检测基本信息</w:t>
      </w:r>
      <w:bookmarkEnd w:id="7"/>
    </w:p>
    <w:p w14:paraId="2CEA94A9">
      <w:pPr>
        <w:pStyle w:val="3"/>
        <w:snapToGrid w:val="0"/>
        <w:spacing w:line="360" w:lineRule="auto"/>
        <w:jc w:val="center"/>
        <w:outlineLvl w:val="1"/>
        <w:rPr>
          <w:rFonts w:hint="eastAsia" w:ascii="黑体" w:hAnsi="黑体" w:eastAsia="黑体" w:cs="黑体"/>
          <w:b w:val="0"/>
          <w:bCs w:val="0"/>
          <w:color w:val="01528E"/>
          <w:sz w:val="36"/>
          <w:szCs w:val="36"/>
        </w:rPr>
      </w:pPr>
      <w:bookmarkStart w:id="10" w:name="_Toc24977"/>
      <w:r>
        <w:rPr>
          <w:rFonts w:hint="eastAsia" w:ascii="黑体" w:hAnsi="黑体" w:eastAsia="黑体" w:cs="黑体"/>
          <w:bCs w:val="0"/>
          <w:color w:val="01528E"/>
          <w:sz w:val="36"/>
          <w:szCs w:val="36"/>
        </w:rPr>
        <w:t>个人信息</w:t>
      </w:r>
      <w:bookmarkEnd w:id="8"/>
      <w:bookmarkEnd w:id="9"/>
      <w:bookmarkEnd w:id="10"/>
    </w:p>
    <w:tbl>
      <w:tblPr>
        <w:tblStyle w:val="16"/>
        <w:tblW w:w="9741" w:type="dxa"/>
        <w:jc w:val="center"/>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1909"/>
        <w:gridCol w:w="1859"/>
        <w:gridCol w:w="1344"/>
        <w:gridCol w:w="791"/>
        <w:gridCol w:w="898"/>
        <w:gridCol w:w="506"/>
        <w:gridCol w:w="726"/>
        <w:gridCol w:w="1708"/>
      </w:tblGrid>
      <w:tr w14:paraId="376BA0F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92" w:hRule="atLeast"/>
          <w:tblHeader/>
          <w:jc w:val="center"/>
        </w:trPr>
        <w:tc>
          <w:tcPr>
            <w:tcW w:w="9741" w:type="dxa"/>
            <w:gridSpan w:val="8"/>
            <w:shd w:val="clear" w:color="auto" w:fill="01528E"/>
            <w:vAlign w:val="center"/>
          </w:tcPr>
          <w:p w14:paraId="7FEB3C9C">
            <w:pPr>
              <w:jc w:val="center"/>
              <w:rPr>
                <w:rFonts w:ascii="Times New Roman" w:hAnsi="Times New Roman" w:eastAsia="宋体" w:cs="Times New Roman"/>
                <w:kern w:val="0"/>
                <w:sz w:val="28"/>
                <w:szCs w:val="28"/>
              </w:rPr>
            </w:pPr>
            <w:r>
              <w:rPr>
                <w:rFonts w:hint="eastAsia" w:ascii="黑体" w:hAnsi="黑体" w:eastAsia="黑体" w:cs="黑体"/>
                <w:color w:val="FFFFFF"/>
                <w:kern w:val="0"/>
                <w:sz w:val="28"/>
                <w:szCs w:val="28"/>
              </w:rPr>
              <w:t>基本信息</w:t>
            </w:r>
          </w:p>
        </w:tc>
      </w:tr>
      <w:tr w14:paraId="288A393D">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909" w:type="dxa"/>
            <w:vAlign w:val="center"/>
          </w:tcPr>
          <w:p w14:paraId="1F77D441">
            <w:pPr>
              <w:rPr>
                <w:rFonts w:hint="eastAsia" w:ascii="黑体" w:hAnsi="黑体" w:eastAsia="黑体" w:cs="黑体"/>
                <w:b/>
                <w:color w:val="01528E"/>
                <w:kern w:val="0"/>
                <w:szCs w:val="21"/>
              </w:rPr>
            </w:pPr>
            <w:r>
              <w:rPr>
                <w:rFonts w:hint="eastAsia" w:ascii="黑体" w:hAnsi="黑体" w:eastAsia="黑体" w:cs="黑体"/>
                <w:b/>
                <w:color w:val="01528E"/>
                <w:kern w:val="0"/>
              </w:rPr>
              <w:t>姓    名：</w:t>
            </w:r>
          </w:p>
        </w:tc>
        <w:tc>
          <w:tcPr>
            <w:tcW w:w="1859" w:type="dxa"/>
            <w:vAlign w:val="center"/>
          </w:tcPr>
          <w:p w14:paraId="246B13DE">
            <w:pPr>
              <w:rPr>
                <w:rFonts w:hint="eastAsia" w:ascii="黑体" w:hAnsi="黑体" w:eastAsia="黑体" w:cs="黑体"/>
                <w:color w:val="595959"/>
                <w:kern w:val="0"/>
                <w:szCs w:val="21"/>
              </w:rPr>
            </w:pPr>
            <w:r>
              <w:rPr>
                <w:rFonts w:hint="eastAsia" w:ascii="黑体" w:hAnsi="黑体" w:eastAsia="黑体" w:cs="黑体"/>
                <w:color w:val="595959"/>
                <w:kern w:val="0"/>
                <w:lang w:val="en-US" w:eastAsia="zh-CN"/>
              </w:rPr>
              <w:t>{{client}}</w:t>
            </w:r>
          </w:p>
        </w:tc>
        <w:tc>
          <w:tcPr>
            <w:tcW w:w="1344" w:type="dxa"/>
            <w:vAlign w:val="center"/>
          </w:tcPr>
          <w:p w14:paraId="2A1303C6">
            <w:pPr>
              <w:rPr>
                <w:rFonts w:hint="eastAsia" w:ascii="黑体" w:hAnsi="黑体" w:eastAsia="黑体" w:cs="黑体"/>
                <w:b/>
                <w:color w:val="006AB4"/>
                <w:kern w:val="0"/>
                <w:szCs w:val="21"/>
              </w:rPr>
            </w:pPr>
            <w:r>
              <w:rPr>
                <w:rFonts w:hint="eastAsia" w:ascii="黑体" w:hAnsi="黑体" w:eastAsia="黑体" w:cs="黑体"/>
                <w:b/>
                <w:color w:val="01528E"/>
                <w:kern w:val="0"/>
              </w:rPr>
              <w:t>性    别：</w:t>
            </w:r>
          </w:p>
        </w:tc>
        <w:tc>
          <w:tcPr>
            <w:tcW w:w="1689" w:type="dxa"/>
            <w:gridSpan w:val="2"/>
            <w:vAlign w:val="center"/>
          </w:tcPr>
          <w:p w14:paraId="3E4AE41E">
            <w:pPr>
              <w:rPr>
                <w:rFonts w:hint="eastAsia" w:ascii="黑体" w:hAnsi="黑体" w:eastAsia="黑体" w:cs="黑体"/>
                <w:kern w:val="0"/>
                <w:szCs w:val="21"/>
              </w:rPr>
            </w:pPr>
            <w:r>
              <w:rPr>
                <w:rFonts w:hint="eastAsia" w:ascii="黑体" w:hAnsi="黑体" w:eastAsia="黑体" w:cs="黑体"/>
                <w:color w:val="595959"/>
                <w:kern w:val="0"/>
                <w:lang w:val="en-US" w:eastAsia="zh-CN"/>
              </w:rPr>
              <w:t>{{sex}}</w:t>
            </w:r>
          </w:p>
        </w:tc>
        <w:tc>
          <w:tcPr>
            <w:tcW w:w="1232" w:type="dxa"/>
            <w:gridSpan w:val="2"/>
            <w:vAlign w:val="center"/>
          </w:tcPr>
          <w:p w14:paraId="09F4934D">
            <w:pPr>
              <w:rPr>
                <w:rFonts w:hint="eastAsia" w:ascii="黑体" w:hAnsi="黑体" w:eastAsia="黑体" w:cs="黑体"/>
                <w:b/>
                <w:color w:val="006AB4"/>
                <w:kern w:val="0"/>
                <w:szCs w:val="21"/>
              </w:rPr>
            </w:pPr>
            <w:r>
              <w:rPr>
                <w:rFonts w:hint="eastAsia" w:ascii="黑体" w:hAnsi="黑体" w:eastAsia="黑体" w:cs="黑体"/>
                <w:b/>
                <w:color w:val="01528E"/>
                <w:kern w:val="0"/>
              </w:rPr>
              <w:t>年    龄：</w:t>
            </w:r>
          </w:p>
        </w:tc>
        <w:tc>
          <w:tcPr>
            <w:tcW w:w="1708" w:type="dxa"/>
            <w:vAlign w:val="center"/>
          </w:tcPr>
          <w:p w14:paraId="2E5604EA">
            <w:pPr>
              <w:rPr>
                <w:rFonts w:hint="eastAsia" w:ascii="黑体" w:hAnsi="黑体" w:eastAsia="黑体" w:cs="黑体"/>
                <w:kern w:val="0"/>
                <w:szCs w:val="21"/>
              </w:rPr>
            </w:pPr>
            <w:r>
              <w:rPr>
                <w:rFonts w:hint="eastAsia" w:ascii="黑体" w:hAnsi="黑体" w:eastAsia="黑体" w:cs="黑体"/>
                <w:color w:val="595959"/>
                <w:kern w:val="0"/>
                <w:lang w:val="en-US" w:eastAsia="zh-CN"/>
              </w:rPr>
              <w:t>{{age}}</w:t>
            </w:r>
            <w:r>
              <w:rPr>
                <w:rFonts w:hint="eastAsia" w:ascii="黑体" w:hAnsi="黑体" w:eastAsia="黑体" w:cs="黑体"/>
                <w:color w:val="595959"/>
                <w:kern w:val="0"/>
              </w:rPr>
              <w:t>岁</w:t>
            </w:r>
          </w:p>
        </w:tc>
      </w:tr>
      <w:tr w14:paraId="43D7BED4">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909" w:type="dxa"/>
            <w:vAlign w:val="center"/>
          </w:tcPr>
          <w:p w14:paraId="3F7BAA9F">
            <w:pPr>
              <w:rPr>
                <w:rFonts w:hint="eastAsia" w:ascii="黑体" w:hAnsi="黑体" w:eastAsia="黑体" w:cs="黑体"/>
                <w:b/>
                <w:kern w:val="0"/>
                <w:szCs w:val="21"/>
              </w:rPr>
            </w:pPr>
            <w:r>
              <w:rPr>
                <w:rFonts w:hint="eastAsia" w:ascii="黑体" w:hAnsi="黑体" w:eastAsia="黑体" w:cs="黑体"/>
                <w:b/>
                <w:color w:val="01528E"/>
                <w:kern w:val="0"/>
              </w:rPr>
              <w:t>样本编号：</w:t>
            </w:r>
          </w:p>
        </w:tc>
        <w:tc>
          <w:tcPr>
            <w:tcW w:w="1859" w:type="dxa"/>
            <w:vAlign w:val="center"/>
          </w:tcPr>
          <w:p w14:paraId="55F4BD9F">
            <w:pPr>
              <w:rPr>
                <w:rFonts w:hint="eastAsia" w:ascii="黑体" w:hAnsi="黑体" w:eastAsia="黑体" w:cs="黑体"/>
                <w:color w:val="595959"/>
                <w:kern w:val="0"/>
                <w:szCs w:val="21"/>
              </w:rPr>
            </w:pPr>
            <w:r>
              <w:rPr>
                <w:rFonts w:hint="eastAsia" w:ascii="黑体" w:hAnsi="黑体" w:eastAsia="黑体" w:cs="黑体"/>
                <w:color w:val="595959"/>
                <w:kern w:val="0"/>
                <w:lang w:val="en-US" w:eastAsia="zh-CN"/>
              </w:rPr>
              <w:t>{{subbarcode}}</w:t>
            </w:r>
          </w:p>
        </w:tc>
        <w:tc>
          <w:tcPr>
            <w:tcW w:w="1344" w:type="dxa"/>
            <w:vAlign w:val="center"/>
          </w:tcPr>
          <w:p w14:paraId="01DA10FA">
            <w:pPr>
              <w:rPr>
                <w:rFonts w:hint="eastAsia" w:ascii="黑体" w:hAnsi="黑体" w:eastAsia="黑体" w:cs="黑体"/>
                <w:b/>
                <w:kern w:val="0"/>
                <w:szCs w:val="21"/>
              </w:rPr>
            </w:pPr>
            <w:r>
              <w:rPr>
                <w:rFonts w:hint="eastAsia" w:ascii="黑体" w:hAnsi="黑体" w:eastAsia="黑体" w:cs="黑体"/>
                <w:b/>
                <w:color w:val="01528E"/>
                <w:kern w:val="0"/>
              </w:rPr>
              <w:t>样本类型：</w:t>
            </w:r>
          </w:p>
        </w:tc>
        <w:tc>
          <w:tcPr>
            <w:tcW w:w="4629" w:type="dxa"/>
            <w:gridSpan w:val="5"/>
            <w:vAlign w:val="center"/>
          </w:tcPr>
          <w:p w14:paraId="46C0E3DE">
            <w:pPr>
              <w:rPr>
                <w:rFonts w:hint="eastAsia" w:ascii="黑体" w:hAnsi="黑体" w:eastAsia="黑体" w:cs="黑体"/>
                <w:kern w:val="0"/>
                <w:szCs w:val="21"/>
              </w:rPr>
            </w:pPr>
            <w:r>
              <w:rPr>
                <w:rFonts w:hint="eastAsia" w:ascii="黑体" w:hAnsi="黑体" w:eastAsia="黑体" w:cs="黑体"/>
                <w:color w:val="595959"/>
                <w:kern w:val="0"/>
                <w:lang w:val="en-US" w:eastAsia="zh-CN"/>
              </w:rPr>
              <w:t>{{specimenttype}}</w:t>
            </w:r>
          </w:p>
        </w:tc>
      </w:tr>
      <w:tr w14:paraId="4DCFCCA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909" w:type="dxa"/>
            <w:vAlign w:val="center"/>
          </w:tcPr>
          <w:p w14:paraId="73C540C7">
            <w:pPr>
              <w:rPr>
                <w:rFonts w:hint="eastAsia" w:ascii="黑体" w:hAnsi="黑体" w:eastAsia="黑体" w:cs="黑体"/>
                <w:b/>
                <w:color w:val="006AB4"/>
                <w:kern w:val="0"/>
                <w:szCs w:val="21"/>
              </w:rPr>
            </w:pPr>
            <w:r>
              <w:rPr>
                <w:rFonts w:hint="eastAsia" w:ascii="黑体" w:hAnsi="黑体" w:eastAsia="黑体" w:cs="黑体"/>
                <w:b/>
                <w:color w:val="01528E"/>
                <w:kern w:val="0"/>
              </w:rPr>
              <w:t>检测项目：</w:t>
            </w:r>
          </w:p>
        </w:tc>
        <w:tc>
          <w:tcPr>
            <w:tcW w:w="7832" w:type="dxa"/>
            <w:gridSpan w:val="7"/>
            <w:vAlign w:val="center"/>
          </w:tcPr>
          <w:p w14:paraId="66B70ED4">
            <w:pPr>
              <w:rPr>
                <w:rFonts w:hint="eastAsia" w:ascii="黑体" w:hAnsi="黑体" w:eastAsia="黑体" w:cs="黑体"/>
                <w:color w:val="595959"/>
                <w:kern w:val="0"/>
                <w:szCs w:val="21"/>
                <w:lang w:val="en-US" w:eastAsia="zh-CN"/>
              </w:rPr>
            </w:pPr>
            <w:r>
              <w:rPr>
                <w:rFonts w:hint="eastAsia" w:ascii="黑体" w:hAnsi="黑体" w:eastAsia="黑体" w:cs="黑体"/>
                <w:color w:val="595959"/>
                <w:kern w:val="0"/>
              </w:rPr>
              <w:t>实体瘤微小残留病灶（MRD）检测（1+3）-</w:t>
            </w:r>
            <w:r>
              <w:rPr>
                <w:rFonts w:hint="eastAsia" w:ascii="黑体" w:hAnsi="黑体" w:eastAsia="黑体" w:cs="黑体"/>
                <w:color w:val="595959"/>
                <w:kern w:val="0"/>
                <w:lang w:val="en-US" w:eastAsia="zh-CN"/>
              </w:rPr>
              <w:t>监测</w:t>
            </w:r>
          </w:p>
        </w:tc>
      </w:tr>
      <w:tr w14:paraId="32ABFD02">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909" w:type="dxa"/>
            <w:vAlign w:val="center"/>
          </w:tcPr>
          <w:p w14:paraId="45336ABD">
            <w:pPr>
              <w:rPr>
                <w:rFonts w:hint="eastAsia" w:ascii="黑体" w:hAnsi="黑体" w:eastAsia="黑体" w:cs="黑体"/>
                <w:b/>
                <w:color w:val="01528E"/>
                <w:kern w:val="0"/>
                <w:szCs w:val="21"/>
              </w:rPr>
            </w:pPr>
            <w:r>
              <w:rPr>
                <w:rFonts w:hint="eastAsia" w:ascii="黑体" w:hAnsi="黑体" w:eastAsia="黑体" w:cs="黑体"/>
                <w:b/>
                <w:color w:val="01528E"/>
                <w:kern w:val="0"/>
              </w:rPr>
              <w:t xml:space="preserve">临床诊断： </w:t>
            </w:r>
          </w:p>
        </w:tc>
        <w:tc>
          <w:tcPr>
            <w:tcW w:w="7832" w:type="dxa"/>
            <w:gridSpan w:val="7"/>
            <w:vAlign w:val="center"/>
          </w:tcPr>
          <w:p w14:paraId="03E85499">
            <w:pPr>
              <w:rPr>
                <w:rFonts w:hint="eastAsia" w:ascii="黑体" w:hAnsi="黑体" w:eastAsia="黑体" w:cs="黑体"/>
                <w:color w:val="595959"/>
                <w:kern w:val="0"/>
                <w:szCs w:val="21"/>
              </w:rPr>
            </w:pPr>
            <w:r>
              <w:rPr>
                <w:rFonts w:hint="eastAsia" w:ascii="黑体" w:hAnsi="黑体" w:eastAsia="黑体" w:cs="黑体"/>
                <w:color w:val="595959"/>
                <w:kern w:val="0"/>
                <w:lang w:val="en-US" w:eastAsia="zh-CN"/>
              </w:rPr>
              <w:t>{{diseaseName}}</w:t>
            </w:r>
          </w:p>
        </w:tc>
      </w:tr>
      <w:tr w14:paraId="2B15C5E8">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909" w:type="dxa"/>
            <w:vAlign w:val="center"/>
          </w:tcPr>
          <w:p w14:paraId="3D182DB6">
            <w:pPr>
              <w:rPr>
                <w:rFonts w:hint="eastAsia" w:ascii="黑体" w:hAnsi="黑体" w:eastAsia="黑体" w:cs="黑体"/>
                <w:b/>
                <w:color w:val="01528E"/>
                <w:kern w:val="0"/>
                <w:szCs w:val="21"/>
              </w:rPr>
            </w:pPr>
            <w:r>
              <w:rPr>
                <w:rFonts w:hint="eastAsia" w:ascii="黑体" w:hAnsi="黑体" w:eastAsia="黑体" w:cs="黑体"/>
                <w:b/>
                <w:color w:val="01528E"/>
                <w:kern w:val="0"/>
              </w:rPr>
              <w:t>病理描述：</w:t>
            </w:r>
          </w:p>
        </w:tc>
        <w:tc>
          <w:tcPr>
            <w:tcW w:w="7832" w:type="dxa"/>
            <w:gridSpan w:val="7"/>
            <w:vAlign w:val="center"/>
          </w:tcPr>
          <w:p w14:paraId="48AC0EC5">
            <w:pPr>
              <w:rPr>
                <w:rFonts w:hint="eastAsia" w:ascii="黑体" w:hAnsi="黑体" w:eastAsia="黑体" w:cs="黑体"/>
                <w:color w:val="595959"/>
                <w:kern w:val="0"/>
                <w:szCs w:val="21"/>
              </w:rPr>
            </w:pPr>
            <w:r>
              <w:rPr>
                <w:rFonts w:hint="eastAsia" w:ascii="黑体" w:hAnsi="黑体" w:eastAsia="黑体" w:cs="黑体"/>
                <w:color w:val="595959"/>
                <w:kern w:val="0"/>
              </w:rPr>
              <w:t>--</w:t>
            </w:r>
          </w:p>
        </w:tc>
      </w:tr>
      <w:tr w14:paraId="0DE0081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909" w:type="dxa"/>
            <w:vAlign w:val="center"/>
          </w:tcPr>
          <w:p w14:paraId="54A93EDC">
            <w:pPr>
              <w:rPr>
                <w:rFonts w:hint="eastAsia" w:ascii="黑体" w:hAnsi="黑体" w:eastAsia="黑体" w:cs="黑体"/>
                <w:b/>
                <w:color w:val="01528E"/>
                <w:kern w:val="0"/>
                <w:szCs w:val="21"/>
              </w:rPr>
            </w:pPr>
            <w:r>
              <w:rPr>
                <w:rFonts w:hint="eastAsia" w:ascii="黑体" w:hAnsi="黑体" w:eastAsia="黑体" w:cs="黑体"/>
                <w:b/>
                <w:color w:val="01528E"/>
                <w:kern w:val="0"/>
              </w:rPr>
              <w:t>送检日期：</w:t>
            </w:r>
          </w:p>
        </w:tc>
        <w:tc>
          <w:tcPr>
            <w:tcW w:w="3994" w:type="dxa"/>
            <w:gridSpan w:val="3"/>
            <w:vAlign w:val="center"/>
          </w:tcPr>
          <w:p w14:paraId="564DE5D7">
            <w:pPr>
              <w:rPr>
                <w:rFonts w:hint="eastAsia" w:ascii="黑体" w:hAnsi="黑体" w:eastAsia="黑体" w:cs="黑体"/>
                <w:kern w:val="0"/>
                <w:szCs w:val="21"/>
              </w:rPr>
            </w:pPr>
            <w:r>
              <w:rPr>
                <w:rFonts w:hint="eastAsia" w:ascii="黑体" w:hAnsi="黑体" w:eastAsia="黑体" w:cs="黑体"/>
                <w:color w:val="595959"/>
                <w:kern w:val="0"/>
                <w:lang w:val="en-US" w:eastAsia="zh-CN"/>
              </w:rPr>
              <w:t>{{ commission_date }}</w:t>
            </w:r>
          </w:p>
        </w:tc>
        <w:tc>
          <w:tcPr>
            <w:tcW w:w="1404" w:type="dxa"/>
            <w:gridSpan w:val="2"/>
            <w:vAlign w:val="center"/>
          </w:tcPr>
          <w:p w14:paraId="6ED60E13">
            <w:pPr>
              <w:rPr>
                <w:rFonts w:hint="eastAsia" w:ascii="黑体" w:hAnsi="黑体" w:eastAsia="黑体" w:cs="黑体"/>
                <w:b/>
                <w:kern w:val="0"/>
                <w:szCs w:val="21"/>
              </w:rPr>
            </w:pPr>
            <w:r>
              <w:rPr>
                <w:rFonts w:hint="eastAsia" w:ascii="黑体" w:hAnsi="黑体" w:eastAsia="黑体" w:cs="黑体"/>
                <w:b/>
                <w:color w:val="01528E"/>
                <w:kern w:val="0"/>
              </w:rPr>
              <w:t>报告日期：</w:t>
            </w:r>
          </w:p>
        </w:tc>
        <w:tc>
          <w:tcPr>
            <w:tcW w:w="2434" w:type="dxa"/>
            <w:gridSpan w:val="2"/>
            <w:vAlign w:val="center"/>
          </w:tcPr>
          <w:p w14:paraId="1B73525E">
            <w:pPr>
              <w:rPr>
                <w:rFonts w:hint="eastAsia" w:ascii="黑体" w:hAnsi="黑体" w:eastAsia="黑体" w:cs="黑体"/>
                <w:kern w:val="0"/>
                <w:szCs w:val="21"/>
              </w:rPr>
            </w:pPr>
            <w:r>
              <w:rPr>
                <w:rFonts w:hint="eastAsia" w:ascii="黑体" w:hAnsi="黑体" w:eastAsia="黑体" w:cs="黑体"/>
                <w:color w:val="595959"/>
                <w:kern w:val="0"/>
                <w:lang w:val="en-US" w:eastAsia="zh-CN"/>
              </w:rPr>
              <w:t>{{reportdate}}</w:t>
            </w:r>
          </w:p>
        </w:tc>
      </w:tr>
    </w:tbl>
    <w:p w14:paraId="0187B787">
      <w:pPr>
        <w:rPr>
          <w:rFonts w:hint="eastAsia"/>
        </w:rPr>
      </w:pPr>
      <w:r>
        <w:br w:type="page"/>
      </w:r>
    </w:p>
    <w:p w14:paraId="11A41FF1">
      <w:pPr>
        <w:pStyle w:val="3"/>
        <w:spacing w:after="312" w:afterLines="100"/>
        <w:jc w:val="center"/>
        <w:rPr>
          <w:rFonts w:hint="eastAsia"/>
        </w:rPr>
      </w:pPr>
      <w:bookmarkStart w:id="11" w:name="_Toc7383"/>
      <w:bookmarkStart w:id="12" w:name="_Toc114664078"/>
      <w:bookmarkStart w:id="13" w:name="_Toc93496791"/>
      <w:r>
        <w:rPr>
          <w:rFonts w:hint="eastAsia" w:ascii="黑体" w:hAnsi="黑体" w:eastAsia="黑体" w:cs="黑体"/>
          <w:bCs w:val="0"/>
          <w:color w:val="01528E"/>
          <w:sz w:val="36"/>
          <w:szCs w:val="36"/>
        </w:rPr>
        <w:t>检</w:t>
      </w:r>
      <w:bookmarkStart w:id="14" w:name="_Hlk79586569"/>
      <w:r>
        <w:rPr>
          <w:rFonts w:hint="eastAsia" w:ascii="黑体" w:hAnsi="黑体" w:eastAsia="黑体" w:cs="黑体"/>
          <w:bCs w:val="0"/>
          <w:color w:val="01528E"/>
          <w:sz w:val="36"/>
          <w:szCs w:val="36"/>
        </w:rPr>
        <w:t>测概况</w:t>
      </w:r>
      <w:bookmarkEnd w:id="11"/>
      <w:bookmarkEnd w:id="12"/>
    </w:p>
    <w:tbl>
      <w:tblPr>
        <w:tblStyle w:val="29"/>
        <w:tblW w:w="9580" w:type="dxa"/>
        <w:jc w:val="center"/>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Layout w:type="fixed"/>
        <w:tblCellMar>
          <w:top w:w="0" w:type="dxa"/>
          <w:left w:w="108" w:type="dxa"/>
          <w:bottom w:w="0" w:type="dxa"/>
          <w:right w:w="108" w:type="dxa"/>
        </w:tblCellMar>
      </w:tblPr>
      <w:tblGrid>
        <w:gridCol w:w="2830"/>
        <w:gridCol w:w="4314"/>
        <w:gridCol w:w="2436"/>
      </w:tblGrid>
      <w:tr w14:paraId="6F91C8D4">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1020" w:hRule="atLeast"/>
          <w:jc w:val="center"/>
        </w:trPr>
        <w:tc>
          <w:tcPr>
            <w:tcW w:w="2830" w:type="dxa"/>
            <w:shd w:val="clear" w:color="auto" w:fill="01528E"/>
            <w:vAlign w:val="center"/>
          </w:tcPr>
          <w:p w14:paraId="30130394">
            <w:pPr>
              <w:jc w:val="center"/>
              <w:rPr>
                <w:rFonts w:ascii="Times New Roman" w:hAnsi="Times New Roman" w:eastAsia="黑体" w:cs="Times New Roman"/>
                <w:b/>
                <w:i w:val="0"/>
                <w:color w:val="FFFFFF"/>
                <w:kern w:val="0"/>
                <w:sz w:val="24"/>
                <w:szCs w:val="20"/>
              </w:rPr>
            </w:pPr>
            <w:r>
              <w:rPr>
                <w:rFonts w:ascii="Times New Roman" w:hAnsi="Times New Roman" w:eastAsia="黑体" w:cs="Times New Roman"/>
                <w:b/>
                <w:i w:val="0"/>
                <w:color w:val="FFFFFF"/>
                <w:kern w:val="0"/>
                <w:sz w:val="24"/>
                <w:szCs w:val="20"/>
              </w:rPr>
              <w:t>检测项目</w:t>
            </w:r>
          </w:p>
        </w:tc>
        <w:tc>
          <w:tcPr>
            <w:tcW w:w="4314" w:type="dxa"/>
            <w:shd w:val="clear" w:color="auto" w:fill="01528E"/>
            <w:vAlign w:val="center"/>
          </w:tcPr>
          <w:p w14:paraId="6A18A20A">
            <w:pPr>
              <w:jc w:val="center"/>
              <w:rPr>
                <w:rFonts w:ascii="Times New Roman" w:hAnsi="Times New Roman" w:eastAsia="黑体" w:cs="Times New Roman"/>
                <w:b/>
                <w:color w:val="FFFFFF"/>
                <w:kern w:val="0"/>
                <w:sz w:val="24"/>
                <w:szCs w:val="20"/>
              </w:rPr>
            </w:pPr>
            <w:r>
              <w:rPr>
                <w:rFonts w:ascii="Times New Roman" w:hAnsi="Times New Roman" w:eastAsia="黑体" w:cs="Times New Roman"/>
                <w:b/>
                <w:color w:val="FFFFFF"/>
                <w:kern w:val="0"/>
                <w:sz w:val="24"/>
                <w:szCs w:val="20"/>
              </w:rPr>
              <w:t>检测内容</w:t>
            </w:r>
          </w:p>
        </w:tc>
        <w:tc>
          <w:tcPr>
            <w:tcW w:w="2436" w:type="dxa"/>
            <w:shd w:val="clear" w:color="auto" w:fill="01528E"/>
            <w:vAlign w:val="center"/>
          </w:tcPr>
          <w:p w14:paraId="7C49E8EF">
            <w:pPr>
              <w:jc w:val="center"/>
              <w:rPr>
                <w:rFonts w:ascii="Times New Roman" w:hAnsi="Times New Roman" w:eastAsia="黑体" w:cs="Times New Roman"/>
                <w:b/>
                <w:color w:val="FFFFFF"/>
                <w:kern w:val="0"/>
                <w:sz w:val="24"/>
                <w:szCs w:val="20"/>
              </w:rPr>
            </w:pPr>
            <w:r>
              <w:rPr>
                <w:rFonts w:ascii="Times New Roman" w:hAnsi="Times New Roman" w:eastAsia="黑体" w:cs="Times New Roman"/>
                <w:b/>
                <w:color w:val="FFFFFF"/>
                <w:kern w:val="0"/>
                <w:sz w:val="24"/>
                <w:szCs w:val="20"/>
              </w:rPr>
              <w:t>检测结果</w:t>
            </w:r>
          </w:p>
        </w:tc>
      </w:tr>
      <w:tr w14:paraId="464D0F92">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1020" w:hRule="atLeast"/>
          <w:jc w:val="center"/>
        </w:trPr>
        <w:tc>
          <w:tcPr>
            <w:tcW w:w="2830" w:type="dxa"/>
            <w:vAlign w:val="center"/>
          </w:tcPr>
          <w:p w14:paraId="1583AB9F">
            <w:pPr>
              <w:jc w:val="center"/>
              <w:rPr>
                <w:rFonts w:ascii="Times New Roman" w:hAnsi="Times New Roman" w:eastAsia="黑体" w:cs="Times New Roman"/>
                <w:b/>
                <w:bCs/>
                <w:color w:val="01528E"/>
                <w:kern w:val="0"/>
                <w:sz w:val="22"/>
                <w:szCs w:val="20"/>
              </w:rPr>
            </w:pPr>
            <w:r>
              <w:rPr>
                <w:rFonts w:hint="eastAsia" w:ascii="Times New Roman" w:hAnsi="Times New Roman" w:eastAsia="黑体" w:cs="Times New Roman"/>
                <w:b/>
                <w:bCs/>
                <w:color w:val="01528E"/>
                <w:kern w:val="0"/>
                <w:sz w:val="22"/>
                <w:szCs w:val="20"/>
              </w:rPr>
              <w:t>MRD</w:t>
            </w:r>
          </w:p>
        </w:tc>
        <w:tc>
          <w:tcPr>
            <w:tcW w:w="4314" w:type="dxa"/>
            <w:vAlign w:val="center"/>
          </w:tcPr>
          <w:p w14:paraId="62495448">
            <w:pPr>
              <w:jc w:val="center"/>
              <w:rPr>
                <w:rFonts w:hint="eastAsia" w:ascii="黑体" w:hAnsi="黑体" w:eastAsia="黑体" w:cs="黑体"/>
                <w:color w:val="595959"/>
                <w:kern w:val="0"/>
                <w:sz w:val="18"/>
                <w:szCs w:val="20"/>
              </w:rPr>
            </w:pPr>
            <w:r>
              <w:rPr>
                <w:rFonts w:hint="eastAsia" w:ascii="黑体" w:hAnsi="黑体" w:eastAsia="黑体" w:cs="黑体"/>
                <w:color w:val="595959"/>
                <w:kern w:val="0"/>
                <w:sz w:val="18"/>
                <w:szCs w:val="20"/>
              </w:rPr>
              <w:t>分子残留病灶</w:t>
            </w:r>
          </w:p>
          <w:p w14:paraId="272BDE37">
            <w:pPr>
              <w:jc w:val="center"/>
              <w:rPr>
                <w:rFonts w:hint="eastAsia" w:ascii="黑体" w:hAnsi="黑体" w:eastAsia="黑体" w:cs="黑体"/>
                <w:color w:val="595959"/>
                <w:kern w:val="0"/>
                <w:sz w:val="18"/>
                <w:szCs w:val="20"/>
              </w:rPr>
            </w:pPr>
            <w:r>
              <w:rPr>
                <w:rFonts w:hint="eastAsia" w:ascii="黑体" w:hAnsi="黑体" w:eastAsia="黑体" w:cs="黑体"/>
                <w:color w:val="595959"/>
                <w:kern w:val="0"/>
                <w:sz w:val="18"/>
                <w:szCs w:val="20"/>
              </w:rPr>
              <w:t>（mo</w:t>
            </w:r>
            <w:r>
              <w:rPr>
                <w:rFonts w:ascii="黑体" w:hAnsi="黑体" w:eastAsia="黑体" w:cs="黑体"/>
                <w:color w:val="595959"/>
                <w:kern w:val="0"/>
                <w:sz w:val="18"/>
                <w:szCs w:val="20"/>
              </w:rPr>
              <w:t>lecular residual disease,MRD</w:t>
            </w:r>
            <w:r>
              <w:rPr>
                <w:rFonts w:hint="eastAsia" w:ascii="黑体" w:hAnsi="黑体" w:eastAsia="黑体" w:cs="黑体"/>
                <w:color w:val="595959"/>
                <w:kern w:val="0"/>
                <w:sz w:val="18"/>
                <w:szCs w:val="20"/>
              </w:rPr>
              <w:t>）</w:t>
            </w:r>
          </w:p>
        </w:tc>
        <w:tc>
          <w:tcPr>
            <w:tcW w:w="2436" w:type="dxa"/>
            <w:vAlign w:val="center"/>
          </w:tcPr>
          <w:p w14:paraId="6BDCA725">
            <w:pPr>
              <w:jc w:val="center"/>
              <w:rPr>
                <w:rFonts w:hint="eastAsia" w:ascii="黑体" w:hAnsi="黑体" w:eastAsia="黑体" w:cs="黑体"/>
                <w:color w:val="01528E"/>
                <w:kern w:val="0"/>
                <w:sz w:val="18"/>
                <w:szCs w:val="20"/>
              </w:rPr>
            </w:pPr>
            <w:r>
              <w:rPr>
                <w:rFonts w:hint="default" w:ascii="黑体" w:hAnsi="黑体" w:eastAsia="黑体" w:cs="黑体"/>
                <w:color w:val="595959"/>
                <w:kern w:val="0"/>
                <w:sz w:val="18"/>
                <w:szCs w:val="20"/>
                <w:lang w:val="en-US" w:eastAsia="zh-CN"/>
              </w:rPr>
              <w:t>{{mrd</w:t>
            </w:r>
            <w:r>
              <w:rPr>
                <w:rFonts w:hint="eastAsia" w:ascii="黑体" w:hAnsi="黑体" w:eastAsia="黑体" w:cs="黑体"/>
                <w:color w:val="595959"/>
                <w:kern w:val="0"/>
                <w:sz w:val="18"/>
                <w:szCs w:val="20"/>
                <w:lang w:val="en-US" w:eastAsia="zh-CN"/>
              </w:rPr>
              <w:t>.</w:t>
            </w:r>
            <w:r>
              <w:rPr>
                <w:rFonts w:hint="default" w:ascii="黑体" w:hAnsi="黑体" w:eastAsia="黑体" w:cs="黑体"/>
                <w:color w:val="595959"/>
                <w:kern w:val="0"/>
                <w:sz w:val="18"/>
                <w:szCs w:val="20"/>
                <w:lang w:val="en-US" w:eastAsia="zh-CN"/>
              </w:rPr>
              <w:t>mrd_status}}</w:t>
            </w:r>
          </w:p>
        </w:tc>
      </w:tr>
      <w:tr w14:paraId="213566D3">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1020" w:hRule="atLeast"/>
          <w:jc w:val="center"/>
        </w:trPr>
        <w:tc>
          <w:tcPr>
            <w:tcW w:w="2830" w:type="dxa"/>
            <w:vAlign w:val="center"/>
          </w:tcPr>
          <w:p w14:paraId="2F547787">
            <w:pPr>
              <w:jc w:val="center"/>
              <w:rPr>
                <w:rFonts w:ascii="Times New Roman" w:hAnsi="Times New Roman" w:eastAsia="黑体" w:cs="Times New Roman"/>
                <w:b w:val="0"/>
                <w:bCs/>
                <w:color w:val="01528E"/>
                <w:kern w:val="0"/>
                <w:sz w:val="22"/>
                <w:szCs w:val="20"/>
              </w:rPr>
            </w:pPr>
            <w:r>
              <w:rPr>
                <w:rFonts w:hint="eastAsia" w:ascii="Times New Roman" w:hAnsi="Times New Roman" w:eastAsia="黑体" w:cs="Times New Roman"/>
                <w:b/>
                <w:bCs/>
                <w:color w:val="01528E"/>
                <w:kern w:val="0"/>
                <w:sz w:val="22"/>
                <w:szCs w:val="20"/>
              </w:rPr>
              <w:t>c</w:t>
            </w:r>
            <w:r>
              <w:rPr>
                <w:rFonts w:ascii="Times New Roman" w:hAnsi="Times New Roman" w:eastAsia="黑体" w:cs="Times New Roman"/>
                <w:b/>
                <w:bCs/>
                <w:color w:val="01528E"/>
                <w:kern w:val="0"/>
                <w:sz w:val="22"/>
                <w:szCs w:val="20"/>
              </w:rPr>
              <w:t>tDNA</w:t>
            </w:r>
            <w:r>
              <w:rPr>
                <w:rFonts w:hint="eastAsia" w:ascii="Times New Roman" w:hAnsi="Times New Roman" w:eastAsia="黑体" w:cs="Times New Roman"/>
                <w:b/>
                <w:bCs/>
                <w:color w:val="01528E"/>
                <w:kern w:val="0"/>
                <w:sz w:val="22"/>
                <w:szCs w:val="20"/>
              </w:rPr>
              <w:t>含量（MTM</w:t>
            </w:r>
            <w:r>
              <w:rPr>
                <w:rFonts w:ascii="Times New Roman" w:hAnsi="Times New Roman" w:eastAsia="黑体" w:cs="Times New Roman"/>
                <w:b/>
                <w:bCs/>
                <w:color w:val="01528E"/>
                <w:kern w:val="0"/>
                <w:sz w:val="22"/>
                <w:szCs w:val="20"/>
              </w:rPr>
              <w:t>/mL</w:t>
            </w:r>
            <w:r>
              <w:rPr>
                <w:rFonts w:hint="eastAsia" w:ascii="Times New Roman" w:hAnsi="Times New Roman" w:eastAsia="黑体" w:cs="Times New Roman"/>
                <w:b/>
                <w:bCs/>
                <w:color w:val="01528E"/>
                <w:kern w:val="0"/>
                <w:sz w:val="22"/>
                <w:szCs w:val="20"/>
              </w:rPr>
              <w:t>）</w:t>
            </w:r>
          </w:p>
        </w:tc>
        <w:tc>
          <w:tcPr>
            <w:tcW w:w="4314" w:type="dxa"/>
            <w:vAlign w:val="center"/>
          </w:tcPr>
          <w:p w14:paraId="4EA4E243">
            <w:pPr>
              <w:jc w:val="center"/>
              <w:rPr>
                <w:rFonts w:hint="eastAsia" w:ascii="黑体" w:hAnsi="黑体" w:eastAsia="黑体" w:cs="黑体"/>
                <w:color w:val="595959"/>
                <w:kern w:val="0"/>
                <w:sz w:val="18"/>
                <w:szCs w:val="20"/>
              </w:rPr>
            </w:pPr>
            <w:r>
              <w:rPr>
                <w:rFonts w:hint="eastAsia" w:ascii="黑体" w:hAnsi="黑体" w:eastAsia="黑体" w:cs="黑体"/>
                <w:color w:val="595959"/>
                <w:kern w:val="0"/>
                <w:sz w:val="18"/>
                <w:szCs w:val="20"/>
              </w:rPr>
              <w:t>循环肿瘤DNA（cir</w:t>
            </w:r>
            <w:r>
              <w:rPr>
                <w:rFonts w:ascii="黑体" w:hAnsi="黑体" w:eastAsia="黑体" w:cs="黑体"/>
                <w:color w:val="595959"/>
                <w:kern w:val="0"/>
                <w:sz w:val="18"/>
                <w:szCs w:val="20"/>
              </w:rPr>
              <w:t>culating tumor DNA</w:t>
            </w:r>
            <w:r>
              <w:rPr>
                <w:rFonts w:hint="eastAsia" w:ascii="黑体" w:hAnsi="黑体" w:eastAsia="黑体" w:cs="黑体"/>
                <w:color w:val="595959"/>
                <w:kern w:val="0"/>
                <w:sz w:val="18"/>
                <w:szCs w:val="20"/>
              </w:rPr>
              <w:t>）含量</w:t>
            </w:r>
          </w:p>
        </w:tc>
        <w:tc>
          <w:tcPr>
            <w:tcW w:w="2436" w:type="dxa"/>
            <w:vAlign w:val="center"/>
          </w:tcPr>
          <w:p w14:paraId="086E2086">
            <w:pPr>
              <w:jc w:val="center"/>
              <w:rPr>
                <w:rFonts w:hint="eastAsia" w:ascii="黑体" w:hAnsi="黑体" w:eastAsia="黑体" w:cs="黑体"/>
                <w:color w:val="01528E"/>
                <w:kern w:val="0"/>
                <w:sz w:val="18"/>
                <w:szCs w:val="20"/>
              </w:rPr>
            </w:pPr>
            <w:r>
              <w:rPr>
                <w:rFonts w:hint="default" w:ascii="黑体" w:hAnsi="黑体" w:eastAsia="黑体" w:cs="黑体"/>
                <w:color w:val="595959"/>
                <w:kern w:val="0"/>
                <w:sz w:val="18"/>
                <w:szCs w:val="20"/>
                <w:lang w:val="en-US" w:eastAsia="zh-CN"/>
              </w:rPr>
              <w:t>{{mrd.mrdJson.ctDNA_content}}</w:t>
            </w:r>
          </w:p>
        </w:tc>
      </w:tr>
      <w:tr w14:paraId="4E848B70">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1020" w:hRule="atLeast"/>
          <w:jc w:val="center"/>
        </w:trPr>
        <w:tc>
          <w:tcPr>
            <w:tcW w:w="2830" w:type="dxa"/>
            <w:vAlign w:val="center"/>
          </w:tcPr>
          <w:p w14:paraId="07FF80CB">
            <w:pPr>
              <w:jc w:val="center"/>
              <w:rPr>
                <w:rFonts w:ascii="Times New Roman" w:hAnsi="Times New Roman" w:eastAsia="黑体" w:cs="Times New Roman"/>
                <w:b/>
                <w:color w:val="01528E"/>
                <w:kern w:val="0"/>
                <w:sz w:val="22"/>
                <w:szCs w:val="20"/>
              </w:rPr>
            </w:pPr>
            <w:r>
              <w:rPr>
                <w:rFonts w:hint="eastAsia" w:ascii="Times New Roman" w:hAnsi="Times New Roman" w:eastAsia="黑体" w:cs="Times New Roman"/>
                <w:b/>
                <w:bCs/>
                <w:color w:val="01528E"/>
                <w:kern w:val="0"/>
                <w:sz w:val="22"/>
                <w:szCs w:val="20"/>
              </w:rPr>
              <w:t>体细胞变异</w:t>
            </w:r>
          </w:p>
        </w:tc>
        <w:tc>
          <w:tcPr>
            <w:tcW w:w="4314" w:type="dxa"/>
            <w:vAlign w:val="center"/>
          </w:tcPr>
          <w:p w14:paraId="736C76F8">
            <w:pPr>
              <w:jc w:val="center"/>
              <w:rPr>
                <w:rFonts w:hint="eastAsia" w:ascii="黑体" w:hAnsi="黑体" w:eastAsia="黑体" w:cs="黑体"/>
                <w:color w:val="595959"/>
                <w:kern w:val="0"/>
                <w:sz w:val="18"/>
                <w:szCs w:val="20"/>
              </w:rPr>
            </w:pPr>
            <w:r>
              <w:rPr>
                <w:rFonts w:hint="eastAsia" w:ascii="黑体" w:hAnsi="黑体" w:eastAsia="黑体" w:cs="黑体"/>
                <w:color w:val="595959"/>
                <w:kern w:val="0"/>
                <w:sz w:val="18"/>
                <w:szCs w:val="20"/>
              </w:rPr>
              <w:t>根据患者肿瘤组织</w:t>
            </w:r>
            <w:r>
              <w:rPr>
                <w:rFonts w:hint="eastAsia" w:ascii="黑体" w:hAnsi="黑体" w:eastAsia="黑体" w:cs="黑体"/>
                <w:color w:val="595959"/>
                <w:kern w:val="0"/>
                <w:sz w:val="18"/>
                <w:szCs w:val="20"/>
                <w:lang w:val="en-US" w:eastAsia="zh-CN"/>
              </w:rPr>
              <w:t xml:space="preserve">1238 </w:t>
            </w:r>
            <w:r>
              <w:rPr>
                <w:rFonts w:hint="eastAsia" w:ascii="黑体" w:hAnsi="黑体" w:eastAsia="黑体" w:cs="黑体"/>
                <w:color w:val="595959"/>
                <w:kern w:val="0"/>
                <w:sz w:val="18"/>
                <w:szCs w:val="20"/>
              </w:rPr>
              <w:t>panel突变检测结果，并结合本癌种/实体瘤核心基因，为患者定制个性化监测探针</w:t>
            </w:r>
            <w:bookmarkEnd w:id="13"/>
          </w:p>
        </w:tc>
        <w:tc>
          <w:tcPr>
            <w:tcW w:w="2436" w:type="dxa"/>
            <w:vAlign w:val="center"/>
          </w:tcPr>
          <w:p w14:paraId="2F333EDA">
            <w:pPr>
              <w:jc w:val="center"/>
              <w:rPr>
                <w:rFonts w:hint="eastAsia" w:ascii="黑体" w:hAnsi="黑体" w:eastAsia="黑体" w:cs="黑体"/>
                <w:color w:val="595959"/>
                <w:kern w:val="0"/>
                <w:sz w:val="18"/>
                <w:szCs w:val="20"/>
              </w:rPr>
            </w:pPr>
            <w:r>
              <w:rPr>
                <w:rFonts w:hint="eastAsia" w:ascii="黑体" w:hAnsi="黑体" w:eastAsia="黑体" w:cs="黑体"/>
                <w:color w:val="595959"/>
                <w:kern w:val="0"/>
                <w:sz w:val="18"/>
                <w:szCs w:val="20"/>
              </w:rPr>
              <w:t xml:space="preserve">{% set ns = namespace(mrd_nums=0) %}{% for tds in mrd.mrdJson.mrd_tds %}{% if tds[-1] != '-' %}{% set ns.mrd_nums = ns.mrd_nums + 1 %} {% endif %}{% endfor %}{% if </w:t>
            </w:r>
            <w:r>
              <w:rPr>
                <w:rFonts w:hint="eastAsia" w:ascii="黑体" w:hAnsi="黑体" w:eastAsia="黑体" w:cs="黑体"/>
                <w:color w:val="595959"/>
                <w:kern w:val="0"/>
                <w:sz w:val="18"/>
                <w:szCs w:val="20"/>
                <w:lang w:val="en-US" w:eastAsia="zh-CN"/>
              </w:rPr>
              <w:t>ns.</w:t>
            </w:r>
            <w:r>
              <w:rPr>
                <w:rFonts w:hint="eastAsia" w:ascii="黑体" w:hAnsi="黑体" w:eastAsia="黑体" w:cs="黑体"/>
                <w:color w:val="595959"/>
                <w:kern w:val="0"/>
                <w:sz w:val="18"/>
                <w:szCs w:val="20"/>
              </w:rPr>
              <w:t>mrd_nums != 0 %}共检出{{ ns.mrd_nums }}个基因变异 {% else %}未检出基因变异{% endif %}</w:t>
            </w:r>
          </w:p>
        </w:tc>
      </w:tr>
    </w:tbl>
    <w:p w14:paraId="79A39648">
      <w:pPr>
        <w:rPr>
          <w:rStyle w:val="28"/>
          <w:rFonts w:hint="eastAsia"/>
        </w:rPr>
      </w:pPr>
    </w:p>
    <w:bookmarkEnd w:id="14"/>
    <w:p w14:paraId="5AAB1D3F">
      <w:pPr>
        <w:widowControl/>
        <w:jc w:val="left"/>
        <w:rPr>
          <w:rFonts w:hint="eastAsia" w:ascii="微软雅黑" w:hAnsi="微软雅黑" w:eastAsia="微软雅黑"/>
          <w:b/>
          <w:bCs/>
          <w:color w:val="5B9CD6"/>
          <w:sz w:val="32"/>
          <w:szCs w:val="32"/>
        </w:rPr>
      </w:pPr>
    </w:p>
    <w:p w14:paraId="4BB5D36D">
      <w:pPr>
        <w:rPr>
          <w:rFonts w:hint="eastAsia"/>
        </w:rPr>
      </w:pPr>
      <w:r>
        <w:br w:type="page"/>
      </w:r>
    </w:p>
    <w:p w14:paraId="2DC0E978">
      <w:pPr>
        <w:pStyle w:val="3"/>
        <w:snapToGrid w:val="0"/>
        <w:spacing w:line="360" w:lineRule="auto"/>
        <w:jc w:val="center"/>
        <w:rPr>
          <w:rFonts w:hint="eastAsia" w:ascii="黑体" w:hAnsi="黑体" w:eastAsia="黑体" w:cs="黑体"/>
          <w:color w:val="01528E"/>
          <w:sz w:val="36"/>
          <w:szCs w:val="36"/>
        </w:rPr>
      </w:pPr>
      <w:bookmarkStart w:id="15" w:name="_Toc114664079"/>
      <w:bookmarkStart w:id="16" w:name="_Toc31190"/>
      <w:bookmarkStart w:id="17" w:name="_Toc93496792"/>
      <w:r>
        <w:rPr>
          <w:rFonts w:hint="eastAsia" w:ascii="黑体" w:hAnsi="黑体" w:eastAsia="黑体" w:cs="黑体"/>
          <w:color w:val="01528E"/>
          <w:sz w:val="36"/>
          <w:szCs w:val="36"/>
        </w:rPr>
        <w:t>样本质控</w:t>
      </w:r>
      <w:bookmarkEnd w:id="15"/>
      <w:bookmarkEnd w:id="16"/>
    </w:p>
    <w:tbl>
      <w:tblPr>
        <w:tblStyle w:val="15"/>
        <w:tblW w:w="9810" w:type="dxa"/>
        <w:jc w:val="center"/>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Layout w:type="fixed"/>
        <w:tblCellMar>
          <w:top w:w="0" w:type="dxa"/>
          <w:left w:w="0" w:type="dxa"/>
          <w:bottom w:w="0" w:type="dxa"/>
          <w:right w:w="0" w:type="dxa"/>
        </w:tblCellMar>
      </w:tblPr>
      <w:tblGrid>
        <w:gridCol w:w="1984"/>
        <w:gridCol w:w="2717"/>
        <w:gridCol w:w="2378"/>
        <w:gridCol w:w="2731"/>
      </w:tblGrid>
      <w:tr w14:paraId="100B4F72">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3" w:hRule="atLeast"/>
          <w:jc w:val="center"/>
        </w:trPr>
        <w:tc>
          <w:tcPr>
            <w:tcW w:w="1984" w:type="dxa"/>
            <w:shd w:val="clear" w:color="auto" w:fill="00528E"/>
            <w:vAlign w:val="center"/>
          </w:tcPr>
          <w:p w14:paraId="67F39D9B">
            <w:pPr>
              <w:autoSpaceDE w:val="0"/>
              <w:ind w:left="105" w:leftChars="50"/>
              <w:jc w:val="center"/>
              <w:rPr>
                <w:rFonts w:hint="eastAsia" w:ascii="黑体" w:hAnsi="黑体" w:eastAsia="黑体" w:cs="黑体"/>
                <w:b/>
                <w:color w:val="FFFFFF" w:themeColor="background1"/>
                <w:sz w:val="24"/>
                <w:szCs w:val="24"/>
                <w14:textFill>
                  <w14:solidFill>
                    <w14:schemeClr w14:val="bg1"/>
                  </w14:solidFill>
                </w14:textFill>
              </w:rPr>
            </w:pPr>
            <w:r>
              <w:rPr>
                <w:rFonts w:hint="eastAsia" w:ascii="黑体" w:hAnsi="黑体" w:eastAsia="黑体" w:cs="黑体"/>
                <w:b/>
                <w:color w:val="FFFFFF" w:themeColor="background1"/>
                <w:sz w:val="24"/>
                <w:szCs w:val="24"/>
                <w:lang w:eastAsia="zh-CN" w:bidi="ar"/>
                <w14:textFill>
                  <w14:solidFill>
                    <w14:schemeClr w14:val="bg1"/>
                  </w14:solidFill>
                </w14:textFill>
              </w:rPr>
              <w:t>质控环节</w:t>
            </w:r>
          </w:p>
        </w:tc>
        <w:tc>
          <w:tcPr>
            <w:tcW w:w="2717" w:type="dxa"/>
            <w:shd w:val="clear" w:color="auto" w:fill="00528E"/>
            <w:vAlign w:val="center"/>
          </w:tcPr>
          <w:p w14:paraId="01B0BCE7">
            <w:pPr>
              <w:autoSpaceDE w:val="0"/>
              <w:ind w:left="105" w:leftChars="50"/>
              <w:jc w:val="center"/>
              <w:rPr>
                <w:rFonts w:hint="eastAsia" w:ascii="黑体" w:hAnsi="黑体" w:eastAsia="黑体" w:cs="黑体"/>
                <w:b/>
                <w:color w:val="FFFFFF" w:themeColor="background1"/>
                <w:sz w:val="24"/>
                <w:szCs w:val="24"/>
                <w14:textFill>
                  <w14:solidFill>
                    <w14:schemeClr w14:val="bg1"/>
                  </w14:solidFill>
                </w14:textFill>
              </w:rPr>
            </w:pPr>
            <w:r>
              <w:rPr>
                <w:rFonts w:hint="eastAsia" w:ascii="黑体" w:hAnsi="黑体" w:eastAsia="黑体" w:cs="黑体"/>
                <w:b/>
                <w:color w:val="FFFFFF" w:themeColor="background1"/>
                <w:sz w:val="24"/>
                <w:szCs w:val="24"/>
                <w:lang w:eastAsia="zh-CN" w:bidi="ar"/>
                <w14:textFill>
                  <w14:solidFill>
                    <w14:schemeClr w14:val="bg1"/>
                  </w14:solidFill>
                </w14:textFill>
              </w:rPr>
              <w:t>质控参数</w:t>
            </w:r>
          </w:p>
        </w:tc>
        <w:tc>
          <w:tcPr>
            <w:tcW w:w="2378" w:type="dxa"/>
            <w:shd w:val="clear" w:color="auto" w:fill="00528E"/>
            <w:vAlign w:val="center"/>
          </w:tcPr>
          <w:p w14:paraId="5866182E">
            <w:pPr>
              <w:autoSpaceDE w:val="0"/>
              <w:ind w:left="105" w:leftChars="50"/>
              <w:jc w:val="center"/>
              <w:rPr>
                <w:rFonts w:hint="eastAsia" w:ascii="黑体" w:hAnsi="黑体" w:eastAsia="黑体" w:cs="黑体"/>
                <w:b/>
                <w:color w:val="FFFFFF" w:themeColor="background1"/>
                <w:sz w:val="24"/>
                <w:szCs w:val="24"/>
                <w14:textFill>
                  <w14:solidFill>
                    <w14:schemeClr w14:val="bg1"/>
                  </w14:solidFill>
                </w14:textFill>
              </w:rPr>
            </w:pPr>
            <w:r>
              <w:rPr>
                <w:rFonts w:hint="eastAsia" w:ascii="黑体" w:hAnsi="黑体" w:eastAsia="黑体" w:cs="黑体"/>
                <w:b/>
                <w:color w:val="FFFFFF" w:themeColor="background1"/>
                <w:sz w:val="24"/>
                <w:szCs w:val="24"/>
                <w:lang w:eastAsia="zh-CN" w:bidi="ar"/>
                <w14:textFill>
                  <w14:solidFill>
                    <w14:schemeClr w14:val="bg1"/>
                  </w14:solidFill>
                </w14:textFill>
              </w:rPr>
              <w:t>质控数值</w:t>
            </w:r>
          </w:p>
        </w:tc>
        <w:tc>
          <w:tcPr>
            <w:tcW w:w="2731" w:type="dxa"/>
            <w:shd w:val="clear" w:color="auto" w:fill="00528E"/>
            <w:vAlign w:val="center"/>
          </w:tcPr>
          <w:p w14:paraId="1C455548">
            <w:pPr>
              <w:autoSpaceDE w:val="0"/>
              <w:ind w:left="105" w:leftChars="50"/>
              <w:jc w:val="center"/>
              <w:rPr>
                <w:rFonts w:hint="eastAsia" w:ascii="黑体" w:hAnsi="黑体" w:eastAsia="黑体" w:cs="黑体"/>
                <w:b/>
                <w:color w:val="FFFFFF" w:themeColor="background1"/>
                <w:sz w:val="24"/>
                <w:szCs w:val="24"/>
                <w14:textFill>
                  <w14:solidFill>
                    <w14:schemeClr w14:val="bg1"/>
                  </w14:solidFill>
                </w14:textFill>
              </w:rPr>
            </w:pPr>
            <w:r>
              <w:rPr>
                <w:rFonts w:hint="eastAsia" w:ascii="黑体" w:hAnsi="黑体" w:eastAsia="黑体" w:cs="黑体"/>
                <w:b/>
                <w:color w:val="FFFFFF" w:themeColor="background1"/>
                <w:sz w:val="24"/>
                <w:szCs w:val="24"/>
                <w:lang w:eastAsia="zh-CN" w:bidi="ar"/>
                <w14:textFill>
                  <w14:solidFill>
                    <w14:schemeClr w14:val="bg1"/>
                  </w14:solidFill>
                </w14:textFill>
              </w:rPr>
              <w:t>质控标准</w:t>
            </w:r>
          </w:p>
        </w:tc>
      </w:tr>
      <w:tr w14:paraId="76AEAB0E">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61D96721">
            <w:pPr>
              <w:autoSpaceDE w:val="0"/>
              <w:ind w:left="105" w:leftChars="50"/>
              <w:jc w:val="center"/>
              <w:rPr>
                <w:rFonts w:hint="eastAsia" w:ascii="黑体" w:hAnsi="黑体" w:eastAsia="黑体" w:cs="黑体"/>
                <w:b/>
                <w:bCs/>
                <w:color w:val="01528E"/>
                <w:sz w:val="21"/>
                <w:szCs w:val="21"/>
              </w:rPr>
            </w:pPr>
            <w:r>
              <w:rPr>
                <w:rFonts w:hint="eastAsia" w:ascii="黑体" w:hAnsi="黑体" w:eastAsia="黑体" w:cs="黑体"/>
                <w:b/>
                <w:bCs/>
                <w:color w:val="01528E"/>
                <w:sz w:val="21"/>
                <w:szCs w:val="21"/>
                <w:lang w:eastAsia="zh-CN" w:bidi="ar"/>
              </w:rPr>
              <w:t>病理评估</w:t>
            </w:r>
          </w:p>
        </w:tc>
        <w:tc>
          <w:tcPr>
            <w:tcW w:w="2717" w:type="dxa"/>
            <w:shd w:val="clear" w:color="auto" w:fill="auto"/>
            <w:vAlign w:val="center"/>
          </w:tcPr>
          <w:p w14:paraId="39F4CF01">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肿瘤细胞含量</w:t>
            </w:r>
          </w:p>
        </w:tc>
        <w:tc>
          <w:tcPr>
            <w:tcW w:w="2378" w:type="dxa"/>
            <w:shd w:val="clear" w:color="auto" w:fill="auto"/>
            <w:vAlign w:val="center"/>
          </w:tcPr>
          <w:p w14:paraId="48B41806">
            <w:pPr>
              <w:ind w:left="119"/>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rPr>
              <w:t>{{ tumorcellcontent }}</w:t>
            </w:r>
          </w:p>
        </w:tc>
        <w:tc>
          <w:tcPr>
            <w:tcW w:w="2731" w:type="dxa"/>
            <w:shd w:val="clear" w:color="auto" w:fill="auto"/>
            <w:vAlign w:val="center"/>
          </w:tcPr>
          <w:p w14:paraId="59C4B337">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≥10%</w:t>
            </w:r>
          </w:p>
        </w:tc>
      </w:tr>
      <w:tr w14:paraId="49BB26A2">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6A516C93">
            <w:pPr>
              <w:autoSpaceDE w:val="0"/>
              <w:ind w:left="105" w:leftChars="50"/>
              <w:jc w:val="center"/>
              <w:rPr>
                <w:rFonts w:hint="eastAsia" w:ascii="黑体" w:hAnsi="黑体" w:eastAsia="黑体" w:cs="黑体"/>
                <w:b/>
                <w:bCs/>
                <w:color w:val="01528E"/>
                <w:sz w:val="21"/>
                <w:szCs w:val="21"/>
              </w:rPr>
            </w:pPr>
            <w:r>
              <w:rPr>
                <w:rFonts w:hint="eastAsia" w:ascii="黑体" w:hAnsi="黑体" w:eastAsia="黑体" w:cs="黑体"/>
                <w:b/>
                <w:bCs/>
                <w:color w:val="01528E"/>
                <w:sz w:val="21"/>
                <w:szCs w:val="21"/>
                <w:lang w:eastAsia="zh-CN" w:bidi="ar"/>
              </w:rPr>
              <w:t>核酸质量评估</w:t>
            </w:r>
          </w:p>
        </w:tc>
        <w:tc>
          <w:tcPr>
            <w:tcW w:w="2717" w:type="dxa"/>
            <w:shd w:val="clear" w:color="auto" w:fill="auto"/>
            <w:vAlign w:val="center"/>
          </w:tcPr>
          <w:p w14:paraId="58C8A879">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DNA总量（ng）</w:t>
            </w:r>
          </w:p>
        </w:tc>
        <w:tc>
          <w:tcPr>
            <w:tcW w:w="2378" w:type="dxa"/>
            <w:shd w:val="clear" w:color="auto" w:fill="auto"/>
            <w:vAlign w:val="center"/>
          </w:tcPr>
          <w:p w14:paraId="67562AFE">
            <w:pPr>
              <w:ind w:left="119"/>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rPr>
              <w:t>{{ DNA_total }}</w:t>
            </w:r>
          </w:p>
        </w:tc>
        <w:tc>
          <w:tcPr>
            <w:tcW w:w="2731" w:type="dxa"/>
            <w:shd w:val="clear" w:color="auto" w:fill="auto"/>
            <w:vAlign w:val="center"/>
          </w:tcPr>
          <w:p w14:paraId="5B1993F1">
            <w:pPr>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≥20</w:t>
            </w:r>
          </w:p>
        </w:tc>
      </w:tr>
      <w:tr w14:paraId="1ACCF054">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7D3534C0">
            <w:pPr>
              <w:rPr>
                <w:rFonts w:hint="eastAsia" w:ascii="黑体" w:hAnsi="黑体" w:eastAsia="黑体" w:cs="黑体"/>
                <w:b/>
                <w:bCs/>
                <w:color w:val="01528E"/>
                <w:sz w:val="21"/>
                <w:szCs w:val="21"/>
              </w:rPr>
            </w:pPr>
          </w:p>
        </w:tc>
        <w:tc>
          <w:tcPr>
            <w:tcW w:w="2717" w:type="dxa"/>
            <w:shd w:val="clear" w:color="auto" w:fill="auto"/>
            <w:vAlign w:val="center"/>
          </w:tcPr>
          <w:p w14:paraId="371DE01E">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DNA降解程度</w:t>
            </w:r>
          </w:p>
        </w:tc>
        <w:tc>
          <w:tcPr>
            <w:tcW w:w="2378" w:type="dxa"/>
            <w:shd w:val="clear" w:color="auto" w:fill="auto"/>
            <w:vAlign w:val="center"/>
          </w:tcPr>
          <w:p w14:paraId="1248639F">
            <w:pPr>
              <w:ind w:left="119"/>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rPr>
              <w:t>{{ DNA_degradation }}</w:t>
            </w:r>
          </w:p>
        </w:tc>
        <w:tc>
          <w:tcPr>
            <w:tcW w:w="2731" w:type="dxa"/>
            <w:shd w:val="clear" w:color="auto" w:fill="auto"/>
            <w:vAlign w:val="center"/>
          </w:tcPr>
          <w:p w14:paraId="171E9A87">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A/B/C级</w:t>
            </w:r>
          </w:p>
        </w:tc>
      </w:tr>
      <w:tr w14:paraId="6EDCA434">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736C8138">
            <w:pPr>
              <w:rPr>
                <w:rFonts w:hint="eastAsia" w:ascii="黑体" w:hAnsi="黑体" w:eastAsia="黑体" w:cs="黑体"/>
                <w:b/>
                <w:bCs/>
                <w:color w:val="01528E"/>
                <w:sz w:val="21"/>
                <w:szCs w:val="21"/>
              </w:rPr>
            </w:pPr>
          </w:p>
        </w:tc>
        <w:tc>
          <w:tcPr>
            <w:tcW w:w="2717" w:type="dxa"/>
            <w:shd w:val="clear" w:color="auto" w:fill="auto"/>
            <w:vAlign w:val="center"/>
          </w:tcPr>
          <w:p w14:paraId="33CDD96D">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预文库总量（ng）</w:t>
            </w:r>
          </w:p>
        </w:tc>
        <w:tc>
          <w:tcPr>
            <w:tcW w:w="2378" w:type="dxa"/>
            <w:shd w:val="clear" w:color="auto" w:fill="auto"/>
            <w:vAlign w:val="center"/>
          </w:tcPr>
          <w:p w14:paraId="6ECDEE33">
            <w:pPr>
              <w:ind w:left="119"/>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rPr>
              <w:t>{{ outbound_quantity }}</w:t>
            </w:r>
          </w:p>
        </w:tc>
        <w:tc>
          <w:tcPr>
            <w:tcW w:w="2731" w:type="dxa"/>
            <w:shd w:val="clear" w:color="auto" w:fill="auto"/>
            <w:vAlign w:val="center"/>
          </w:tcPr>
          <w:p w14:paraId="47C1DD7D">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≥500</w:t>
            </w:r>
          </w:p>
        </w:tc>
      </w:tr>
      <w:tr w14:paraId="04E3F98A">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46C7B769">
            <w:pPr>
              <w:autoSpaceDE w:val="0"/>
              <w:ind w:left="105" w:leftChars="50"/>
              <w:jc w:val="center"/>
              <w:rPr>
                <w:rFonts w:hint="eastAsia" w:ascii="黑体" w:hAnsi="黑体" w:eastAsia="黑体" w:cs="黑体"/>
                <w:b/>
                <w:bCs/>
                <w:color w:val="01528E"/>
                <w:sz w:val="21"/>
                <w:szCs w:val="21"/>
              </w:rPr>
            </w:pPr>
            <w:r>
              <w:rPr>
                <w:rFonts w:hint="eastAsia" w:ascii="黑体" w:hAnsi="黑体" w:eastAsia="黑体" w:cs="黑体"/>
                <w:b/>
                <w:bCs/>
                <w:color w:val="01528E"/>
                <w:sz w:val="21"/>
                <w:szCs w:val="21"/>
                <w:lang w:eastAsia="zh-CN" w:bidi="ar"/>
              </w:rPr>
              <w:t>测序质量评估</w:t>
            </w:r>
          </w:p>
        </w:tc>
        <w:tc>
          <w:tcPr>
            <w:tcW w:w="2717" w:type="dxa"/>
            <w:shd w:val="clear" w:color="auto" w:fill="auto"/>
            <w:vAlign w:val="center"/>
          </w:tcPr>
          <w:p w14:paraId="12EB2C56">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平均测序深度</w:t>
            </w:r>
          </w:p>
        </w:tc>
        <w:tc>
          <w:tcPr>
            <w:tcW w:w="2378" w:type="dxa"/>
            <w:shd w:val="clear" w:color="auto" w:fill="auto"/>
            <w:vAlign w:val="center"/>
          </w:tcPr>
          <w:p w14:paraId="1DD0A987">
            <w:pPr>
              <w:ind w:left="119"/>
              <w:jc w:val="center"/>
              <w:rPr>
                <w:rFonts w:hint="eastAsia" w:ascii="黑体" w:hAnsi="黑体" w:eastAsia="黑体" w:cs="黑体"/>
                <w:color w:val="595959"/>
                <w:sz w:val="18"/>
                <w:szCs w:val="18"/>
                <w:highlight w:val="lightGray"/>
              </w:rPr>
            </w:pPr>
            <w:r>
              <w:rPr>
                <w:rFonts w:hint="eastAsia" w:ascii="黑体" w:hAnsi="黑体" w:eastAsia="黑体" w:cs="黑体"/>
                <w:color w:val="595959"/>
                <w:sz w:val="18"/>
                <w:szCs w:val="18"/>
                <w:lang w:eastAsia="zh-CN"/>
              </w:rPr>
              <w:t>{{ sequencing_depth }}</w:t>
            </w:r>
          </w:p>
        </w:tc>
        <w:tc>
          <w:tcPr>
            <w:tcW w:w="2731" w:type="dxa"/>
            <w:shd w:val="clear" w:color="auto" w:fill="auto"/>
            <w:vAlign w:val="center"/>
          </w:tcPr>
          <w:p w14:paraId="1C4B42E5">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highlight w:val="none"/>
                <w:lang w:eastAsia="zh-CN" w:bidi="ar"/>
              </w:rPr>
              <w:t>≥</w:t>
            </w:r>
            <w:r>
              <w:rPr>
                <w:rFonts w:hint="eastAsia" w:ascii="黑体" w:hAnsi="黑体" w:eastAsia="黑体" w:cs="黑体"/>
                <w:color w:val="595959"/>
                <w:sz w:val="18"/>
                <w:szCs w:val="18"/>
                <w:highlight w:val="none"/>
                <w:lang w:val="en-US" w:eastAsia="zh-CN" w:bidi="ar"/>
              </w:rPr>
              <w:t>30000</w:t>
            </w:r>
          </w:p>
        </w:tc>
      </w:tr>
      <w:tr w14:paraId="1ABAEA73">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707FA47E">
            <w:pPr>
              <w:rPr>
                <w:rFonts w:hint="eastAsia" w:ascii="黑体" w:hAnsi="黑体" w:eastAsia="黑体" w:cs="黑体"/>
                <w:b/>
                <w:bCs/>
                <w:color w:val="01528E"/>
                <w:sz w:val="21"/>
                <w:szCs w:val="21"/>
              </w:rPr>
            </w:pPr>
          </w:p>
        </w:tc>
        <w:tc>
          <w:tcPr>
            <w:tcW w:w="2717" w:type="dxa"/>
            <w:shd w:val="clear" w:color="auto" w:fill="auto"/>
            <w:vAlign w:val="center"/>
          </w:tcPr>
          <w:p w14:paraId="3AE2E120">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覆盖均一性</w:t>
            </w:r>
          </w:p>
        </w:tc>
        <w:tc>
          <w:tcPr>
            <w:tcW w:w="2378" w:type="dxa"/>
            <w:shd w:val="clear" w:color="auto" w:fill="auto"/>
            <w:vAlign w:val="center"/>
          </w:tcPr>
          <w:p w14:paraId="7866C6F1">
            <w:pPr>
              <w:ind w:left="119"/>
              <w:jc w:val="center"/>
              <w:rPr>
                <w:rFonts w:hint="eastAsia" w:ascii="黑体" w:hAnsi="黑体" w:eastAsia="黑体" w:cs="黑体"/>
                <w:color w:val="595959"/>
                <w:sz w:val="18"/>
                <w:szCs w:val="18"/>
                <w:highlight w:val="lightGray"/>
              </w:rPr>
            </w:pPr>
            <w:r>
              <w:rPr>
                <w:rFonts w:hint="eastAsia" w:ascii="黑体" w:hAnsi="黑体" w:eastAsia="黑体" w:cs="黑体"/>
                <w:color w:val="595959"/>
                <w:sz w:val="18"/>
                <w:szCs w:val="18"/>
                <w:lang w:eastAsia="zh-CN"/>
              </w:rPr>
              <w:t>{{ coverage_uniformity }}</w:t>
            </w:r>
          </w:p>
        </w:tc>
        <w:tc>
          <w:tcPr>
            <w:tcW w:w="2731" w:type="dxa"/>
            <w:shd w:val="clear" w:color="auto" w:fill="auto"/>
            <w:vAlign w:val="center"/>
          </w:tcPr>
          <w:p w14:paraId="749EEA91">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≥90%</w:t>
            </w:r>
          </w:p>
        </w:tc>
      </w:tr>
      <w:tr w14:paraId="06327D24">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7DADDBAE">
            <w:pPr>
              <w:rPr>
                <w:rFonts w:hint="eastAsia" w:ascii="黑体" w:hAnsi="黑体" w:eastAsia="黑体" w:cs="黑体"/>
                <w:b/>
                <w:bCs/>
                <w:color w:val="01528E"/>
                <w:sz w:val="21"/>
                <w:szCs w:val="21"/>
              </w:rPr>
            </w:pPr>
          </w:p>
        </w:tc>
        <w:tc>
          <w:tcPr>
            <w:tcW w:w="2717" w:type="dxa"/>
            <w:shd w:val="clear" w:color="auto" w:fill="auto"/>
            <w:vAlign w:val="center"/>
          </w:tcPr>
          <w:p w14:paraId="005FF2A4">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基因组比对率</w:t>
            </w:r>
          </w:p>
        </w:tc>
        <w:tc>
          <w:tcPr>
            <w:tcW w:w="2378" w:type="dxa"/>
            <w:shd w:val="clear" w:color="auto" w:fill="auto"/>
            <w:vAlign w:val="center"/>
          </w:tcPr>
          <w:p w14:paraId="4E9A03B5">
            <w:pPr>
              <w:ind w:left="119"/>
              <w:jc w:val="center"/>
              <w:rPr>
                <w:rFonts w:hint="eastAsia" w:ascii="黑体" w:hAnsi="黑体" w:eastAsia="黑体" w:cs="黑体"/>
                <w:color w:val="595959"/>
                <w:sz w:val="18"/>
                <w:szCs w:val="18"/>
                <w:highlight w:val="lightGray"/>
              </w:rPr>
            </w:pPr>
            <w:r>
              <w:rPr>
                <w:rFonts w:hint="eastAsia" w:ascii="黑体" w:hAnsi="黑体" w:eastAsia="黑体" w:cs="黑体"/>
                <w:color w:val="595959"/>
                <w:sz w:val="18"/>
                <w:szCs w:val="18"/>
                <w:lang w:eastAsia="zh-CN"/>
              </w:rPr>
              <w:t>{{ genome_alignment }}</w:t>
            </w:r>
          </w:p>
        </w:tc>
        <w:tc>
          <w:tcPr>
            <w:tcW w:w="2731" w:type="dxa"/>
            <w:shd w:val="clear" w:color="auto" w:fill="auto"/>
            <w:vAlign w:val="center"/>
          </w:tcPr>
          <w:p w14:paraId="058A45C4">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≥95%</w:t>
            </w:r>
          </w:p>
        </w:tc>
      </w:tr>
      <w:tr w14:paraId="03E60BBB">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233022AC">
            <w:pPr>
              <w:rPr>
                <w:rFonts w:hint="eastAsia" w:ascii="黑体" w:hAnsi="黑体" w:eastAsia="黑体" w:cs="黑体"/>
                <w:b/>
                <w:bCs/>
                <w:color w:val="01528E"/>
                <w:sz w:val="21"/>
                <w:szCs w:val="21"/>
              </w:rPr>
            </w:pPr>
          </w:p>
        </w:tc>
        <w:tc>
          <w:tcPr>
            <w:tcW w:w="2717" w:type="dxa"/>
            <w:shd w:val="clear" w:color="auto" w:fill="auto"/>
            <w:vAlign w:val="center"/>
          </w:tcPr>
          <w:p w14:paraId="4438C9D0">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碱基质量Q30占比</w:t>
            </w:r>
          </w:p>
        </w:tc>
        <w:tc>
          <w:tcPr>
            <w:tcW w:w="2378" w:type="dxa"/>
            <w:shd w:val="clear" w:color="auto" w:fill="auto"/>
            <w:vAlign w:val="center"/>
          </w:tcPr>
          <w:p w14:paraId="3A7B7607">
            <w:pPr>
              <w:autoSpaceDE w:val="0"/>
              <w:ind w:left="105" w:leftChars="50"/>
              <w:jc w:val="center"/>
              <w:rPr>
                <w:rFonts w:hint="eastAsia" w:ascii="黑体" w:hAnsi="黑体" w:eastAsia="黑体" w:cs="黑体"/>
                <w:color w:val="595959"/>
                <w:sz w:val="18"/>
                <w:szCs w:val="18"/>
                <w:highlight w:val="lightGray"/>
              </w:rPr>
            </w:pPr>
            <w:r>
              <w:rPr>
                <w:rFonts w:hint="eastAsia" w:ascii="黑体" w:hAnsi="黑体" w:eastAsia="黑体" w:cs="黑体"/>
                <w:color w:val="595959"/>
                <w:sz w:val="18"/>
                <w:szCs w:val="18"/>
                <w:lang w:eastAsia="zh-CN"/>
              </w:rPr>
              <w:t>{{ base_quality }}</w:t>
            </w:r>
          </w:p>
        </w:tc>
        <w:tc>
          <w:tcPr>
            <w:tcW w:w="2731" w:type="dxa"/>
            <w:shd w:val="clear" w:color="auto" w:fill="auto"/>
            <w:vAlign w:val="center"/>
          </w:tcPr>
          <w:p w14:paraId="65705CCF">
            <w:pPr>
              <w:autoSpaceDE w:val="0"/>
              <w:ind w:left="105" w:leftChars="50"/>
              <w:jc w:val="center"/>
              <w:rPr>
                <w:rFonts w:hint="eastAsia" w:ascii="黑体" w:hAnsi="黑体" w:eastAsia="黑体" w:cs="黑体"/>
                <w:color w:val="595959"/>
                <w:sz w:val="18"/>
                <w:szCs w:val="18"/>
              </w:rPr>
            </w:pPr>
            <w:r>
              <w:rPr>
                <w:rFonts w:hint="eastAsia" w:ascii="黑体" w:hAnsi="黑体" w:eastAsia="黑体" w:cs="黑体"/>
                <w:color w:val="595959"/>
                <w:sz w:val="18"/>
                <w:szCs w:val="18"/>
                <w:lang w:eastAsia="zh-CN" w:bidi="ar"/>
              </w:rPr>
              <w:t>≥80%</w:t>
            </w:r>
          </w:p>
        </w:tc>
      </w:tr>
      <w:tr w14:paraId="6EF5F257">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wAfter w:w="0" w:type="auto"/>
          <w:trHeight w:val="510" w:hRule="atLeast"/>
          <w:jc w:val="center"/>
        </w:trPr>
        <w:tc>
          <w:tcPr>
            <w:tcW w:w="1984" w:type="dxa"/>
            <w:shd w:val="clear" w:color="auto" w:fill="auto"/>
            <w:vAlign w:val="center"/>
          </w:tcPr>
          <w:p w14:paraId="289E261D">
            <w:pPr>
              <w:autoSpaceDE w:val="0"/>
              <w:ind w:left="105" w:leftChars="50"/>
              <w:jc w:val="center"/>
              <w:rPr>
                <w:rFonts w:hint="eastAsia" w:ascii="黑体" w:hAnsi="黑体" w:eastAsia="黑体" w:cs="黑体"/>
                <w:b/>
                <w:bCs/>
                <w:color w:val="01528E"/>
                <w:sz w:val="21"/>
                <w:szCs w:val="21"/>
              </w:rPr>
            </w:pPr>
            <w:r>
              <w:rPr>
                <w:rFonts w:hint="eastAsia" w:ascii="黑体" w:hAnsi="黑体" w:eastAsia="黑体" w:cs="黑体"/>
                <w:b/>
                <w:bCs/>
                <w:color w:val="01528E"/>
                <w:sz w:val="21"/>
                <w:szCs w:val="21"/>
                <w:lang w:eastAsia="zh-CN" w:bidi="ar"/>
              </w:rPr>
              <w:t>总体质量评估</w:t>
            </w:r>
          </w:p>
        </w:tc>
        <w:tc>
          <w:tcPr>
            <w:tcW w:w="7826" w:type="dxa"/>
            <w:gridSpan w:val="3"/>
            <w:shd w:val="clear" w:color="auto" w:fill="auto"/>
            <w:vAlign w:val="center"/>
          </w:tcPr>
          <w:p w14:paraId="5A1A7F20">
            <w:pPr>
              <w:autoSpaceDE w:val="0"/>
              <w:ind w:left="105" w:leftChars="50"/>
              <w:jc w:val="center"/>
              <w:rPr>
                <w:rFonts w:hint="eastAsia" w:ascii="黑体" w:hAnsi="黑体" w:eastAsia="黑体" w:cs="黑体"/>
                <w:color w:val="595959"/>
                <w:sz w:val="18"/>
                <w:szCs w:val="18"/>
                <w:lang w:eastAsia="zh-CN"/>
              </w:rPr>
            </w:pPr>
            <w:r>
              <w:rPr>
                <w:rFonts w:hint="eastAsia" w:ascii="黑体" w:hAnsi="黑体" w:eastAsia="黑体" w:cs="黑体"/>
                <w:color w:val="595959"/>
                <w:sz w:val="18"/>
                <w:szCs w:val="18"/>
                <w:lang w:eastAsia="zh-CN"/>
              </w:rPr>
              <w:t>{{ overall_quality_assessment }}</w:t>
            </w:r>
          </w:p>
        </w:tc>
      </w:tr>
    </w:tbl>
    <w:p w14:paraId="79953425">
      <w:pPr>
        <w:snapToGrid w:val="0"/>
        <w:spacing w:line="360" w:lineRule="auto"/>
        <w:ind w:left="0" w:leftChars="0" w:right="210" w:rightChars="100" w:firstLine="0" w:firstLineChars="0"/>
        <w:rPr>
          <w:rFonts w:hint="eastAsia" w:ascii="黑体" w:hAnsi="黑体" w:eastAsia="黑体" w:cs="黑体"/>
          <w:b/>
          <w:color w:val="01528E"/>
          <w:sz w:val="18"/>
          <w:szCs w:val="18"/>
        </w:rPr>
      </w:pPr>
      <w:r>
        <w:rPr>
          <w:rFonts w:hint="eastAsia" w:ascii="黑体" w:hAnsi="黑体" w:eastAsia="黑体" w:cs="黑体"/>
          <w:b/>
          <w:color w:val="01528E"/>
          <w:sz w:val="18"/>
          <w:szCs w:val="18"/>
        </w:rPr>
        <w:t>备注：</w:t>
      </w:r>
    </w:p>
    <w:p w14:paraId="17EF8A02">
      <w:pPr>
        <w:numPr>
          <w:ilvl w:val="0"/>
          <w:numId w:val="3"/>
        </w:numPr>
        <w:ind w:left="425" w:hanging="425"/>
        <w:rPr>
          <w:rFonts w:hint="eastAsia" w:ascii="黑体" w:hAnsi="黑体" w:eastAsia="黑体" w:cs="黑体"/>
          <w:color w:val="595959"/>
          <w:kern w:val="0"/>
          <w:sz w:val="18"/>
          <w:szCs w:val="18"/>
          <w:lang w:eastAsia="zh-CN"/>
        </w:rPr>
      </w:pPr>
      <w:r>
        <w:rPr>
          <w:rFonts w:hint="eastAsia" w:ascii="黑体" w:hAnsi="黑体" w:eastAsia="黑体" w:cs="黑体"/>
          <w:color w:val="595959"/>
          <w:kern w:val="0"/>
          <w:sz w:val="18"/>
          <w:szCs w:val="18"/>
          <w:lang w:eastAsia="zh-CN"/>
        </w:rPr>
        <w:t>肿瘤细胞含量：送检样本经HE染色评估的肿瘤细胞含量。如送检样本不满足病理评估所需条件，则不进行此项评估。{% if summaryOfRresults.type == “blood” %}血浆cfDNA样本不做此项评估。{% endif %}</w:t>
      </w:r>
    </w:p>
    <w:p w14:paraId="5B4212A8">
      <w:pPr>
        <w:numPr>
          <w:ilvl w:val="0"/>
          <w:numId w:val="3"/>
        </w:numPr>
        <w:ind w:left="425" w:hanging="425"/>
        <w:rPr>
          <w:rFonts w:hint="eastAsia" w:ascii="黑体" w:hAnsi="黑体" w:eastAsia="黑体" w:cs="黑体"/>
          <w:color w:val="595959"/>
          <w:kern w:val="0"/>
          <w:sz w:val="18"/>
          <w:szCs w:val="18"/>
          <w:lang w:eastAsia="zh-CN"/>
        </w:rPr>
      </w:pPr>
      <w:r>
        <w:rPr>
          <w:rFonts w:hint="eastAsia" w:ascii="黑体" w:hAnsi="黑体" w:eastAsia="黑体" w:cs="黑体"/>
          <w:color w:val="595959"/>
          <w:kern w:val="0"/>
          <w:sz w:val="18"/>
          <w:szCs w:val="18"/>
          <w:lang w:eastAsia="zh-CN"/>
        </w:rPr>
        <w:t>DNA总量：送检样本的DNA提取总量。</w:t>
      </w:r>
    </w:p>
    <w:p w14:paraId="0F4CED26">
      <w:pPr>
        <w:numPr>
          <w:ilvl w:val="0"/>
          <w:numId w:val="3"/>
        </w:numPr>
        <w:ind w:left="425" w:hanging="425"/>
        <w:rPr>
          <w:rFonts w:hint="eastAsia" w:ascii="黑体" w:hAnsi="黑体" w:eastAsia="黑体" w:cs="黑体"/>
          <w:color w:val="595959"/>
          <w:kern w:val="0"/>
          <w:sz w:val="18"/>
          <w:szCs w:val="18"/>
          <w:lang w:eastAsia="zh-CN"/>
        </w:rPr>
      </w:pPr>
      <w:r>
        <w:rPr>
          <w:rFonts w:hint="eastAsia" w:ascii="黑体" w:hAnsi="黑体" w:eastAsia="黑体" w:cs="黑体"/>
          <w:color w:val="595959"/>
          <w:kern w:val="0"/>
          <w:sz w:val="18"/>
          <w:szCs w:val="18"/>
          <w:lang w:eastAsia="zh-CN"/>
        </w:rPr>
        <w:t>DNA降解程度：{% if summaryOfRresults.type == “blood” %}cfDNA样本不适用于此项评估。{% endif %}</w:t>
      </w:r>
    </w:p>
    <w:p w14:paraId="2DF0C74E">
      <w:pPr>
        <w:numPr>
          <w:ilvl w:val="0"/>
          <w:numId w:val="4"/>
        </w:numPr>
        <w:spacing w:line="270" w:lineRule="exact"/>
        <w:ind w:left="598" w:leftChars="150" w:hanging="283"/>
        <w:jc w:val="left"/>
        <w:rPr>
          <w:rFonts w:hint="eastAsia" w:ascii="黑体" w:hAnsi="黑体" w:eastAsia="黑体" w:cs="黑体"/>
          <w:bCs/>
          <w:color w:val="595959"/>
          <w:kern w:val="0"/>
          <w:sz w:val="18"/>
          <w:szCs w:val="18"/>
          <w:lang w:eastAsia="zh-CN"/>
        </w:rPr>
      </w:pPr>
      <w:r>
        <w:rPr>
          <w:rFonts w:hint="eastAsia" w:ascii="黑体" w:hAnsi="黑体" w:eastAsia="黑体" w:cs="黑体"/>
          <w:bCs/>
          <w:color w:val="595959"/>
          <w:kern w:val="0"/>
          <w:sz w:val="18"/>
          <w:szCs w:val="18"/>
          <w:lang w:eastAsia="zh-CN"/>
        </w:rPr>
        <w:t>A级：有主带，或降解均匀且降解区域主要集中在5000bp以上；</w:t>
      </w:r>
    </w:p>
    <w:p w14:paraId="22454D94">
      <w:pPr>
        <w:numPr>
          <w:ilvl w:val="0"/>
          <w:numId w:val="4"/>
        </w:numPr>
        <w:spacing w:line="270" w:lineRule="exact"/>
        <w:ind w:left="598" w:leftChars="150" w:hanging="283"/>
        <w:jc w:val="left"/>
        <w:rPr>
          <w:rFonts w:hint="eastAsia" w:ascii="黑体" w:hAnsi="黑体" w:eastAsia="黑体" w:cs="黑体"/>
          <w:bCs/>
          <w:color w:val="595959"/>
          <w:kern w:val="0"/>
          <w:sz w:val="18"/>
          <w:szCs w:val="18"/>
          <w:lang w:eastAsia="zh-CN"/>
        </w:rPr>
      </w:pPr>
      <w:r>
        <w:rPr>
          <w:rFonts w:hint="eastAsia" w:ascii="黑体" w:hAnsi="黑体" w:eastAsia="黑体" w:cs="黑体"/>
          <w:bCs/>
          <w:color w:val="595959"/>
          <w:kern w:val="0"/>
          <w:sz w:val="18"/>
          <w:szCs w:val="18"/>
          <w:lang w:eastAsia="zh-CN"/>
        </w:rPr>
        <w:t>B级：无主带，降解均匀且降解区域主要集中在1500-5000bp之间；</w:t>
      </w:r>
    </w:p>
    <w:p w14:paraId="0B3B74BA">
      <w:pPr>
        <w:numPr>
          <w:ilvl w:val="0"/>
          <w:numId w:val="4"/>
        </w:numPr>
        <w:spacing w:line="270" w:lineRule="exact"/>
        <w:ind w:left="598" w:leftChars="150" w:hanging="283"/>
        <w:jc w:val="left"/>
        <w:rPr>
          <w:rFonts w:hint="eastAsia" w:ascii="黑体" w:hAnsi="黑体" w:eastAsia="黑体" w:cs="黑体"/>
          <w:bCs/>
          <w:color w:val="595959"/>
          <w:kern w:val="0"/>
          <w:sz w:val="18"/>
          <w:szCs w:val="18"/>
          <w:lang w:eastAsia="zh-CN"/>
        </w:rPr>
      </w:pPr>
      <w:r>
        <w:rPr>
          <w:rFonts w:hint="eastAsia" w:ascii="黑体" w:hAnsi="黑体" w:eastAsia="黑体" w:cs="黑体"/>
          <w:bCs/>
          <w:color w:val="595959"/>
          <w:kern w:val="0"/>
          <w:sz w:val="18"/>
          <w:szCs w:val="18"/>
          <w:lang w:eastAsia="zh-CN"/>
        </w:rPr>
        <w:t>C级：无主带，降解均匀且降解区域主要集中在500-1500bp之间；</w:t>
      </w:r>
    </w:p>
    <w:p w14:paraId="6DD8A13E">
      <w:pPr>
        <w:numPr>
          <w:ilvl w:val="0"/>
          <w:numId w:val="4"/>
        </w:numPr>
        <w:spacing w:line="270" w:lineRule="exact"/>
        <w:ind w:left="598" w:leftChars="150" w:hanging="283"/>
        <w:jc w:val="left"/>
        <w:rPr>
          <w:rFonts w:hint="eastAsia" w:ascii="黑体" w:hAnsi="黑体" w:eastAsia="黑体" w:cs="黑体"/>
          <w:color w:val="595959"/>
          <w:kern w:val="0"/>
          <w:sz w:val="18"/>
          <w:szCs w:val="18"/>
          <w:lang w:eastAsia="zh-CN"/>
        </w:rPr>
      </w:pPr>
      <w:r>
        <w:rPr>
          <w:rFonts w:hint="eastAsia" w:ascii="黑体" w:hAnsi="黑体" w:eastAsia="黑体" w:cs="黑体"/>
          <w:bCs/>
          <w:color w:val="595959"/>
          <w:kern w:val="0"/>
          <w:sz w:val="18"/>
          <w:szCs w:val="18"/>
          <w:lang w:eastAsia="zh-CN"/>
        </w:rPr>
        <w:t>D级（不合格））：无主带，降解均匀且降解区域主要集中在500-1500bp之间，但总量介于100ng到300ng之间；或降解区域弥散在150-1000bp，或集中在500bp以下。</w:t>
      </w:r>
    </w:p>
    <w:p w14:paraId="1DA2734F">
      <w:pPr>
        <w:numPr>
          <w:ilvl w:val="0"/>
          <w:numId w:val="3"/>
        </w:numPr>
        <w:ind w:left="425" w:hanging="425"/>
        <w:rPr>
          <w:rFonts w:hint="eastAsia" w:ascii="黑体" w:hAnsi="黑体" w:eastAsia="黑体" w:cs="黑体"/>
          <w:color w:val="595959"/>
          <w:kern w:val="0"/>
          <w:sz w:val="18"/>
          <w:szCs w:val="18"/>
          <w:lang w:eastAsia="zh-CN"/>
        </w:rPr>
      </w:pPr>
      <w:r>
        <w:rPr>
          <w:rFonts w:hint="eastAsia" w:ascii="黑体" w:hAnsi="黑体" w:eastAsia="黑体" w:cs="黑体"/>
          <w:color w:val="595959"/>
          <w:kern w:val="0"/>
          <w:sz w:val="18"/>
          <w:szCs w:val="18"/>
          <w:lang w:eastAsia="zh-CN"/>
        </w:rPr>
        <w:t>预文库总量：核酸片段经过接头连接和扩增纯化后中间产物的总量。</w:t>
      </w:r>
    </w:p>
    <w:p w14:paraId="67121B0C">
      <w:pPr>
        <w:numPr>
          <w:ilvl w:val="0"/>
          <w:numId w:val="3"/>
        </w:numPr>
        <w:ind w:left="425" w:hanging="425"/>
        <w:rPr>
          <w:rFonts w:hint="eastAsia" w:ascii="黑体" w:hAnsi="黑体" w:eastAsia="黑体" w:cs="黑体"/>
          <w:color w:val="595959"/>
          <w:kern w:val="0"/>
          <w:sz w:val="18"/>
          <w:szCs w:val="18"/>
          <w:lang w:eastAsia="zh-CN"/>
        </w:rPr>
      </w:pPr>
      <w:r>
        <w:rPr>
          <w:rFonts w:hint="eastAsia" w:ascii="黑体" w:hAnsi="黑体" w:eastAsia="黑体" w:cs="黑体"/>
          <w:color w:val="595959"/>
          <w:kern w:val="0"/>
          <w:sz w:val="18"/>
          <w:szCs w:val="18"/>
          <w:lang w:eastAsia="zh-CN"/>
        </w:rPr>
        <w:t>平均测序深度：目标区域每个碱基被测到的平均次数。</w:t>
      </w:r>
    </w:p>
    <w:p w14:paraId="41177580">
      <w:pPr>
        <w:numPr>
          <w:ilvl w:val="0"/>
          <w:numId w:val="3"/>
        </w:numPr>
        <w:ind w:left="425" w:hanging="425"/>
        <w:rPr>
          <w:rFonts w:hint="eastAsia" w:ascii="黑体" w:hAnsi="黑体" w:eastAsia="黑体" w:cs="黑体"/>
          <w:color w:val="595959"/>
          <w:kern w:val="0"/>
          <w:sz w:val="18"/>
          <w:szCs w:val="18"/>
          <w:lang w:eastAsia="zh-CN"/>
        </w:rPr>
      </w:pPr>
      <w:r>
        <w:rPr>
          <w:rFonts w:hint="eastAsia" w:ascii="黑体" w:hAnsi="黑体" w:eastAsia="黑体" w:cs="黑体"/>
          <w:color w:val="595959"/>
          <w:kern w:val="0"/>
          <w:sz w:val="18"/>
          <w:szCs w:val="18"/>
          <w:lang w:eastAsia="zh-CN"/>
        </w:rPr>
        <w:t>覆盖均一性：测序深度达到平均测序深度20%的碱基占比。</w:t>
      </w:r>
    </w:p>
    <w:p w14:paraId="259B0AB5">
      <w:pPr>
        <w:numPr>
          <w:ilvl w:val="0"/>
          <w:numId w:val="3"/>
        </w:numPr>
        <w:ind w:left="425" w:hanging="425"/>
        <w:rPr>
          <w:rFonts w:hint="eastAsia" w:ascii="黑体" w:hAnsi="黑体" w:eastAsia="黑体" w:cs="黑体"/>
          <w:color w:val="595959"/>
          <w:kern w:val="0"/>
          <w:sz w:val="18"/>
          <w:szCs w:val="18"/>
          <w:lang w:eastAsia="zh-CN"/>
        </w:rPr>
      </w:pPr>
      <w:r>
        <w:rPr>
          <w:rFonts w:hint="eastAsia" w:ascii="黑体" w:hAnsi="黑体" w:eastAsia="黑体" w:cs="黑体"/>
          <w:color w:val="595959"/>
          <w:kern w:val="0"/>
          <w:sz w:val="18"/>
          <w:szCs w:val="18"/>
          <w:lang w:eastAsia="zh-CN"/>
        </w:rPr>
        <w:t>基因组比对率：比对到参考基因组上的reads数目占比。</w:t>
      </w:r>
    </w:p>
    <w:p w14:paraId="668DCD34">
      <w:pPr>
        <w:numPr>
          <w:ilvl w:val="0"/>
          <w:numId w:val="3"/>
        </w:numPr>
        <w:ind w:left="425" w:hanging="425"/>
        <w:rPr>
          <w:rFonts w:hint="eastAsia" w:ascii="黑体" w:hAnsi="黑体" w:eastAsia="黑体" w:cs="黑体"/>
          <w:color w:val="595959"/>
          <w:kern w:val="0"/>
          <w:sz w:val="18"/>
          <w:szCs w:val="18"/>
          <w:lang w:eastAsia="zh-CN"/>
        </w:rPr>
      </w:pPr>
      <w:r>
        <w:rPr>
          <w:rFonts w:hint="eastAsia" w:ascii="黑体" w:hAnsi="黑体" w:eastAsia="黑体" w:cs="黑体"/>
          <w:color w:val="595959"/>
          <w:kern w:val="0"/>
          <w:sz w:val="18"/>
          <w:szCs w:val="18"/>
          <w:lang w:eastAsia="zh-CN"/>
        </w:rPr>
        <w:t>碱基质量Q30占比：测序数据中碱基质量在Q30以上（即碱基识别错误率在千分之一以下）的占比。</w:t>
      </w:r>
    </w:p>
    <w:p w14:paraId="220AAD26">
      <w:pPr>
        <w:numPr>
          <w:ilvl w:val="0"/>
          <w:numId w:val="3"/>
        </w:numPr>
        <w:ind w:left="425" w:hanging="425"/>
        <w:rPr>
          <w:rFonts w:hint="eastAsia" w:ascii="黑体" w:hAnsi="黑体" w:eastAsia="黑体" w:cs="黑体"/>
          <w:color w:val="595959"/>
          <w:kern w:val="0"/>
          <w:sz w:val="18"/>
          <w:szCs w:val="18"/>
          <w:lang w:eastAsia="zh-CN"/>
        </w:rPr>
      </w:pPr>
      <w:r>
        <w:rPr>
          <w:rFonts w:hint="eastAsia" w:ascii="黑体" w:hAnsi="黑体" w:eastAsia="黑体" w:cs="黑体"/>
          <w:color w:val="595959"/>
          <w:kern w:val="0"/>
          <w:sz w:val="18"/>
          <w:szCs w:val="18"/>
          <w:lang w:eastAsia="zh-CN"/>
        </w:rPr>
        <w:t>总体质量评估：根据 DNA 平均测序深度进行评估，分为“合格”、“警戒”、“不合格”三个等级。总体质量评估为“警戒”或者“不合格”时，均会影响检测的准确性和敏感性。</w:t>
      </w:r>
    </w:p>
    <w:bookmarkEnd w:id="17"/>
    <w:p w14:paraId="7F038BC7">
      <w:pPr>
        <w:rPr>
          <w:rFonts w:hint="eastAsia"/>
        </w:rPr>
      </w:pPr>
      <w:r>
        <w:br w:type="page"/>
      </w:r>
    </w:p>
    <w:p w14:paraId="521DD280">
      <w:pPr>
        <w:pStyle w:val="2"/>
        <w:keepNext w:val="0"/>
        <w:keepLines w:val="0"/>
        <w:pageBreakBefore w:val="0"/>
        <w:widowControl w:val="0"/>
        <w:kinsoku/>
        <w:wordWrap/>
        <w:overflowPunct/>
        <w:topLinePunct w:val="0"/>
        <w:autoSpaceDE/>
        <w:autoSpaceDN/>
        <w:bidi w:val="0"/>
        <w:adjustRightInd/>
        <w:snapToGrid w:val="0"/>
        <w:spacing w:after="0" w:line="360" w:lineRule="auto"/>
        <w:jc w:val="center"/>
        <w:textAlignment w:val="auto"/>
        <w:outlineLvl w:val="0"/>
        <w:rPr>
          <w:rFonts w:hint="eastAsia" w:ascii="黑体" w:hAnsi="黑体" w:eastAsia="黑体" w:cs="黑体"/>
          <w:bCs w:val="0"/>
          <w:color w:val="01528E"/>
          <w:sz w:val="44"/>
          <w:szCs w:val="44"/>
        </w:rPr>
      </w:pPr>
      <w:bookmarkStart w:id="18" w:name="_Toc2261"/>
      <w:r>
        <w:rPr>
          <w:rFonts w:hint="eastAsia" w:ascii="黑体" w:hAnsi="黑体" w:eastAsia="黑体" w:cs="黑体"/>
          <w:bCs w:val="0"/>
          <w:color w:val="01528E"/>
          <w:sz w:val="44"/>
          <w:szCs w:val="44"/>
          <w:lang w:val="en-US" w:eastAsia="zh-CN"/>
        </w:rPr>
        <w:t>第二</w:t>
      </w:r>
      <w:r>
        <w:rPr>
          <w:rFonts w:hint="eastAsia" w:ascii="黑体" w:hAnsi="黑体" w:eastAsia="黑体" w:cs="黑体"/>
          <w:bCs w:val="0"/>
          <w:color w:val="01528E"/>
          <w:sz w:val="44"/>
          <w:szCs w:val="44"/>
        </w:rPr>
        <w:t>部分：检测结果总览</w:t>
      </w:r>
      <w:bookmarkEnd w:id="18"/>
    </w:p>
    <w:p w14:paraId="50FAE5CE">
      <w:pPr>
        <w:pStyle w:val="3"/>
        <w:keepNext/>
        <w:keepLines/>
        <w:pageBreakBefore w:val="0"/>
        <w:widowControl w:val="0"/>
        <w:kinsoku/>
        <w:wordWrap/>
        <w:overflowPunct/>
        <w:topLinePunct w:val="0"/>
        <w:autoSpaceDE/>
        <w:autoSpaceDN/>
        <w:bidi w:val="0"/>
        <w:adjustRightInd/>
        <w:snapToGrid/>
        <w:spacing w:before="0" w:after="0" w:line="416" w:lineRule="auto"/>
        <w:jc w:val="center"/>
        <w:textAlignment w:val="auto"/>
        <w:rPr>
          <w:rFonts w:hint="eastAsia" w:ascii="黑体" w:hAnsi="黑体" w:eastAsia="黑体" w:cs="黑体"/>
          <w:bCs w:val="0"/>
          <w:color w:val="01528E"/>
          <w:sz w:val="36"/>
          <w:szCs w:val="36"/>
        </w:rPr>
      </w:pPr>
      <w:bookmarkStart w:id="19" w:name="_Toc12953"/>
      <w:r>
        <w:rPr>
          <w:rFonts w:hint="eastAsia" w:ascii="黑体" w:hAnsi="黑体" w:eastAsia="黑体" w:cs="黑体"/>
          <w:bCs w:val="0"/>
          <w:color w:val="01528E"/>
          <w:sz w:val="36"/>
          <w:szCs w:val="36"/>
        </w:rPr>
        <w:t>1. ctDNA检测预后提示</w:t>
      </w:r>
      <w:bookmarkEnd w:id="19"/>
    </w:p>
    <w:p w14:paraId="321C21CB">
      <w:pPr>
        <w:rPr>
          <w:rFonts w:hint="eastAsia" w:ascii="黑体" w:hAnsi="黑体" w:eastAsia="黑体" w:cs="黑体"/>
          <w:b/>
          <w:bCs/>
          <w:color w:val="02528E"/>
        </w:rPr>
      </w:pPr>
      <w:bookmarkStart w:id="20" w:name="_Toc8569"/>
      <w:bookmarkStart w:id="21" w:name="_Toc488"/>
      <w:bookmarkStart w:id="22" w:name="_Toc116571898"/>
      <w:r>
        <w:rPr>
          <w:rFonts w:hint="eastAsia" w:ascii="黑体" w:hAnsi="黑体" w:eastAsia="黑体" w:cs="黑体"/>
          <w:b/>
          <w:bCs/>
          <w:color w:val="02528E"/>
          <w:sz w:val="32"/>
          <w:szCs w:val="32"/>
        </w:rPr>
        <w:t>检测结果</w:t>
      </w:r>
      <w:bookmarkEnd w:id="20"/>
      <w:bookmarkEnd w:id="21"/>
      <w:bookmarkEnd w:id="22"/>
    </w:p>
    <w:tbl>
      <w:tblPr>
        <w:tblStyle w:val="15"/>
        <w:tblW w:w="9752" w:type="dxa"/>
        <w:tblInd w:w="0" w:type="dxa"/>
        <w:tblBorders>
          <w:top w:val="single" w:color="01528E" w:sz="4" w:space="0"/>
          <w:left w:val="single" w:color="01528E" w:sz="4" w:space="0"/>
          <w:bottom w:val="single" w:color="01528E" w:sz="4" w:space="0"/>
          <w:right w:val="single" w:color="01528E" w:sz="4" w:space="0"/>
          <w:insideH w:val="single" w:color="38849B" w:sz="4" w:space="0"/>
          <w:insideV w:val="none" w:color="auto" w:sz="0" w:space="0"/>
        </w:tblBorders>
        <w:tblLayout w:type="fixed"/>
        <w:tblCellMar>
          <w:top w:w="0" w:type="dxa"/>
          <w:left w:w="108" w:type="dxa"/>
          <w:bottom w:w="0" w:type="dxa"/>
          <w:right w:w="108" w:type="dxa"/>
        </w:tblCellMar>
      </w:tblPr>
      <w:tblGrid>
        <w:gridCol w:w="3078"/>
        <w:gridCol w:w="3337"/>
        <w:gridCol w:w="3337"/>
      </w:tblGrid>
      <w:tr w14:paraId="5F835075">
        <w:tblPrEx>
          <w:tblBorders>
            <w:top w:val="single" w:color="01528E" w:sz="4" w:space="0"/>
            <w:left w:val="single" w:color="01528E" w:sz="4" w:space="0"/>
            <w:bottom w:val="single" w:color="01528E" w:sz="4" w:space="0"/>
            <w:right w:val="single" w:color="01528E" w:sz="4" w:space="0"/>
            <w:insideH w:val="single" w:color="38849B" w:sz="4" w:space="0"/>
            <w:insideV w:val="none" w:color="auto" w:sz="0" w:space="0"/>
          </w:tblBorders>
          <w:tblCellMar>
            <w:top w:w="0" w:type="dxa"/>
            <w:left w:w="108" w:type="dxa"/>
            <w:bottom w:w="0" w:type="dxa"/>
            <w:right w:w="108" w:type="dxa"/>
          </w:tblCellMar>
        </w:tblPrEx>
        <w:trPr>
          <w:trHeight w:val="713" w:hRule="atLeast"/>
        </w:trPr>
        <w:tc>
          <w:tcPr>
            <w:tcW w:w="3078" w:type="dxa"/>
            <w:tcBorders>
              <w:bottom w:val="nil"/>
              <w:right w:val="nil"/>
            </w:tcBorders>
            <w:shd w:val="clear" w:color="auto" w:fill="01528E"/>
            <w:vAlign w:val="center"/>
          </w:tcPr>
          <w:p w14:paraId="785B1EAA">
            <w:pPr>
              <w:pStyle w:val="26"/>
              <w:rPr>
                <w:rFonts w:hint="eastAsia" w:ascii="黑体" w:hAnsi="黑体" w:eastAsia="黑体" w:cs="Times New Roman"/>
                <w:sz w:val="21"/>
                <w:szCs w:val="21"/>
              </w:rPr>
            </w:pPr>
            <w:r>
              <w:rPr>
                <w:rFonts w:hint="eastAsia" w:ascii="黑体" w:hAnsi="黑体" w:eastAsia="黑体" w:cs="Times New Roman"/>
                <w:sz w:val="21"/>
                <w:szCs w:val="21"/>
              </w:rPr>
              <w:t>检测指标</w:t>
            </w:r>
          </w:p>
        </w:tc>
        <w:tc>
          <w:tcPr>
            <w:tcW w:w="3337" w:type="dxa"/>
            <w:tcBorders>
              <w:left w:val="nil"/>
              <w:right w:val="nil"/>
            </w:tcBorders>
            <w:shd w:val="clear" w:color="auto" w:fill="01528E"/>
            <w:vAlign w:val="center"/>
          </w:tcPr>
          <w:p w14:paraId="159B1BA8">
            <w:pPr>
              <w:pStyle w:val="26"/>
              <w:rPr>
                <w:rFonts w:hint="eastAsia" w:ascii="黑体" w:hAnsi="黑体" w:eastAsia="黑体"/>
                <w:sz w:val="21"/>
                <w:szCs w:val="21"/>
              </w:rPr>
            </w:pPr>
            <w:r>
              <w:rPr>
                <w:rFonts w:hint="eastAsia" w:ascii="黑体" w:hAnsi="黑体" w:eastAsia="黑体" w:cs="Times New Roman"/>
                <w:sz w:val="21"/>
                <w:szCs w:val="21"/>
              </w:rPr>
              <w:t>检测方法</w:t>
            </w:r>
          </w:p>
        </w:tc>
        <w:tc>
          <w:tcPr>
            <w:tcW w:w="3337" w:type="dxa"/>
            <w:tcBorders>
              <w:left w:val="nil"/>
              <w:bottom w:val="nil"/>
            </w:tcBorders>
            <w:shd w:val="clear" w:color="auto" w:fill="01528E"/>
            <w:vAlign w:val="center"/>
          </w:tcPr>
          <w:p w14:paraId="681BAE4F">
            <w:pPr>
              <w:pStyle w:val="26"/>
              <w:rPr>
                <w:rFonts w:hint="eastAsia" w:ascii="黑体" w:hAnsi="黑体" w:eastAsia="黑体"/>
                <w:sz w:val="21"/>
                <w:szCs w:val="21"/>
              </w:rPr>
            </w:pPr>
            <w:r>
              <w:rPr>
                <w:rFonts w:hint="eastAsia" w:ascii="黑体" w:hAnsi="黑体" w:eastAsia="黑体"/>
                <w:sz w:val="21"/>
                <w:szCs w:val="21"/>
              </w:rPr>
              <w:t>检测结果</w:t>
            </w:r>
          </w:p>
        </w:tc>
      </w:tr>
      <w:tr w14:paraId="7B642211">
        <w:tblPrEx>
          <w:tblBorders>
            <w:top w:val="single" w:color="01528E" w:sz="4" w:space="0"/>
            <w:left w:val="single" w:color="01528E" w:sz="4" w:space="0"/>
            <w:bottom w:val="single" w:color="01528E" w:sz="4" w:space="0"/>
            <w:right w:val="single" w:color="01528E" w:sz="4" w:space="0"/>
            <w:insideH w:val="single" w:color="38849B" w:sz="4" w:space="0"/>
            <w:insideV w:val="none" w:color="auto" w:sz="0" w:space="0"/>
          </w:tblBorders>
          <w:tblCellMar>
            <w:top w:w="0" w:type="dxa"/>
            <w:left w:w="108" w:type="dxa"/>
            <w:bottom w:w="0" w:type="dxa"/>
            <w:right w:w="108" w:type="dxa"/>
          </w:tblCellMar>
        </w:tblPrEx>
        <w:tc>
          <w:tcPr>
            <w:tcW w:w="3078" w:type="dxa"/>
            <w:tcBorders>
              <w:top w:val="single" w:color="38849B" w:sz="4" w:space="0"/>
              <w:right w:val="nil"/>
            </w:tcBorders>
            <w:vAlign w:val="center"/>
          </w:tcPr>
          <w:p w14:paraId="04C1BD56">
            <w:pPr>
              <w:spacing w:before="72"/>
              <w:jc w:val="center"/>
              <w:rPr>
                <w:rFonts w:hint="eastAsia" w:ascii="黑体" w:hAnsi="黑体" w:eastAsia="黑体" w:cs="黑体"/>
                <w:color w:val="595959"/>
                <w:sz w:val="21"/>
                <w:szCs w:val="21"/>
              </w:rPr>
            </w:pPr>
            <w:r>
              <w:rPr>
                <w:rFonts w:hint="eastAsia" w:ascii="黑体" w:hAnsi="黑体" w:eastAsia="黑体" w:cs="黑体"/>
                <w:color w:val="595959"/>
                <w:sz w:val="21"/>
                <w:szCs w:val="21"/>
              </w:rPr>
              <w:t>术后外周血MRD</w:t>
            </w:r>
          </w:p>
        </w:tc>
        <w:tc>
          <w:tcPr>
            <w:tcW w:w="3337" w:type="dxa"/>
            <w:tcBorders>
              <w:top w:val="single" w:color="38849B" w:sz="4" w:space="0"/>
              <w:left w:val="nil"/>
              <w:right w:val="nil"/>
            </w:tcBorders>
          </w:tcPr>
          <w:p w14:paraId="31B3F5C4">
            <w:pPr>
              <w:spacing w:before="72"/>
              <w:jc w:val="center"/>
              <w:rPr>
                <w:rFonts w:hint="eastAsia" w:ascii="黑体" w:hAnsi="黑体" w:eastAsia="黑体" w:cs="黑体"/>
                <w:color w:val="595959"/>
                <w:sz w:val="21"/>
                <w:szCs w:val="21"/>
              </w:rPr>
            </w:pPr>
            <w:r>
              <w:rPr>
                <w:rFonts w:hint="eastAsia" w:ascii="黑体" w:hAnsi="黑体" w:eastAsia="黑体" w:cs="黑体"/>
                <w:color w:val="595959"/>
                <w:sz w:val="21"/>
                <w:szCs w:val="21"/>
              </w:rPr>
              <w:t>高通量基因测序</w:t>
            </w:r>
          </w:p>
        </w:tc>
        <w:tc>
          <w:tcPr>
            <w:tcW w:w="3337" w:type="dxa"/>
            <w:tcBorders>
              <w:top w:val="single" w:color="38849B" w:sz="4" w:space="0"/>
              <w:left w:val="nil"/>
            </w:tcBorders>
            <w:vAlign w:val="center"/>
          </w:tcPr>
          <w:p w14:paraId="59DBA7A3">
            <w:pPr>
              <w:spacing w:before="72"/>
              <w:jc w:val="center"/>
              <w:rPr>
                <w:rFonts w:hint="eastAsia" w:ascii="黑体" w:hAnsi="黑体" w:eastAsia="黑体" w:cs="黑体"/>
                <w:color w:val="01528E"/>
                <w:sz w:val="21"/>
                <w:szCs w:val="21"/>
              </w:rPr>
            </w:pPr>
            <w:r>
              <w:rPr>
                <w:rFonts w:hint="eastAsia" w:ascii="黑体" w:hAnsi="黑体" w:eastAsia="黑体" w:cs="黑体"/>
                <w:color w:val="595959"/>
                <w:kern w:val="0"/>
                <w:sz w:val="21"/>
                <w:szCs w:val="21"/>
                <w:lang w:val="en-US" w:eastAsia="zh-CN"/>
              </w:rPr>
              <w:t>{{mrd.mrd_status}}</w:t>
            </w:r>
          </w:p>
        </w:tc>
      </w:tr>
    </w:tbl>
    <w:p w14:paraId="37C0307C">
      <w:pPr>
        <w:rPr>
          <w:rFonts w:hint="eastAsia" w:ascii="黑体" w:hAnsi="黑体" w:eastAsia="黑体" w:cs="黑体"/>
          <w:sz w:val="18"/>
          <w:szCs w:val="18"/>
        </w:rPr>
      </w:pPr>
    </w:p>
    <w:p w14:paraId="20CB66C5">
      <w:pPr>
        <w:pStyle w:val="37"/>
        <w:spacing w:after="156"/>
      </w:pPr>
      <w:r>
        <w:rPr>
          <w:rFonts w:hint="eastAsia"/>
        </w:rPr>
        <w:t>临床意义：</w:t>
      </w:r>
    </w:p>
    <w:p w14:paraId="4DA8DD47">
      <w:pPr>
        <w:pStyle w:val="40"/>
        <w:spacing w:line="300" w:lineRule="auto"/>
        <w:ind w:firstLine="360" w:firstLineChars="200"/>
        <w:rPr>
          <w:rFonts w:hint="eastAsia" w:ascii="黑体" w:hAnsi="黑体" w:eastAsia="黑体" w:cs="黑体"/>
          <w:szCs w:val="18"/>
        </w:rPr>
      </w:pPr>
      <w:r>
        <w:rPr>
          <w:rFonts w:hint="eastAsia" w:ascii="黑体" w:hAnsi="黑体" w:eastAsia="黑体" w:cs="黑体"/>
          <w:szCs w:val="18"/>
        </w:rPr>
        <w:t>{% if mrd.mrd_status == “阳性”%}分子残留病灶（MRD）状态阳性：提示存在分子残留病灶（MRD）阳性，复发风险可能较高。{% else %}</w:t>
      </w:r>
      <w:r>
        <w:rPr>
          <w:rFonts w:hint="eastAsia" w:ascii="黑体" w:hAnsi="黑体" w:eastAsia="黑体" w:cs="黑体"/>
          <w:sz w:val="18"/>
          <w:highlight w:val="none"/>
          <w:lang w:eastAsia="zh-CN"/>
        </w:rPr>
        <w:t>分子残留病灶（MRD）状态</w:t>
      </w:r>
      <w:r>
        <w:rPr>
          <w:rFonts w:hint="eastAsia" w:ascii="黑体" w:hAnsi="黑体" w:eastAsia="黑体" w:cs="黑体"/>
          <w:sz w:val="18"/>
          <w:highlight w:val="none"/>
          <w:lang w:val="en-US" w:eastAsia="zh-CN"/>
        </w:rPr>
        <w:t>阴性</w:t>
      </w:r>
      <w:r>
        <w:rPr>
          <w:rFonts w:hint="eastAsia" w:ascii="黑体" w:hAnsi="黑体" w:eastAsia="黑体" w:cs="黑体"/>
          <w:sz w:val="18"/>
          <w:highlight w:val="none"/>
          <w:lang w:eastAsia="zh-CN"/>
        </w:rPr>
        <w:t>：提示患者预后较好。由于外周血样本中ctDNA含量与肿瘤分期、是否接受根治性手术治疗、病灶部位等多种因素相关，阴性不一定代表患者体内完全没有肿瘤细胞。进一步说明持续动态监测的必要性，持续的阴性结果可能提示预后良好。</w:t>
      </w:r>
      <w:r>
        <w:rPr>
          <w:rFonts w:hint="eastAsia" w:ascii="黑体" w:hAnsi="黑体" w:eastAsia="黑体" w:cs="黑体"/>
          <w:sz w:val="18"/>
          <w:highlight w:val="none"/>
          <w:lang w:val="en-US" w:eastAsia="zh-CN"/>
        </w:rPr>
        <w:t>{% endif %}</w:t>
      </w:r>
    </w:p>
    <w:p w14:paraId="599EC936">
      <w:pPr>
        <w:pStyle w:val="37"/>
        <w:spacing w:after="156"/>
      </w:pPr>
      <w:r>
        <w:rPr>
          <w:rFonts w:ascii="Times New Roman" w:hAnsi="Times New Roman"/>
        </w:rPr>
        <w:t>MRD</w:t>
      </w:r>
      <w:r>
        <w:rPr>
          <w:rFonts w:hint="eastAsia"/>
        </w:rPr>
        <w:t>指标解析：</w:t>
      </w:r>
    </w:p>
    <w:p w14:paraId="1F4C635A">
      <w:pPr>
        <w:pStyle w:val="40"/>
        <w:spacing w:line="300" w:lineRule="auto"/>
        <w:ind w:firstLine="360" w:firstLineChars="200"/>
        <w:rPr>
          <w:rFonts w:hint="eastAsia" w:ascii="黑体" w:hAnsi="黑体" w:eastAsia="黑体" w:cs="黑体"/>
          <w:szCs w:val="18"/>
        </w:rPr>
      </w:pPr>
      <w:r>
        <w:rPr>
          <w:rFonts w:hint="eastAsia" w:ascii="黑体" w:hAnsi="黑体" w:eastAsia="黑体" w:cs="黑体"/>
          <w:szCs w:val="18"/>
        </w:rPr>
        <w:t>{% if mrd.mrd_status == “阳性”%}阳性：本次样本检测出与初次肿瘤组织样本相关的突变残存，提示存在分子残留病灶，复发风险可能较高。{% else%}阴性：本次样本未检测出与初次肿瘤组织样本相关的突变残存，提示复发风险可能较低。</w:t>
      </w:r>
    </w:p>
    <w:p w14:paraId="67FC83D7">
      <w:pPr>
        <w:pStyle w:val="40"/>
        <w:spacing w:line="300" w:lineRule="auto"/>
        <w:ind w:firstLine="360" w:firstLineChars="200"/>
        <w:rPr>
          <w:rFonts w:hint="eastAsia" w:ascii="黑体" w:hAnsi="黑体" w:eastAsia="黑体" w:cs="黑体"/>
          <w:szCs w:val="18"/>
        </w:rPr>
      </w:pPr>
      <w:r>
        <w:rPr>
          <w:rFonts w:hint="eastAsia" w:ascii="黑体" w:hAnsi="黑体" w:eastAsia="黑体" w:cs="黑体"/>
          <w:szCs w:val="18"/>
        </w:rPr>
        <w:t>(由于肿瘤生物学行为的复杂性，不排除有些肿瘤因释放 ctDNA 极少而导致 MRD 检测结果呈阴性。){% endif %}</w:t>
      </w:r>
    </w:p>
    <w:p w14:paraId="1188FD1D">
      <w:pPr>
        <w:pStyle w:val="37"/>
        <w:spacing w:after="156"/>
      </w:pPr>
      <w:r>
        <w:rPr>
          <w:rFonts w:hint="eastAsia"/>
        </w:rPr>
        <w:t>文献报道：</w:t>
      </w:r>
    </w:p>
    <w:p w14:paraId="5CC39AF6">
      <w:pPr>
        <w:pStyle w:val="40"/>
        <w:spacing w:line="240" w:lineRule="auto"/>
        <w:ind w:firstLine="360" w:firstLineChars="200"/>
        <w:rPr>
          <w:rFonts w:hint="eastAsia" w:ascii="黑体" w:hAnsi="黑体" w:eastAsia="黑体" w:cs="黑体"/>
          <w:szCs w:val="18"/>
        </w:rPr>
      </w:pPr>
      <w:r>
        <w:rPr>
          <w:rFonts w:hint="eastAsia" w:ascii="黑体" w:hAnsi="黑体" w:eastAsia="黑体" w:cs="黑体"/>
          <w:szCs w:val="18"/>
        </w:rPr>
        <w:t>在实体瘤中，MRD通常指分子残留病灶（molecular residual disease）也称微小残留病灶（minimal residual disease），即通过循环肿瘤DNA（circulating tumor DNA，ctDNA）等</w:t>
      </w:r>
    </w:p>
    <w:p w14:paraId="29E8AAB1">
      <w:pPr>
        <w:pStyle w:val="40"/>
        <w:spacing w:line="240" w:lineRule="auto"/>
        <w:ind w:firstLine="360" w:firstLineChars="200"/>
        <w:rPr>
          <w:rFonts w:hint="eastAsia" w:ascii="黑体" w:hAnsi="黑体" w:eastAsia="黑体" w:cs="黑体"/>
          <w:szCs w:val="18"/>
        </w:rPr>
      </w:pPr>
      <w:r>
        <w:rPr>
          <w:rFonts w:hint="eastAsia" w:ascii="黑体" w:hAnsi="黑体" w:eastAsia="黑体" w:cs="黑体"/>
          <w:szCs w:val="18"/>
        </w:rPr>
        <w:t>肿瘤来源的分子异常，发现影像学（包括正电子发射计算机断层显像）或传统实验室方法不能发现的潜在病灶，代表着肿瘤的持续存在和临床进展可能。</w:t>
      </w:r>
    </w:p>
    <w:p w14:paraId="3D4A086B">
      <w:pPr>
        <w:pStyle w:val="40"/>
        <w:spacing w:line="240" w:lineRule="auto"/>
        <w:ind w:firstLine="360" w:firstLineChars="200"/>
        <w:rPr>
          <w:rFonts w:hint="eastAsia" w:ascii="黑体" w:hAnsi="黑体" w:eastAsia="黑体" w:cs="黑体"/>
          <w:szCs w:val="18"/>
        </w:rPr>
      </w:pPr>
      <w:r>
        <w:rPr>
          <w:rFonts w:hint="eastAsia" w:ascii="黑体" w:hAnsi="黑体" w:eastAsia="黑体" w:cs="黑体"/>
          <w:szCs w:val="18"/>
        </w:rPr>
        <w:t>基于NGS的MRD检测技术，具有较高的靶向序列覆盖率和均一性，可针对大量基因及多种突变类型进行分析。在实体瘤MRD检测中，NGS技术尤其是基于杂交捕获的NGS凭借其强大的综合性能，成为目前研究和临床实践中的首选方法。ctDNA是实体瘤MRD最常用的检测材料，准确检测ctDNA突变可以达到较好的MRD检测性能。</w:t>
      </w:r>
    </w:p>
    <w:p w14:paraId="42A43ABC">
      <w:pPr>
        <w:pStyle w:val="40"/>
        <w:spacing w:line="240" w:lineRule="auto"/>
        <w:ind w:firstLine="360" w:firstLineChars="200"/>
        <w:rPr>
          <w:rFonts w:hint="eastAsia" w:ascii="黑体" w:hAnsi="黑体" w:cs="黑体"/>
          <w:szCs w:val="18"/>
        </w:rPr>
      </w:pPr>
      <w:r>
        <w:rPr>
          <w:rFonts w:hint="eastAsia" w:ascii="黑体" w:hAnsi="黑体" w:eastAsia="黑体" w:cs="黑体"/>
          <w:szCs w:val="18"/>
        </w:rPr>
        <w:t>目前，肿瘤的组织病理分型、分级和分期是肿瘤生物学行为评估和治疗方案制定的核心依据，但即使病理分型、分级和分期相同的患者，肿瘤预后也存在显著差异。这些传统指标无法区分复发高风险患者和长期无瘤生存的低风险患者。近年来，MRD检测在结直肠癌、肺癌、乳腺癌等多种实体瘤中积累了大量证据，表明MRD检测可有效区分复发风险，可作为预后分层的重要指标 [PMID: 28445469；PMID: 34505064；PMID: 35543554；PMID: 28899864；PMID:26311728；PMID: 27384348；PMID: 31711920；PMID: 26154128；PMID: 31059311；PMID:34625408；ESMO2019 110P]。多项研究已证实MRD阳性实体瘤患者的无疾病生存期（DFS）与总生存期（OS）显著降低，复发风险显著升高（HR=3.1~43.4）[PMID:31088829]。约一半的复发患者（中位56%）在术后首次血样中可检测到MRD阳性，近九成（中位89%）的复发患者在持续随访监控血样中可检测到MRD阳性；同</w:t>
      </w:r>
      <w:r>
        <w:rPr>
          <w:rFonts w:hint="eastAsia" w:ascii="黑体" w:hAnsi="黑体" w:cs="黑体"/>
          <w:szCs w:val="18"/>
        </w:rPr>
        <w:t>时MRD检测较传统影像学更早提示肿瘤复发（中位5.8个月）[PMID: 34785539]。美国NCCN结肠癌指南提示，术后ctDNA是I-III期结肠癌复发风险升高的标志物。中国《实体瘤分子残留病灶检测共识》推荐意见：实体瘤MRD的Landmark检测（治疗后首次检测）大多选择在根治性治疗后1个月内进行，MRD动态监测有助于提升检测性能。中国《非小细胞肺癌分子残留病灶专家共识》建议对术后患者MRD进行密切随访管理，每3~6个月进行一次MRD检测。</w:t>
      </w:r>
    </w:p>
    <w:p w14:paraId="142A59BB">
      <w:pPr>
        <w:widowControl/>
        <w:spacing w:line="360" w:lineRule="atLeast"/>
        <w:ind w:right="210" w:rightChars="100"/>
        <w:jc w:val="left"/>
        <w:rPr>
          <w:rFonts w:hint="eastAsia" w:ascii="黑体" w:hAnsi="黑体" w:eastAsia="黑体" w:cs="黑体"/>
          <w:b/>
          <w:color w:val="01528E"/>
          <w:sz w:val="18"/>
          <w:szCs w:val="18"/>
        </w:rPr>
      </w:pPr>
      <w:r>
        <w:rPr>
          <w:rFonts w:hint="eastAsia" w:ascii="黑体" w:hAnsi="黑体" w:eastAsia="黑体" w:cs="黑体"/>
          <w:b/>
          <w:color w:val="01528E"/>
          <w:sz w:val="18"/>
          <w:szCs w:val="18"/>
        </w:rPr>
        <w:t>备注：</w:t>
      </w:r>
    </w:p>
    <w:p w14:paraId="05D8BD2D">
      <w:pPr>
        <w:pStyle w:val="5"/>
        <w:spacing w:before="93"/>
        <w:rPr>
          <w:rFonts w:hint="eastAsia" w:ascii="黑体" w:hAnsi="黑体" w:eastAsia="黑体" w:cs="Courier New"/>
          <w:color w:val="595959"/>
          <w:kern w:val="2"/>
        </w:rPr>
      </w:pPr>
      <w:r>
        <w:rPr>
          <w:rFonts w:hint="eastAsia" w:ascii="黑体" w:hAnsi="黑体" w:eastAsia="黑体" w:cs="Courier New"/>
          <w:color w:val="595959"/>
          <w:kern w:val="2"/>
        </w:rPr>
        <w:t>MRD的预后提示基于现有临床研究报道，还需结合患者具体临床情况，不应单独作为指导临床决策的依据。</w:t>
      </w:r>
    </w:p>
    <w:p w14:paraId="7C169038">
      <w:pPr>
        <w:rPr>
          <w:rFonts w:hint="eastAsia"/>
        </w:rPr>
      </w:pPr>
      <w:r>
        <w:br w:type="page"/>
      </w:r>
    </w:p>
    <w:p w14:paraId="673967B0">
      <w:pPr>
        <w:pStyle w:val="3"/>
        <w:keepNext w:val="0"/>
        <w:keepLines w:val="0"/>
        <w:spacing w:before="0" w:after="0" w:line="240" w:lineRule="auto"/>
        <w:ind w:left="100"/>
        <w:jc w:val="center"/>
        <w:rPr>
          <w:rFonts w:hint="eastAsia" w:ascii="黑体" w:hAnsi="黑体" w:eastAsia="黑体" w:cs="黑体"/>
          <w:color w:val="01528E"/>
          <w:kern w:val="0"/>
          <w:sz w:val="36"/>
          <w:szCs w:val="36"/>
        </w:rPr>
      </w:pPr>
      <w:bookmarkStart w:id="23" w:name="_Toc114664082"/>
      <w:bookmarkStart w:id="24" w:name="_Toc5882"/>
      <w:r>
        <w:rPr>
          <w:rFonts w:ascii="黑体" w:hAnsi="黑体" w:eastAsia="黑体" w:cs="黑体"/>
          <w:color w:val="01528E"/>
          <w:kern w:val="0"/>
          <w:sz w:val="36"/>
          <w:szCs w:val="36"/>
        </w:rPr>
        <w:t>2.</w:t>
      </w:r>
      <w:bookmarkEnd w:id="23"/>
      <w:r>
        <w:rPr>
          <w:rFonts w:ascii="黑体" w:hAnsi="黑体" w:eastAsia="黑体" w:cs="黑体"/>
          <w:color w:val="01528E"/>
          <w:kern w:val="0"/>
          <w:sz w:val="36"/>
          <w:szCs w:val="36"/>
        </w:rPr>
        <w:t xml:space="preserve"> ctDNA</w:t>
      </w:r>
      <w:r>
        <w:rPr>
          <w:rFonts w:hint="eastAsia" w:ascii="黑体" w:hAnsi="黑体" w:eastAsia="黑体" w:cs="黑体"/>
          <w:color w:val="01528E"/>
          <w:kern w:val="0"/>
          <w:sz w:val="36"/>
          <w:szCs w:val="36"/>
        </w:rPr>
        <w:t>变化趋势</w:t>
      </w:r>
      <w:bookmarkEnd w:id="24"/>
    </w:p>
    <w:p w14:paraId="03FEC65F">
      <w:pPr>
        <w:rPr>
          <w:rFonts w:hint="eastAsia"/>
        </w:rPr>
      </w:pPr>
    </w:p>
    <w:p w14:paraId="7675C6C8">
      <w:pPr>
        <w:jc w:val="center"/>
        <w:rPr>
          <w:rFonts w:hint="default"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{{mrd.imgStr | pdi(510.5,276.5)}}</w:t>
      </w:r>
    </w:p>
    <w:p w14:paraId="3EAF292D">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p w14:paraId="6C3EAE88">
      <w:pPr>
        <w:widowControl/>
        <w:jc w:val="left"/>
        <w:rPr>
          <w:rFonts w:hint="eastAsia" w:ascii="宋体" w:hAnsi="宋体" w:eastAsia="宋体"/>
          <w:kern w:val="0"/>
          <w:sz w:val="24"/>
          <w:szCs w:val="24"/>
        </w:rPr>
      </w:pPr>
      <w:r>
        <w:rPr>
          <w:rFonts w:hint="eastAsia" w:ascii="黑体" w:hAnsi="黑体" w:eastAsia="黑体"/>
          <w:b/>
          <w:bCs/>
          <w:color w:val="01528E"/>
          <w:kern w:val="0"/>
          <w:sz w:val="18"/>
          <w:szCs w:val="18"/>
        </w:rPr>
        <w:t>备注：</w:t>
      </w:r>
      <w:r>
        <w:rPr>
          <w:rFonts w:hint="eastAsia" w:ascii="宋体" w:hAnsi="宋体" w:eastAsia="宋体"/>
          <w:b/>
          <w:bCs/>
          <w:color w:val="01528E"/>
          <w:kern w:val="0"/>
          <w:sz w:val="18"/>
          <w:szCs w:val="18"/>
        </w:rPr>
        <w:t xml:space="preserve"> </w:t>
      </w:r>
    </w:p>
    <w:p w14:paraId="150E4A8F">
      <w:pPr>
        <w:numPr>
          <w:ilvl w:val="0"/>
          <w:numId w:val="5"/>
        </w:numPr>
        <w:ind w:left="425" w:leftChars="0" w:hanging="425" w:firstLineChars="0"/>
        <w:rPr>
          <w:rFonts w:hint="eastAsia" w:ascii="黑体" w:hAnsi="黑体" w:eastAsia="黑体" w:cs="黑体"/>
          <w:color w:val="595959"/>
          <w:sz w:val="18"/>
          <w:highlight w:val="none"/>
          <w:lang w:eastAsia="zh-CN"/>
        </w:rPr>
      </w:pPr>
      <w:r>
        <w:rPr>
          <w:rFonts w:hint="eastAsia" w:ascii="黑体" w:hAnsi="黑体" w:eastAsia="黑体" w:cs="黑体"/>
          <w:color w:val="595959"/>
          <w:sz w:val="18"/>
          <w:highlight w:val="none"/>
          <w:lang w:eastAsia="zh-CN"/>
        </w:rPr>
        <w:t>ctDNA浓度：指每毫升血浆中的平均肿瘤分子含量（mean tumor molecule per milliliter，MTM/mL）。</w:t>
      </w:r>
    </w:p>
    <w:p w14:paraId="2AB40DE7">
      <w:pPr>
        <w:rPr>
          <w:rFonts w:hint="eastAsia"/>
        </w:rPr>
      </w:pPr>
      <w:r>
        <w:br w:type="page"/>
      </w:r>
    </w:p>
    <w:p w14:paraId="13440560">
      <w:pPr>
        <w:pStyle w:val="3"/>
        <w:keepNext w:val="0"/>
        <w:keepLines w:val="0"/>
        <w:spacing w:before="0" w:after="0" w:line="240" w:lineRule="auto"/>
        <w:ind w:left="100"/>
        <w:jc w:val="center"/>
        <w:rPr>
          <w:rFonts w:hint="eastAsia" w:ascii="黑体" w:hAnsi="黑体" w:eastAsia="黑体" w:cs="黑体"/>
          <w:color w:val="01528E"/>
          <w:kern w:val="0"/>
          <w:sz w:val="36"/>
          <w:szCs w:val="36"/>
        </w:rPr>
      </w:pPr>
      <w:bookmarkStart w:id="25" w:name="_Toc21244"/>
      <w:r>
        <w:rPr>
          <w:rFonts w:hint="eastAsia" w:ascii="黑体" w:hAnsi="黑体" w:eastAsia="黑体" w:cs="黑体"/>
          <w:color w:val="01528E"/>
          <w:kern w:val="0"/>
          <w:sz w:val="36"/>
          <w:szCs w:val="36"/>
        </w:rPr>
        <w:t>3</w:t>
      </w:r>
      <w:r>
        <w:rPr>
          <w:rFonts w:ascii="黑体" w:hAnsi="黑体" w:eastAsia="黑体" w:cs="黑体"/>
          <w:color w:val="01528E"/>
          <w:kern w:val="0"/>
          <w:sz w:val="36"/>
          <w:szCs w:val="36"/>
        </w:rPr>
        <w:t>. 循环肿瘤</w:t>
      </w:r>
      <w:r>
        <w:rPr>
          <w:rFonts w:ascii="Times New Roman" w:hAnsi="Times New Roman" w:eastAsia="黑体" w:cs="Times New Roman"/>
          <w:color w:val="01528E"/>
          <w:kern w:val="0"/>
          <w:sz w:val="36"/>
          <w:szCs w:val="36"/>
        </w:rPr>
        <w:t>DNA</w:t>
      </w:r>
      <w:r>
        <w:rPr>
          <w:rFonts w:ascii="黑体" w:hAnsi="黑体" w:eastAsia="黑体" w:cs="黑体"/>
          <w:color w:val="01528E"/>
          <w:kern w:val="0"/>
          <w:sz w:val="36"/>
          <w:szCs w:val="36"/>
        </w:rPr>
        <w:t>检测结果</w:t>
      </w:r>
      <w:bookmarkEnd w:id="25"/>
    </w:p>
    <w:p w14:paraId="72FFC0C3">
      <w:pPr>
        <w:pStyle w:val="43"/>
        <w:outlineLvl w:val="9"/>
        <w:rPr>
          <w:rFonts w:hint="eastAsia"/>
          <w:sz w:val="32"/>
          <w:szCs w:val="32"/>
        </w:rPr>
      </w:pPr>
      <w:bookmarkStart w:id="26" w:name="_Toc205305063"/>
      <w:bookmarkStart w:id="27" w:name="_Toc11900"/>
      <w:bookmarkStart w:id="28" w:name="_Toc8808"/>
      <w:r>
        <w:rPr>
          <w:rFonts w:hint="eastAsia"/>
          <w:sz w:val="32"/>
          <w:szCs w:val="32"/>
        </w:rPr>
        <w:t>历次检测结果</w:t>
      </w:r>
      <w:bookmarkEnd w:id="26"/>
      <w:bookmarkEnd w:id="27"/>
      <w:bookmarkEnd w:id="28"/>
    </w:p>
    <w:tbl>
      <w:tblPr>
        <w:tblStyle w:val="60"/>
        <w:tblW w:w="10071" w:type="dxa"/>
        <w:jc w:val="center"/>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Layout w:type="fixed"/>
        <w:tblCellMar>
          <w:top w:w="0" w:type="dxa"/>
          <w:left w:w="0" w:type="dxa"/>
          <w:bottom w:w="0" w:type="dxa"/>
          <w:right w:w="0" w:type="dxa"/>
        </w:tblCellMar>
      </w:tblPr>
      <w:tblGrid>
        <w:gridCol w:w="2460"/>
        <w:gridCol w:w="4850"/>
        <w:gridCol w:w="2761"/>
      </w:tblGrid>
      <w:tr w14:paraId="0906C09F">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720" w:hRule="atLeast"/>
          <w:jc w:val="center"/>
        </w:trPr>
        <w:tc>
          <w:tcPr>
            <w:tcW w:w="2460" w:type="dxa"/>
            <w:shd w:val="clear" w:color="auto" w:fill="00528E"/>
            <w:vAlign w:val="center"/>
          </w:tcPr>
          <w:p w14:paraId="66827E51">
            <w:pPr>
              <w:pStyle w:val="59"/>
              <w:jc w:val="center"/>
              <w:rPr>
                <w:rFonts w:hint="eastAsia" w:ascii="黑体" w:hAnsi="黑体" w:eastAsia="黑体" w:cs="黑体"/>
                <w:b/>
                <w:bCs/>
                <w:color w:val="FFFFFF" w:themeColor="background1"/>
                <w:sz w:val="21"/>
                <w:szCs w:val="21"/>
                <w:lang w:val="en-US" w:eastAsia="zh-CN"/>
                <w14:textFill>
                  <w14:solidFill>
                    <w14:schemeClr w14:val="bg1"/>
                  </w14:solidFill>
                </w14:textFill>
              </w:rPr>
            </w:pPr>
            <w:r>
              <w:rPr>
                <w:rFonts w:hint="eastAsia" w:ascii="黑体" w:hAnsi="黑体" w:eastAsia="黑体" w:cs="黑体"/>
                <w:b/>
                <w:bCs/>
                <w:color w:val="FFFFFF" w:themeColor="background1"/>
                <w:sz w:val="21"/>
                <w:szCs w:val="21"/>
                <w:lang w:val="en-US" w:eastAsia="zh-CN"/>
                <w14:textFill>
                  <w14:solidFill>
                    <w14:schemeClr w14:val="bg1"/>
                  </w14:solidFill>
                </w14:textFill>
              </w:rPr>
              <w:t>{%tc for th in mrd.mrdJson.mrd_th%}</w:t>
            </w:r>
          </w:p>
        </w:tc>
        <w:tc>
          <w:tcPr>
            <w:tcW w:w="4850" w:type="dxa"/>
            <w:shd w:val="clear" w:color="auto" w:fill="00528E"/>
            <w:vAlign w:val="center"/>
          </w:tcPr>
          <w:p w14:paraId="7DD96A74">
            <w:pPr>
              <w:pStyle w:val="59"/>
              <w:jc w:val="center"/>
              <w:rPr>
                <w:rFonts w:hint="eastAsia" w:ascii="黑体" w:hAnsi="黑体" w:eastAsia="黑体" w:cs="黑体"/>
                <w:b/>
                <w:bCs/>
                <w:color w:val="FFFFFF" w:themeColor="background1"/>
                <w:sz w:val="21"/>
                <w:szCs w:val="21"/>
                <w:lang w:val="en-US" w:eastAsia="zh-CN"/>
                <w14:textFill>
                  <w14:solidFill>
                    <w14:schemeClr w14:val="bg1"/>
                  </w14:solidFill>
                </w14:textFill>
              </w:rPr>
            </w:pPr>
            <w:r>
              <w:rPr>
                <w:rFonts w:hint="eastAsia" w:ascii="黑体" w:hAnsi="黑体" w:eastAsia="黑体" w:cs="黑体"/>
                <w:b/>
                <w:bCs/>
                <w:color w:val="FFFFFF" w:themeColor="background1"/>
                <w:sz w:val="21"/>
                <w:szCs w:val="21"/>
                <w:lang w:val="en-US" w:eastAsia="zh-CN"/>
                <w14:textFill>
                  <w14:solidFill>
                    <w14:schemeClr w14:val="bg1"/>
                  </w14:solidFill>
                </w14:textFill>
              </w:rPr>
              <w:t>{% set items = th.split(",") %}{% if items[0] == "组织" %}{% for t in items[:2] %}{{ t }}{% if not loop.last %}</w:t>
            </w:r>
          </w:p>
          <w:p w14:paraId="1FA84A24">
            <w:pPr>
              <w:pStyle w:val="59"/>
              <w:jc w:val="center"/>
              <w:rPr>
                <w:rFonts w:hint="eastAsia" w:ascii="黑体" w:hAnsi="黑体" w:eastAsia="黑体" w:cs="黑体"/>
                <w:b/>
                <w:bCs/>
                <w:color w:val="FFFFFF" w:themeColor="background1"/>
                <w:sz w:val="21"/>
                <w:szCs w:val="21"/>
                <w:lang w:val="en-US" w:eastAsia="zh-CN"/>
                <w14:textFill>
                  <w14:solidFill>
                    <w14:schemeClr w14:val="bg1"/>
                  </w14:solidFill>
                </w14:textFill>
              </w:rPr>
            </w:pPr>
            <w:r>
              <w:rPr>
                <w:rFonts w:hint="eastAsia" w:ascii="黑体" w:hAnsi="黑体" w:eastAsia="黑体" w:cs="黑体"/>
                <w:b/>
                <w:bCs/>
                <w:color w:val="FFFFFF" w:themeColor="background1"/>
                <w:sz w:val="21"/>
                <w:szCs w:val="21"/>
                <w:lang w:val="en-US" w:eastAsia="zh-CN"/>
                <w14:textFill>
                  <w14:solidFill>
                    <w14:schemeClr w14:val="bg1"/>
                  </w14:solidFill>
                </w14:textFill>
              </w:rPr>
              <w:t>{% endif %}{% endfor %}{% else %}{% for t in items %}{{ t }}{% if not loop.last %}</w:t>
            </w:r>
          </w:p>
          <w:p w14:paraId="0E0C489E">
            <w:pPr>
              <w:pStyle w:val="59"/>
              <w:jc w:val="center"/>
              <w:rPr>
                <w:rFonts w:hint="eastAsia" w:ascii="黑体" w:hAnsi="黑体" w:eastAsia="黑体" w:cs="黑体"/>
                <w:b/>
                <w:bCs/>
                <w:color w:val="FFFFFF" w:themeColor="background1"/>
                <w:sz w:val="21"/>
                <w:szCs w:val="21"/>
                <w:lang w:val="en-US" w:eastAsia="zh-CN"/>
                <w14:textFill>
                  <w14:solidFill>
                    <w14:schemeClr w14:val="bg1"/>
                  </w14:solidFill>
                </w14:textFill>
              </w:rPr>
            </w:pPr>
            <w:r>
              <w:rPr>
                <w:rFonts w:hint="eastAsia" w:ascii="黑体" w:hAnsi="黑体" w:eastAsia="黑体" w:cs="黑体"/>
                <w:b/>
                <w:bCs/>
                <w:color w:val="FFFFFF" w:themeColor="background1"/>
                <w:sz w:val="21"/>
                <w:szCs w:val="21"/>
                <w:lang w:val="en-US" w:eastAsia="zh-CN"/>
                <w14:textFill>
                  <w14:solidFill>
                    <w14:schemeClr w14:val="bg1"/>
                  </w14:solidFill>
                </w14:textFill>
              </w:rPr>
              <w:t>{% endif %}{% endfor %}{% endif %}</w:t>
            </w:r>
          </w:p>
        </w:tc>
        <w:tc>
          <w:tcPr>
            <w:tcW w:w="2761" w:type="dxa"/>
            <w:shd w:val="clear" w:color="auto" w:fill="00528E"/>
            <w:vAlign w:val="center"/>
          </w:tcPr>
          <w:p w14:paraId="7F13BDF3">
            <w:pPr>
              <w:pStyle w:val="59"/>
              <w:jc w:val="center"/>
              <w:rPr>
                <w:rFonts w:hint="eastAsia" w:ascii="黑体" w:hAnsi="黑体" w:eastAsia="黑体" w:cs="黑体"/>
                <w:b/>
                <w:bCs/>
                <w:color w:val="FFFFFF" w:themeColor="background1"/>
                <w:sz w:val="21"/>
                <w:szCs w:val="21"/>
                <w:lang w:val="en-US" w:eastAsia="zh-CN"/>
                <w14:textFill>
                  <w14:solidFill>
                    <w14:schemeClr w14:val="bg1"/>
                  </w14:solidFill>
                </w14:textFill>
              </w:rPr>
            </w:pPr>
            <w:r>
              <w:rPr>
                <w:rFonts w:hint="eastAsia" w:ascii="黑体" w:hAnsi="黑体" w:eastAsia="黑体" w:cs="黑体"/>
                <w:b/>
                <w:bCs/>
                <w:color w:val="FFFFFF" w:themeColor="background1"/>
                <w:sz w:val="21"/>
                <w:szCs w:val="21"/>
                <w:lang w:val="en-US" w:eastAsia="zh-CN"/>
                <w14:textFill>
                  <w14:solidFill>
                    <w14:schemeClr w14:val="bg1"/>
                  </w14:solidFill>
                </w14:textFill>
              </w:rPr>
              <w:t>{%tc endfor %}</w:t>
            </w:r>
          </w:p>
        </w:tc>
      </w:tr>
      <w:tr w14:paraId="6EC2D5EE">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0" w:hRule="atLeast"/>
          <w:jc w:val="center"/>
        </w:trPr>
        <w:tc>
          <w:tcPr>
            <w:tcW w:w="10071" w:type="dxa"/>
            <w:gridSpan w:val="3"/>
            <w:shd w:val="clear" w:color="auto" w:fill="auto"/>
            <w:vAlign w:val="center"/>
          </w:tcPr>
          <w:p w14:paraId="7812739C">
            <w:pPr>
              <w:spacing w:before="20"/>
              <w:jc w:val="center"/>
              <w:rPr>
                <w:rFonts w:hint="eastAsia" w:ascii="黑体" w:hAnsi="黑体" w:eastAsia="黑体" w:cs="黑体"/>
                <w:b w:val="0"/>
                <w:bCs w:val="0"/>
                <w:color w:val="595959"/>
                <w:sz w:val="18"/>
                <w:szCs w:val="18"/>
                <w:lang w:val="en-US" w:eastAsia="zh-CN"/>
              </w:rPr>
            </w:pPr>
            <w:r>
              <w:rPr>
                <w:rFonts w:hint="eastAsia" w:ascii="黑体" w:hAnsi="黑体" w:eastAsia="黑体" w:cs="黑体"/>
                <w:b w:val="0"/>
                <w:bCs w:val="0"/>
                <w:color w:val="595959"/>
                <w:sz w:val="18"/>
                <w:szCs w:val="18"/>
                <w:lang w:val="en-US" w:eastAsia="zh-CN"/>
              </w:rPr>
              <w:t>{%tr for tds in mrd.mrdJson.mrd_tds %}</w:t>
            </w:r>
          </w:p>
        </w:tc>
      </w:tr>
      <w:tr w14:paraId="6B4BE24C">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0" w:hRule="atLeast"/>
          <w:jc w:val="center"/>
        </w:trPr>
        <w:tc>
          <w:tcPr>
            <w:tcW w:w="2460" w:type="dxa"/>
            <w:shd w:val="clear" w:color="auto" w:fill="auto"/>
            <w:vAlign w:val="center"/>
          </w:tcPr>
          <w:p w14:paraId="2ACA92E0">
            <w:pPr>
              <w:spacing w:before="20"/>
              <w:jc w:val="center"/>
              <w:rPr>
                <w:rFonts w:hint="eastAsia" w:ascii="黑体" w:hAnsi="黑体" w:eastAsia="黑体" w:cs="黑体"/>
                <w:b/>
                <w:bCs/>
                <w:color w:val="595959"/>
                <w:sz w:val="18"/>
                <w:szCs w:val="18"/>
                <w:lang w:val="en-US" w:eastAsia="zh-CN"/>
              </w:rPr>
            </w:pPr>
            <w:r>
              <w:rPr>
                <w:rFonts w:hint="eastAsia" w:ascii="黑体" w:hAnsi="黑体" w:eastAsia="黑体" w:cs="黑体"/>
                <w:b/>
                <w:bCs/>
                <w:color w:val="595959"/>
                <w:sz w:val="18"/>
                <w:szCs w:val="18"/>
                <w:lang w:val="en-US" w:eastAsia="zh-CN"/>
              </w:rPr>
              <w:t>{%tc for td in tds%}</w:t>
            </w:r>
          </w:p>
        </w:tc>
        <w:tc>
          <w:tcPr>
            <w:tcW w:w="4850" w:type="dxa"/>
            <w:shd w:val="clear" w:color="auto" w:fill="auto"/>
            <w:vAlign w:val="center"/>
          </w:tcPr>
          <w:p w14:paraId="3E632BF5">
            <w:pPr>
              <w:spacing w:before="20"/>
              <w:jc w:val="center"/>
              <w:rPr>
                <w:rFonts w:hint="eastAsia" w:ascii="黑体" w:hAnsi="黑体" w:eastAsia="黑体" w:cs="黑体"/>
                <w:b w:val="0"/>
                <w:bCs w:val="0"/>
                <w:color w:val="595959"/>
                <w:sz w:val="18"/>
                <w:szCs w:val="18"/>
                <w:lang w:val="en-US" w:eastAsia="zh-CN"/>
              </w:rPr>
            </w:pPr>
            <w:r>
              <w:rPr>
                <w:rFonts w:hint="eastAsia" w:ascii="黑体" w:hAnsi="黑体" w:eastAsia="黑体" w:cs="黑体"/>
                <w:b w:val="0"/>
                <w:bCs w:val="0"/>
                <w:color w:val="595959"/>
                <w:sz w:val="18"/>
                <w:szCs w:val="18"/>
                <w:lang w:val="en-US" w:eastAsia="zh-CN"/>
              </w:rPr>
              <w:t>{{td}}</w:t>
            </w:r>
          </w:p>
        </w:tc>
        <w:tc>
          <w:tcPr>
            <w:tcW w:w="2761" w:type="dxa"/>
            <w:shd w:val="clear" w:color="auto" w:fill="auto"/>
            <w:vAlign w:val="center"/>
          </w:tcPr>
          <w:p w14:paraId="27950F4A">
            <w:pPr>
              <w:spacing w:before="20"/>
              <w:jc w:val="center"/>
              <w:rPr>
                <w:rFonts w:hint="eastAsia" w:ascii="黑体" w:hAnsi="黑体" w:eastAsia="黑体" w:cs="黑体"/>
                <w:b w:val="0"/>
                <w:bCs w:val="0"/>
                <w:color w:val="595959"/>
                <w:sz w:val="18"/>
                <w:szCs w:val="18"/>
                <w:lang w:val="en-US" w:eastAsia="zh-CN"/>
              </w:rPr>
            </w:pPr>
            <w:r>
              <w:rPr>
                <w:rFonts w:hint="eastAsia" w:ascii="黑体" w:hAnsi="黑体" w:eastAsia="黑体" w:cs="黑体"/>
                <w:b w:val="0"/>
                <w:bCs w:val="0"/>
                <w:color w:val="595959"/>
                <w:sz w:val="18"/>
                <w:szCs w:val="18"/>
                <w:lang w:val="en-US" w:eastAsia="zh-CN"/>
              </w:rPr>
              <w:t>{%tc endfor %}</w:t>
            </w:r>
          </w:p>
        </w:tc>
      </w:tr>
      <w:tr w14:paraId="6F587206">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0" w:hRule="atLeast"/>
          <w:jc w:val="center"/>
        </w:trPr>
        <w:tc>
          <w:tcPr>
            <w:tcW w:w="10071" w:type="dxa"/>
            <w:gridSpan w:val="3"/>
            <w:shd w:val="clear" w:color="auto" w:fill="auto"/>
            <w:vAlign w:val="center"/>
          </w:tcPr>
          <w:p w14:paraId="003E9389">
            <w:pPr>
              <w:spacing w:before="20"/>
              <w:jc w:val="center"/>
              <w:rPr>
                <w:rFonts w:hint="eastAsia" w:ascii="黑体" w:hAnsi="黑体" w:eastAsia="黑体" w:cs="黑体"/>
                <w:color w:val="595959"/>
                <w:sz w:val="18"/>
                <w:szCs w:val="18"/>
                <w:lang w:val="en-US" w:eastAsia="zh-CN" w:bidi="ar-SA"/>
              </w:rPr>
            </w:pPr>
            <w:r>
              <w:rPr>
                <w:rFonts w:hint="eastAsia" w:ascii="黑体" w:hAnsi="黑体" w:eastAsia="黑体" w:cs="黑体"/>
                <w:color w:val="595959"/>
                <w:sz w:val="18"/>
                <w:szCs w:val="18"/>
                <w:lang w:val="en-US" w:eastAsia="zh-CN" w:bidi="ar-SA"/>
              </w:rPr>
              <w:t>{%tr endfor %}</w:t>
            </w:r>
          </w:p>
        </w:tc>
      </w:tr>
    </w:tbl>
    <w:p w14:paraId="718F9FB4">
      <w:pPr>
        <w:widowControl/>
        <w:jc w:val="left"/>
        <w:rPr>
          <w:rFonts w:hint="eastAsia" w:ascii="黑体" w:hAnsi="黑体" w:eastAsia="黑体" w:cs="黑体"/>
          <w:kern w:val="0"/>
          <w:sz w:val="18"/>
          <w:szCs w:val="18"/>
        </w:rPr>
      </w:pPr>
      <w:r>
        <w:rPr>
          <w:rFonts w:hint="eastAsia" w:ascii="黑体" w:hAnsi="黑体" w:eastAsia="黑体" w:cs="黑体"/>
          <w:b/>
          <w:bCs/>
          <w:color w:val="01528E"/>
          <w:kern w:val="0"/>
          <w:sz w:val="18"/>
          <w:szCs w:val="18"/>
        </w:rPr>
        <w:t xml:space="preserve">备注： </w:t>
      </w:r>
    </w:p>
    <w:p w14:paraId="17D17CF8">
      <w:pPr>
        <w:numPr>
          <w:ilvl w:val="0"/>
          <w:numId w:val="6"/>
        </w:numPr>
        <w:ind w:left="425" w:leftChars="0" w:hanging="425" w:firstLineChars="0"/>
        <w:rPr>
          <w:rFonts w:hint="eastAsia" w:ascii="黑体" w:hAnsi="黑体" w:eastAsia="黑体" w:cs="黑体"/>
          <w:color w:val="595959"/>
          <w:sz w:val="18"/>
          <w:szCs w:val="18"/>
          <w:highlight w:val="none"/>
          <w:lang w:eastAsia="zh-CN"/>
        </w:rPr>
      </w:pPr>
      <w:r>
        <w:rPr>
          <w:rFonts w:hint="eastAsia" w:ascii="黑体" w:hAnsi="黑体" w:eastAsia="黑体" w:cs="黑体"/>
          <w:color w:val="595959"/>
          <w:sz w:val="18"/>
          <w:szCs w:val="18"/>
          <w:highlight w:val="none"/>
          <w:lang w:eastAsia="zh-CN"/>
        </w:rPr>
        <w:t>历次检测结果展示突变为分子残留病灶（MRD）监测产品追踪的特异性突变（仅体细胞变异）。</w:t>
      </w:r>
    </w:p>
    <w:p w14:paraId="7D5F16EE">
      <w:pPr>
        <w:numPr>
          <w:ilvl w:val="0"/>
          <w:numId w:val="6"/>
        </w:numPr>
        <w:ind w:left="425" w:leftChars="0" w:hanging="425" w:firstLineChars="0"/>
        <w:rPr>
          <w:rFonts w:hint="eastAsia" w:ascii="黑体" w:hAnsi="黑体" w:eastAsia="黑体" w:cs="黑体"/>
          <w:color w:val="595959"/>
          <w:sz w:val="18"/>
          <w:szCs w:val="18"/>
          <w:lang w:eastAsia="zh-CN"/>
        </w:rPr>
      </w:pPr>
      <w:r>
        <w:rPr>
          <w:rFonts w:hint="eastAsia" w:ascii="黑体" w:hAnsi="黑体" w:eastAsia="黑体" w:cs="黑体"/>
          <w:color w:val="595959"/>
          <w:sz w:val="18"/>
          <w:szCs w:val="18"/>
          <w:lang w:eastAsia="zh-CN"/>
        </w:rPr>
        <w:t>"-"表示本次检测未发现</w:t>
      </w:r>
      <w:r>
        <w:rPr>
          <w:rFonts w:hint="eastAsia" w:ascii="黑体" w:hAnsi="黑体" w:eastAsia="黑体" w:cs="黑体"/>
          <w:color w:val="595959"/>
          <w:sz w:val="18"/>
          <w:szCs w:val="18"/>
          <w:lang w:val="en-US" w:eastAsia="zh-CN"/>
        </w:rPr>
        <w:t>该</w:t>
      </w:r>
      <w:r>
        <w:rPr>
          <w:rFonts w:hint="eastAsia" w:ascii="黑体" w:hAnsi="黑体" w:eastAsia="黑体" w:cs="黑体"/>
          <w:color w:val="595959"/>
          <w:sz w:val="18"/>
          <w:szCs w:val="18"/>
          <w:lang w:eastAsia="zh-CN"/>
        </w:rPr>
        <w:t>变异。</w:t>
      </w:r>
    </w:p>
    <w:p w14:paraId="4E1113EE">
      <w:pPr>
        <w:numPr>
          <w:ilvl w:val="0"/>
          <w:numId w:val="6"/>
        </w:numPr>
        <w:ind w:left="425" w:leftChars="0" w:hanging="425" w:firstLineChars="0"/>
        <w:rPr>
          <w:rFonts w:hint="eastAsia" w:ascii="黑体" w:hAnsi="黑体" w:eastAsia="黑体" w:cs="黑体"/>
          <w:color w:val="595959"/>
          <w:sz w:val="18"/>
          <w:szCs w:val="18"/>
          <w:lang w:eastAsia="zh-CN"/>
        </w:rPr>
      </w:pPr>
      <w:r>
        <w:rPr>
          <w:rFonts w:hint="eastAsia" w:ascii="黑体" w:hAnsi="黑体" w:eastAsia="黑体" w:cs="黑体"/>
          <w:color w:val="595959"/>
          <w:sz w:val="18"/>
          <w:szCs w:val="18"/>
          <w:lang w:eastAsia="zh-CN"/>
        </w:rPr>
        <w:t>变异丰度：在某位点产生突变的等位基因在该位点全部等位基因中所占比率。</w:t>
      </w:r>
    </w:p>
    <w:p w14:paraId="53ABFCF2">
      <w:pPr>
        <w:numPr>
          <w:ilvl w:val="0"/>
          <w:numId w:val="6"/>
        </w:numPr>
        <w:ind w:left="425" w:leftChars="0" w:hanging="425" w:firstLineChars="0"/>
        <w:rPr>
          <w:rFonts w:hint="eastAsia" w:ascii="黑体" w:hAnsi="黑体" w:eastAsia="黑体" w:cs="黑体"/>
          <w:color w:val="595959"/>
          <w:sz w:val="18"/>
          <w:szCs w:val="18"/>
          <w:lang w:eastAsia="zh-CN"/>
        </w:rPr>
      </w:pPr>
      <w:r>
        <w:rPr>
          <w:rFonts w:hint="eastAsia" w:ascii="黑体" w:hAnsi="黑体" w:eastAsia="黑体" w:cs="黑体"/>
          <w:color w:val="595959"/>
          <w:sz w:val="18"/>
          <w:szCs w:val="18"/>
          <w:lang w:eastAsia="zh-CN"/>
        </w:rPr>
        <w:t>基因变异检测结果：“c”为DNA序列，“p”为蛋白质。在DNA水平对某一突变位点的描述方式包括：碱基位点，正常碱基，“&gt;”符号，突变碱基。</w:t>
      </w:r>
    </w:p>
    <w:p w14:paraId="48A21059">
      <w:pPr>
        <w:rPr>
          <w:rFonts w:hint="eastAsia"/>
        </w:rPr>
      </w:pPr>
      <w:r>
        <w:br w:type="page"/>
      </w:r>
    </w:p>
    <w:p w14:paraId="0D10E726">
      <w:pPr>
        <w:pStyle w:val="2"/>
        <w:keepNext w:val="0"/>
        <w:keepLines w:val="0"/>
        <w:pageBreakBefore w:val="0"/>
        <w:widowControl w:val="0"/>
        <w:kinsoku/>
        <w:wordWrap/>
        <w:overflowPunct/>
        <w:topLinePunct w:val="0"/>
        <w:autoSpaceDE/>
        <w:autoSpaceDN/>
        <w:bidi w:val="0"/>
        <w:adjustRightInd/>
        <w:snapToGrid w:val="0"/>
        <w:spacing w:after="0" w:line="360" w:lineRule="auto"/>
        <w:jc w:val="center"/>
        <w:textAlignment w:val="auto"/>
        <w:outlineLvl w:val="0"/>
        <w:rPr>
          <w:rFonts w:hint="eastAsia" w:ascii="黑体" w:hAnsi="黑体" w:eastAsia="黑体" w:cs="黑体"/>
          <w:bCs w:val="0"/>
          <w:color w:val="01528E"/>
          <w:sz w:val="44"/>
          <w:szCs w:val="44"/>
        </w:rPr>
      </w:pPr>
      <w:bookmarkStart w:id="29" w:name="_Toc30962"/>
      <w:bookmarkStart w:id="30" w:name="_Toc114664096"/>
      <w:r>
        <w:rPr>
          <w:rFonts w:hint="eastAsia" w:ascii="黑体" w:hAnsi="黑体" w:eastAsia="黑体" w:cs="黑体"/>
          <w:bCs w:val="0"/>
          <w:color w:val="01528E"/>
          <w:sz w:val="44"/>
          <w:szCs w:val="44"/>
          <w:lang w:val="en-US" w:eastAsia="zh-CN"/>
        </w:rPr>
        <w:t>第三部分：备注与附录</w:t>
      </w:r>
      <w:bookmarkEnd w:id="29"/>
    </w:p>
    <w:p w14:paraId="7ECD8F27">
      <w:pPr>
        <w:pStyle w:val="2"/>
        <w:jc w:val="center"/>
        <w:rPr>
          <w:rFonts w:hint="eastAsia" w:eastAsia="黑体"/>
          <w:bCs w:val="0"/>
          <w:color w:val="01528E"/>
          <w:sz w:val="36"/>
          <w:szCs w:val="36"/>
        </w:rPr>
      </w:pPr>
      <w:bookmarkStart w:id="31" w:name="_Toc30924"/>
      <w:r>
        <w:rPr>
          <w:rFonts w:hint="eastAsia" w:eastAsia="黑体"/>
          <w:bCs w:val="0"/>
          <w:color w:val="01528E"/>
          <w:sz w:val="36"/>
          <w:szCs w:val="36"/>
        </w:rPr>
        <w:t>备  注</w:t>
      </w:r>
      <w:bookmarkEnd w:id="30"/>
      <w:bookmarkEnd w:id="31"/>
    </w:p>
    <w:p w14:paraId="6F892BE9">
      <w:pPr>
        <w:pStyle w:val="42"/>
        <w:numPr>
          <w:ilvl w:val="0"/>
          <w:numId w:val="7"/>
        </w:numPr>
        <w:snapToGrid w:val="0"/>
        <w:spacing w:before="156" w:beforeLines="50" w:after="156" w:afterLines="50" w:line="440" w:lineRule="exact"/>
        <w:ind w:right="210" w:rightChars="100" w:firstLineChars="0"/>
        <w:rPr>
          <w:rFonts w:hint="eastAsia" w:ascii="黑体" w:hAnsi="黑体" w:eastAsia="黑体" w:cs="黑体"/>
          <w:b/>
          <w:color w:val="01528E"/>
        </w:rPr>
      </w:pPr>
      <w:r>
        <w:rPr>
          <w:rFonts w:hint="eastAsia" w:ascii="黑体" w:hAnsi="黑体" w:eastAsia="黑体" w:cs="黑体"/>
          <w:b/>
          <w:color w:val="01528E"/>
        </w:rPr>
        <w:t>关于本产品</w:t>
      </w:r>
    </w:p>
    <w:p w14:paraId="18C302FC">
      <w:pPr>
        <w:snapToGrid w:val="0"/>
        <w:spacing w:line="440" w:lineRule="exact"/>
        <w:ind w:left="210" w:leftChars="100" w:right="210" w:rightChars="100"/>
        <w:rPr>
          <w:rFonts w:hint="eastAsia" w:ascii="黑体" w:hAnsi="黑体" w:eastAsia="黑体" w:cs="黑体"/>
          <w:color w:val="595959"/>
          <w:szCs w:val="21"/>
        </w:rPr>
      </w:pPr>
      <w:r>
        <w:rPr>
          <w:rFonts w:hint="eastAsia" w:ascii="黑体" w:hAnsi="黑体" w:eastAsia="黑体" w:cs="黑体"/>
          <w:bCs/>
          <w:color w:val="595959"/>
          <w:szCs w:val="21"/>
        </w:rPr>
        <w:t>1. 本次检测结果只对本次送检样本负责，检测结果的解释及建议基于当前的科学研究水平，</w:t>
      </w:r>
      <w:r>
        <w:rPr>
          <w:rFonts w:hint="eastAsia" w:ascii="黑体" w:hAnsi="黑体" w:eastAsia="黑体" w:cs="黑体"/>
          <w:color w:val="595959"/>
          <w:szCs w:val="21"/>
        </w:rPr>
        <w:t>已发表的文献和公开的数据库，随着科学研究的发展和数据库的更新，变异解读可能变化。</w:t>
      </w:r>
    </w:p>
    <w:p w14:paraId="15F7D835">
      <w:pPr>
        <w:snapToGrid w:val="0"/>
        <w:spacing w:line="440" w:lineRule="exact"/>
        <w:ind w:left="210" w:leftChars="100" w:right="210" w:rightChars="100"/>
        <w:rPr>
          <w:rFonts w:hint="eastAsia" w:ascii="黑体" w:hAnsi="黑体" w:eastAsia="黑体" w:cs="黑体"/>
          <w:bCs/>
          <w:color w:val="595959"/>
          <w:szCs w:val="21"/>
        </w:rPr>
      </w:pPr>
      <w:r>
        <w:rPr>
          <w:rFonts w:hint="eastAsia" w:ascii="黑体" w:hAnsi="黑体" w:eastAsia="黑体" w:cs="黑体"/>
          <w:bCs/>
          <w:color w:val="595959"/>
          <w:szCs w:val="21"/>
        </w:rPr>
        <w:t>2. 本检测仅为临床诊断及治疗决策提供参考和辅助。临床诊断及治疗应由临床医生结合受检者全面的临床信息进行综合判断。</w:t>
      </w:r>
    </w:p>
    <w:p w14:paraId="378D406D">
      <w:pPr>
        <w:snapToGrid w:val="0"/>
        <w:spacing w:line="440" w:lineRule="exact"/>
        <w:ind w:left="210" w:leftChars="100" w:right="210" w:rightChars="100"/>
        <w:rPr>
          <w:rFonts w:hint="eastAsia" w:ascii="黑体" w:hAnsi="黑体" w:eastAsia="黑体" w:cs="黑体"/>
          <w:bCs/>
          <w:color w:val="595959"/>
          <w:szCs w:val="21"/>
        </w:rPr>
      </w:pPr>
      <w:r>
        <w:rPr>
          <w:rFonts w:hint="eastAsia" w:ascii="黑体" w:hAnsi="黑体" w:eastAsia="黑体" w:cs="黑体"/>
          <w:bCs/>
          <w:color w:val="595959"/>
          <w:szCs w:val="21"/>
        </w:rPr>
        <w:t>3. 肿瘤具有异质性，组织检测到的变异可能无法完全反映病灶部位全部细胞变异情况，不应仅因本检测的结果评估判断肿瘤是否消失或复发。</w:t>
      </w:r>
    </w:p>
    <w:p w14:paraId="3543B5D8">
      <w:pPr>
        <w:snapToGrid w:val="0"/>
        <w:spacing w:line="440" w:lineRule="exact"/>
        <w:ind w:left="210" w:leftChars="100" w:right="210" w:rightChars="100"/>
        <w:rPr>
          <w:rFonts w:hint="eastAsia" w:ascii="黑体" w:hAnsi="黑体" w:eastAsia="黑体" w:cs="黑体"/>
          <w:bCs/>
          <w:color w:val="595959"/>
          <w:szCs w:val="21"/>
        </w:rPr>
      </w:pPr>
      <w:r>
        <w:rPr>
          <w:rFonts w:hint="eastAsia" w:ascii="黑体" w:hAnsi="黑体" w:eastAsia="黑体" w:cs="黑体"/>
          <w:bCs/>
          <w:color w:val="595959"/>
          <w:szCs w:val="21"/>
        </w:rPr>
        <w:t>4.本检测采用特定肿瘤组织检测结果设计定制化panel进行高深度测序，不包含其他肿瘤相关的变异。</w:t>
      </w:r>
    </w:p>
    <w:p w14:paraId="78D2938A">
      <w:pPr>
        <w:snapToGrid w:val="0"/>
        <w:spacing w:line="440" w:lineRule="exact"/>
        <w:ind w:left="210" w:leftChars="100" w:right="210" w:rightChars="100"/>
        <w:rPr>
          <w:rFonts w:hint="eastAsia" w:ascii="黑体" w:hAnsi="黑体" w:eastAsia="黑体" w:cs="黑体"/>
          <w:bCs/>
          <w:color w:val="595959"/>
          <w:szCs w:val="21"/>
        </w:rPr>
      </w:pPr>
      <w:r>
        <w:rPr>
          <w:rFonts w:hint="eastAsia" w:ascii="黑体" w:hAnsi="黑体" w:eastAsia="黑体" w:cs="黑体"/>
          <w:bCs/>
          <w:color w:val="595959"/>
          <w:szCs w:val="21"/>
        </w:rPr>
        <w:t>5.肿瘤生物学行为复杂，部分肿瘤的变异可能不释放入血（non-shedding），或者释放入血的ctDNA低于本检测的下限，而导致MRD阴性。</w:t>
      </w:r>
    </w:p>
    <w:p w14:paraId="09FBE4FC">
      <w:pPr>
        <w:snapToGrid w:val="0"/>
        <w:spacing w:line="440" w:lineRule="exact"/>
        <w:ind w:left="210" w:leftChars="100" w:right="210" w:rightChars="100"/>
        <w:rPr>
          <w:rFonts w:hint="eastAsia" w:ascii="黑体" w:hAnsi="黑体" w:eastAsia="黑体" w:cs="黑体"/>
          <w:bCs/>
          <w:color w:val="595959"/>
          <w:szCs w:val="21"/>
        </w:rPr>
      </w:pPr>
      <w:r>
        <w:rPr>
          <w:rFonts w:hint="eastAsia" w:ascii="黑体" w:hAnsi="黑体" w:eastAsia="黑体" w:cs="黑体"/>
          <w:bCs/>
          <w:color w:val="595959"/>
          <w:szCs w:val="21"/>
        </w:rPr>
        <w:t>6.本检测个性化 panel的定制采用独家算法进行计算，筛选的位点高度个性化，报告中不提供定制化位点的信息。</w:t>
      </w:r>
    </w:p>
    <w:p w14:paraId="39822FB9">
      <w:pPr>
        <w:snapToGrid w:val="0"/>
        <w:spacing w:line="440" w:lineRule="exact"/>
        <w:ind w:left="210" w:leftChars="100" w:right="210" w:rightChars="100"/>
        <w:rPr>
          <w:rFonts w:hint="eastAsia" w:ascii="黑体" w:hAnsi="黑体" w:eastAsia="黑体" w:cs="黑体"/>
          <w:bCs/>
          <w:color w:val="595959"/>
          <w:szCs w:val="21"/>
        </w:rPr>
      </w:pPr>
      <w:r>
        <w:rPr>
          <w:rFonts w:hint="eastAsia" w:ascii="黑体" w:hAnsi="黑体" w:eastAsia="黑体" w:cs="黑体"/>
          <w:bCs/>
          <w:color w:val="595959"/>
          <w:szCs w:val="21"/>
        </w:rPr>
        <w:t>7.某些患者可能由于个性化定制突变位点数量不足，将导致外周血监测质量存在风险或监测Panel定制失败。</w:t>
      </w:r>
    </w:p>
    <w:p w14:paraId="710C950F">
      <w:pPr>
        <w:snapToGrid w:val="0"/>
        <w:spacing w:line="440" w:lineRule="exact"/>
        <w:ind w:left="210" w:leftChars="100" w:right="210" w:rightChars="100"/>
        <w:rPr>
          <w:rFonts w:hint="eastAsia" w:ascii="黑体" w:hAnsi="黑体" w:eastAsia="黑体" w:cs="黑体"/>
          <w:bCs/>
          <w:color w:val="595959"/>
          <w:szCs w:val="21"/>
        </w:rPr>
      </w:pPr>
      <w:r>
        <w:rPr>
          <w:rFonts w:hint="eastAsia" w:ascii="黑体" w:hAnsi="黑体" w:eastAsia="黑体" w:cs="黑体"/>
          <w:bCs/>
          <w:color w:val="595959"/>
          <w:szCs w:val="21"/>
        </w:rPr>
        <w:t>8．报告依据人类基因组变异学会（Human Genome Variation Society, HGVS）制定并公布的规则进行变异命名，变异的临床意义判断解读规则参考美国医学遗传学和基因组学学会（American College of Medical Genetics and Genomics，ACMG）指南，以及由美国分子病理学会（Association of Molecular Pathology, AMP）、美国临床肿瘤学会（American Society of Clinical Oncology, ASCO）和美国病理学家协会（College of American Pathologists, CAP）联合发布的癌症相关变异解读和报告指南。本报告结果采用的注释软件及数据库版本号：参考基因组（GRCh37）、注释版本（NCBI Annotation Release 104）、1000G（phaseIII - ucsc）、EXAC（0.3.1）、dbSNP（147）、PolyPhen2/SIFT（ensdb v73）、PhyloP（2013-12-06）、Clinvar（2017-12-12）、Cosmic（V80）。</w:t>
      </w:r>
    </w:p>
    <w:p w14:paraId="195B0B8F">
      <w:pPr>
        <w:snapToGrid w:val="0"/>
        <w:spacing w:line="440" w:lineRule="exact"/>
        <w:ind w:left="210" w:leftChars="100" w:right="210" w:rightChars="100"/>
        <w:rPr>
          <w:rFonts w:hint="eastAsia" w:ascii="黑体" w:hAnsi="黑体" w:eastAsia="黑体" w:cs="黑体"/>
          <w:szCs w:val="21"/>
        </w:rPr>
      </w:pPr>
      <w:r>
        <w:rPr>
          <w:rFonts w:hint="eastAsia" w:ascii="黑体" w:hAnsi="黑体" w:eastAsia="黑体" w:cs="黑体"/>
          <w:color w:val="595959"/>
          <w:szCs w:val="21"/>
        </w:rPr>
        <w:t xml:space="preserve">9.如对报告有异议，请在收到报告后的7个工作日内联系我们。  </w:t>
      </w:r>
    </w:p>
    <w:p w14:paraId="2459EB58">
      <w:pPr>
        <w:snapToGrid w:val="0"/>
        <w:spacing w:before="156" w:beforeLines="50" w:after="156" w:afterLines="50" w:line="440" w:lineRule="exact"/>
        <w:ind w:left="210" w:leftChars="100" w:right="210" w:rightChars="100"/>
        <w:rPr>
          <w:rFonts w:hint="eastAsia" w:ascii="黑体" w:hAnsi="黑体" w:eastAsia="黑体" w:cs="黑体"/>
          <w:b/>
          <w:color w:val="01528E"/>
        </w:rPr>
      </w:pPr>
      <w:r>
        <w:rPr>
          <w:rFonts w:hint="eastAsia" w:ascii="黑体" w:hAnsi="黑体" w:eastAsia="黑体" w:cs="黑体"/>
          <w:b/>
          <w:color w:val="01528E"/>
        </w:rPr>
        <w:t>二、检测方法与局限性</w:t>
      </w:r>
    </w:p>
    <w:p w14:paraId="094336BC">
      <w:pPr>
        <w:snapToGrid w:val="0"/>
        <w:spacing w:before="156" w:beforeLines="50" w:after="156" w:afterLines="50" w:line="440" w:lineRule="exact"/>
        <w:ind w:left="210" w:leftChars="100" w:right="210" w:rightChars="100" w:firstLine="420" w:firstLineChars="200"/>
        <w:rPr>
          <w:rFonts w:hint="eastAsia" w:ascii="黑体" w:hAnsi="黑体" w:eastAsia="黑体" w:cs="黑体"/>
          <w:b/>
          <w:color w:val="595959" w:themeColor="text1" w:themeTint="A6"/>
          <w14:textFill>
            <w14:solidFill>
              <w14:schemeClr w14:val="tx1">
                <w14:lumMod w14:val="65000"/>
                <w14:lumOff w14:val="35000"/>
              </w14:schemeClr>
            </w14:solidFill>
          </w14:textFill>
        </w:rPr>
      </w:pPr>
      <w:r>
        <w:rPr>
          <w:rFonts w:hint="eastAsia" w:ascii="黑体" w:hAnsi="黑体" w:eastAsia="黑体"/>
          <w:color w:val="595959" w:themeColor="text1" w:themeTint="A6"/>
          <w14:textFill>
            <w14:solidFill>
              <w14:schemeClr w14:val="tx1">
                <w14:lumMod w14:val="65000"/>
                <w14:lumOff w14:val="35000"/>
              </w14:schemeClr>
            </w14:solidFill>
          </w14:textFill>
        </w:rPr>
        <w:t>本产品采用高通量基因</w:t>
      </w:r>
      <w:r>
        <w:rPr>
          <w:rFonts w:hint="eastAsia" w:ascii="黑体" w:hAnsi="黑体" w:eastAsia="黑体"/>
          <w:color w:val="595959"/>
        </w:rPr>
        <w:t>测序平台，对血浆游离D</w:t>
      </w:r>
      <w:r>
        <w:rPr>
          <w:rFonts w:hint="eastAsia" w:ascii="黑体" w:hAnsi="黑体" w:eastAsia="黑体"/>
          <w:color w:val="595959" w:themeColor="text1" w:themeTint="A6"/>
          <w14:textFill>
            <w14:solidFill>
              <w14:schemeClr w14:val="tx1">
                <w14:lumMod w14:val="65000"/>
                <w14:lumOff w14:val="35000"/>
              </w14:schemeClr>
            </w14:solidFill>
          </w14:textFill>
        </w:rPr>
        <w:t>NA进行检测。根据患者肿瘤组织检测结果中的突变位点，结合癌种核心基因，为每位患者定制个性化探针。通过ER-Seq检测方法，对血浆中ctDNA（循环肿瘤DNA）进行超高深度测序，分析是否存在MRD（分子残留病变）。该检测方式兼具准确性与全面性，提供最全面可信的检测结果。</w:t>
      </w:r>
    </w:p>
    <w:p w14:paraId="286FE1D9">
      <w:pPr>
        <w:snapToGrid w:val="0"/>
        <w:spacing w:before="156" w:beforeLines="50" w:after="156" w:afterLines="50" w:line="440" w:lineRule="exact"/>
        <w:ind w:left="210" w:leftChars="100" w:right="210" w:rightChars="100"/>
        <w:rPr>
          <w:rFonts w:hint="eastAsia" w:ascii="黑体" w:hAnsi="黑体" w:eastAsia="黑体" w:cs="黑体"/>
          <w:b/>
          <w:color w:val="01528E"/>
        </w:rPr>
      </w:pPr>
      <w:r>
        <w:rPr>
          <w:rFonts w:hint="eastAsia" w:ascii="黑体" w:hAnsi="黑体" w:eastAsia="黑体" w:cs="黑体"/>
          <w:b/>
          <w:color w:val="01528E"/>
        </w:rPr>
        <w:t>三、临床方案决定</w:t>
      </w:r>
    </w:p>
    <w:p w14:paraId="185D3B02">
      <w:pPr>
        <w:snapToGrid w:val="0"/>
        <w:spacing w:line="440" w:lineRule="exact"/>
        <w:ind w:left="210" w:leftChars="100" w:right="210" w:rightChars="100" w:firstLine="420" w:firstLineChars="200"/>
        <w:rPr>
          <w:rFonts w:hint="eastAsia" w:ascii="黑体" w:hAnsi="黑体" w:eastAsia="黑体" w:cs="黑体"/>
          <w:bCs/>
          <w:color w:val="595959"/>
          <w:szCs w:val="21"/>
        </w:rPr>
      </w:pPr>
      <w:r>
        <w:rPr>
          <w:rFonts w:hint="eastAsia" w:ascii="黑体" w:hAnsi="黑体" w:eastAsia="黑体" w:cs="黑体"/>
          <w:bCs/>
          <w:color w:val="595959"/>
          <w:szCs w:val="21"/>
        </w:rPr>
        <w:t>患者的治疗决策必须基于医生的医学判断，还需要考虑到患者所有可用信息，包括患者病史和家族史、体检、其他的医学检测信息等，并遵照医院给出的护理标准。医生的决策不能仅依赖于某一单个检测。本报告不是临床诊断报告，不具备医嘱性质，供医生参考，治疗方案由医生决策。</w:t>
      </w:r>
    </w:p>
    <w:p w14:paraId="5820F5AD">
      <w:pPr>
        <w:snapToGrid w:val="0"/>
        <w:spacing w:line="440" w:lineRule="exact"/>
        <w:ind w:right="210" w:rightChars="100"/>
        <w:rPr>
          <w:rFonts w:hint="eastAsia" w:ascii="黑体" w:hAnsi="黑体" w:eastAsia="黑体" w:cs="黑体"/>
          <w:color w:val="595959"/>
          <w:sz w:val="18"/>
          <w:szCs w:val="18"/>
        </w:rPr>
      </w:pPr>
    </w:p>
    <w:p w14:paraId="16CA3DF7">
      <w:pPr>
        <w:snapToGrid w:val="0"/>
        <w:spacing w:line="440" w:lineRule="exact"/>
        <w:ind w:right="210" w:rightChars="100"/>
        <w:rPr>
          <w:rFonts w:hint="eastAsia" w:ascii="黑体" w:hAnsi="黑体" w:eastAsia="黑体" w:cs="黑体"/>
          <w:color w:val="595959"/>
          <w:sz w:val="18"/>
          <w:szCs w:val="18"/>
        </w:rPr>
      </w:pPr>
    </w:p>
    <w:tbl>
      <w:tblPr>
        <w:tblStyle w:val="15"/>
        <w:tblpPr w:leftFromText="180" w:rightFromText="180" w:vertAnchor="text" w:horzAnchor="page" w:tblpXSpec="center" w:tblpY="368"/>
        <w:tblOverlap w:val="never"/>
        <w:tblW w:w="9560" w:type="dxa"/>
        <w:jc w:val="center"/>
        <w:tblLayout w:type="fixed"/>
        <w:tblCellMar>
          <w:top w:w="0" w:type="dxa"/>
          <w:left w:w="108" w:type="dxa"/>
          <w:bottom w:w="0" w:type="dxa"/>
          <w:right w:w="108" w:type="dxa"/>
        </w:tblCellMar>
      </w:tblPr>
      <w:tblGrid>
        <w:gridCol w:w="2660"/>
        <w:gridCol w:w="2881"/>
        <w:gridCol w:w="1123"/>
        <w:gridCol w:w="2887"/>
        <w:gridCol w:w="9"/>
      </w:tblGrid>
      <w:tr w14:paraId="30F40299">
        <w:tblPrEx>
          <w:tblCellMar>
            <w:top w:w="0" w:type="dxa"/>
            <w:left w:w="108" w:type="dxa"/>
            <w:bottom w:w="0" w:type="dxa"/>
            <w:right w:w="108" w:type="dxa"/>
          </w:tblCellMar>
        </w:tblPrEx>
        <w:trPr>
          <w:trHeight w:val="539" w:hRule="atLeast"/>
          <w:jc w:val="center"/>
        </w:trPr>
        <w:tc>
          <w:tcPr>
            <w:tcW w:w="2660" w:type="dxa"/>
            <w:tcBorders>
              <w:right w:val="nil"/>
            </w:tcBorders>
            <w:vAlign w:val="center"/>
          </w:tcPr>
          <w:p w14:paraId="1F22E5D6">
            <w:pPr>
              <w:spacing w:line="360" w:lineRule="auto"/>
              <w:jc w:val="left"/>
              <w:rPr>
                <w:rFonts w:hint="eastAsia" w:ascii="黑体" w:hAnsi="黑体" w:eastAsia="黑体" w:cs="Heiti SC Light"/>
                <w:sz w:val="18"/>
                <w:szCs w:val="18"/>
              </w:rPr>
            </w:pPr>
          </w:p>
          <w:p w14:paraId="30AD068C">
            <w:pPr>
              <w:spacing w:line="360" w:lineRule="auto"/>
              <w:jc w:val="center"/>
              <w:rPr>
                <w:rFonts w:hint="eastAsia" w:ascii="黑体" w:hAnsi="黑体" w:eastAsia="黑体" w:cs="Heiti SC Light"/>
                <w:sz w:val="18"/>
                <w:szCs w:val="18"/>
              </w:rPr>
            </w:pPr>
            <w:r>
              <w:rPr>
                <w:rFonts w:hint="eastAsia" w:ascii="黑体" w:hAnsi="黑体" w:eastAsia="黑体" w:cs="Heiti SC Light"/>
                <w:color w:val="595959" w:themeColor="text1" w:themeTint="A6"/>
                <w:sz w:val="18"/>
                <w:szCs w:val="18"/>
                <w14:textFill>
                  <w14:solidFill>
                    <w14:schemeClr w14:val="tx1">
                      <w14:lumMod w14:val="65000"/>
                      <w14:lumOff w14:val="35000"/>
                    </w14:schemeClr>
                  </w14:solidFill>
                </w14:textFill>
              </w:rPr>
              <w:t>检测人：</w:t>
            </w:r>
            <w:r>
              <w:rPr>
                <w:rFonts w:ascii="黑体" w:hAnsi="黑体" w:eastAsia="黑体" w:cs="Heiti SC Light"/>
                <w:sz w:val="18"/>
                <w:szCs w:val="18"/>
              </w:rPr>
              <w:drawing>
                <wp:inline distT="0" distB="0" distL="0" distR="0">
                  <wp:extent cx="942975" cy="405765"/>
                  <wp:effectExtent l="0" t="0" r="9525" b="635"/>
                  <wp:docPr id="8" name="图片 2" descr="C:\Users\ADMINI~1\AppData\Local\Temp\WeChat Files\2c703b009205a96c1d7b6da9c88e0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ADMINI~1\AppData\Local\Temp\WeChat Files\2c703b009205a96c1d7b6da9c88e0d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70707" cy="417772"/>
                          </a:xfrm>
                          <a:prstGeom prst="rect">
                            <a:avLst/>
                          </a:prstGeom>
                          <a:noFill/>
                          <a:ln>
                            <a:noFill/>
                          </a:ln>
                        </pic:spPr>
                      </pic:pic>
                    </a:graphicData>
                  </a:graphic>
                </wp:inline>
              </w:drawing>
            </w:r>
            <w:r>
              <w:rPr>
                <w:rFonts w:hint="eastAsia" w:ascii="黑体" w:hAnsi="黑体" w:eastAsia="黑体" w:cs="Heiti SC Light"/>
                <w:sz w:val="18"/>
                <w:szCs w:val="18"/>
              </w:rPr>
              <w:t xml:space="preserve">  </w:t>
            </w:r>
          </w:p>
        </w:tc>
        <w:tc>
          <w:tcPr>
            <w:tcW w:w="2881" w:type="dxa"/>
            <w:tcBorders>
              <w:left w:val="nil"/>
              <w:right w:val="nil"/>
            </w:tcBorders>
            <w:vAlign w:val="center"/>
          </w:tcPr>
          <w:p w14:paraId="1D15BA70">
            <w:pPr>
              <w:spacing w:line="360" w:lineRule="auto"/>
              <w:jc w:val="left"/>
              <w:rPr>
                <w:rFonts w:hint="eastAsia" w:ascii="黑体" w:hAnsi="黑体" w:eastAsia="黑体"/>
                <w:bCs/>
                <w:sz w:val="22"/>
              </w:rPr>
            </w:pPr>
          </w:p>
        </w:tc>
        <w:tc>
          <w:tcPr>
            <w:tcW w:w="1123" w:type="dxa"/>
            <w:tcBorders>
              <w:left w:val="nil"/>
              <w:right w:val="nil"/>
            </w:tcBorders>
            <w:vAlign w:val="center"/>
          </w:tcPr>
          <w:p w14:paraId="60682608">
            <w:pPr>
              <w:spacing w:line="360" w:lineRule="auto"/>
              <w:jc w:val="left"/>
              <w:rPr>
                <w:rFonts w:hint="eastAsia" w:ascii="黑体" w:hAnsi="黑体" w:eastAsia="黑体" w:cs="Heiti SC Light"/>
                <w:sz w:val="18"/>
                <w:szCs w:val="18"/>
              </w:rPr>
            </w:pPr>
          </w:p>
          <w:p w14:paraId="244481E7">
            <w:pPr>
              <w:spacing w:line="360" w:lineRule="auto"/>
              <w:jc w:val="left"/>
              <w:rPr>
                <w:rFonts w:hint="eastAsia" w:ascii="黑体" w:hAnsi="黑体" w:eastAsia="黑体" w:cs="Heiti SC Light"/>
                <w:sz w:val="18"/>
                <w:szCs w:val="18"/>
              </w:rPr>
            </w:pPr>
          </w:p>
          <w:p w14:paraId="5DC3B0B5">
            <w:pPr>
              <w:spacing w:line="360" w:lineRule="auto"/>
              <w:jc w:val="left"/>
              <w:rPr>
                <w:rFonts w:hint="eastAsia" w:ascii="黑体" w:hAnsi="黑体" w:eastAsia="黑体" w:cs="Heiti SC Light"/>
                <w:sz w:val="18"/>
                <w:szCs w:val="18"/>
              </w:rPr>
            </w:pPr>
            <w:r>
              <w:rPr>
                <w:rFonts w:hint="eastAsia" w:ascii="黑体" w:hAnsi="黑体" w:eastAsia="黑体" w:cs="Heiti SC Light"/>
                <w:color w:val="595959" w:themeColor="text1" w:themeTint="A6"/>
                <w:sz w:val="18"/>
                <w:szCs w:val="18"/>
                <w14:textFill>
                  <w14:solidFill>
                    <w14:schemeClr w14:val="tx1">
                      <w14:lumMod w14:val="65000"/>
                      <w14:lumOff w14:val="35000"/>
                    </w14:schemeClr>
                  </w14:solidFill>
                </w14:textFill>
              </w:rPr>
              <w:t>审核人：</w:t>
            </w:r>
            <w:r>
              <w:rPr>
                <w:rFonts w:hint="eastAsia" w:ascii="黑体" w:hAnsi="黑体" w:eastAsia="黑体" w:cs="Heiti SC Light"/>
                <w:sz w:val="18"/>
                <w:szCs w:val="18"/>
              </w:rPr>
              <w:t xml:space="preserve"> </w:t>
            </w:r>
          </w:p>
        </w:tc>
        <w:tc>
          <w:tcPr>
            <w:tcW w:w="2896" w:type="dxa"/>
            <w:gridSpan w:val="2"/>
            <w:tcBorders>
              <w:left w:val="nil"/>
            </w:tcBorders>
            <w:vAlign w:val="center"/>
          </w:tcPr>
          <w:p w14:paraId="6F799973">
            <w:pPr>
              <w:spacing w:line="360" w:lineRule="auto"/>
              <w:jc w:val="left"/>
              <w:rPr>
                <w:rFonts w:hint="eastAsia" w:ascii="黑体" w:hAnsi="黑体" w:eastAsia="黑体" w:cs="Heiti SC Light"/>
                <w:sz w:val="18"/>
                <w:szCs w:val="18"/>
              </w:rPr>
            </w:pPr>
            <w:r>
              <w:rPr>
                <w:rFonts w:ascii="黑体" w:hAnsi="黑体" w:eastAsia="黑体" w:cs="Heiti SC Light"/>
                <w:sz w:val="18"/>
                <w:szCs w:val="18"/>
              </w:rPr>
              <w:drawing>
                <wp:inline distT="0" distB="0" distL="114300" distR="114300">
                  <wp:extent cx="1638300" cy="1159510"/>
                  <wp:effectExtent l="0" t="0" r="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8" cstate="print"/>
                          <a:stretch>
                            <a:fillRect/>
                          </a:stretch>
                        </pic:blipFill>
                        <pic:spPr>
                          <a:xfrm>
                            <a:off x="0" y="0"/>
                            <a:ext cx="1648756" cy="1167097"/>
                          </a:xfrm>
                          <a:prstGeom prst="rect">
                            <a:avLst/>
                          </a:prstGeom>
                        </pic:spPr>
                      </pic:pic>
                    </a:graphicData>
                  </a:graphic>
                </wp:inline>
              </w:drawing>
            </w:r>
          </w:p>
        </w:tc>
      </w:tr>
      <w:tr w14:paraId="63B595CE">
        <w:tblPrEx>
          <w:tblCellMar>
            <w:top w:w="0" w:type="dxa"/>
            <w:left w:w="108" w:type="dxa"/>
            <w:bottom w:w="0" w:type="dxa"/>
            <w:right w:w="108" w:type="dxa"/>
          </w:tblCellMar>
        </w:tblPrEx>
        <w:trPr>
          <w:gridAfter w:val="1"/>
          <w:wAfter w:w="9" w:type="dxa"/>
          <w:trHeight w:val="396" w:hRule="atLeast"/>
          <w:jc w:val="center"/>
        </w:trPr>
        <w:tc>
          <w:tcPr>
            <w:tcW w:w="5541" w:type="dxa"/>
            <w:gridSpan w:val="2"/>
          </w:tcPr>
          <w:p w14:paraId="2EC92F8D">
            <w:pPr>
              <w:rPr>
                <w:rFonts w:hint="eastAsia" w:ascii="黑体" w:hAnsi="黑体" w:eastAsia="黑体"/>
                <w:sz w:val="22"/>
              </w:rPr>
            </w:pPr>
          </w:p>
        </w:tc>
        <w:tc>
          <w:tcPr>
            <w:tcW w:w="4010" w:type="dxa"/>
            <w:gridSpan w:val="2"/>
            <w:vAlign w:val="center"/>
          </w:tcPr>
          <w:p w14:paraId="26932212">
            <w:pPr>
              <w:rPr>
                <w:rFonts w:hint="eastAsia" w:ascii="黑体" w:hAnsi="黑体" w:eastAsia="黑体" w:cs="Heiti SC Light"/>
                <w:sz w:val="18"/>
                <w:szCs w:val="18"/>
              </w:rPr>
            </w:pPr>
            <w:r>
              <w:rPr>
                <w:rFonts w:hint="eastAsia" w:ascii="黑体" w:hAnsi="黑体" w:eastAsia="黑体" w:cs="Heiti SC Light"/>
                <w:color w:val="595959" w:themeColor="text1" w:themeTint="A6"/>
                <w:sz w:val="18"/>
                <w:szCs w:val="18"/>
                <w14:textFill>
                  <w14:solidFill>
                    <w14:schemeClr w14:val="tx1">
                      <w14:lumMod w14:val="65000"/>
                      <w14:lumOff w14:val="35000"/>
                    </w14:schemeClr>
                  </w14:solidFill>
                </w14:textFill>
              </w:rPr>
              <w:t>日期：{{reportdate}}</w:t>
            </w:r>
          </w:p>
        </w:tc>
      </w:tr>
    </w:tbl>
    <w:p w14:paraId="2AABD9DC">
      <w:pPr>
        <w:rPr>
          <w:rFonts w:hint="eastAsia"/>
        </w:rPr>
      </w:pPr>
    </w:p>
    <w:p w14:paraId="21E96CAD">
      <w:pPr>
        <w:rPr>
          <w:rFonts w:hint="eastAsia"/>
        </w:rPr>
      </w:pPr>
    </w:p>
    <w:p w14:paraId="0BBC0D6D">
      <w:pPr>
        <w:rPr>
          <w:rFonts w:hint="eastAsia"/>
        </w:rPr>
      </w:pPr>
      <w:r>
        <w:rPr>
          <w:rFonts w:hint="eastAsia"/>
        </w:rPr>
        <w:t xml:space="preserve"> </w:t>
      </w:r>
      <w:r>
        <w:t xml:space="preserve">                                                              </w:t>
      </w:r>
      <w:r>
        <w:rPr>
          <w:rFonts w:hint="eastAsia"/>
        </w:rPr>
        <w:t xml:space="preserve"> </w:t>
      </w:r>
      <w:bookmarkStart w:id="33" w:name="_GoBack"/>
      <w:bookmarkEnd w:id="33"/>
    </w:p>
    <w:p w14:paraId="6A010CD5">
      <w:pPr>
        <w:rPr>
          <w:rFonts w:hint="eastAsia"/>
        </w:rPr>
      </w:pPr>
    </w:p>
    <w:p w14:paraId="4DB6ED7B">
      <w:pPr>
        <w:rPr>
          <w:rFonts w:hint="eastAsia"/>
        </w:rPr>
      </w:pPr>
      <w:r>
        <w:br w:type="page"/>
      </w:r>
    </w:p>
    <w:p w14:paraId="38AC2BFE">
      <w:pPr>
        <w:snapToGrid w:val="0"/>
        <w:spacing w:line="360" w:lineRule="auto"/>
        <w:ind w:left="102"/>
        <w:jc w:val="center"/>
        <w:outlineLvl w:val="1"/>
        <w:rPr>
          <w:rFonts w:hint="eastAsia" w:ascii="黑体" w:hAnsi="黑体" w:eastAsia="黑体" w:cs="黑体"/>
          <w:b/>
          <w:bCs/>
          <w:color w:val="01528E"/>
          <w:kern w:val="0"/>
          <w:sz w:val="32"/>
          <w:szCs w:val="32"/>
        </w:rPr>
      </w:pPr>
      <w:bookmarkStart w:id="32" w:name="_Toc25852"/>
      <w:r>
        <w:rPr>
          <w:rFonts w:hint="eastAsia" w:ascii="黑体" w:hAnsi="黑体" w:eastAsia="黑体" w:cs="黑体"/>
          <w:b/>
          <w:bCs/>
          <w:color w:val="01528E"/>
          <w:kern w:val="0"/>
          <w:sz w:val="32"/>
          <w:szCs w:val="32"/>
        </w:rPr>
        <w:t>附录.参考文献</w:t>
      </w:r>
      <w:bookmarkEnd w:id="32"/>
    </w:p>
    <w:p w14:paraId="00E202FB">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《实体瘤分子残留病灶检测共识</w:t>
      </w:r>
      <w:r>
        <w:rPr>
          <w:rFonts w:hint="eastAsia" w:ascii="黑体" w:hAnsi="黑体" w:eastAsia="黑体" w:cs="黑体"/>
          <w:color w:val="595959"/>
          <w:sz w:val="18"/>
          <w:szCs w:val="18"/>
          <w:highlight w:val="none"/>
          <w:lang w:eastAsia="zh-CN"/>
        </w:rPr>
        <w:t>（202</w:t>
      </w:r>
      <w:r>
        <w:rPr>
          <w:rFonts w:hint="eastAsia" w:ascii="黑体" w:hAnsi="黑体" w:eastAsia="黑体" w:cs="黑体"/>
          <w:color w:val="595959"/>
          <w:sz w:val="18"/>
          <w:szCs w:val="18"/>
          <w:highlight w:val="none"/>
          <w:lang w:val="en-US" w:eastAsia="zh-CN"/>
        </w:rPr>
        <w:t>4</w:t>
      </w:r>
      <w:r>
        <w:rPr>
          <w:rFonts w:hint="eastAsia" w:ascii="黑体" w:hAnsi="黑体" w:eastAsia="黑体" w:cs="黑体"/>
          <w:color w:val="595959"/>
          <w:sz w:val="18"/>
          <w:szCs w:val="18"/>
          <w:highlight w:val="none"/>
          <w:lang w:eastAsia="zh-CN"/>
        </w:rPr>
        <w:t xml:space="preserve"> 年版）</w:t>
      </w:r>
      <w:r>
        <w:rPr>
          <w:rFonts w:hint="eastAsia" w:ascii="黑体" w:hAnsi="黑体" w:eastAsia="黑体" w:cs="黑体"/>
          <w:color w:val="595959"/>
          <w:sz w:val="18"/>
          <w:szCs w:val="18"/>
          <w:highlight w:val="none"/>
          <w:shd w:val="clear" w:color="auto" w:fill="FFFFFF"/>
          <w:lang w:eastAsia="zh-CN" w:bidi="ar"/>
        </w:rPr>
        <w:t>》</w:t>
      </w:r>
      <w:r>
        <w:rPr>
          <w:rFonts w:hint="eastAsia" w:ascii="黑体" w:hAnsi="黑体" w:eastAsia="黑体" w:cs="黑体"/>
          <w:color w:val="595959"/>
          <w:sz w:val="18"/>
          <w:szCs w:val="18"/>
          <w:highlight w:val="none"/>
          <w:lang w:eastAsia="zh-CN"/>
        </w:rPr>
        <w:t>,中华医学会病理学分会,国家病理质控中心.中华病理学202</w:t>
      </w:r>
      <w:r>
        <w:rPr>
          <w:rFonts w:hint="eastAsia" w:ascii="黑体" w:hAnsi="黑体" w:eastAsia="黑体" w:cs="黑体"/>
          <w:color w:val="595959"/>
          <w:sz w:val="18"/>
          <w:szCs w:val="18"/>
          <w:highlight w:val="none"/>
          <w:lang w:val="en-US" w:eastAsia="zh-CN"/>
        </w:rPr>
        <w:t>4</w:t>
      </w:r>
      <w:r>
        <w:rPr>
          <w:rFonts w:hint="eastAsia" w:ascii="黑体" w:hAnsi="黑体" w:eastAsia="黑体" w:cs="黑体"/>
          <w:color w:val="595959"/>
          <w:sz w:val="18"/>
          <w:szCs w:val="18"/>
          <w:highlight w:val="none"/>
          <w:lang w:eastAsia="zh-CN"/>
        </w:rPr>
        <w:t>年第</w:t>
      </w:r>
      <w:r>
        <w:rPr>
          <w:rFonts w:hint="eastAsia" w:ascii="黑体" w:hAnsi="黑体" w:eastAsia="黑体" w:cs="黑体"/>
          <w:color w:val="595959"/>
          <w:sz w:val="18"/>
          <w:szCs w:val="18"/>
          <w:highlight w:val="none"/>
          <w:lang w:val="en-US" w:eastAsia="zh-CN"/>
        </w:rPr>
        <w:t>53</w:t>
      </w:r>
      <w:r>
        <w:rPr>
          <w:rFonts w:hint="eastAsia" w:ascii="黑体" w:hAnsi="黑体" w:eastAsia="黑体" w:cs="黑体"/>
          <w:color w:val="595959"/>
          <w:sz w:val="18"/>
          <w:szCs w:val="18"/>
          <w:highlight w:val="none"/>
          <w:lang w:eastAsia="zh-CN"/>
        </w:rPr>
        <w:t>卷第</w:t>
      </w:r>
      <w:r>
        <w:rPr>
          <w:rFonts w:hint="eastAsia" w:ascii="黑体" w:hAnsi="黑体" w:eastAsia="黑体" w:cs="黑体"/>
          <w:color w:val="595959"/>
          <w:sz w:val="18"/>
          <w:szCs w:val="18"/>
          <w:highlight w:val="none"/>
          <w:lang w:val="en-US" w:eastAsia="zh-CN"/>
        </w:rPr>
        <w:t>11</w:t>
      </w:r>
      <w:r>
        <w:rPr>
          <w:rFonts w:hint="eastAsia" w:ascii="黑体" w:hAnsi="黑体" w:eastAsia="黑体" w:cs="黑体"/>
          <w:color w:val="595959"/>
          <w:sz w:val="18"/>
          <w:szCs w:val="18"/>
          <w:highlight w:val="none"/>
          <w:lang w:eastAsia="zh-CN"/>
        </w:rPr>
        <w:t>期.</w:t>
      </w:r>
    </w:p>
    <w:p w14:paraId="255611C9">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《非小细胞肺癌分子残留病灶专家共识（202</w:t>
      </w:r>
      <w:r>
        <w:rPr>
          <w:rFonts w:hint="eastAsia" w:ascii="黑体" w:hAnsi="黑体" w:eastAsia="黑体" w:cs="黑体"/>
          <w:color w:val="595959"/>
          <w:sz w:val="18"/>
          <w:szCs w:val="18"/>
          <w:highlight w:val="none"/>
          <w:shd w:val="clear" w:color="auto" w:fill="FFFFFF"/>
          <w:lang w:val="en-US" w:eastAsia="zh-CN" w:bidi="ar"/>
        </w:rPr>
        <w:t>1</w:t>
      </w:r>
      <w:r>
        <w:rPr>
          <w:rFonts w:hint="eastAsia" w:ascii="黑体" w:hAnsi="黑体" w:eastAsia="黑体" w:cs="黑体"/>
          <w:color w:val="595959"/>
          <w:sz w:val="18"/>
          <w:szCs w:val="18"/>
          <w:highlight w:val="none"/>
          <w:shd w:val="clear" w:color="auto" w:fill="FFFFFF"/>
          <w:lang w:eastAsia="zh-CN" w:bidi="ar"/>
        </w:rPr>
        <w:t xml:space="preserve"> 年版）》,中国抗癌协会肺癌</w:t>
      </w:r>
      <w:r>
        <w:rPr>
          <w:rFonts w:hint="eastAsia" w:ascii="黑体" w:hAnsi="黑体" w:eastAsia="黑体" w:cs="黑体"/>
          <w:color w:val="595959"/>
          <w:sz w:val="18"/>
          <w:szCs w:val="18"/>
          <w:highlight w:val="none"/>
          <w:shd w:val="clear" w:color="auto" w:fill="FFFFFF"/>
          <w:lang w:val="en-US" w:eastAsia="zh-CN" w:bidi="ar"/>
        </w:rPr>
        <w:t>专业委员会</w:t>
      </w:r>
      <w:r>
        <w:rPr>
          <w:rFonts w:hint="eastAsia" w:ascii="黑体" w:hAnsi="黑体" w:eastAsia="黑体" w:cs="黑体"/>
          <w:color w:val="595959"/>
          <w:sz w:val="18"/>
          <w:szCs w:val="18"/>
          <w:highlight w:val="none"/>
          <w:shd w:val="clear" w:color="auto" w:fill="FFFFFF"/>
          <w:lang w:eastAsia="zh-CN" w:bidi="ar"/>
        </w:rPr>
        <w:t>.</w:t>
      </w:r>
      <w:r>
        <w:rPr>
          <w:rFonts w:hint="eastAsia" w:ascii="黑体" w:hAnsi="黑体" w:eastAsia="黑体" w:cs="黑体"/>
          <w:color w:val="595959"/>
          <w:sz w:val="18"/>
          <w:szCs w:val="18"/>
          <w:highlight w:val="none"/>
          <w:shd w:val="clear" w:color="auto" w:fill="FFFFFF"/>
          <w:lang w:val="en-US" w:eastAsia="zh-CN" w:bidi="ar"/>
        </w:rPr>
        <w:t>循证医学</w:t>
      </w:r>
      <w:r>
        <w:rPr>
          <w:rFonts w:hint="eastAsia" w:ascii="黑体" w:hAnsi="黑体" w:eastAsia="黑体" w:cs="黑体"/>
          <w:color w:val="595959"/>
          <w:sz w:val="18"/>
          <w:szCs w:val="18"/>
          <w:highlight w:val="none"/>
          <w:shd w:val="clear" w:color="auto" w:fill="FFFFFF"/>
          <w:lang w:eastAsia="zh-CN" w:bidi="ar"/>
        </w:rPr>
        <w:t>202</w:t>
      </w:r>
      <w:r>
        <w:rPr>
          <w:rFonts w:hint="eastAsia" w:ascii="黑体" w:hAnsi="黑体" w:eastAsia="黑体" w:cs="黑体"/>
          <w:color w:val="595959"/>
          <w:sz w:val="18"/>
          <w:szCs w:val="18"/>
          <w:highlight w:val="none"/>
          <w:shd w:val="clear" w:color="auto" w:fill="FFFFFF"/>
          <w:lang w:val="en-US" w:eastAsia="zh-CN" w:bidi="ar"/>
        </w:rPr>
        <w:t>1</w:t>
      </w:r>
      <w:r>
        <w:rPr>
          <w:rFonts w:hint="eastAsia" w:ascii="黑体" w:hAnsi="黑体" w:eastAsia="黑体" w:cs="黑体"/>
          <w:color w:val="595959"/>
          <w:sz w:val="18"/>
          <w:szCs w:val="18"/>
          <w:highlight w:val="none"/>
          <w:shd w:val="clear" w:color="auto" w:fill="FFFFFF"/>
          <w:lang w:eastAsia="zh-CN" w:bidi="ar"/>
        </w:rPr>
        <w:t>年第</w:t>
      </w:r>
      <w:r>
        <w:rPr>
          <w:rFonts w:hint="eastAsia" w:ascii="黑体" w:hAnsi="黑体" w:eastAsia="黑体" w:cs="黑体"/>
          <w:color w:val="595959"/>
          <w:sz w:val="18"/>
          <w:szCs w:val="18"/>
          <w:highlight w:val="none"/>
          <w:shd w:val="clear" w:color="auto" w:fill="FFFFFF"/>
          <w:lang w:val="en-US" w:eastAsia="zh-CN" w:bidi="ar"/>
        </w:rPr>
        <w:t>21</w:t>
      </w:r>
      <w:r>
        <w:rPr>
          <w:rFonts w:hint="eastAsia" w:ascii="黑体" w:hAnsi="黑体" w:eastAsia="黑体" w:cs="黑体"/>
          <w:color w:val="595959"/>
          <w:sz w:val="18"/>
          <w:szCs w:val="18"/>
          <w:highlight w:val="none"/>
          <w:shd w:val="clear" w:color="auto" w:fill="FFFFFF"/>
          <w:lang w:eastAsia="zh-CN" w:bidi="ar"/>
        </w:rPr>
        <w:t>卷第</w:t>
      </w:r>
      <w:r>
        <w:rPr>
          <w:rFonts w:hint="eastAsia" w:ascii="黑体" w:hAnsi="黑体" w:eastAsia="黑体" w:cs="黑体"/>
          <w:color w:val="595959"/>
          <w:sz w:val="18"/>
          <w:szCs w:val="18"/>
          <w:highlight w:val="none"/>
          <w:shd w:val="clear" w:color="auto" w:fill="FFFFFF"/>
          <w:lang w:val="en-US" w:eastAsia="zh-CN" w:bidi="ar"/>
        </w:rPr>
        <w:t>3</w:t>
      </w:r>
      <w:r>
        <w:rPr>
          <w:rFonts w:hint="eastAsia" w:ascii="黑体" w:hAnsi="黑体" w:eastAsia="黑体" w:cs="黑体"/>
          <w:color w:val="595959"/>
          <w:sz w:val="18"/>
          <w:szCs w:val="18"/>
          <w:highlight w:val="none"/>
          <w:shd w:val="clear" w:color="auto" w:fill="FFFFFF"/>
          <w:lang w:eastAsia="zh-CN" w:bidi="ar"/>
        </w:rPr>
        <w:t>期.</w:t>
      </w:r>
    </w:p>
    <w:p w14:paraId="30A4F914">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《引领肺癌治疗新时代的标志物——微小残留病灶（202</w:t>
      </w:r>
      <w:r>
        <w:rPr>
          <w:rFonts w:hint="eastAsia" w:ascii="黑体" w:hAnsi="黑体" w:eastAsia="黑体" w:cs="黑体"/>
          <w:color w:val="595959"/>
          <w:sz w:val="18"/>
          <w:szCs w:val="18"/>
          <w:highlight w:val="none"/>
          <w:shd w:val="clear" w:color="auto" w:fill="FFFFFF"/>
          <w:lang w:val="en-US" w:eastAsia="zh-CN" w:bidi="ar"/>
        </w:rPr>
        <w:t>1</w:t>
      </w:r>
      <w:r>
        <w:rPr>
          <w:rFonts w:hint="eastAsia" w:ascii="黑体" w:hAnsi="黑体" w:eastAsia="黑体" w:cs="黑体"/>
          <w:color w:val="595959"/>
          <w:sz w:val="18"/>
          <w:szCs w:val="18"/>
          <w:highlight w:val="none"/>
          <w:shd w:val="clear" w:color="auto" w:fill="FFFFFF"/>
          <w:lang w:eastAsia="zh-CN" w:bidi="ar"/>
        </w:rPr>
        <w:t xml:space="preserve"> 年版）》,张嘉涛</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杨学宁</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吴一龙.</w:t>
      </w:r>
      <w:r>
        <w:rPr>
          <w:rFonts w:hint="eastAsia" w:ascii="黑体" w:hAnsi="黑体" w:eastAsia="黑体" w:cs="黑体"/>
          <w:color w:val="595959"/>
          <w:sz w:val="18"/>
          <w:szCs w:val="18"/>
          <w:highlight w:val="none"/>
          <w:shd w:val="clear" w:color="auto" w:fill="FFFFFF"/>
          <w:lang w:val="en-US" w:eastAsia="zh-CN" w:bidi="ar"/>
        </w:rPr>
        <w:t>循证医学</w:t>
      </w:r>
      <w:r>
        <w:rPr>
          <w:rFonts w:hint="eastAsia" w:ascii="黑体" w:hAnsi="黑体" w:eastAsia="黑体" w:cs="黑体"/>
          <w:color w:val="595959"/>
          <w:sz w:val="18"/>
          <w:szCs w:val="18"/>
          <w:highlight w:val="none"/>
          <w:shd w:val="clear" w:color="auto" w:fill="FFFFFF"/>
          <w:lang w:eastAsia="zh-CN" w:bidi="ar"/>
        </w:rPr>
        <w:t>202</w:t>
      </w:r>
      <w:r>
        <w:rPr>
          <w:rFonts w:hint="eastAsia" w:ascii="黑体" w:hAnsi="黑体" w:eastAsia="黑体" w:cs="黑体"/>
          <w:color w:val="595959"/>
          <w:sz w:val="18"/>
          <w:szCs w:val="18"/>
          <w:highlight w:val="none"/>
          <w:shd w:val="clear" w:color="auto" w:fill="FFFFFF"/>
          <w:lang w:val="en-US" w:eastAsia="zh-CN" w:bidi="ar"/>
        </w:rPr>
        <w:t>1</w:t>
      </w:r>
      <w:r>
        <w:rPr>
          <w:rFonts w:hint="eastAsia" w:ascii="黑体" w:hAnsi="黑体" w:eastAsia="黑体" w:cs="黑体"/>
          <w:color w:val="595959"/>
          <w:sz w:val="18"/>
          <w:szCs w:val="18"/>
          <w:highlight w:val="none"/>
          <w:shd w:val="clear" w:color="auto" w:fill="FFFFFF"/>
          <w:lang w:eastAsia="zh-CN" w:bidi="ar"/>
        </w:rPr>
        <w:t>年第</w:t>
      </w:r>
      <w:r>
        <w:rPr>
          <w:rFonts w:hint="eastAsia" w:ascii="黑体" w:hAnsi="黑体" w:eastAsia="黑体" w:cs="黑体"/>
          <w:color w:val="595959"/>
          <w:sz w:val="18"/>
          <w:szCs w:val="18"/>
          <w:highlight w:val="none"/>
          <w:shd w:val="clear" w:color="auto" w:fill="FFFFFF"/>
          <w:lang w:val="en-US" w:eastAsia="zh-CN" w:bidi="ar"/>
        </w:rPr>
        <w:t>21</w:t>
      </w:r>
      <w:r>
        <w:rPr>
          <w:rFonts w:hint="eastAsia" w:ascii="黑体" w:hAnsi="黑体" w:eastAsia="黑体" w:cs="黑体"/>
          <w:color w:val="595959"/>
          <w:sz w:val="18"/>
          <w:szCs w:val="18"/>
          <w:highlight w:val="none"/>
          <w:shd w:val="clear" w:color="auto" w:fill="FFFFFF"/>
          <w:lang w:eastAsia="zh-CN" w:bidi="ar"/>
        </w:rPr>
        <w:t>卷第</w:t>
      </w:r>
      <w:r>
        <w:rPr>
          <w:rFonts w:hint="eastAsia" w:ascii="黑体" w:hAnsi="黑体" w:eastAsia="黑体" w:cs="黑体"/>
          <w:color w:val="595959"/>
          <w:sz w:val="18"/>
          <w:szCs w:val="18"/>
          <w:highlight w:val="none"/>
          <w:shd w:val="clear" w:color="auto" w:fill="FFFFFF"/>
          <w:lang w:val="en-US" w:eastAsia="zh-CN" w:bidi="ar"/>
        </w:rPr>
        <w:t>1</w:t>
      </w:r>
      <w:r>
        <w:rPr>
          <w:rFonts w:hint="eastAsia" w:ascii="黑体" w:hAnsi="黑体" w:eastAsia="黑体" w:cs="黑体"/>
          <w:color w:val="595959"/>
          <w:sz w:val="18"/>
          <w:szCs w:val="18"/>
          <w:highlight w:val="none"/>
          <w:shd w:val="clear" w:color="auto" w:fill="FFFFFF"/>
          <w:lang w:eastAsia="zh-CN" w:bidi="ar"/>
        </w:rPr>
        <w:t>期.</w:t>
      </w:r>
    </w:p>
    <w:p w14:paraId="371BD752">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Chaudhuri AA, Chabon JJ, Lovejoy AF, et al. Early Detection of Molecular Residual Disease in Localized Lung Cancer by Circulating Tumor DNA Profiling. Cancer Discov 2017;7:1394-403.</w:t>
      </w:r>
      <w:r>
        <w:rPr>
          <w:rFonts w:hint="eastAsia" w:ascii="黑体" w:hAnsi="黑体" w:eastAsia="黑体" w:cs="黑体"/>
          <w:color w:val="595959"/>
          <w:sz w:val="18"/>
          <w:szCs w:val="18"/>
          <w:highlight w:val="none"/>
          <w:shd w:val="clear" w:color="auto" w:fill="FFFFFF"/>
          <w:lang w:val="en-US" w:eastAsia="zh-CN" w:bidi="ar"/>
        </w:rPr>
        <w:t>[</w:t>
      </w:r>
      <w:r>
        <w:rPr>
          <w:rFonts w:hint="eastAsia" w:ascii="黑体" w:hAnsi="黑体" w:eastAsia="黑体" w:cs="黑体"/>
          <w:color w:val="595959"/>
          <w:sz w:val="18"/>
          <w:szCs w:val="18"/>
          <w:highlight w:val="none"/>
          <w:shd w:val="clear" w:color="auto" w:fill="FFFFFF"/>
          <w:lang w:eastAsia="zh-CN" w:bidi="ar"/>
        </w:rPr>
        <w:t>PMID: 28899864</w:t>
      </w:r>
      <w:r>
        <w:rPr>
          <w:rFonts w:hint="eastAsia" w:ascii="黑体" w:hAnsi="黑体" w:eastAsia="黑体" w:cs="黑体"/>
          <w:color w:val="595959"/>
          <w:sz w:val="18"/>
          <w:szCs w:val="18"/>
          <w:highlight w:val="none"/>
          <w:shd w:val="clear" w:color="auto" w:fill="FFFFFF"/>
          <w:lang w:val="en-US" w:eastAsia="zh-CN" w:bidi="ar"/>
        </w:rPr>
        <w:t>]</w:t>
      </w:r>
    </w:p>
    <w:p w14:paraId="517EE819">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Abbosh C, Birkbak NJ, Wilson GA, et al. Phylogenetic ctDNA analysis depicts early-stage lung cancer evolution. Nature 2017;545:446-51.</w:t>
      </w:r>
      <w:r>
        <w:rPr>
          <w:rFonts w:hint="eastAsia" w:ascii="黑体" w:hAnsi="黑体" w:eastAsia="黑体" w:cs="黑体"/>
          <w:color w:val="595959"/>
          <w:sz w:val="18"/>
          <w:szCs w:val="18"/>
          <w:highlight w:val="none"/>
          <w:shd w:val="clear" w:color="auto" w:fill="FFFFFF"/>
          <w:lang w:val="en-US" w:eastAsia="zh-CN" w:bidi="ar"/>
        </w:rPr>
        <w:t>[</w:t>
      </w:r>
      <w:r>
        <w:rPr>
          <w:rFonts w:hint="eastAsia" w:ascii="黑体" w:hAnsi="黑体" w:eastAsia="黑体" w:cs="黑体"/>
          <w:color w:val="595959"/>
          <w:sz w:val="18"/>
          <w:szCs w:val="18"/>
          <w:highlight w:val="none"/>
          <w:shd w:val="clear" w:color="auto" w:fill="FFFFFF"/>
          <w:lang w:eastAsia="zh-CN" w:bidi="ar"/>
        </w:rPr>
        <w:t>PMID: 28445469</w:t>
      </w:r>
      <w:r>
        <w:rPr>
          <w:rFonts w:hint="eastAsia" w:ascii="黑体" w:hAnsi="黑体" w:eastAsia="黑体" w:cs="黑体"/>
          <w:color w:val="595959"/>
          <w:sz w:val="18"/>
          <w:szCs w:val="18"/>
          <w:highlight w:val="none"/>
          <w:shd w:val="clear" w:color="auto" w:fill="FFFFFF"/>
          <w:lang w:val="en-US" w:eastAsia="zh-CN" w:bidi="ar"/>
        </w:rPr>
        <w:t>]</w:t>
      </w:r>
    </w:p>
    <w:p w14:paraId="5FB720B2">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 xml:space="preserve">Moding EJ, Liu Y, Nabet BY, et al. Circulating tumor DNA dynamics predict benefit from consolidation immunotherapy in locally advanced non-small cell lung cancer. Nat Cancer. 2020;1:176–183. </w:t>
      </w:r>
      <w:r>
        <w:rPr>
          <w:rFonts w:hint="eastAsia" w:ascii="黑体" w:hAnsi="黑体" w:eastAsia="黑体" w:cs="黑体"/>
          <w:color w:val="595959"/>
          <w:sz w:val="18"/>
          <w:szCs w:val="18"/>
          <w:highlight w:val="none"/>
          <w:shd w:val="clear" w:color="auto" w:fill="FFFFFF"/>
          <w:lang w:val="en-US" w:eastAsia="zh-CN" w:bidi="ar"/>
        </w:rPr>
        <w:t>[</w:t>
      </w:r>
      <w:r>
        <w:rPr>
          <w:rFonts w:hint="eastAsia" w:ascii="黑体" w:hAnsi="黑体" w:eastAsia="黑体" w:cs="黑体"/>
          <w:color w:val="595959"/>
          <w:sz w:val="18"/>
          <w:szCs w:val="18"/>
          <w:highlight w:val="none"/>
          <w:shd w:val="clear" w:color="auto" w:fill="FFFFFF"/>
          <w:lang w:eastAsia="zh-CN" w:bidi="ar"/>
        </w:rPr>
        <w:t>PMID: 34505064</w:t>
      </w:r>
      <w:r>
        <w:rPr>
          <w:rFonts w:hint="eastAsia" w:ascii="黑体" w:hAnsi="黑体" w:eastAsia="黑体" w:cs="黑体"/>
          <w:color w:val="595959"/>
          <w:sz w:val="18"/>
          <w:szCs w:val="18"/>
          <w:highlight w:val="none"/>
          <w:shd w:val="clear" w:color="auto" w:fill="FFFFFF"/>
          <w:lang w:val="en-US" w:eastAsia="zh-CN" w:bidi="ar"/>
        </w:rPr>
        <w:t>]</w:t>
      </w:r>
    </w:p>
    <w:p w14:paraId="04BB66ED">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Zhang JT, Liu SY, Gao W, et al. Longitudinal Undetectable Molecular Residual Disease Defines Potentially Cured Population in Localized Non-Small Cell Lung Cancer. Cancer Discov 2022;12:1690-701.</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PMID: 35543554</w:t>
      </w:r>
      <w:r>
        <w:rPr>
          <w:rFonts w:hint="eastAsia" w:ascii="黑体" w:hAnsi="黑体" w:eastAsia="黑体" w:cs="黑体"/>
          <w:color w:val="595959"/>
          <w:sz w:val="18"/>
          <w:szCs w:val="18"/>
          <w:highlight w:val="none"/>
          <w:shd w:val="clear" w:color="auto" w:fill="FFFFFF"/>
          <w:lang w:val="en-US" w:eastAsia="zh-CN" w:bidi="ar"/>
        </w:rPr>
        <w:t>]</w:t>
      </w:r>
    </w:p>
    <w:p w14:paraId="54CA06C3">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Charest A, Lane K, McMahon K, et al. Fusion of FIG to the receptor tyrosine kinase ROS in a glioblastoma with an interstitial del(6)(q21q21) Genes Chromosomes Cancer. 2003;37:58–71.</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PMID: 12661006</w:t>
      </w:r>
      <w:r>
        <w:rPr>
          <w:rFonts w:hint="eastAsia" w:ascii="黑体" w:hAnsi="黑体" w:eastAsia="黑体" w:cs="黑体"/>
          <w:color w:val="595959"/>
          <w:sz w:val="18"/>
          <w:szCs w:val="18"/>
          <w:highlight w:val="none"/>
          <w:shd w:val="clear" w:color="auto" w:fill="FFFFFF"/>
          <w:lang w:val="en-US" w:eastAsia="zh-CN" w:bidi="ar"/>
        </w:rPr>
        <w:t>]</w:t>
      </w:r>
    </w:p>
    <w:p w14:paraId="2A3AE06C">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val="en-US" w:eastAsia="zh-CN" w:bidi="ar"/>
        </w:rPr>
      </w:pPr>
      <w:r>
        <w:rPr>
          <w:rFonts w:hint="eastAsia" w:ascii="黑体" w:hAnsi="黑体" w:eastAsia="黑体" w:cs="黑体"/>
          <w:color w:val="595959"/>
          <w:sz w:val="18"/>
          <w:szCs w:val="18"/>
          <w:highlight w:val="none"/>
          <w:shd w:val="clear" w:color="auto" w:fill="FFFFFF"/>
          <w:lang w:eastAsia="zh-CN" w:bidi="ar"/>
        </w:rPr>
        <w:t>Rikova K, Guo A, Zeng Q, et al. Global survey of phosphotyrosine signaling identifies oncogenic kinases in lung cancer. Cell. 2007;131:1190–1203.</w:t>
      </w:r>
      <w:r>
        <w:rPr>
          <w:rFonts w:hint="eastAsia" w:ascii="黑体" w:hAnsi="黑体" w:eastAsia="黑体" w:cs="黑体"/>
          <w:color w:val="595959"/>
          <w:sz w:val="18"/>
          <w:szCs w:val="18"/>
          <w:highlight w:val="none"/>
          <w:shd w:val="clear" w:color="auto" w:fill="FFFFFF"/>
          <w:lang w:val="en-US" w:eastAsia="zh-CN" w:bidi="ar"/>
        </w:rPr>
        <w:t>[</w:t>
      </w:r>
      <w:r>
        <w:rPr>
          <w:rFonts w:hint="eastAsia" w:ascii="黑体" w:hAnsi="黑体" w:eastAsia="黑体" w:cs="黑体"/>
          <w:color w:val="595959"/>
          <w:sz w:val="18"/>
          <w:szCs w:val="18"/>
          <w:highlight w:val="none"/>
          <w:shd w:val="clear" w:color="auto" w:fill="FFFFFF"/>
          <w:lang w:eastAsia="zh-CN" w:bidi="ar"/>
        </w:rPr>
        <w:t>PMID: 18083107</w:t>
      </w:r>
      <w:r>
        <w:rPr>
          <w:rFonts w:hint="eastAsia" w:ascii="黑体" w:hAnsi="黑体" w:eastAsia="黑体" w:cs="黑体"/>
          <w:color w:val="595959"/>
          <w:sz w:val="18"/>
          <w:szCs w:val="18"/>
          <w:highlight w:val="none"/>
          <w:shd w:val="clear" w:color="auto" w:fill="FFFFFF"/>
          <w:lang w:val="en-US" w:eastAsia="zh-CN" w:bidi="ar"/>
        </w:rPr>
        <w:t>]</w:t>
      </w:r>
    </w:p>
    <w:p w14:paraId="18C888B9">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Gu TL</w:t>
      </w:r>
      <w:r>
        <w:rPr>
          <w:rFonts w:hint="eastAsia" w:ascii="黑体" w:hAnsi="黑体" w:eastAsia="黑体" w:cs="黑体"/>
          <w:color w:val="595959"/>
          <w:sz w:val="18"/>
          <w:szCs w:val="18"/>
          <w:highlight w:val="none"/>
          <w:shd w:val="clear" w:color="auto" w:fill="FFFFFF"/>
          <w:lang w:val="en-US" w:eastAsia="zh-CN" w:bidi="ar"/>
        </w:rPr>
        <w:t>, Deng X, Huang F,</w:t>
      </w:r>
      <w:r>
        <w:rPr>
          <w:rFonts w:hint="eastAsia" w:ascii="黑体" w:hAnsi="黑体" w:eastAsia="黑体" w:cs="黑体"/>
          <w:color w:val="595959"/>
          <w:sz w:val="18"/>
          <w:szCs w:val="18"/>
          <w:highlight w:val="none"/>
          <w:shd w:val="clear" w:color="auto" w:fill="FFFFFF"/>
          <w:lang w:eastAsia="zh-CN" w:bidi="ar"/>
        </w:rPr>
        <w:t xml:space="preserve"> et al. Survey of tyrosine kinase signaling reveals ROS kinase fusions in human cholangiocarcinoma. PLoS ONE. 2011;6(1):e15640.</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PMID: 21253578</w:t>
      </w:r>
      <w:r>
        <w:rPr>
          <w:rFonts w:hint="eastAsia" w:ascii="黑体" w:hAnsi="黑体" w:eastAsia="黑体" w:cs="黑体"/>
          <w:color w:val="595959"/>
          <w:sz w:val="18"/>
          <w:szCs w:val="18"/>
          <w:highlight w:val="none"/>
          <w:shd w:val="clear" w:color="auto" w:fill="FFFFFF"/>
          <w:lang w:val="en-US" w:eastAsia="zh-CN" w:bidi="ar"/>
        </w:rPr>
        <w:t>]</w:t>
      </w:r>
    </w:p>
    <w:p w14:paraId="063C16EC">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Davies KD, Doebele RC. Molecular pathways: ROS1 fusion proteins in cancer. Clin Cancer Res 2013; 19: 4040–4045.</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PMID: 23719267</w:t>
      </w:r>
      <w:r>
        <w:rPr>
          <w:rFonts w:hint="eastAsia" w:ascii="黑体" w:hAnsi="黑体" w:eastAsia="黑体" w:cs="黑体"/>
          <w:color w:val="595959"/>
          <w:sz w:val="18"/>
          <w:szCs w:val="18"/>
          <w:highlight w:val="none"/>
          <w:shd w:val="clear" w:color="auto" w:fill="FFFFFF"/>
          <w:lang w:val="en-US" w:eastAsia="zh-CN" w:bidi="ar"/>
        </w:rPr>
        <w:t>]</w:t>
      </w:r>
    </w:p>
    <w:p w14:paraId="09A6F4A5">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Chaudhuri AA, Chabon JJ, Lovejoy AF, et al. Early Detection of Molecular Residual Disease in Localized Lung Cancer by Circulating Tumor DNA Profiling. Cancer Discovery</w:t>
      </w:r>
      <w:r>
        <w:rPr>
          <w:rFonts w:hint="eastAsia" w:ascii="黑体" w:hAnsi="黑体" w:eastAsia="黑体" w:cs="黑体"/>
          <w:color w:val="595959"/>
          <w:sz w:val="18"/>
          <w:szCs w:val="18"/>
          <w:highlight w:val="none"/>
          <w:shd w:val="clear" w:color="auto" w:fill="FFFFFF"/>
          <w:lang w:val="en-US" w:eastAsia="zh-CN" w:bidi="ar"/>
        </w:rPr>
        <w:t>.</w:t>
      </w:r>
      <w:r>
        <w:rPr>
          <w:rFonts w:hint="eastAsia" w:ascii="黑体" w:hAnsi="黑体" w:eastAsia="黑体" w:cs="黑体"/>
          <w:color w:val="595959"/>
          <w:sz w:val="18"/>
          <w:szCs w:val="18"/>
          <w:highlight w:val="none"/>
          <w:shd w:val="clear" w:color="auto" w:fill="FFFFFF"/>
          <w:lang w:eastAsia="zh-CN" w:bidi="ar"/>
        </w:rPr>
        <w:t xml:space="preserve"> 2017</w:t>
      </w:r>
      <w:r>
        <w:rPr>
          <w:rFonts w:hint="eastAsia" w:ascii="黑体" w:hAnsi="黑体" w:eastAsia="黑体" w:cs="黑体"/>
          <w:color w:val="595959"/>
          <w:sz w:val="18"/>
          <w:szCs w:val="18"/>
          <w:highlight w:val="none"/>
          <w:shd w:val="clear" w:color="auto" w:fill="FFFFFF"/>
          <w:lang w:val="en-US" w:eastAsia="zh-CN" w:bidi="ar"/>
        </w:rPr>
        <w:t>,</w:t>
      </w:r>
      <w:r>
        <w:rPr>
          <w:rFonts w:hint="eastAsia" w:ascii="黑体" w:hAnsi="黑体" w:eastAsia="黑体" w:cs="黑体"/>
          <w:color w:val="595959"/>
          <w:sz w:val="18"/>
          <w:szCs w:val="18"/>
          <w:highlight w:val="none"/>
          <w:shd w:val="clear" w:color="auto" w:fill="FFFFFF"/>
          <w:lang w:eastAsia="zh-CN" w:bidi="ar"/>
        </w:rPr>
        <w:t xml:space="preserve"> 7:1394–403. [PMID: 28899864]</w:t>
      </w:r>
    </w:p>
    <w:p w14:paraId="0498AB3D">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Garcia-Murillas I, Schiavon G, Weigelt B, et al. Mutation tracking in circulating tumor DNA predicts relapse in early breast cancer. Sci Transl Med</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2015</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7(302):302ra133. [PMID: 26311728]</w:t>
      </w:r>
    </w:p>
    <w:p w14:paraId="62730B64">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Tie J, Wang Y, Tomasetti C, et al. Circulating tumor DNA analysis detects minimal residual disease and predicts recurrence in patients with stage II colon cancer. Sci Transl Med. 2016;8(346):346ra92 [PMID: 27384348]</w:t>
      </w:r>
    </w:p>
    <w:p w14:paraId="59E82092">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Azad T.D., Chaudhuri A.A., Fang P., et al. Circulating tumour DNA analysis for detection of minimal residual disease after chemoradiotherapy for localized esophageal cancer. Gastroenterology. 2020;158(3):494–505.e6. [PMID: 31711920]</w:t>
      </w:r>
    </w:p>
    <w:p w14:paraId="68DBBB7A">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Sausen M., Phallen J., Adleff V., et al. Clinical implications of genomic alterations in the tumour and circulation of pancreatic cancer patients. Nat. Commun. 2015;6:7686. [PMID: 26154128]</w:t>
      </w:r>
    </w:p>
    <w:p w14:paraId="250BE6D5">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Christensen E., Birkenkamp-Demtröder K., Sethi H., et al. Early Detection of Metastatic Relapse and Monitoring of Therapeutic Efficacy by Ultra-Deep Sequencing of Plasma Cell-Free DNA in Patients with Urothelial Bladder Carcinoma. J. Clin. Oncol. 2019;37:1547–1557. [PMID: 31059311]</w:t>
      </w:r>
    </w:p>
    <w:p w14:paraId="7E60BDA8">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Henriksen TV, Tarazona N, Frydendahl A, et al. Circulating tumor DNA in stage III colorectal cancer, beyond minimal residual disease detection, toward assessment of adjuvant therapy efficacy and clinical behavior of recurrences. Clin Cancer Res. 2022;28:507–517.</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[PMID: 34625408]</w:t>
      </w:r>
    </w:p>
    <w:p w14:paraId="6A17961F">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sz w:val="18"/>
          <w:szCs w:val="18"/>
          <w:highlight w:val="none"/>
          <w:shd w:val="clear" w:color="auto" w:fill="FFFFFF"/>
          <w:lang w:eastAsia="zh-CN" w:bidi="ar"/>
        </w:rPr>
      </w:pPr>
      <w:r>
        <w:rPr>
          <w:rFonts w:hint="eastAsia" w:ascii="黑体" w:hAnsi="黑体" w:eastAsia="黑体" w:cs="黑体"/>
          <w:color w:val="595959"/>
          <w:sz w:val="18"/>
          <w:szCs w:val="18"/>
          <w:highlight w:val="none"/>
          <w:shd w:val="clear" w:color="auto" w:fill="FFFFFF"/>
          <w:lang w:eastAsia="zh-CN" w:bidi="ar"/>
        </w:rPr>
        <w:t>Coakley M., Garcia-Murillas I. Turner N.C. Molecular Residual Disease and Adjuvant Trial Design in Solid Tumors. Clin. Cancer Res. 2019;25:6026–6034. [PMID:</w:t>
      </w:r>
      <w:r>
        <w:rPr>
          <w:rFonts w:hint="eastAsia" w:ascii="黑体" w:hAnsi="黑体" w:eastAsia="黑体" w:cs="黑体"/>
          <w:color w:val="595959"/>
          <w:sz w:val="18"/>
          <w:szCs w:val="18"/>
          <w:highlight w:val="none"/>
          <w:shd w:val="clear" w:color="auto" w:fill="FFFFFF"/>
          <w:lang w:val="en-US" w:eastAsia="zh-CN" w:bidi="ar"/>
        </w:rPr>
        <w:t xml:space="preserve"> </w:t>
      </w:r>
      <w:r>
        <w:rPr>
          <w:rFonts w:hint="eastAsia" w:ascii="黑体" w:hAnsi="黑体" w:eastAsia="黑体" w:cs="黑体"/>
          <w:color w:val="595959"/>
          <w:sz w:val="18"/>
          <w:szCs w:val="18"/>
          <w:highlight w:val="none"/>
          <w:shd w:val="clear" w:color="auto" w:fill="FFFFFF"/>
          <w:lang w:eastAsia="zh-CN" w:bidi="ar"/>
        </w:rPr>
        <w:t>31088829]</w:t>
      </w:r>
    </w:p>
    <w:p w14:paraId="5DA60A43">
      <w:pPr>
        <w:pStyle w:val="13"/>
        <w:keepNext w:val="0"/>
        <w:keepLines w:val="0"/>
        <w:pageBreakBefore w:val="0"/>
        <w:widowControl/>
        <w:numPr>
          <w:ilvl w:val="0"/>
          <w:numId w:val="8"/>
        </w:numPr>
        <w:kinsoku/>
        <w:wordWrap/>
        <w:overflowPunct/>
        <w:topLinePunct w:val="0"/>
        <w:autoSpaceDE/>
        <w:autoSpaceDN/>
        <w:bidi w:val="0"/>
        <w:adjustRightInd/>
        <w:snapToGrid/>
        <w:spacing w:before="0" w:beforeLines="0" w:beforeAutospacing="0" w:after="0" w:afterAutospacing="0" w:line="300" w:lineRule="exact"/>
        <w:ind w:left="225" w:leftChars="0" w:hanging="225" w:hangingChars="125"/>
        <w:textAlignment w:val="auto"/>
        <w:rPr>
          <w:rFonts w:hint="eastAsia" w:ascii="黑体" w:hAnsi="黑体" w:eastAsia="黑体" w:cs="黑体"/>
          <w:color w:val="595959"/>
        </w:rPr>
      </w:pPr>
      <w:r>
        <w:rPr>
          <w:rFonts w:hint="eastAsia" w:ascii="黑体" w:hAnsi="黑体" w:eastAsia="黑体" w:cs="黑体"/>
          <w:color w:val="595959"/>
          <w:sz w:val="18"/>
          <w:szCs w:val="18"/>
          <w:highlight w:val="none"/>
          <w:shd w:val="clear" w:color="auto" w:fill="FFFFFF"/>
          <w:lang w:eastAsia="zh-CN" w:bidi="ar"/>
        </w:rPr>
        <w:t>Moding EJ, Nabet BY, Alizadeh AA, et al. Detecting liquid remnants of solid tumors: circulating tumor DNA minimal residual disease. Cancer Discov 2021;11:2968–86. [PMID: 34785539]</w:t>
      </w:r>
      <w:r>
        <w:rPr>
          <w:rFonts w:hint="eastAsia" w:ascii="黑体" w:hAnsi="黑体" w:eastAsia="黑体" w:cs="黑体"/>
          <w:color w:val="595959"/>
        </w:rPr>
        <w:br w:type="page"/>
      </w:r>
    </w:p>
    <w:p w14:paraId="3F5D182B">
      <w:pPr>
        <w:widowControl/>
        <w:jc w:val="left"/>
        <w:rPr>
          <w:rFonts w:hint="eastAsia"/>
        </w:rPr>
      </w:pPr>
    </w:p>
    <w:p w14:paraId="1108A1FB">
      <w:pPr>
        <w:rPr>
          <w:rFonts w:hint="eastAsia"/>
        </w:rPr>
      </w:pPr>
      <w:r>
        <w:rPr>
          <w:rFonts w:hint="eastAsia"/>
          <w:b/>
          <w:bCs/>
          <w:color w:val="005BAB"/>
          <w:sz w:val="28"/>
          <w:szCs w:val="28"/>
        </w:rPr>
        <w:drawing>
          <wp:anchor distT="0" distB="0" distL="0" distR="0" simplePos="0" relativeHeight="251660288" behindDoc="0" locked="0" layoutInCell="1" allowOverlap="1">
            <wp:simplePos x="0" y="0"/>
            <wp:positionH relativeFrom="page">
              <wp:posOffset>-19050</wp:posOffset>
            </wp:positionH>
            <wp:positionV relativeFrom="paragraph">
              <wp:posOffset>-1020445</wp:posOffset>
            </wp:positionV>
            <wp:extent cx="7741920" cy="10596880"/>
            <wp:effectExtent l="0" t="0" r="0" b="0"/>
            <wp:wrapNone/>
            <wp:docPr id="11" name="图片 24"/>
            <wp:cNvGraphicFramePr/>
            <a:graphic xmlns:a="http://schemas.openxmlformats.org/drawingml/2006/main">
              <a:graphicData uri="http://schemas.openxmlformats.org/drawingml/2006/picture">
                <pic:pic xmlns:pic="http://schemas.openxmlformats.org/drawingml/2006/picture">
                  <pic:nvPicPr>
                    <pic:cNvPr id="11" name="图片 24"/>
                    <pic:cNvPicPr/>
                  </pic:nvPicPr>
                  <pic:blipFill>
                    <a:blip r:embed="rId9" cstate="print"/>
                    <a:srcRect/>
                    <a:stretch>
                      <a:fillRect/>
                    </a:stretch>
                  </pic:blipFill>
                  <pic:spPr>
                    <a:xfrm>
                      <a:off x="0" y="0"/>
                      <a:ext cx="7741919" cy="10596880"/>
                    </a:xfrm>
                    <a:prstGeom prst="rect">
                      <a:avLst/>
                    </a:prstGeom>
                  </pic:spPr>
                </pic:pic>
              </a:graphicData>
            </a:graphic>
          </wp:anchor>
        </w:drawing>
      </w:r>
    </w:p>
    <w:sectPr>
      <w:headerReference r:id="rId3" w:type="default"/>
      <w:footerReference r:id="rId4" w:type="default"/>
      <w:pgSz w:w="11906" w:h="16838"/>
      <w:pgMar w:top="1724" w:right="1077" w:bottom="1440" w:left="1077" w:header="851" w:footer="567" w:gutter="0"/>
      <w:pgBorders>
        <w:top w:val="none" w:sz="0" w:space="0"/>
        <w:left w:val="none" w:sz="0" w:space="0"/>
        <w:bottom w:val="none" w:sz="0" w:space="0"/>
        <w:right w:val="none" w:sz="0" w:space="0"/>
      </w:pgBorders>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OPPOSans R">
    <w:altName w:val="宋体"/>
    <w:panose1 w:val="00000000000000000000"/>
    <w:charset w:val="86"/>
    <w:family w:val="auto"/>
    <w:pitch w:val="default"/>
    <w:sig w:usb0="00000000" w:usb1="00000000" w:usb2="00000016" w:usb3="00000000" w:csb0="0004009F" w:csb1="00000000"/>
  </w:font>
  <w:font w:name="Heiti SC Medium">
    <w:altName w:val="微软雅黑"/>
    <w:panose1 w:val="00000000000000000000"/>
    <w:charset w:val="86"/>
    <w:family w:val="auto"/>
    <w:pitch w:val="default"/>
    <w:sig w:usb0="00000000" w:usb1="00000000" w:usb2="00000000" w:usb3="00000000" w:csb0="203E0000" w:csb1="00000000"/>
  </w:font>
  <w:font w:name="Heiti SC Light">
    <w:altName w:val="Segoe Print"/>
    <w:panose1 w:val="00000000000000000000"/>
    <w:charset w:val="00"/>
    <w:family w:val="roman"/>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方正隶书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E9766">
    <w:pPr>
      <w:pStyle w:val="8"/>
      <w:jc w:val="center"/>
      <w:rPr>
        <w:rFonts w:hint="eastAsia"/>
      </w:rPr>
    </w:pPr>
    <w:r>
      <w:fldChar w:fldCharType="begin"/>
    </w:r>
    <w:r>
      <w:instrText xml:space="preserve">PAGE   \* MERGEFORMAT</w:instrText>
    </w:r>
    <w:r>
      <w:fldChar w:fldCharType="separate"/>
    </w:r>
    <w:r>
      <w:rPr>
        <w:lang w:val="zh-CN"/>
      </w:rPr>
      <w:t>2</w:t>
    </w:r>
    <w:r>
      <w:fldChar w:fldCharType="end"/>
    </w:r>
  </w:p>
  <w:p w14:paraId="12D820DD">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99C6E">
    <w:pPr>
      <w:pStyle w:val="9"/>
      <w:pBdr>
        <w:bottom w:val="none" w:color="auto" w:sz="0" w:space="1"/>
      </w:pBdr>
      <w:ind w:left="-991" w:leftChars="-472"/>
      <w:rPr>
        <w:rFonts w:hint="eastAsia"/>
      </w:rPr>
    </w:pPr>
    <w:r>
      <w:drawing>
        <wp:anchor distT="0" distB="0" distL="0" distR="0" simplePos="0" relativeHeight="251661312" behindDoc="0" locked="0" layoutInCell="1" allowOverlap="1">
          <wp:simplePos x="0" y="0"/>
          <wp:positionH relativeFrom="margin">
            <wp:posOffset>5067935</wp:posOffset>
          </wp:positionH>
          <wp:positionV relativeFrom="paragraph">
            <wp:posOffset>166370</wp:posOffset>
          </wp:positionV>
          <wp:extent cx="1109980" cy="342900"/>
          <wp:effectExtent l="0" t="0" r="7620" b="0"/>
          <wp:wrapNone/>
          <wp:docPr id="12" name="图片 5"/>
          <wp:cNvGraphicFramePr/>
          <a:graphic xmlns:a="http://schemas.openxmlformats.org/drawingml/2006/main">
            <a:graphicData uri="http://schemas.openxmlformats.org/drawingml/2006/picture">
              <pic:pic xmlns:pic="http://schemas.openxmlformats.org/drawingml/2006/picture">
                <pic:nvPicPr>
                  <pic:cNvPr id="12" name="图片 5"/>
                  <pic:cNvPicPr/>
                </pic:nvPicPr>
                <pic:blipFill>
                  <a:blip r:embed="rId1" cstate="print"/>
                  <a:srcRect/>
                  <a:stretch>
                    <a:fillRect/>
                  </a:stretch>
                </pic:blipFill>
                <pic:spPr>
                  <a:xfrm>
                    <a:off x="0" y="0"/>
                    <a:ext cx="1109979" cy="342899"/>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6985</wp:posOffset>
          </wp:positionH>
          <wp:positionV relativeFrom="paragraph">
            <wp:posOffset>166370</wp:posOffset>
          </wp:positionV>
          <wp:extent cx="1026160" cy="329565"/>
          <wp:effectExtent l="0" t="0" r="15240" b="635"/>
          <wp:wrapNone/>
          <wp:docPr id="13" name="图片 6" descr="标准logo"/>
          <wp:cNvGraphicFramePr/>
          <a:graphic xmlns:a="http://schemas.openxmlformats.org/drawingml/2006/main">
            <a:graphicData uri="http://schemas.openxmlformats.org/drawingml/2006/picture">
              <pic:pic xmlns:pic="http://schemas.openxmlformats.org/drawingml/2006/picture">
                <pic:nvPicPr>
                  <pic:cNvPr id="13" name="图片 6" descr="标准logo"/>
                  <pic:cNvPicPr/>
                </pic:nvPicPr>
                <pic:blipFill>
                  <a:blip r:embed="rId2" cstate="print"/>
                  <a:srcRect/>
                  <a:stretch>
                    <a:fillRect/>
                  </a:stretch>
                </pic:blipFill>
                <pic:spPr>
                  <a:xfrm>
                    <a:off x="0" y="0"/>
                    <a:ext cx="1026159" cy="32956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D90A2"/>
    <w:multiLevelType w:val="singleLevel"/>
    <w:tmpl w:val="A99D90A2"/>
    <w:lvl w:ilvl="0" w:tentative="0">
      <w:start w:val="1"/>
      <w:numFmt w:val="decimal"/>
      <w:lvlText w:val="%1."/>
      <w:lvlJc w:val="left"/>
      <w:pPr>
        <w:ind w:left="425" w:hanging="425"/>
      </w:pPr>
      <w:rPr>
        <w:rFonts w:hint="default"/>
      </w:rPr>
    </w:lvl>
  </w:abstractNum>
  <w:abstractNum w:abstractNumId="1">
    <w:nsid w:val="EB7C32C1"/>
    <w:multiLevelType w:val="multilevel"/>
    <w:tmpl w:val="EB7C32C1"/>
    <w:lvl w:ilvl="0" w:tentative="0">
      <w:start w:val="1"/>
      <w:numFmt w:val="decimal"/>
      <w:lvlText w:val="%1."/>
      <w:lvlJc w:val="left"/>
      <w:pPr>
        <w:ind w:left="425" w:hanging="425"/>
      </w:pPr>
      <w:rPr>
        <w:rFonts w:hint="default" w:ascii="黑体" w:hAnsi="黑体" w:eastAsia="黑体" w:cs="黑体"/>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EFA4EED"/>
    <w:multiLevelType w:val="singleLevel"/>
    <w:tmpl w:val="EEFA4EED"/>
    <w:lvl w:ilvl="0" w:tentative="0">
      <w:start w:val="1"/>
      <w:numFmt w:val="decimal"/>
      <w:suff w:val="nothing"/>
      <w:lvlText w:val="%1."/>
      <w:lvlJc w:val="left"/>
      <w:pPr>
        <w:ind w:left="425" w:hanging="425"/>
      </w:pPr>
      <w:rPr>
        <w:rFonts w:hint="default"/>
      </w:rPr>
    </w:lvl>
  </w:abstractNum>
  <w:abstractNum w:abstractNumId="3">
    <w:nsid w:val="00000002"/>
    <w:multiLevelType w:val="multilevel"/>
    <w:tmpl w:val="00000002"/>
    <w:lvl w:ilvl="0" w:tentative="0">
      <w:start w:val="1"/>
      <w:numFmt w:val="none"/>
      <w:pStyle w:val="46"/>
      <w:suff w:val="nothing"/>
      <w:lvlText w:val="%1"/>
      <w:lvlJc w:val="left"/>
      <w:pPr>
        <w:ind w:left="0" w:firstLine="0"/>
      </w:pPr>
      <w:rPr>
        <w:rFonts w:hint="eastAsia"/>
        <w:b/>
        <w:bCs/>
        <w:color w:val="auto"/>
        <w:sz w:val="21"/>
        <w:szCs w:val="22"/>
      </w:rPr>
    </w:lvl>
    <w:lvl w:ilvl="1" w:tentative="0">
      <w:start w:val="1"/>
      <w:numFmt w:val="bullet"/>
      <w:suff w:val="space"/>
      <w:lvlText w:val=""/>
      <w:lvlJc w:val="left"/>
      <w:pPr>
        <w:ind w:left="0" w:firstLine="0"/>
      </w:pPr>
      <w:rPr>
        <w:rFonts w:hint="default" w:ascii="Symbol" w:hAnsi="Symbol"/>
        <w:b/>
        <w:bCs/>
        <w:i w:val="0"/>
        <w:iCs w:val="0"/>
        <w:caps w:val="0"/>
        <w:smallCaps w:val="0"/>
        <w:outline w:val="0"/>
        <w:emboss w:val="0"/>
        <w:imprint w:val="0"/>
        <w:color w:val="auto"/>
        <w:spacing w:val="0"/>
        <w:position w:val="0"/>
        <w:u w:val="none"/>
        <w:vertAlign w:val="baseline"/>
        <w14:shadow w14:blurRad="0" w14:dist="0" w14:dir="0" w14:sx="0" w14:sy="0" w14:kx="0" w14:ky="0" w14:algn="none">
          <w14:srgbClr w14:val="000000"/>
        </w14:shadow>
      </w:rPr>
    </w:lvl>
    <w:lvl w:ilvl="2" w:tentative="0">
      <w:start w:val="1"/>
      <w:numFmt w:val="decimal"/>
      <w:pStyle w:val="47"/>
      <w:suff w:val="space"/>
      <w:lvlText w:val="%2%3."/>
      <w:lvlJc w:val="left"/>
      <w:pPr>
        <w:ind w:left="284" w:hanging="284"/>
      </w:pPr>
      <w:rPr>
        <w:rFonts w:hint="eastAsia" w:ascii="OPPOSans R" w:eastAsia="OPPOSans R"/>
        <w:b/>
        <w:bCs w:val="0"/>
        <w:i w:val="0"/>
        <w:iCs w:val="0"/>
        <w:caps w:val="0"/>
        <w:smallCaps w:val="0"/>
        <w:color w:val="2A728E"/>
        <w:spacing w:val="0"/>
        <w:kern w:val="0"/>
        <w:position w:val="0"/>
        <w:sz w:val="18"/>
        <w:szCs w:val="18"/>
        <w:u w:val="none"/>
        <w:vertAlign w:val="baseline"/>
      </w:rPr>
    </w:lvl>
    <w:lvl w:ilvl="3" w:tentative="0">
      <w:start w:val="1"/>
      <w:numFmt w:val="decimal"/>
      <w:pStyle w:val="48"/>
      <w:suff w:val="space"/>
      <w:lvlText w:val="%2%3.%4"/>
      <w:lvlJc w:val="left"/>
      <w:pPr>
        <w:ind w:left="284" w:hanging="284"/>
      </w:pPr>
      <w:rPr>
        <w:rFonts w:hint="eastAsia" w:ascii="OPPOSans R" w:eastAsia="OPPOSans R"/>
        <w:b/>
        <w:i w:val="0"/>
        <w:color w:val="098688"/>
        <w:sz w:val="18"/>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226C46CD"/>
    <w:multiLevelType w:val="multilevel"/>
    <w:tmpl w:val="226C46CD"/>
    <w:lvl w:ilvl="0" w:tentative="0">
      <w:start w:val="1"/>
      <w:numFmt w:val="decimal"/>
      <w:pStyle w:val="51"/>
      <w:lvlText w:val="%1."/>
      <w:lvlJc w:val="left"/>
      <w:pPr>
        <w:ind w:left="1260" w:hanging="420"/>
      </w:pPr>
      <w:rPr>
        <w:rFonts w:hint="eastAsia" w:eastAsia="微软雅黑"/>
        <w:b w:val="0"/>
        <w:i w:val="0"/>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55AD84B2"/>
    <w:multiLevelType w:val="singleLevel"/>
    <w:tmpl w:val="55AD84B2"/>
    <w:lvl w:ilvl="0" w:tentative="0">
      <w:start w:val="1"/>
      <w:numFmt w:val="decimal"/>
      <w:lvlText w:val="%1."/>
      <w:lvlJc w:val="left"/>
      <w:pPr>
        <w:ind w:left="425" w:hanging="425"/>
      </w:pPr>
      <w:rPr>
        <w:rFonts w:hint="default"/>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689C4F3F"/>
    <w:multiLevelType w:val="multilevel"/>
    <w:tmpl w:val="689C4F3F"/>
    <w:lvl w:ilvl="0" w:tentative="0">
      <w:start w:val="1"/>
      <w:numFmt w:val="japaneseCounting"/>
      <w:lvlText w:val="%1、"/>
      <w:lvlJc w:val="left"/>
      <w:pPr>
        <w:ind w:left="456" w:hanging="456"/>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4"/>
  </w:num>
  <w:num w:numId="3">
    <w:abstractNumId w:val="1"/>
  </w:num>
  <w:num w:numId="4">
    <w:abstractNumId w:val="6"/>
  </w:num>
  <w:num w:numId="5">
    <w:abstractNumId w:val="0"/>
  </w:num>
  <w:num w:numId="6">
    <w:abstractNumId w:val="5"/>
  </w:num>
  <w:num w:numId="7">
    <w:abstractNumId w:val="7"/>
    <w:lvlOverride w:ilvl="0">
      <w:startOverride w:val="1"/>
    </w:lvlOverride>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4A4B87"/>
    <w:rsid w:val="03F139E0"/>
    <w:rsid w:val="06694871"/>
    <w:rsid w:val="06AE3E0A"/>
    <w:rsid w:val="06F83075"/>
    <w:rsid w:val="0ACA39F0"/>
    <w:rsid w:val="0ACC2D2E"/>
    <w:rsid w:val="0AF4446C"/>
    <w:rsid w:val="0C9B4C39"/>
    <w:rsid w:val="0F210455"/>
    <w:rsid w:val="11991213"/>
    <w:rsid w:val="12C10918"/>
    <w:rsid w:val="15C62BE0"/>
    <w:rsid w:val="15FA6724"/>
    <w:rsid w:val="16331C36"/>
    <w:rsid w:val="17667CD2"/>
    <w:rsid w:val="194E7F6F"/>
    <w:rsid w:val="1C2838BF"/>
    <w:rsid w:val="1C3B3107"/>
    <w:rsid w:val="1DF81251"/>
    <w:rsid w:val="1F2760BC"/>
    <w:rsid w:val="1FEF4A96"/>
    <w:rsid w:val="204937EF"/>
    <w:rsid w:val="290D24E8"/>
    <w:rsid w:val="2A314286"/>
    <w:rsid w:val="2A6E5785"/>
    <w:rsid w:val="2C1A44DE"/>
    <w:rsid w:val="2F3E4062"/>
    <w:rsid w:val="30134D2F"/>
    <w:rsid w:val="31316D92"/>
    <w:rsid w:val="321E71A6"/>
    <w:rsid w:val="33FD1962"/>
    <w:rsid w:val="37307DA0"/>
    <w:rsid w:val="37694EA4"/>
    <w:rsid w:val="381F0AD4"/>
    <w:rsid w:val="38877E93"/>
    <w:rsid w:val="39316051"/>
    <w:rsid w:val="3A845D87"/>
    <w:rsid w:val="3B082DE1"/>
    <w:rsid w:val="3C0A2068"/>
    <w:rsid w:val="3EB23790"/>
    <w:rsid w:val="404B5C4A"/>
    <w:rsid w:val="40CD665F"/>
    <w:rsid w:val="42B23D5F"/>
    <w:rsid w:val="432A5D73"/>
    <w:rsid w:val="487A3570"/>
    <w:rsid w:val="495F4514"/>
    <w:rsid w:val="4D1F6B46"/>
    <w:rsid w:val="4E5B79A0"/>
    <w:rsid w:val="4F3B1580"/>
    <w:rsid w:val="508A3A3E"/>
    <w:rsid w:val="51071EFE"/>
    <w:rsid w:val="528D20F2"/>
    <w:rsid w:val="52A02093"/>
    <w:rsid w:val="52DC2732"/>
    <w:rsid w:val="54FE4BE1"/>
    <w:rsid w:val="58413C5F"/>
    <w:rsid w:val="58CF5213"/>
    <w:rsid w:val="58DB5141"/>
    <w:rsid w:val="599D7038"/>
    <w:rsid w:val="5CFE08AF"/>
    <w:rsid w:val="5D9814F7"/>
    <w:rsid w:val="5EEA4A34"/>
    <w:rsid w:val="5F602F3B"/>
    <w:rsid w:val="62CF5694"/>
    <w:rsid w:val="63100901"/>
    <w:rsid w:val="636E387A"/>
    <w:rsid w:val="637F15E3"/>
    <w:rsid w:val="652F1BCA"/>
    <w:rsid w:val="65440D49"/>
    <w:rsid w:val="67553A45"/>
    <w:rsid w:val="6965127B"/>
    <w:rsid w:val="697D4817"/>
    <w:rsid w:val="6BC10B9D"/>
    <w:rsid w:val="6C507FC1"/>
    <w:rsid w:val="6F32654D"/>
    <w:rsid w:val="70390D6C"/>
    <w:rsid w:val="70A739A2"/>
    <w:rsid w:val="70CE5958"/>
    <w:rsid w:val="711A34A8"/>
    <w:rsid w:val="735073B5"/>
    <w:rsid w:val="73E071AD"/>
    <w:rsid w:val="7440091B"/>
    <w:rsid w:val="77E912C9"/>
    <w:rsid w:val="7AA54114"/>
    <w:rsid w:val="7C8F68E3"/>
    <w:rsid w:val="7DD46199"/>
    <w:rsid w:val="7E64651B"/>
    <w:rsid w:val="7FDA1D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1"/>
    <w:next w:val="1"/>
    <w:link w:val="23"/>
    <w:qFormat/>
    <w:uiPriority w:val="0"/>
    <w:pPr>
      <w:spacing w:before="240" w:after="240" w:line="300" w:lineRule="auto"/>
      <w:outlineLvl w:val="0"/>
    </w:pPr>
    <w:rPr>
      <w:rFonts w:ascii="黑体" w:hAnsi="黑体" w:eastAsia="微软雅黑" w:cs="黑体"/>
      <w:b/>
      <w:bCs/>
      <w:color w:val="006AB4"/>
      <w:kern w:val="44"/>
      <w:sz w:val="24"/>
      <w:szCs w:val="44"/>
    </w:rPr>
  </w:style>
  <w:style w:type="paragraph" w:styleId="3">
    <w:name w:val="heading 2"/>
    <w:basedOn w:val="1"/>
    <w:next w:val="1"/>
    <w:link w:val="24"/>
    <w:qFormat/>
    <w:uiPriority w:val="1"/>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49"/>
    <w:qFormat/>
    <w:uiPriority w:val="9"/>
    <w:pPr>
      <w:keepNext/>
      <w:keepLines/>
      <w:spacing w:before="260" w:after="260" w:line="416" w:lineRule="auto"/>
      <w:outlineLvl w:val="2"/>
    </w:pPr>
    <w:rPr>
      <w:b/>
      <w:bCs/>
      <w:sz w:val="32"/>
      <w:szCs w:val="32"/>
    </w:rPr>
  </w:style>
  <w:style w:type="character" w:default="1" w:styleId="17">
    <w:name w:val="Default Paragraph Font"/>
    <w:unhideWhenUsed/>
    <w:qFormat/>
    <w:uiPriority w:val="1"/>
  </w:style>
  <w:style w:type="table" w:default="1" w:styleId="15">
    <w:name w:val="Normal Table"/>
    <w:unhideWhenUsed/>
    <w:qFormat/>
    <w:uiPriority w:val="99"/>
    <w:tblPr>
      <w:tblCellMar>
        <w:top w:w="0" w:type="dxa"/>
        <w:left w:w="108" w:type="dxa"/>
        <w:bottom w:w="0" w:type="dxa"/>
        <w:right w:w="108" w:type="dxa"/>
      </w:tblCellMar>
    </w:tblPr>
  </w:style>
  <w:style w:type="paragraph" w:styleId="5">
    <w:name w:val="annotation text"/>
    <w:basedOn w:val="1"/>
    <w:link w:val="35"/>
    <w:qFormat/>
    <w:uiPriority w:val="99"/>
    <w:pPr>
      <w:widowControl/>
      <w:adjustRightInd w:val="0"/>
      <w:snapToGrid w:val="0"/>
      <w:spacing w:before="30" w:beforeLines="30" w:line="288" w:lineRule="auto"/>
      <w:jc w:val="left"/>
    </w:pPr>
    <w:rPr>
      <w:rFonts w:ascii="OPPOSans R" w:hAnsi="OPPOSans R" w:eastAsia="OPPOSans R" w:cs="OPPOSans R"/>
      <w:color w:val="262626"/>
      <w:kern w:val="0"/>
      <w:sz w:val="18"/>
      <w:szCs w:val="18"/>
    </w:rPr>
  </w:style>
  <w:style w:type="paragraph" w:styleId="6">
    <w:name w:val="toc 3"/>
    <w:basedOn w:val="1"/>
    <w:next w:val="1"/>
    <w:qFormat/>
    <w:uiPriority w:val="39"/>
    <w:pPr>
      <w:widowControl/>
      <w:spacing w:after="100" w:line="259" w:lineRule="auto"/>
      <w:ind w:left="440"/>
      <w:jc w:val="left"/>
    </w:pPr>
    <w:rPr>
      <w:rFonts w:cs="Times New Roman"/>
      <w:kern w:val="0"/>
      <w:sz w:val="22"/>
    </w:rPr>
  </w:style>
  <w:style w:type="paragraph" w:styleId="7">
    <w:name w:val="Plain Text"/>
    <w:basedOn w:val="1"/>
    <w:link w:val="39"/>
    <w:qFormat/>
    <w:uiPriority w:val="99"/>
    <w:rPr>
      <w:rFonts w:hAnsi="Courier New" w:cs="Courier New"/>
    </w:rPr>
  </w:style>
  <w:style w:type="paragraph" w:styleId="8">
    <w:name w:val="footer"/>
    <w:basedOn w:val="1"/>
    <w:link w:val="22"/>
    <w:qFormat/>
    <w:uiPriority w:val="99"/>
    <w:pPr>
      <w:tabs>
        <w:tab w:val="center" w:pos="4153"/>
        <w:tab w:val="right" w:pos="8306"/>
      </w:tabs>
      <w:snapToGrid w:val="0"/>
      <w:jc w:val="left"/>
    </w:pPr>
    <w:rPr>
      <w:sz w:val="18"/>
      <w:szCs w:val="18"/>
    </w:rPr>
  </w:style>
  <w:style w:type="paragraph" w:styleId="9">
    <w:name w:val="header"/>
    <w:basedOn w:val="1"/>
    <w:link w:val="21"/>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pPr>
      <w:widowControl/>
      <w:tabs>
        <w:tab w:val="right" w:leader="dot" w:pos="9742"/>
      </w:tabs>
      <w:spacing w:after="100" w:line="360" w:lineRule="auto"/>
      <w:jc w:val="left"/>
    </w:pPr>
    <w:rPr>
      <w:rFonts w:ascii="黑体" w:hAnsi="黑体" w:eastAsia="黑体" w:cs="Heiti SC Medium"/>
      <w:color w:val="0070C0"/>
      <w:kern w:val="0"/>
      <w:sz w:val="24"/>
      <w:szCs w:val="24"/>
    </w:rPr>
  </w:style>
  <w:style w:type="paragraph" w:styleId="11">
    <w:name w:val="toc 2"/>
    <w:basedOn w:val="1"/>
    <w:next w:val="1"/>
    <w:qFormat/>
    <w:uiPriority w:val="39"/>
    <w:pPr>
      <w:widowControl/>
      <w:spacing w:after="100" w:line="259" w:lineRule="auto"/>
      <w:ind w:left="220"/>
      <w:jc w:val="left"/>
    </w:pPr>
    <w:rPr>
      <w:rFonts w:cs="Times New Roman"/>
      <w:kern w:val="0"/>
      <w:sz w:val="22"/>
    </w:r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99"/>
    <w:pPr>
      <w:widowControl/>
      <w:adjustRightInd w:val="0"/>
      <w:snapToGrid w:val="0"/>
      <w:spacing w:before="100" w:beforeLines="30" w:beforeAutospacing="1" w:after="100" w:afterAutospacing="1" w:line="288" w:lineRule="auto"/>
      <w:jc w:val="left"/>
    </w:pPr>
    <w:rPr>
      <w:rFonts w:ascii="Times New Roman" w:hAnsi="Times New Roman" w:eastAsia="OPPOSans R" w:cs="Times New Roman"/>
      <w:color w:val="262626"/>
      <w:kern w:val="0"/>
      <w:sz w:val="18"/>
      <w:szCs w:val="18"/>
    </w:rPr>
  </w:style>
  <w:style w:type="paragraph" w:styleId="14">
    <w:name w:val="annotation subject"/>
    <w:basedOn w:val="5"/>
    <w:next w:val="5"/>
    <w:link w:val="36"/>
    <w:qFormat/>
    <w:uiPriority w:val="99"/>
    <w:rPr>
      <w:b/>
      <w:bCs/>
      <w:color w:val="2A728E"/>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qFormat/>
    <w:uiPriority w:val="99"/>
    <w:rPr>
      <w:color w:val="0563C1"/>
      <w:u w:val="single"/>
    </w:rPr>
  </w:style>
  <w:style w:type="character" w:styleId="19">
    <w:name w:val="HTML Code"/>
    <w:basedOn w:val="17"/>
    <w:uiPriority w:val="0"/>
    <w:rPr>
      <w:rFonts w:ascii="Courier New" w:hAnsi="Courier New"/>
      <w:sz w:val="20"/>
    </w:rPr>
  </w:style>
  <w:style w:type="character" w:styleId="20">
    <w:name w:val="annotation reference"/>
    <w:basedOn w:val="17"/>
    <w:qFormat/>
    <w:uiPriority w:val="99"/>
    <w:rPr>
      <w:sz w:val="21"/>
      <w:szCs w:val="21"/>
    </w:rPr>
  </w:style>
  <w:style w:type="character" w:customStyle="1" w:styleId="21">
    <w:name w:val="页眉 字符"/>
    <w:basedOn w:val="17"/>
    <w:link w:val="9"/>
    <w:qFormat/>
    <w:uiPriority w:val="99"/>
    <w:rPr>
      <w:sz w:val="18"/>
      <w:szCs w:val="18"/>
    </w:rPr>
  </w:style>
  <w:style w:type="character" w:customStyle="1" w:styleId="22">
    <w:name w:val="页脚 字符"/>
    <w:basedOn w:val="17"/>
    <w:link w:val="8"/>
    <w:qFormat/>
    <w:uiPriority w:val="99"/>
    <w:rPr>
      <w:sz w:val="18"/>
      <w:szCs w:val="18"/>
    </w:rPr>
  </w:style>
  <w:style w:type="character" w:customStyle="1" w:styleId="23">
    <w:name w:val="标题 1 字符"/>
    <w:basedOn w:val="17"/>
    <w:link w:val="2"/>
    <w:qFormat/>
    <w:uiPriority w:val="0"/>
    <w:rPr>
      <w:rFonts w:ascii="黑体" w:hAnsi="黑体" w:eastAsia="微软雅黑" w:cs="黑体"/>
      <w:b/>
      <w:bCs/>
      <w:color w:val="006AB4"/>
      <w:kern w:val="44"/>
      <w:sz w:val="24"/>
      <w:szCs w:val="44"/>
    </w:rPr>
  </w:style>
  <w:style w:type="character" w:customStyle="1" w:styleId="24">
    <w:name w:val="标题 2 字符"/>
    <w:basedOn w:val="17"/>
    <w:link w:val="3"/>
    <w:qFormat/>
    <w:uiPriority w:val="9"/>
    <w:rPr>
      <w:rFonts w:ascii="等线 Light" w:hAnsi="等线 Light" w:eastAsia="等线 Light" w:cs="宋体"/>
      <w:b/>
      <w:bCs/>
      <w:sz w:val="32"/>
      <w:szCs w:val="32"/>
    </w:rPr>
  </w:style>
  <w:style w:type="table" w:customStyle="1" w:styleId="25">
    <w:name w:val="网格型1"/>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表格表头"/>
    <w:qFormat/>
    <w:uiPriority w:val="0"/>
    <w:pPr>
      <w:adjustRightInd w:val="0"/>
      <w:snapToGrid w:val="0"/>
      <w:spacing w:line="288" w:lineRule="auto"/>
      <w:jc w:val="center"/>
    </w:pPr>
    <w:rPr>
      <w:rFonts w:ascii="OPPOSans R" w:hAnsi="OPPOSans R" w:eastAsia="OPPOSans R" w:cs="OPPOSans R"/>
      <w:b/>
      <w:color w:val="FFFFFF"/>
      <w:sz w:val="18"/>
      <w:szCs w:val="18"/>
      <w:lang w:val="en-US" w:eastAsia="zh-CN" w:bidi="ar-SA"/>
    </w:rPr>
  </w:style>
  <w:style w:type="paragraph" w:customStyle="1" w:styleId="27">
    <w:name w:val="表格内容"/>
    <w:qFormat/>
    <w:uiPriority w:val="0"/>
    <w:pPr>
      <w:adjustRightInd w:val="0"/>
      <w:snapToGrid w:val="0"/>
      <w:spacing w:before="30" w:beforeLines="30" w:line="288" w:lineRule="auto"/>
    </w:pPr>
    <w:rPr>
      <w:rFonts w:ascii="OPPOSans R" w:hAnsi="OPPOSans R" w:eastAsia="OPPOSans R" w:cs="OPPOSans R"/>
      <w:color w:val="262626"/>
      <w:sz w:val="18"/>
      <w:szCs w:val="21"/>
      <w:lang w:val="en-US" w:eastAsia="zh-CN" w:bidi="ar-SA"/>
    </w:rPr>
  </w:style>
  <w:style w:type="character" w:customStyle="1" w:styleId="28">
    <w:name w:val="未处理的提及1"/>
    <w:basedOn w:val="17"/>
    <w:qFormat/>
    <w:uiPriority w:val="99"/>
    <w:rPr>
      <w:color w:val="605E5C"/>
      <w:shd w:val="clear" w:color="auto" w:fill="E1DFDD"/>
    </w:rPr>
  </w:style>
  <w:style w:type="table" w:customStyle="1" w:styleId="29">
    <w:name w:val="表1-检测概况"/>
    <w:basedOn w:val="15"/>
    <w:qFormat/>
    <w:uiPriority w:val="99"/>
    <w:rPr>
      <w:rFonts w:eastAsia="黑体"/>
      <w:color w:val="595959"/>
      <w:sz w:val="18"/>
    </w:rPr>
    <w:tblPr>
      <w:jc w:val="center"/>
      <w:tblBorders>
        <w:top w:val="single" w:color="01528E" w:sz="4" w:space="0"/>
        <w:left w:val="single" w:color="01528E" w:sz="4" w:space="0"/>
        <w:bottom w:val="single" w:color="01528E" w:sz="4" w:space="0"/>
        <w:right w:val="single" w:color="01528E" w:sz="4" w:space="0"/>
        <w:insideH w:val="single" w:color="01528E" w:sz="4" w:space="0"/>
      </w:tblBorders>
    </w:tblPr>
    <w:trPr>
      <w:jc w:val="center"/>
    </w:trPr>
    <w:tcPr>
      <w:vAlign w:val="center"/>
    </w:tcPr>
    <w:tblStylePr w:type="firstRow">
      <w:rPr>
        <w:rFonts w:eastAsia="黑体"/>
        <w:b/>
        <w:color w:val="FFFFFF"/>
        <w:sz w:val="24"/>
      </w:rPr>
      <w:tcPr>
        <w:shd w:val="clear" w:color="auto" w:fill="01528E"/>
      </w:tcPr>
    </w:tblStylePr>
    <w:tblStylePr w:type="firstCol">
      <w:rPr>
        <w:rFonts w:eastAsia="黑体"/>
        <w:b/>
        <w:color w:val="01528E"/>
        <w:sz w:val="22"/>
      </w:rPr>
    </w:tblStylePr>
    <w:tblStylePr w:type="nwCell">
      <w:rPr>
        <w:rFonts w:eastAsia="黑体"/>
        <w:b/>
        <w:i w:val="0"/>
        <w:color w:val="FFFFFF"/>
        <w:sz w:val="24"/>
      </w:rPr>
    </w:tblStylePr>
  </w:style>
  <w:style w:type="paragraph" w:customStyle="1" w:styleId="30">
    <w:name w:val="摘要段落"/>
    <w:basedOn w:val="1"/>
    <w:link w:val="31"/>
    <w:qFormat/>
    <w:uiPriority w:val="0"/>
    <w:pPr>
      <w:spacing w:before="78" w:beforeLines="25" w:after="78" w:afterLines="25" w:line="360" w:lineRule="auto"/>
      <w:ind w:firstLine="420" w:firstLineChars="200"/>
    </w:pPr>
    <w:rPr>
      <w:rFonts w:ascii="黑体" w:hAnsi="黑体" w:eastAsia="黑体" w:cs="黑体"/>
      <w:szCs w:val="21"/>
    </w:rPr>
  </w:style>
  <w:style w:type="character" w:customStyle="1" w:styleId="31">
    <w:name w:val="摘要段落 字符"/>
    <w:basedOn w:val="17"/>
    <w:link w:val="30"/>
    <w:qFormat/>
    <w:uiPriority w:val="0"/>
    <w:rPr>
      <w:rFonts w:ascii="黑体" w:hAnsi="黑体" w:eastAsia="黑体" w:cs="黑体"/>
      <w:szCs w:val="21"/>
    </w:rPr>
  </w:style>
  <w:style w:type="paragraph" w:customStyle="1" w:styleId="32">
    <w:name w:val="免疫段落"/>
    <w:basedOn w:val="1"/>
    <w:link w:val="33"/>
    <w:qFormat/>
    <w:uiPriority w:val="0"/>
    <w:pPr>
      <w:adjustRightInd w:val="0"/>
      <w:snapToGrid w:val="0"/>
      <w:spacing w:before="25" w:beforeLines="25" w:after="25" w:afterLines="25" w:line="360" w:lineRule="auto"/>
      <w:jc w:val="left"/>
    </w:pPr>
    <w:rPr>
      <w:rFonts w:ascii="黑体" w:hAnsi="黑体" w:eastAsia="黑体" w:cs="黑体"/>
      <w:szCs w:val="21"/>
    </w:rPr>
  </w:style>
  <w:style w:type="character" w:customStyle="1" w:styleId="33">
    <w:name w:val="免疫段落 字符"/>
    <w:basedOn w:val="17"/>
    <w:link w:val="32"/>
    <w:qFormat/>
    <w:uiPriority w:val="0"/>
    <w:rPr>
      <w:rFonts w:ascii="黑体" w:hAnsi="黑体" w:eastAsia="黑体" w:cs="黑体"/>
      <w:szCs w:val="21"/>
    </w:rPr>
  </w:style>
  <w:style w:type="table" w:customStyle="1" w:styleId="34">
    <w:name w:val="表2-结果摘要小标题"/>
    <w:basedOn w:val="15"/>
    <w:qFormat/>
    <w:uiPriority w:val="99"/>
    <w:rPr>
      <w:rFonts w:eastAsia="黑体"/>
      <w:color w:val="FFFFFF"/>
    </w:rPr>
    <w:tcPr>
      <w:shd w:val="clear" w:color="auto" w:fill="01528E"/>
      <w:vAlign w:val="center"/>
    </w:tcPr>
  </w:style>
  <w:style w:type="character" w:customStyle="1" w:styleId="35">
    <w:name w:val="批注文字 字符"/>
    <w:basedOn w:val="17"/>
    <w:link w:val="5"/>
    <w:qFormat/>
    <w:uiPriority w:val="99"/>
    <w:rPr>
      <w:rFonts w:ascii="OPPOSans R" w:hAnsi="OPPOSans R" w:eastAsia="OPPOSans R" w:cs="OPPOSans R"/>
      <w:color w:val="262626"/>
      <w:kern w:val="0"/>
      <w:sz w:val="18"/>
      <w:szCs w:val="18"/>
    </w:rPr>
  </w:style>
  <w:style w:type="character" w:customStyle="1" w:styleId="36">
    <w:name w:val="批注主题 字符"/>
    <w:basedOn w:val="35"/>
    <w:link w:val="14"/>
    <w:qFormat/>
    <w:uiPriority w:val="99"/>
    <w:rPr>
      <w:rFonts w:ascii="OPPOSans R" w:hAnsi="OPPOSans R" w:eastAsia="OPPOSans R" w:cs="OPPOSans R"/>
      <w:b/>
      <w:bCs/>
      <w:color w:val="2A728E"/>
      <w:kern w:val="0"/>
      <w:sz w:val="18"/>
      <w:szCs w:val="18"/>
    </w:rPr>
  </w:style>
  <w:style w:type="paragraph" w:customStyle="1" w:styleId="37">
    <w:name w:val="3_2_p4"/>
    <w:basedOn w:val="7"/>
    <w:link w:val="38"/>
    <w:qFormat/>
    <w:uiPriority w:val="0"/>
    <w:pPr>
      <w:snapToGrid w:val="0"/>
      <w:spacing w:after="50" w:afterLines="50"/>
    </w:pPr>
    <w:rPr>
      <w:rFonts w:ascii="宋体" w:eastAsia="黑体"/>
      <w:b/>
      <w:color w:val="01528E"/>
      <w:sz w:val="24"/>
      <w:szCs w:val="21"/>
    </w:rPr>
  </w:style>
  <w:style w:type="character" w:customStyle="1" w:styleId="38">
    <w:name w:val="3_2_p4 字符"/>
    <w:basedOn w:val="39"/>
    <w:link w:val="37"/>
    <w:qFormat/>
    <w:uiPriority w:val="0"/>
    <w:rPr>
      <w:rFonts w:ascii="宋体" w:hAnsi="Courier New" w:eastAsia="黑体" w:cs="Courier New"/>
      <w:b/>
      <w:color w:val="01528E"/>
      <w:sz w:val="24"/>
      <w:szCs w:val="21"/>
    </w:rPr>
  </w:style>
  <w:style w:type="character" w:customStyle="1" w:styleId="39">
    <w:name w:val="纯文本 字符"/>
    <w:basedOn w:val="17"/>
    <w:link w:val="7"/>
    <w:qFormat/>
    <w:uiPriority w:val="99"/>
    <w:rPr>
      <w:rFonts w:ascii="等线" w:hAnsi="Courier New" w:cs="Courier New"/>
    </w:rPr>
  </w:style>
  <w:style w:type="paragraph" w:customStyle="1" w:styleId="40">
    <w:name w:val="3_2_p5"/>
    <w:basedOn w:val="7"/>
    <w:link w:val="41"/>
    <w:qFormat/>
    <w:uiPriority w:val="0"/>
    <w:rPr>
      <w:rFonts w:eastAsia="黑体"/>
      <w:color w:val="595959"/>
      <w:sz w:val="18"/>
      <w:szCs w:val="21"/>
    </w:rPr>
  </w:style>
  <w:style w:type="character" w:customStyle="1" w:styleId="41">
    <w:name w:val="3_2_p5 字符"/>
    <w:basedOn w:val="39"/>
    <w:link w:val="40"/>
    <w:qFormat/>
    <w:uiPriority w:val="0"/>
    <w:rPr>
      <w:rFonts w:ascii="等线" w:hAnsi="Courier New" w:eastAsia="黑体" w:cs="Courier New"/>
      <w:color w:val="595959"/>
      <w:sz w:val="18"/>
      <w:szCs w:val="21"/>
    </w:rPr>
  </w:style>
  <w:style w:type="paragraph" w:customStyle="1" w:styleId="42">
    <w:name w:val="List Paragraph"/>
    <w:basedOn w:val="1"/>
    <w:qFormat/>
    <w:uiPriority w:val="34"/>
    <w:pPr>
      <w:ind w:firstLine="420" w:firstLineChars="200"/>
    </w:pPr>
  </w:style>
  <w:style w:type="paragraph" w:customStyle="1" w:styleId="43">
    <w:name w:val="3_2_p3"/>
    <w:basedOn w:val="7"/>
    <w:link w:val="44"/>
    <w:qFormat/>
    <w:uiPriority w:val="0"/>
    <w:pPr>
      <w:spacing w:line="360" w:lineRule="auto"/>
      <w:outlineLvl w:val="2"/>
    </w:pPr>
    <w:rPr>
      <w:rFonts w:ascii="黑体" w:hAnsi="黑体" w:eastAsia="黑体" w:cs="黑体"/>
      <w:b/>
      <w:color w:val="01528E"/>
      <w:sz w:val="28"/>
      <w:szCs w:val="28"/>
    </w:rPr>
  </w:style>
  <w:style w:type="character" w:customStyle="1" w:styleId="44">
    <w:name w:val="3_2_p3 字符"/>
    <w:basedOn w:val="39"/>
    <w:link w:val="43"/>
    <w:qFormat/>
    <w:uiPriority w:val="0"/>
    <w:rPr>
      <w:rFonts w:ascii="黑体" w:hAnsi="黑体" w:eastAsia="黑体" w:cs="黑体"/>
      <w:b/>
      <w:color w:val="01528E"/>
      <w:sz w:val="28"/>
      <w:szCs w:val="28"/>
    </w:rPr>
  </w:style>
  <w:style w:type="paragraph" w:customStyle="1" w:styleId="45">
    <w:name w:val="JYJ1表格内容带颜色加粗"/>
    <w:basedOn w:val="27"/>
    <w:qFormat/>
    <w:uiPriority w:val="0"/>
    <w:pPr>
      <w:framePr w:hSpace="180" w:wrap="around" w:vAnchor="text" w:hAnchor="text" w:y="1"/>
      <w:spacing w:before="72"/>
    </w:pPr>
    <w:rPr>
      <w:b/>
      <w:color w:val="2A728E"/>
    </w:rPr>
  </w:style>
  <w:style w:type="paragraph" w:customStyle="1" w:styleId="46">
    <w:name w:val="JYJ1级"/>
    <w:qFormat/>
    <w:uiPriority w:val="0"/>
    <w:pPr>
      <w:numPr>
        <w:ilvl w:val="0"/>
        <w:numId w:val="1"/>
      </w:numPr>
      <w:adjustRightInd w:val="0"/>
      <w:snapToGrid w:val="0"/>
      <w:spacing w:before="72"/>
      <w:jc w:val="center"/>
      <w:outlineLvl w:val="0"/>
    </w:pPr>
    <w:rPr>
      <w:rFonts w:ascii="OPPOSans R" w:hAnsi="OPPOSans R" w:eastAsia="OPPOSans R" w:cs="OPPOSans R"/>
      <w:b/>
      <w:color w:val="595959"/>
      <w:spacing w:val="5"/>
      <w:sz w:val="21"/>
      <w:szCs w:val="21"/>
      <w:lang w:val="en-US" w:eastAsia="zh-CN" w:bidi="ar-SA"/>
    </w:rPr>
  </w:style>
  <w:style w:type="paragraph" w:customStyle="1" w:styleId="47">
    <w:name w:val="JYJ3级"/>
    <w:basedOn w:val="4"/>
    <w:qFormat/>
    <w:uiPriority w:val="0"/>
    <w:pPr>
      <w:keepNext w:val="0"/>
      <w:keepLines w:val="0"/>
      <w:widowControl/>
      <w:numPr>
        <w:ilvl w:val="2"/>
        <w:numId w:val="1"/>
      </w:numPr>
      <w:tabs>
        <w:tab w:val="left" w:pos="360"/>
      </w:tabs>
      <w:adjustRightInd w:val="0"/>
      <w:snapToGrid w:val="0"/>
      <w:spacing w:before="30" w:beforeLines="30" w:after="0" w:line="288" w:lineRule="auto"/>
      <w:ind w:left="0" w:firstLine="0"/>
      <w:jc w:val="left"/>
    </w:pPr>
    <w:rPr>
      <w:rFonts w:ascii="OPPOSans R" w:hAnsi="OPPOSans R" w:eastAsia="OPPOSans R" w:cs="OPPOSans R"/>
      <w:bCs w:val="0"/>
      <w:color w:val="2A728E"/>
      <w:spacing w:val="5"/>
      <w:kern w:val="0"/>
      <w:sz w:val="18"/>
      <w:szCs w:val="18"/>
    </w:rPr>
  </w:style>
  <w:style w:type="paragraph" w:customStyle="1" w:styleId="48">
    <w:name w:val="JYJ4级"/>
    <w:qFormat/>
    <w:uiPriority w:val="0"/>
    <w:pPr>
      <w:keepNext/>
      <w:keepLines/>
      <w:numPr>
        <w:ilvl w:val="3"/>
        <w:numId w:val="1"/>
      </w:numPr>
      <w:adjustRightInd w:val="0"/>
      <w:snapToGrid w:val="0"/>
      <w:spacing w:before="30" w:beforeLines="30" w:line="288" w:lineRule="auto"/>
      <w:outlineLvl w:val="3"/>
    </w:pPr>
    <w:rPr>
      <w:rFonts w:ascii="OPPOSans R" w:hAnsi="OPPOSans R" w:eastAsia="OPPOSans R" w:cs="OPPOSans R"/>
      <w:b/>
      <w:bCs/>
      <w:color w:val="2A728E"/>
      <w:kern w:val="2"/>
      <w:sz w:val="18"/>
      <w:szCs w:val="22"/>
      <w:lang w:val="en-US" w:eastAsia="zh-CN" w:bidi="ar-SA"/>
    </w:rPr>
  </w:style>
  <w:style w:type="character" w:customStyle="1" w:styleId="49">
    <w:name w:val="标题 3 字符"/>
    <w:basedOn w:val="17"/>
    <w:link w:val="4"/>
    <w:qFormat/>
    <w:uiPriority w:val="9"/>
    <w:rPr>
      <w:b/>
      <w:bCs/>
      <w:sz w:val="32"/>
      <w:szCs w:val="32"/>
    </w:rPr>
  </w:style>
  <w:style w:type="paragraph" w:customStyle="1" w:styleId="50">
    <w:name w:val="JYJ正文"/>
    <w:qFormat/>
    <w:uiPriority w:val="0"/>
    <w:pPr>
      <w:adjustRightInd w:val="0"/>
      <w:snapToGrid w:val="0"/>
      <w:spacing w:before="30" w:beforeLines="30"/>
    </w:pPr>
    <w:rPr>
      <w:rFonts w:ascii="OPPOSans R" w:hAnsi="OPPOSans R" w:eastAsia="OPPOSans R" w:cs="OPPOSans R"/>
      <w:color w:val="262626"/>
      <w:sz w:val="18"/>
      <w:szCs w:val="18"/>
      <w:lang w:val="en-US" w:eastAsia="zh-CN" w:bidi="ar-SA"/>
    </w:rPr>
  </w:style>
  <w:style w:type="paragraph" w:customStyle="1" w:styleId="51">
    <w:name w:val="JYJ正文序号"/>
    <w:basedOn w:val="1"/>
    <w:qFormat/>
    <w:uiPriority w:val="0"/>
    <w:pPr>
      <w:widowControl/>
      <w:numPr>
        <w:ilvl w:val="0"/>
        <w:numId w:val="2"/>
      </w:numPr>
      <w:adjustRightInd w:val="0"/>
      <w:snapToGrid w:val="0"/>
      <w:spacing w:before="72" w:beforeLines="30" w:line="288" w:lineRule="auto"/>
      <w:jc w:val="left"/>
    </w:pPr>
    <w:rPr>
      <w:rFonts w:ascii="OPPOSans R" w:hAnsi="OPPOSans R" w:eastAsia="OPPOSans R" w:cs="OPPOSans R"/>
      <w:color w:val="262626"/>
      <w:kern w:val="0"/>
      <w:sz w:val="18"/>
      <w:szCs w:val="18"/>
    </w:rPr>
  </w:style>
  <w:style w:type="character" w:customStyle="1" w:styleId="52">
    <w:name w:val="正文-带序号 字符"/>
    <w:basedOn w:val="17"/>
    <w:qFormat/>
    <w:uiPriority w:val="0"/>
    <w:rPr>
      <w:rFonts w:ascii="OPPOSans R" w:hAnsi="OPPOSans R" w:eastAsia="OPPOSans R" w:cs="OPPOSans R"/>
      <w:sz w:val="18"/>
      <w:szCs w:val="18"/>
    </w:rPr>
  </w:style>
  <w:style w:type="paragraph" w:customStyle="1" w:styleId="53">
    <w:name w:val="TOC Heading_fa38b769-2182-4a0a-82a0-4eb9c6679dd8"/>
    <w:basedOn w:val="2"/>
    <w:next w:val="1"/>
    <w:qFormat/>
    <w:uiPriority w:val="39"/>
    <w:pPr>
      <w:keepNext/>
      <w:keepLines/>
      <w:widowControl/>
      <w:spacing w:after="0" w:line="259" w:lineRule="auto"/>
      <w:jc w:val="left"/>
      <w:outlineLvl w:val="9"/>
    </w:pPr>
    <w:rPr>
      <w:rFonts w:ascii="等线 Light" w:hAnsi="等线 Light" w:eastAsia="等线 Light" w:cs="宋体"/>
      <w:b w:val="0"/>
      <w:bCs w:val="0"/>
      <w:color w:val="2F5597"/>
      <w:kern w:val="0"/>
      <w:sz w:val="32"/>
      <w:szCs w:val="32"/>
    </w:rPr>
  </w:style>
  <w:style w:type="table" w:customStyle="1" w:styleId="54">
    <w:name w:val="网格型2"/>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5">
    <w:name w:val="Revision_e3a7762f-15d4-46a6-bf88-945a50bca01f"/>
    <w:qFormat/>
    <w:uiPriority w:val="99"/>
    <w:rPr>
      <w:rFonts w:ascii="等线" w:hAnsi="等线" w:eastAsia="等线" w:cs="宋体"/>
      <w:kern w:val="2"/>
      <w:sz w:val="21"/>
      <w:szCs w:val="22"/>
      <w:lang w:val="en-US" w:eastAsia="zh-CN" w:bidi="ar-SA"/>
    </w:rPr>
  </w:style>
  <w:style w:type="paragraph" w:customStyle="1" w:styleId="56">
    <w:name w:val="Revision"/>
    <w:hidden/>
    <w:semiHidden/>
    <w:qFormat/>
    <w:uiPriority w:val="99"/>
    <w:rPr>
      <w:rFonts w:ascii="等线" w:hAnsi="等线" w:eastAsia="等线" w:cs="宋体"/>
      <w:kern w:val="2"/>
      <w:sz w:val="21"/>
      <w:szCs w:val="22"/>
      <w:lang w:val="en-US" w:eastAsia="zh-CN" w:bidi="ar-SA"/>
    </w:rPr>
  </w:style>
  <w:style w:type="character" w:customStyle="1" w:styleId="57">
    <w:name w:val="15"/>
    <w:basedOn w:val="17"/>
    <w:qFormat/>
    <w:uiPriority w:val="0"/>
    <w:rPr>
      <w:rFonts w:hint="eastAsia" w:ascii="OPPOSans R" w:hAnsi="OPPOSans R" w:eastAsia="OPPOSans R"/>
      <w:sz w:val="18"/>
      <w:szCs w:val="18"/>
    </w:rPr>
  </w:style>
  <w:style w:type="character" w:customStyle="1" w:styleId="58">
    <w:name w:val="未处理的提及2"/>
    <w:basedOn w:val="17"/>
    <w:unhideWhenUsed/>
    <w:qFormat/>
    <w:uiPriority w:val="99"/>
    <w:rPr>
      <w:color w:val="605E5C"/>
      <w:shd w:val="clear" w:color="auto" w:fill="E1DFDD"/>
    </w:rPr>
  </w:style>
  <w:style w:type="paragraph" w:customStyle="1" w:styleId="59">
    <w:name w:val="Table Paragraph"/>
    <w:basedOn w:val="1"/>
    <w:autoRedefine/>
    <w:qFormat/>
    <w:uiPriority w:val="1"/>
  </w:style>
  <w:style w:type="table" w:customStyle="1" w:styleId="60">
    <w:name w:val="Table Normal1"/>
    <w:autoRedefine/>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4401</Words>
  <Characters>8525</Characters>
  <Lines>57</Lines>
  <Paragraphs>16</Paragraphs>
  <TotalTime>2</TotalTime>
  <ScaleCrop>false</ScaleCrop>
  <LinksUpToDate>false</LinksUpToDate>
  <CharactersWithSpaces>9295</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2025-08-05T16:37:00Z</dcterms:created>
  <dc:creator>Administrator</dc:creator>
  <cp:lastModifiedBy>levi</cp:lastModifiedBy>
  <cp:lastPrinted>2025-08-05T16:51:00Z</cp:lastPrinted>
  <dcterms:modified xsi:type="dcterms:W3CDTF">2025-09-23T03:23:27Z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CA6A78B812A34DF28E86CED556CD2086</vt:lpwstr>
  </property>
  <property fmtid="{D5CDD505-2E9C-101B-9397-08002B2CF9AE}" pid="4" name="KSOTemplateDocerSaveRecord">
    <vt:lpwstr>eyJoZGlkIjoiNzhjODRmNWJhZTVkNTI1OGI2YWZlNjVkNDIwMWYwMDkiLCJ1c2VySWQiOiIzMTAxODgzOTQifQ==</vt:lpwstr>
  </property>
</Properties>
</file>