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HRD+HRR基因检测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5C359599">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0"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 summaryOfRresults.hrdState }}</w:t>
            </w:r>
          </w:p>
        </w:tc>
      </w:tr>
      <w:tr w14:paraId="0ED7E2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9F29F7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b/>
                <w:bCs/>
                <w:sz w:val="21"/>
                <w:szCs w:val="22"/>
                <w:lang w:val="en-US" w:eastAsia="en-US" w:bidi="ar-SA"/>
              </w:rPr>
            </w:pPr>
            <w:r>
              <w:rPr>
                <w:rFonts w:hint="eastAsia" w:ascii="Times New Roman" w:hAnsi="Times New Roman" w:eastAsia="微软雅黑" w:cs="Times New Roman"/>
                <w:b/>
                <w:bCs/>
                <w:sz w:val="21"/>
                <w:lang w:eastAsia="zh-CN"/>
              </w:rPr>
              <w:t>BRCA1/2基因</w:t>
            </w:r>
            <w:r>
              <w:rPr>
                <w:rFonts w:hint="eastAsia" w:ascii="Times New Roman" w:hAnsi="Times New Roman" w:eastAsia="微软雅黑" w:cs="Times New Roman"/>
                <w:b/>
                <w:bCs/>
                <w:sz w:val="21"/>
                <w:lang w:val="en-US" w:eastAsia="zh-CN"/>
              </w:rPr>
              <w:t>失活变异</w:t>
            </w:r>
          </w:p>
        </w:tc>
        <w:tc>
          <w:tcPr>
            <w:tcW w:w="5340" w:type="dxa"/>
            <w:tcBorders>
              <w:top w:val="nil"/>
              <w:left w:val="single" w:color="A4A4A4" w:sz="4" w:space="0"/>
              <w:bottom w:val="single" w:color="A4A4A4" w:sz="4" w:space="0"/>
              <w:right w:val="nil"/>
            </w:tcBorders>
            <w:shd w:val="clear" w:color="auto" w:fill="auto"/>
            <w:vAlign w:val="center"/>
          </w:tcPr>
          <w:p w14:paraId="24A487AD">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summaryOfRresults.hrdBRCAState | splitlines }}</w:t>
            </w:r>
          </w:p>
        </w:tc>
      </w:tr>
      <w:tr w14:paraId="672A3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shd w:val="clear" w:color="auto" w:fill="auto"/>
            <w:vAlign w:val="center"/>
          </w:tcPr>
          <w:p w14:paraId="028C41D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2"/>
                <w:lang w:val="en-US" w:eastAsia="zh-CN" w:bidi="ar-SA"/>
              </w:rPr>
            </w:pPr>
            <w:r>
              <w:rPr>
                <w:rFonts w:hint="eastAsia" w:ascii="Times New Roman" w:hAnsi="Times New Roman" w:eastAsia="微软雅黑" w:cs="Times New Roman"/>
                <w:b/>
                <w:bCs/>
                <w:sz w:val="21"/>
                <w:szCs w:val="22"/>
                <w:lang w:val="en-US" w:eastAsia="zh-CN" w:bidi="ar-SA"/>
              </w:rPr>
              <w:t>基因组不稳定性评分</w:t>
            </w:r>
          </w:p>
        </w:tc>
        <w:tc>
          <w:tcPr>
            <w:tcW w:w="5340" w:type="dxa"/>
            <w:tcBorders>
              <w:top w:val="nil"/>
              <w:left w:val="single" w:color="A4A4A4" w:sz="4" w:space="0"/>
              <w:bottom w:val="single" w:color="A4A4A4" w:sz="4" w:space="0"/>
              <w:right w:val="nil"/>
            </w:tcBorders>
            <w:shd w:val="clear" w:color="auto" w:fill="auto"/>
            <w:vAlign w:val="center"/>
          </w:tcPr>
          <w:p w14:paraId="2553EEC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val="en-US" w:eastAsia="zh-CN"/>
              </w:rPr>
            </w:pPr>
            <w:r>
              <w:rPr>
                <w:rFonts w:hint="eastAsia" w:ascii="Times New Roman" w:hAnsi="Times New Roman" w:eastAsia="微软雅黑" w:cs="Times New Roman"/>
                <w:b w:val="0"/>
                <w:bCs w:val="0"/>
                <w:sz w:val="18"/>
                <w:szCs w:val="18"/>
                <w:lang w:val="en-US" w:eastAsia="zh-CN"/>
              </w:rPr>
              <w:t>{{ summaryOfRresults.hrdScore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18"/>
                <w:szCs w:val="18"/>
              </w:rPr>
              <w:t>{{ sequencing_depth | oqa(500,400) }}</w:t>
            </w:r>
          </w:p>
        </w:tc>
      </w:tr>
    </w:tbl>
    <w:p w14:paraId="6F195566">
      <w:pPr>
        <w:widowControl w:val="0"/>
        <w:spacing w:after="0" w:line="240" w:lineRule="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3A33BF5">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FAC01A3">
      <w:pPr>
        <w:widowControl w:val="0"/>
        <w:numPr>
          <w:ilvl w:val="0"/>
          <w:numId w:val="8"/>
        </w:numPr>
        <w:spacing w:after="0" w:line="240" w:lineRule="auto"/>
        <w:ind w:left="420" w:hanging="42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488B1827">
      <w:pPr>
        <w:widowControl w:val="0"/>
        <w:numPr>
          <w:ilvl w:val="0"/>
          <w:numId w:val="8"/>
        </w:numPr>
        <w:spacing w:after="0" w:line="240" w:lineRule="auto"/>
        <w:ind w:left="420" w:hanging="420"/>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default" w:ascii="Times New Roman" w:hAnsi="Times New Roman" w:eastAsia="微软雅黑" w:cs="黑体"/>
          <w:b/>
          <w:bCs/>
          <w:sz w:val="30"/>
          <w:szCs w:val="30"/>
          <w:lang w:val="en-US" w:eastAsia="zh-CN"/>
        </w:rPr>
      </w:pPr>
      <w:bookmarkStart w:id="1" w:name="_Toc13612"/>
      <w:r>
        <w:rPr>
          <w:rFonts w:hint="default" w:ascii="Times New Roman" w:hAnsi="Times New Roman" w:eastAsia="微软雅黑" w:cs="黑体"/>
          <w:b/>
          <w:bCs/>
          <w:sz w:val="30"/>
          <w:szCs w:val="30"/>
          <w:lang w:val="en-US" w:eastAsia="zh-CN"/>
        </w:rPr>
        <w:t>{{note.cancerTitle}}</w:t>
      </w:r>
      <w:bookmarkEnd w:id="1"/>
    </w:p>
    <w:tbl>
      <w:tblPr>
        <w:tblStyle w:val="32"/>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A518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6600"/>
            <w:vAlign w:val="center"/>
          </w:tcPr>
          <w:p w14:paraId="4CB2A3D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6600"/>
            <w:vAlign w:val="center"/>
          </w:tcPr>
          <w:p w14:paraId="049AE208">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6600"/>
            <w:vAlign w:val="center"/>
          </w:tcPr>
          <w:p w14:paraId="241FAF61">
            <w:pPr>
              <w:widowControl/>
              <w:spacing w:after="0" w:line="240" w:lineRule="auto"/>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6600"/>
            <w:vAlign w:val="center"/>
          </w:tcPr>
          <w:p w14:paraId="73CC92F0">
            <w:pPr>
              <w:widowControl/>
              <w:spacing w:after="0" w:line="240" w:lineRule="auto"/>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6C6DBB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146DE747">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23C965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00E92F8">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463B374C">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17AC7C23">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7F26B4A4">
            <w:pPr>
              <w:widowControl/>
              <w:spacing w:after="0" w:line="240" w:lineRule="auto"/>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1243960C">
            <w:pPr>
              <w:widowControl/>
              <w:spacing w:after="0" w:line="240" w:lineRule="auto"/>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3D7FAAF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7FC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AD887A">
            <w:pPr>
              <w:widowControl w:val="0"/>
              <w:spacing w:after="0" w:line="240" w:lineRule="auto"/>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7130AB9">
      <w:pPr>
        <w:keepNext w:val="0"/>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63336458">
      <w:pPr>
        <w:keepNext w:val="0"/>
        <w:keepLines w:val="0"/>
        <w:pageBreakBefore w:val="0"/>
        <w:widowControl w:val="0"/>
        <w:numPr>
          <w:ilvl w:val="0"/>
          <w:numId w:val="9"/>
        </w:numPr>
        <w:kinsoku/>
        <w:wordWrap/>
        <w:overflowPunct/>
        <w:topLinePunct w:val="0"/>
        <w:autoSpaceDE/>
        <w:autoSpaceDN/>
        <w:bidi w:val="0"/>
        <w:adjustRightInd/>
        <w:snapToGrid/>
        <w:spacing w:after="0" w:line="240" w:lineRule="auto"/>
        <w:ind w:left="425" w:hanging="425"/>
        <w:textAlignment w:val="auto"/>
        <w:rPr>
          <w:rFonts w:hint="eastAsia" w:ascii="微软雅黑" w:hAnsi="微软雅黑" w:eastAsia="微软雅黑"/>
          <w:b/>
          <w:color w:val="000000"/>
          <w:sz w:val="18"/>
          <w:szCs w:val="18"/>
        </w:rPr>
      </w:pPr>
      <w:r>
        <w:rPr>
          <w:rFonts w:hint="default" w:ascii="Times New Roman" w:hAnsi="Times New Roman" w:eastAsia="微软雅黑" w:cs="Times New Roman"/>
          <w:sz w:val="18"/>
          <w:szCs w:val="18"/>
          <w:lang w:val="en-US" w:eastAsia="zh-CN"/>
        </w:rPr>
        <w:t>{{n}}{% endfor %}</w:t>
      </w:r>
      <w:r>
        <w:rPr>
          <w:rFonts w:hint="eastAsia" w:ascii="微软雅黑" w:hAnsi="微软雅黑" w:eastAsia="微软雅黑"/>
          <w:b/>
          <w:color w:val="000000"/>
          <w:sz w:val="18"/>
          <w:szCs w:val="18"/>
        </w:rPr>
        <w:br w:type="page"/>
      </w:r>
    </w:p>
    <w:p w14:paraId="27F71E38">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0"/>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bookmarkStart w:id="17" w:name="_GoBack"/>
      <w:bookmarkEnd w:id="17"/>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10"/>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10"/>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10"/>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2" w:name="_Toc27793"/>
      <w:bookmarkStart w:id="3" w:name="_Toc20084"/>
      <w:bookmarkStart w:id="4" w:name="_Toc28455"/>
      <w:bookmarkStart w:id="5"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2"/>
      <w:bookmarkEnd w:id="3"/>
      <w:bookmarkEnd w:id="4"/>
      <w:bookmarkEnd w:id="5"/>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11"/>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2"/>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2"/>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11"/>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590A1C92">
      <w:pPr>
        <w:widowControl w:val="0"/>
        <w:spacing w:after="0" w:line="240" w:lineRule="auto"/>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6" w:name="_Toc31913"/>
      <w:bookmarkStart w:id="7" w:name="_Toc12657"/>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同源重组缺陷状态解析</w:t>
      </w:r>
      <w:bookmarkEnd w:id="6"/>
      <w:bookmarkEnd w:id="7"/>
    </w:p>
    <w:p w14:paraId="6B0909B1">
      <w:pPr>
        <w:widowControl w:val="0"/>
        <w:spacing w:after="0" w:line="240" w:lineRule="auto"/>
        <w:rPr>
          <w:rFonts w:hint="default" w:ascii="Times New Roman" w:hAnsi="Times New Roman" w:eastAsia="微软雅黑" w:cs="Times New Roman"/>
          <w:sz w:val="24"/>
          <w:szCs w:val="24"/>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2705A69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32"/>
        <w:gridCol w:w="2352"/>
        <w:gridCol w:w="1738"/>
      </w:tblGrid>
      <w:tr w14:paraId="7416F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6600"/>
            <w:vAlign w:val="center"/>
          </w:tcPr>
          <w:p w14:paraId="25FDA070">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w:t>
            </w:r>
          </w:p>
        </w:tc>
        <w:tc>
          <w:tcPr>
            <w:tcW w:w="1974" w:type="dxa"/>
            <w:tcBorders>
              <w:top w:val="nil"/>
              <w:left w:val="single" w:color="FFFFFF" w:sz="18" w:space="0"/>
              <w:bottom w:val="nil"/>
              <w:right w:val="single" w:color="FFFFFF" w:sz="18" w:space="0"/>
            </w:tcBorders>
            <w:shd w:val="clear" w:color="auto" w:fill="006600"/>
            <w:vAlign w:val="center"/>
          </w:tcPr>
          <w:p w14:paraId="2A8CB9EB">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核苷酸</w:t>
            </w:r>
          </w:p>
        </w:tc>
        <w:tc>
          <w:tcPr>
            <w:tcW w:w="1832" w:type="dxa"/>
            <w:tcBorders>
              <w:top w:val="nil"/>
              <w:left w:val="single" w:color="FFFFFF" w:sz="18" w:space="0"/>
              <w:bottom w:val="nil"/>
              <w:right w:val="single" w:color="FFFFFF" w:sz="18" w:space="0"/>
            </w:tcBorders>
            <w:shd w:val="clear" w:color="auto" w:fill="006600"/>
            <w:vAlign w:val="center"/>
          </w:tcPr>
          <w:p w14:paraId="7663582F">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氨基酸</w:t>
            </w:r>
          </w:p>
        </w:tc>
        <w:tc>
          <w:tcPr>
            <w:tcW w:w="2352" w:type="dxa"/>
            <w:tcBorders>
              <w:top w:val="nil"/>
              <w:left w:val="single" w:color="FFFFFF" w:sz="18" w:space="0"/>
              <w:bottom w:val="nil"/>
              <w:right w:val="single" w:color="FFFFFF" w:sz="18" w:space="0"/>
            </w:tcBorders>
            <w:shd w:val="clear" w:color="auto" w:fill="006600"/>
            <w:vAlign w:val="center"/>
          </w:tcPr>
          <w:p w14:paraId="6028639C">
            <w:pPr>
              <w:widowControl w:val="0"/>
              <w:spacing w:before="26" w:after="0" w:line="240" w:lineRule="auto"/>
              <w:jc w:val="center"/>
              <w:rPr>
                <w:rFonts w:hint="default" w:ascii="Times New Roman" w:hAnsi="Times New Roman" w:eastAsia="微软雅黑" w:cs="Times New Roman"/>
                <w:b/>
                <w:color w:val="FFFFFF"/>
                <w:sz w:val="18"/>
                <w:szCs w:val="18"/>
                <w:lang w:val="en-US" w:eastAsia="zh-CN"/>
              </w:rPr>
            </w:pPr>
            <w:r>
              <w:rPr>
                <w:rFonts w:hint="default" w:ascii="Times New Roman" w:hAnsi="Times New Roman" w:eastAsia="微软雅黑" w:cs="Times New Roman"/>
                <w:b/>
                <w:color w:val="FFFFFF"/>
                <w:sz w:val="18"/>
                <w:szCs w:val="18"/>
                <w:lang w:eastAsia="zh-CN"/>
              </w:rPr>
              <w:t>纯合/杂合/突变频率/</w:t>
            </w:r>
            <w:r>
              <w:rPr>
                <w:rFonts w:hint="eastAsia" w:ascii="Times New Roman" w:hAnsi="Times New Roman" w:eastAsia="微软雅黑" w:cs="Times New Roman"/>
                <w:b/>
                <w:color w:val="FFFFFF"/>
                <w:sz w:val="18"/>
                <w:szCs w:val="18"/>
                <w:lang w:val="en-US" w:eastAsia="zh-CN"/>
              </w:rPr>
              <w:t>拷贝数</w:t>
            </w:r>
          </w:p>
        </w:tc>
        <w:tc>
          <w:tcPr>
            <w:tcW w:w="1738" w:type="dxa"/>
            <w:tcBorders>
              <w:top w:val="nil"/>
              <w:left w:val="single" w:color="FFFFFF" w:sz="18" w:space="0"/>
              <w:bottom w:val="nil"/>
            </w:tcBorders>
            <w:shd w:val="clear" w:color="auto" w:fill="006600"/>
            <w:vAlign w:val="center"/>
          </w:tcPr>
          <w:p w14:paraId="14317C61">
            <w:pPr>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临床意义</w:t>
            </w:r>
          </w:p>
        </w:tc>
      </w:tr>
      <w:tr w14:paraId="73063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AC1F4A7">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14CD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0AFF242">
            <w:pPr>
              <w:widowControl w:val="0"/>
              <w:spacing w:before="20"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4A705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99B9D41">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if brca.Transcript == ‘.’%}{{ brca.Gene}}{% else%}{{ brca.Gene }}</w:t>
            </w:r>
          </w:p>
          <w:p w14:paraId="0C2CA881">
            <w:pPr>
              <w:widowControl w:val="0"/>
              <w:spacing w:before="26" w:after="0" w:line="240" w:lineRule="auto"/>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lang w:eastAsia="zh-CN"/>
              </w:rPr>
              <w:t>{{ brca.Transcript }}{%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98B265E">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832" w:type="dxa"/>
            <w:tcBorders>
              <w:top w:val="nil"/>
            </w:tcBorders>
            <w:vAlign w:val="center"/>
          </w:tcPr>
          <w:p w14:paraId="4F426E5E">
            <w:pPr>
              <w:widowControl w:val="0"/>
              <w:spacing w:before="20"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52" w:type="dxa"/>
            <w:tcBorders>
              <w:top w:val="nil"/>
            </w:tcBorders>
            <w:vAlign w:val="center"/>
          </w:tcPr>
          <w:p w14:paraId="6B503714">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738" w:type="dxa"/>
            <w:tcBorders>
              <w:top w:val="nil"/>
            </w:tcBorders>
            <w:vAlign w:val="center"/>
          </w:tcPr>
          <w:p w14:paraId="3D1164AC">
            <w:pPr>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187C4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4FD1098">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20042D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2626FBA">
            <w:pPr>
              <w:widowControl w:val="0"/>
              <w:spacing w:before="26" w:after="0" w:line="240" w:lineRule="auto"/>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23CCF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0ADE563">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9DDFC1E">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32" w:type="dxa"/>
            <w:tcBorders>
              <w:top w:val="nil"/>
            </w:tcBorders>
            <w:vAlign w:val="center"/>
          </w:tcPr>
          <w:p w14:paraId="332AB741">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52" w:type="dxa"/>
            <w:tcBorders>
              <w:top w:val="nil"/>
            </w:tcBorders>
            <w:vAlign w:val="center"/>
          </w:tcPr>
          <w:p w14:paraId="20350BAF">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38" w:type="dxa"/>
            <w:tcBorders>
              <w:top w:val="nil"/>
            </w:tcBorders>
            <w:vAlign w:val="center"/>
          </w:tcPr>
          <w:p w14:paraId="10B48824">
            <w:pPr>
              <w:widowControl w:val="0"/>
              <w:spacing w:before="20"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D607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EEF5973">
            <w:pPr>
              <w:widowControl w:val="0"/>
              <w:spacing w:before="26" w:after="0" w:line="240" w:lineRule="auto"/>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04F3F3DC">
      <w:pPr>
        <w:widowControl/>
        <w:spacing w:after="0" w:line="240" w:lineRule="auto"/>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7720921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2C46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sz="18" w:space="0"/>
              <w:right w:val="nil"/>
            </w:tcBorders>
            <w:shd w:val="clear" w:color="auto" w:fill="006600"/>
            <w:vAlign w:val="center"/>
          </w:tcPr>
          <w:p w14:paraId="0C5C335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同源重组</w:t>
            </w:r>
          </w:p>
          <w:p w14:paraId="5401CA1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缺陷状态</w:t>
            </w:r>
          </w:p>
        </w:tc>
        <w:tc>
          <w:tcPr>
            <w:tcW w:w="8421" w:type="dxa"/>
            <w:tcBorders>
              <w:top w:val="single" w:color="BFBFBF" w:sz="4" w:space="0"/>
              <w:left w:val="nil"/>
              <w:bottom w:val="single" w:color="A4A4A4" w:sz="4" w:space="0"/>
              <w:right w:val="nil"/>
            </w:tcBorders>
            <w:vAlign w:val="center"/>
          </w:tcPr>
          <w:p w14:paraId="30FB8EA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5B7975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3D824888">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sz w:val="18"/>
                <w:szCs w:val="18"/>
                <w:lang w:eastAsia="zh-CN"/>
              </w:rPr>
              <w:t>潜在获益药物</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10932213">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3074F0F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2053A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0A2964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D1340B7">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7B28541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17ABA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3C39248">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6202053C">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1C90184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211F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83C82E">
            <w:pPr>
              <w:widowControl w:val="0"/>
              <w:spacing w:before="1" w:after="0" w:line="25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2B987528">
            <w:pPr>
              <w:widowControl w:val="0"/>
              <w:spacing w:before="1" w:after="0" w:line="25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0D6C715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13D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left w:val="nil"/>
              <w:bottom w:val="single" w:color="FFFFFF" w:sz="18" w:space="0"/>
              <w:right w:val="single" w:color="FFFFFF" w:sz="18" w:space="0"/>
            </w:tcBorders>
            <w:shd w:val="clear" w:color="auto" w:fill="006600"/>
            <w:vAlign w:val="center"/>
          </w:tcPr>
          <w:p w14:paraId="177AE5F9">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潜在耐药信息</w:t>
            </w: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33AB256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A级</w:t>
            </w:r>
          </w:p>
        </w:tc>
        <w:tc>
          <w:tcPr>
            <w:tcW w:w="8421" w:type="dxa"/>
            <w:tcBorders>
              <w:top w:val="single" w:color="A4A4A4" w:sz="4" w:space="0"/>
              <w:left w:val="nil"/>
              <w:bottom w:val="single" w:color="A4A4A4" w:sz="4" w:space="0"/>
              <w:right w:val="nil"/>
            </w:tcBorders>
            <w:shd w:val="clear" w:color="auto" w:fill="auto"/>
            <w:vAlign w:val="center"/>
          </w:tcPr>
          <w:p w14:paraId="44182C5F">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4D7ED6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4800FD0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4C6D58A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B级</w:t>
            </w:r>
          </w:p>
        </w:tc>
        <w:tc>
          <w:tcPr>
            <w:tcW w:w="8421" w:type="dxa"/>
            <w:tcBorders>
              <w:top w:val="single" w:color="A4A4A4" w:sz="4" w:space="0"/>
              <w:left w:val="nil"/>
              <w:bottom w:val="single" w:color="A4A4A4" w:sz="4" w:space="0"/>
              <w:right w:val="nil"/>
            </w:tcBorders>
            <w:shd w:val="clear" w:color="auto" w:fill="auto"/>
            <w:vAlign w:val="center"/>
          </w:tcPr>
          <w:p w14:paraId="57631AD1">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618FF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0BBF3A7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7DF16F4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C级</w:t>
            </w:r>
          </w:p>
        </w:tc>
        <w:tc>
          <w:tcPr>
            <w:tcW w:w="8421" w:type="dxa"/>
            <w:tcBorders>
              <w:top w:val="single" w:color="A4A4A4" w:sz="4" w:space="0"/>
              <w:left w:val="nil"/>
              <w:bottom w:val="single" w:color="A4A4A4" w:sz="4" w:space="0"/>
              <w:right w:val="nil"/>
            </w:tcBorders>
            <w:shd w:val="clear" w:color="auto" w:fill="auto"/>
            <w:vAlign w:val="center"/>
          </w:tcPr>
          <w:p w14:paraId="63DCEA5A">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5533F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left w:val="nil"/>
              <w:bottom w:val="single" w:color="FFFFFF" w:sz="18" w:space="0"/>
              <w:right w:val="single" w:color="FFFFFF" w:sz="18" w:space="0"/>
            </w:tcBorders>
            <w:shd w:val="clear" w:color="auto" w:fill="006600"/>
            <w:vAlign w:val="center"/>
          </w:tcPr>
          <w:p w14:paraId="7A624CE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p>
        </w:tc>
        <w:tc>
          <w:tcPr>
            <w:tcW w:w="1017" w:type="dxa"/>
            <w:tcBorders>
              <w:top w:val="single" w:color="FFFFFF" w:sz="18" w:space="0"/>
              <w:left w:val="single" w:color="FFFFFF" w:sz="18" w:space="0"/>
              <w:bottom w:val="single" w:color="FFFFFF" w:sz="18" w:space="0"/>
              <w:right w:val="nil"/>
            </w:tcBorders>
            <w:shd w:val="clear" w:color="auto" w:fill="006600"/>
            <w:vAlign w:val="center"/>
          </w:tcPr>
          <w:p w14:paraId="00763B4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D级</w:t>
            </w:r>
          </w:p>
        </w:tc>
        <w:tc>
          <w:tcPr>
            <w:tcW w:w="8421" w:type="dxa"/>
            <w:tcBorders>
              <w:top w:val="single" w:color="A4A4A4" w:sz="4" w:space="0"/>
              <w:left w:val="nil"/>
              <w:bottom w:val="single" w:color="A4A4A4" w:sz="4" w:space="0"/>
              <w:right w:val="nil"/>
            </w:tcBorders>
            <w:shd w:val="clear" w:color="auto" w:fill="auto"/>
            <w:vAlign w:val="center"/>
          </w:tcPr>
          <w:p w14:paraId="5896002B">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0A523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sz="18" w:space="0"/>
              <w:left w:val="nil"/>
              <w:right w:val="nil"/>
            </w:tcBorders>
            <w:shd w:val="clear" w:color="auto" w:fill="006600"/>
            <w:vAlign w:val="center"/>
          </w:tcPr>
          <w:p w14:paraId="00B689F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21" w:type="dxa"/>
            <w:tcBorders>
              <w:top w:val="single" w:color="A4A4A4" w:sz="4" w:space="0"/>
              <w:left w:val="nil"/>
              <w:bottom w:val="single" w:color="A4A4A4" w:sz="4" w:space="0"/>
              <w:right w:val="nil"/>
            </w:tcBorders>
            <w:vAlign w:val="center"/>
          </w:tcPr>
          <w:p w14:paraId="2D231DF5">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38265D5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F370329">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597637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646D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0CB85568">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CBC8E7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3BE7230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1378B8B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8E05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071ED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3140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249F8F8">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59CD2D6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3B8219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6C8DC0A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5E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ED3657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9E912B2">
      <w:pPr>
        <w:widowControl w:val="0"/>
        <w:spacing w:before="26" w:after="0" w:line="240" w:lineRule="auto"/>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10DACC32">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0DA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6600"/>
            <w:vAlign w:val="center"/>
          </w:tcPr>
          <w:p w14:paraId="16EC15EC">
            <w:pPr>
              <w:keepNext/>
              <w:widowControl w:val="0"/>
              <w:spacing w:before="26" w:after="0" w:line="240" w:lineRule="auto"/>
              <w:ind w:firstLine="180" w:firstLineChars="100"/>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83B997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134" w:type="dxa"/>
            <w:tcBorders>
              <w:top w:val="nil"/>
              <w:left w:val="single" w:color="FFFFFF" w:sz="18" w:space="0"/>
              <w:bottom w:val="nil"/>
              <w:right w:val="single" w:color="FFFFFF" w:sz="18" w:space="0"/>
            </w:tcBorders>
            <w:shd w:val="clear" w:color="auto" w:fill="006600"/>
            <w:vAlign w:val="center"/>
          </w:tcPr>
          <w:p w14:paraId="6E95FFA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793" w:type="dxa"/>
            <w:tcBorders>
              <w:top w:val="nil"/>
              <w:left w:val="single" w:color="FFFFFF" w:sz="18" w:space="0"/>
              <w:bottom w:val="nil"/>
            </w:tcBorders>
            <w:shd w:val="clear" w:color="auto" w:fill="006600"/>
            <w:vAlign w:val="center"/>
          </w:tcPr>
          <w:p w14:paraId="6CBE208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2254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8FBF6B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1A897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71E90D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4AC3AB8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0F96AB6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F961C6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F6C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932BFF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D64DE15">
      <w:pPr>
        <w:widowControl w:val="0"/>
        <w:spacing w:before="26" w:after="0" w:line="240" w:lineRule="auto"/>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F7294F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456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6600"/>
            <w:vAlign w:val="center"/>
          </w:tcPr>
          <w:p w14:paraId="46C0E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ID</w:t>
            </w:r>
          </w:p>
        </w:tc>
        <w:tc>
          <w:tcPr>
            <w:tcW w:w="3884" w:type="dxa"/>
            <w:tcBorders>
              <w:top w:val="nil"/>
              <w:left w:val="single" w:color="FFFFFF" w:sz="18" w:space="0"/>
              <w:bottom w:val="nil"/>
              <w:right w:val="single" w:color="FFFFFF" w:sz="18" w:space="0"/>
            </w:tcBorders>
            <w:shd w:val="clear" w:color="auto" w:fill="006600"/>
            <w:vAlign w:val="center"/>
          </w:tcPr>
          <w:p w14:paraId="3853A8C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896465E">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006600"/>
            <w:vAlign w:val="center"/>
          </w:tcPr>
          <w:p w14:paraId="7341F5FD">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006600"/>
            <w:vAlign w:val="center"/>
          </w:tcPr>
          <w:p w14:paraId="4B3D8841">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药物</w:t>
            </w:r>
          </w:p>
        </w:tc>
        <w:tc>
          <w:tcPr>
            <w:tcW w:w="856" w:type="dxa"/>
            <w:tcBorders>
              <w:top w:val="nil"/>
              <w:left w:val="single" w:color="FFFFFF" w:sz="18" w:space="0"/>
              <w:bottom w:val="nil"/>
            </w:tcBorders>
            <w:shd w:val="clear" w:color="auto" w:fill="006600"/>
            <w:vAlign w:val="center"/>
          </w:tcPr>
          <w:p w14:paraId="3903B764">
            <w:pPr>
              <w:widowControl w:val="0"/>
              <w:spacing w:before="26" w:after="0" w:line="240" w:lineRule="auto"/>
              <w:jc w:val="center"/>
              <w:rPr>
                <w:rFonts w:hint="default" w:ascii="Times New Roman" w:hAnsi="Times New Roman" w:eastAsia="微软雅黑" w:cs="Times New Roman"/>
                <w:b/>
                <w:color w:val="FFFFFF"/>
                <w:sz w:val="18"/>
                <w:szCs w:val="18"/>
              </w:rPr>
            </w:pPr>
            <w:r>
              <w:rPr>
                <w:rFonts w:hint="default" w:ascii="Times New Roman" w:hAnsi="Times New Roman" w:eastAsia="微软雅黑" w:cs="Times New Roman"/>
                <w:b/>
                <w:color w:val="FFFFFF"/>
                <w:sz w:val="18"/>
                <w:szCs w:val="18"/>
                <w:lang w:eastAsia="zh-CN" w:bidi="ar"/>
              </w:rPr>
              <w:t>地点</w:t>
            </w:r>
          </w:p>
        </w:tc>
      </w:tr>
      <w:tr w14:paraId="759ED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95F7FCB">
            <w:pPr>
              <w:widowControl w:val="0"/>
              <w:spacing w:before="26" w:after="0" w:line="240" w:lineRule="auto"/>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FA4B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3F27C34">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CF5DCDB">
            <w:pPr>
              <w:widowControl w:val="0"/>
              <w:spacing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41B65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DDDFDFE">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736AAF55">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B51B2CE">
            <w:pPr>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62D1F948">
            <w:pPr>
              <w:widowControl w:val="0"/>
              <w:spacing w:before="26" w:after="0" w:line="240" w:lineRule="auto"/>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5031A1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3E7B7BB">
            <w:pPr>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3250"/>
      <w:bookmarkStart w:id="9" w:name="_Toc27011"/>
      <w:bookmarkStart w:id="10" w:name="_Toc18974"/>
      <w:bookmarkStart w:id="11"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8"/>
      <w:bookmarkEnd w:id="9"/>
      <w:bookmarkEnd w:id="10"/>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1"/>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2" w:name="_Toc11208"/>
      <w:bookmarkStart w:id="13" w:name="_Toc13837"/>
      <w:bookmarkStart w:id="14" w:name="_Toc8321"/>
      <w:bookmarkStart w:id="15"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12"/>
      <w:bookmarkEnd w:id="13"/>
      <w:bookmarkEnd w:id="14"/>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5"/>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D75C6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6600"/>
            <w:vAlign w:val="center"/>
          </w:tcPr>
          <w:p w14:paraId="44F01B50">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质控环节</w:t>
            </w:r>
          </w:p>
        </w:tc>
        <w:tc>
          <w:tcPr>
            <w:tcW w:w="2721" w:type="dxa"/>
            <w:tcBorders>
              <w:top w:val="nil"/>
              <w:left w:val="single" w:color="FFFFFF" w:sz="18" w:space="0"/>
              <w:bottom w:val="nil"/>
              <w:right w:val="single" w:color="FFFFFF" w:sz="18" w:space="0"/>
            </w:tcBorders>
            <w:shd w:val="clear" w:color="auto" w:fill="006600"/>
            <w:vAlign w:val="center"/>
          </w:tcPr>
          <w:p w14:paraId="695B9ED4">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质控参数</w:t>
            </w:r>
          </w:p>
        </w:tc>
        <w:tc>
          <w:tcPr>
            <w:tcW w:w="2381" w:type="dxa"/>
            <w:tcBorders>
              <w:top w:val="nil"/>
              <w:left w:val="single" w:color="FFFFFF" w:sz="18" w:space="0"/>
              <w:bottom w:val="nil"/>
              <w:right w:val="single" w:color="FFFFFF" w:sz="18" w:space="0"/>
            </w:tcBorders>
            <w:shd w:val="clear" w:color="auto" w:fill="006600"/>
            <w:vAlign w:val="center"/>
          </w:tcPr>
          <w:p w14:paraId="3E77A76D">
            <w:pPr>
              <w:widowControl w:val="0"/>
              <w:spacing w:after="0" w:line="240" w:lineRule="auto"/>
              <w:ind w:left="119"/>
              <w:jc w:val="center"/>
              <w:rPr>
                <w:rFonts w:ascii="Times New Roman" w:hAnsi="Times New Roman" w:eastAsia="微软雅黑" w:cs="Times New Roman"/>
                <w:b/>
                <w:color w:val="FFFFFF"/>
                <w:sz w:val="21"/>
                <w:lang w:eastAsia="zh-CN"/>
              </w:rPr>
            </w:pPr>
            <w:r>
              <w:rPr>
                <w:rFonts w:hint="eastAsia" w:ascii="Times New Roman" w:hAnsi="Times New Roman" w:eastAsia="微软雅黑" w:cs="Times New Roman"/>
                <w:b/>
                <w:color w:val="FFFFFF"/>
                <w:sz w:val="21"/>
                <w:lang w:eastAsia="zh-CN"/>
              </w:rPr>
              <w:t>质控数值</w:t>
            </w:r>
          </w:p>
        </w:tc>
        <w:tc>
          <w:tcPr>
            <w:tcW w:w="2721" w:type="dxa"/>
            <w:tcBorders>
              <w:top w:val="nil"/>
              <w:left w:val="single" w:color="FFFFFF" w:sz="18" w:space="0"/>
              <w:bottom w:val="nil"/>
              <w:right w:val="nil"/>
            </w:tcBorders>
            <w:shd w:val="clear" w:color="auto" w:fill="006600"/>
            <w:vAlign w:val="center"/>
          </w:tcPr>
          <w:p w14:paraId="72F99DF6">
            <w:pPr>
              <w:widowControl w:val="0"/>
              <w:spacing w:after="0" w:line="240" w:lineRule="auto"/>
              <w:ind w:left="119"/>
              <w:jc w:val="center"/>
              <w:rPr>
                <w:rFonts w:ascii="Times New Roman" w:hAnsi="Times New Roman" w:eastAsia="微软雅黑" w:cs="Times New Roman"/>
                <w:b/>
                <w:color w:val="FFFFFF"/>
                <w:sz w:val="21"/>
              </w:rPr>
            </w:pPr>
            <w:r>
              <w:rPr>
                <w:rFonts w:ascii="Times New Roman" w:hAnsi="Times New Roman" w:eastAsia="微软雅黑" w:cs="Times New Roman"/>
                <w:b/>
                <w:color w:val="FFFFFF"/>
                <w:sz w:val="21"/>
              </w:rPr>
              <w:t>质控标准</w:t>
            </w:r>
          </w:p>
        </w:tc>
      </w:tr>
      <w:tr w14:paraId="6B23B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51B74BA">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病理</w:t>
            </w:r>
            <w:r>
              <w:rPr>
                <w:rFonts w:hint="eastAsia" w:ascii="Times New Roman" w:hAnsi="Times New Roman" w:eastAsia="微软雅黑" w:cs="Times New Roman"/>
                <w:b/>
                <w:sz w:val="18"/>
                <w:szCs w:val="18"/>
                <w:lang w:eastAsia="zh-CN"/>
              </w:rPr>
              <w:t>评估</w:t>
            </w:r>
          </w:p>
        </w:tc>
        <w:tc>
          <w:tcPr>
            <w:tcW w:w="2721" w:type="dxa"/>
            <w:tcBorders>
              <w:top w:val="nil"/>
            </w:tcBorders>
            <w:vAlign w:val="center"/>
          </w:tcPr>
          <w:p w14:paraId="53B6DFAE">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肿瘤细胞含量</w:t>
            </w:r>
          </w:p>
        </w:tc>
        <w:tc>
          <w:tcPr>
            <w:tcW w:w="2381" w:type="dxa"/>
            <w:tcBorders>
              <w:top w:val="nil"/>
            </w:tcBorders>
            <w:vAlign w:val="center"/>
          </w:tcPr>
          <w:p w14:paraId="6FFBA5D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21" w:type="dxa"/>
            <w:tcBorders>
              <w:top w:val="nil"/>
              <w:right w:val="nil"/>
            </w:tcBorders>
            <w:vAlign w:val="center"/>
          </w:tcPr>
          <w:p w14:paraId="7D065922">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≥10</w:t>
            </w:r>
            <w:r>
              <w:rPr>
                <w:rFonts w:ascii="Times New Roman" w:hAnsi="Times New Roman" w:eastAsia="微软雅黑" w:cs="Times New Roman"/>
                <w:bCs/>
                <w:sz w:val="18"/>
                <w:szCs w:val="18"/>
              </w:rPr>
              <w:t>%</w:t>
            </w:r>
          </w:p>
        </w:tc>
      </w:tr>
      <w:tr w14:paraId="0E15A1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A5BCC2">
            <w:pPr>
              <w:widowControl w:val="0"/>
              <w:spacing w:after="0" w:line="240" w:lineRule="auto"/>
              <w:ind w:left="119"/>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核酸质量评估</w:t>
            </w:r>
          </w:p>
        </w:tc>
        <w:tc>
          <w:tcPr>
            <w:tcW w:w="2721" w:type="dxa"/>
            <w:vAlign w:val="center"/>
          </w:tcPr>
          <w:p w14:paraId="222F0DED">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DNA总量</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ng</w:t>
            </w:r>
            <w:r>
              <w:rPr>
                <w:rFonts w:hint="eastAsia" w:ascii="Times New Roman" w:hAnsi="Times New Roman" w:eastAsia="微软雅黑" w:cs="Times New Roman"/>
                <w:bCs/>
                <w:sz w:val="18"/>
                <w:szCs w:val="18"/>
                <w:lang w:eastAsia="zh-CN"/>
              </w:rPr>
              <w:t>）</w:t>
            </w:r>
          </w:p>
        </w:tc>
        <w:tc>
          <w:tcPr>
            <w:tcW w:w="2381" w:type="dxa"/>
            <w:vAlign w:val="center"/>
          </w:tcPr>
          <w:p w14:paraId="78E1562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7E2D1846">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≥2</w:t>
            </w:r>
            <w:r>
              <w:rPr>
                <w:rFonts w:hint="eastAsia" w:ascii="Times New Roman" w:hAnsi="Times New Roman" w:eastAsia="微软雅黑" w:cs="Times New Roman"/>
                <w:bCs/>
                <w:sz w:val="18"/>
                <w:szCs w:val="18"/>
              </w:rPr>
              <w:t>00</w:t>
            </w:r>
          </w:p>
        </w:tc>
      </w:tr>
      <w:tr w14:paraId="28DCD1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4E163C">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5C22E6EB">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rPr>
              <w:t>DNA降解程度</w:t>
            </w:r>
          </w:p>
        </w:tc>
        <w:tc>
          <w:tcPr>
            <w:tcW w:w="2381" w:type="dxa"/>
            <w:vAlign w:val="center"/>
          </w:tcPr>
          <w:p w14:paraId="621A7819">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592D6E59">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rPr>
              <w:t>C级</w:t>
            </w:r>
          </w:p>
        </w:tc>
      </w:tr>
      <w:tr w14:paraId="130743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183C1D">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B9E980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w:t>
            </w:r>
            <w:r>
              <w:rPr>
                <w:rFonts w:ascii="Times New Roman" w:hAnsi="Times New Roman" w:eastAsia="微软雅黑" w:cs="Times New Roman"/>
                <w:bCs/>
                <w:sz w:val="18"/>
                <w:szCs w:val="18"/>
              </w:rPr>
              <w:t>文库</w:t>
            </w:r>
            <w:r>
              <w:rPr>
                <w:rFonts w:hint="eastAsia" w:ascii="Times New Roman" w:hAnsi="Times New Roman" w:eastAsia="微软雅黑" w:cs="Times New Roman"/>
                <w:bCs/>
                <w:sz w:val="18"/>
                <w:szCs w:val="18"/>
                <w:lang w:eastAsia="zh-CN"/>
              </w:rPr>
              <w:t>总</w:t>
            </w:r>
            <w:r>
              <w:rPr>
                <w:rFonts w:ascii="Times New Roman" w:hAnsi="Times New Roman" w:eastAsia="微软雅黑" w:cs="Times New Roman"/>
                <w:bCs/>
                <w:sz w:val="18"/>
                <w:szCs w:val="18"/>
              </w:rPr>
              <w:t>量</w:t>
            </w:r>
            <w:r>
              <w:rPr>
                <w:rFonts w:hint="eastAsia" w:ascii="Times New Roman" w:hAnsi="Times New Roman" w:eastAsia="微软雅黑" w:cs="Times New Roman"/>
                <w:bCs/>
                <w:sz w:val="18"/>
                <w:szCs w:val="18"/>
                <w:lang w:eastAsia="zh-CN"/>
              </w:rPr>
              <w:t>（ng）</w:t>
            </w:r>
          </w:p>
        </w:tc>
        <w:tc>
          <w:tcPr>
            <w:tcW w:w="2381" w:type="dxa"/>
            <w:vAlign w:val="center"/>
          </w:tcPr>
          <w:p w14:paraId="10739531">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21" w:type="dxa"/>
            <w:tcBorders>
              <w:right w:val="nil"/>
            </w:tcBorders>
            <w:vAlign w:val="center"/>
          </w:tcPr>
          <w:p w14:paraId="05188B47">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≥500</w:t>
            </w:r>
          </w:p>
        </w:tc>
      </w:tr>
      <w:tr w14:paraId="4171B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14F7226">
            <w:pPr>
              <w:widowControl w:val="0"/>
              <w:spacing w:after="0" w:line="240" w:lineRule="auto"/>
              <w:ind w:left="119"/>
              <w:jc w:val="cente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rPr>
              <w:t>测序</w:t>
            </w:r>
            <w:r>
              <w:rPr>
                <w:rFonts w:hint="eastAsia" w:ascii="Times New Roman" w:hAnsi="Times New Roman" w:eastAsia="微软雅黑" w:cs="Times New Roman"/>
                <w:b/>
                <w:sz w:val="18"/>
                <w:szCs w:val="18"/>
                <w:lang w:eastAsia="zh-CN"/>
              </w:rPr>
              <w:t>质量评估</w:t>
            </w:r>
          </w:p>
        </w:tc>
        <w:tc>
          <w:tcPr>
            <w:tcW w:w="2721" w:type="dxa"/>
            <w:vAlign w:val="center"/>
          </w:tcPr>
          <w:p w14:paraId="31C6D2ED">
            <w:pPr>
              <w:widowControl w:val="0"/>
              <w:spacing w:after="0" w:line="240" w:lineRule="auto"/>
              <w:ind w:left="119"/>
              <w:jc w:val="center"/>
              <w:rPr>
                <w:rFonts w:ascii="Times New Roman" w:hAnsi="Times New Roman" w:eastAsia="微软雅黑" w:cs="Times New Roman"/>
                <w:bCs/>
                <w:sz w:val="18"/>
                <w:szCs w:val="18"/>
              </w:rPr>
            </w:pPr>
            <w:r>
              <w:rPr>
                <w:rFonts w:ascii="Times New Roman" w:hAnsi="Times New Roman" w:eastAsia="微软雅黑" w:cs="Times New Roman"/>
                <w:bCs/>
                <w:sz w:val="18"/>
                <w:szCs w:val="18"/>
                <w:lang w:eastAsia="zh-CN"/>
              </w:rPr>
              <w:t>HRD Score</w:t>
            </w:r>
            <w:r>
              <w:rPr>
                <w:rFonts w:ascii="Times New Roman" w:hAnsi="Times New Roman" w:eastAsia="微软雅黑" w:cs="Times New Roman"/>
                <w:bCs/>
                <w:sz w:val="18"/>
                <w:szCs w:val="18"/>
              </w:rPr>
              <w:t>平均测序深度</w:t>
            </w:r>
          </w:p>
        </w:tc>
        <w:tc>
          <w:tcPr>
            <w:tcW w:w="2381" w:type="dxa"/>
            <w:vAlign w:val="center"/>
          </w:tcPr>
          <w:p w14:paraId="485336D2">
            <w:pPr>
              <w:widowControl w:val="0"/>
              <w:spacing w:after="0" w:line="240" w:lineRule="auto"/>
              <w:ind w:left="119"/>
              <w:jc w:val="center"/>
              <w:rPr>
                <w:rFonts w:ascii="Times New Roman" w:hAnsi="Times New Roman" w:eastAsia="微软雅黑" w:cs="Times New Roman"/>
                <w:bCs/>
                <w:sz w:val="18"/>
                <w:szCs w:val="18"/>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}}{%endif%}</w:t>
            </w:r>
          </w:p>
        </w:tc>
        <w:tc>
          <w:tcPr>
            <w:tcW w:w="2721" w:type="dxa"/>
            <w:tcBorders>
              <w:right w:val="nil"/>
            </w:tcBorders>
            <w:vAlign w:val="center"/>
          </w:tcPr>
          <w:p w14:paraId="7FC6786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200</w:t>
            </w:r>
          </w:p>
        </w:tc>
      </w:tr>
      <w:tr w14:paraId="2E7D03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15FC37">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7E06F003">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HRD Score</w:t>
            </w:r>
            <w:r>
              <w:rPr>
                <w:rFonts w:hint="eastAsia" w:ascii="Times New Roman" w:hAnsi="Times New Roman" w:eastAsia="微软雅黑" w:cs="Times New Roman"/>
                <w:bCs/>
                <w:sz w:val="18"/>
                <w:szCs w:val="18"/>
                <w:lang w:eastAsia="zh-CN"/>
              </w:rPr>
              <w:t>覆盖均一性</w:t>
            </w:r>
          </w:p>
        </w:tc>
        <w:tc>
          <w:tcPr>
            <w:tcW w:w="2381" w:type="dxa"/>
            <w:vAlign w:val="center"/>
          </w:tcPr>
          <w:p w14:paraId="00DDFD90">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{%if hrd != </w:t>
            </w:r>
            <w:r>
              <w:rPr>
                <w:rFonts w:ascii="Times New Roman" w:hAnsi="Times New Roman" w:eastAsia="微软雅黑" w:cs="Times New Roman"/>
                <w:sz w:val="18"/>
                <w:szCs w:val="18"/>
                <w:lang w:eastAsia="zh-CN"/>
              </w:rPr>
              <w:t>undefined</w:t>
            </w:r>
            <w:r>
              <w:rPr>
                <w:rFonts w:hint="eastAsia" w:ascii="Times New Roman" w:hAnsi="Times New Roman" w:eastAsia="微软雅黑" w:cs="Times New Roman"/>
                <w:sz w:val="18"/>
                <w:szCs w:val="18"/>
                <w:lang w:eastAsia="zh-CN"/>
              </w:rPr>
              <w:t>%}{{ hrd.coverage_uniformity }}{%endif%}</w:t>
            </w:r>
          </w:p>
        </w:tc>
        <w:tc>
          <w:tcPr>
            <w:tcW w:w="2721" w:type="dxa"/>
            <w:tcBorders>
              <w:right w:val="nil"/>
            </w:tcBorders>
            <w:vAlign w:val="center"/>
          </w:tcPr>
          <w:p w14:paraId="6954AA8D">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8</w:t>
            </w:r>
            <w:r>
              <w:rPr>
                <w:rFonts w:hint="eastAsia" w:ascii="Times New Roman" w:hAnsi="Times New Roman" w:eastAsia="微软雅黑" w:cs="Times New Roman"/>
                <w:bCs/>
                <w:sz w:val="18"/>
                <w:szCs w:val="18"/>
                <w:lang w:eastAsia="zh-CN"/>
              </w:rPr>
              <w:t>0%</w:t>
            </w:r>
          </w:p>
        </w:tc>
      </w:tr>
      <w:tr w14:paraId="689AE7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AF9E03">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469B2F50">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基因平均测序深度</w:t>
            </w:r>
          </w:p>
        </w:tc>
        <w:tc>
          <w:tcPr>
            <w:tcW w:w="2381" w:type="dxa"/>
            <w:vAlign w:val="center"/>
          </w:tcPr>
          <w:p w14:paraId="2FED036F">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sequencing_depth }}</w:t>
            </w:r>
          </w:p>
        </w:tc>
        <w:tc>
          <w:tcPr>
            <w:tcW w:w="2721" w:type="dxa"/>
            <w:tcBorders>
              <w:right w:val="nil"/>
            </w:tcBorders>
            <w:vAlign w:val="center"/>
          </w:tcPr>
          <w:p w14:paraId="263E7CD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500</w:t>
            </w:r>
          </w:p>
        </w:tc>
      </w:tr>
      <w:tr w14:paraId="7FED70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75EDB8">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2A5EE8B9">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HRR</w:t>
            </w:r>
            <w:r>
              <w:rPr>
                <w:rFonts w:hint="eastAsia" w:ascii="Times New Roman" w:hAnsi="Times New Roman" w:eastAsia="微软雅黑" w:cs="Times New Roman"/>
                <w:bCs/>
                <w:sz w:val="18"/>
                <w:szCs w:val="18"/>
                <w:lang w:eastAsia="zh-CN"/>
              </w:rPr>
              <w:t>基因覆盖均一性</w:t>
            </w:r>
          </w:p>
        </w:tc>
        <w:tc>
          <w:tcPr>
            <w:tcW w:w="2381" w:type="dxa"/>
            <w:vAlign w:val="center"/>
          </w:tcPr>
          <w:p w14:paraId="2F05DDA3">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coverage_uniformity }}</w:t>
            </w:r>
          </w:p>
        </w:tc>
        <w:tc>
          <w:tcPr>
            <w:tcW w:w="2721" w:type="dxa"/>
            <w:tcBorders>
              <w:right w:val="nil"/>
            </w:tcBorders>
            <w:vAlign w:val="center"/>
          </w:tcPr>
          <w:p w14:paraId="348EAD60">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90%</w:t>
            </w:r>
          </w:p>
        </w:tc>
      </w:tr>
      <w:tr w14:paraId="09BCCB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89C6A3A">
            <w:pPr>
              <w:widowControl w:val="0"/>
              <w:spacing w:after="0" w:line="240" w:lineRule="auto"/>
              <w:ind w:left="119"/>
              <w:jc w:val="center"/>
              <w:rPr>
                <w:rFonts w:ascii="Times New Roman" w:hAnsi="Times New Roman" w:eastAsia="微软雅黑" w:cs="Times New Roman"/>
                <w:b/>
                <w:sz w:val="18"/>
                <w:szCs w:val="18"/>
              </w:rPr>
            </w:pPr>
          </w:p>
        </w:tc>
        <w:tc>
          <w:tcPr>
            <w:tcW w:w="2721" w:type="dxa"/>
            <w:vAlign w:val="center"/>
          </w:tcPr>
          <w:p w14:paraId="1171C7E3">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w:t>
            </w:r>
          </w:p>
        </w:tc>
        <w:tc>
          <w:tcPr>
            <w:tcW w:w="2381" w:type="dxa"/>
            <w:vAlign w:val="center"/>
          </w:tcPr>
          <w:p w14:paraId="614F84B4">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genome_alignment }}</w:t>
            </w:r>
          </w:p>
        </w:tc>
        <w:tc>
          <w:tcPr>
            <w:tcW w:w="2721" w:type="dxa"/>
            <w:tcBorders>
              <w:right w:val="nil"/>
            </w:tcBorders>
            <w:vAlign w:val="center"/>
          </w:tcPr>
          <w:p w14:paraId="35286DDC">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≥9</w:t>
            </w:r>
            <w:r>
              <w:rPr>
                <w:rFonts w:ascii="Times New Roman" w:hAnsi="Times New Roman" w:eastAsia="微软雅黑" w:cs="Times New Roman"/>
                <w:bCs/>
                <w:sz w:val="18"/>
                <w:szCs w:val="18"/>
              </w:rPr>
              <w:t>5%</w:t>
            </w:r>
          </w:p>
        </w:tc>
      </w:tr>
      <w:tr w14:paraId="2216C6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3F8E47">
            <w:pPr>
              <w:widowControl w:val="0"/>
              <w:spacing w:after="0" w:line="240" w:lineRule="auto"/>
              <w:ind w:left="119"/>
              <w:jc w:val="center"/>
              <w:rPr>
                <w:rFonts w:ascii="Times New Roman" w:hAnsi="Times New Roman" w:eastAsia="微软雅黑" w:cs="Times New Roman"/>
                <w:b/>
                <w:sz w:val="21"/>
              </w:rPr>
            </w:pPr>
          </w:p>
        </w:tc>
        <w:tc>
          <w:tcPr>
            <w:tcW w:w="2721" w:type="dxa"/>
            <w:vAlign w:val="center"/>
          </w:tcPr>
          <w:p w14:paraId="145DD8C5">
            <w:pPr>
              <w:widowControl w:val="0"/>
              <w:spacing w:after="0" w:line="240" w:lineRule="auto"/>
              <w:ind w:left="119"/>
              <w:jc w:val="center"/>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rPr>
              <w:t>碱基质量Q30</w:t>
            </w:r>
            <w:r>
              <w:rPr>
                <w:rFonts w:hint="eastAsia" w:ascii="Times New Roman" w:hAnsi="Times New Roman" w:eastAsia="微软雅黑" w:cs="Times New Roman"/>
                <w:bCs/>
                <w:sz w:val="18"/>
                <w:szCs w:val="18"/>
                <w:lang w:eastAsia="zh-CN"/>
              </w:rPr>
              <w:t>占比</w:t>
            </w:r>
          </w:p>
        </w:tc>
        <w:tc>
          <w:tcPr>
            <w:tcW w:w="2381" w:type="dxa"/>
            <w:vAlign w:val="center"/>
          </w:tcPr>
          <w:p w14:paraId="4B796A3A">
            <w:pPr>
              <w:widowControl w:val="0"/>
              <w:spacing w:after="0" w:line="240" w:lineRule="auto"/>
              <w:ind w:left="119"/>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base_quality }}</w:t>
            </w:r>
          </w:p>
        </w:tc>
        <w:tc>
          <w:tcPr>
            <w:tcW w:w="2721" w:type="dxa"/>
            <w:tcBorders>
              <w:right w:val="nil"/>
            </w:tcBorders>
            <w:vAlign w:val="center"/>
          </w:tcPr>
          <w:p w14:paraId="718572F5">
            <w:pPr>
              <w:widowControl w:val="0"/>
              <w:spacing w:after="0" w:line="240" w:lineRule="auto"/>
              <w:ind w:left="119"/>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rPr>
              <w:t>8</w:t>
            </w:r>
            <w:r>
              <w:rPr>
                <w:rFonts w:hint="eastAsia" w:ascii="Times New Roman" w:hAnsi="Times New Roman" w:eastAsia="微软雅黑" w:cs="Times New Roman"/>
                <w:bCs/>
                <w:sz w:val="18"/>
                <w:szCs w:val="18"/>
                <w:lang w:eastAsia="zh-CN"/>
              </w:rPr>
              <w:t>0</w:t>
            </w:r>
            <w:r>
              <w:rPr>
                <w:rFonts w:ascii="Times New Roman" w:hAnsi="Times New Roman" w:eastAsia="微软雅黑" w:cs="Times New Roman"/>
                <w:bCs/>
                <w:sz w:val="18"/>
                <w:szCs w:val="18"/>
              </w:rPr>
              <w:t>%</w:t>
            </w:r>
          </w:p>
        </w:tc>
      </w:tr>
      <w:tr w14:paraId="188E6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E16FEED">
            <w:pPr>
              <w:widowControl w:val="0"/>
              <w:spacing w:after="0" w:line="240" w:lineRule="auto"/>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5A05AE">
            <w:pPr>
              <w:widowControl w:val="0"/>
              <w:spacing w:after="0" w:line="240" w:lineRule="auto"/>
              <w:ind w:left="119"/>
              <w:jc w:val="center"/>
              <w:rPr>
                <w:rFonts w:ascii="Times New Roman" w:hAnsi="Times New Roman" w:eastAsia="微软雅黑" w:cs="Times New Roman"/>
                <w:bCs/>
                <w:sz w:val="21"/>
                <w:lang w:eastAsia="zh-CN"/>
              </w:rPr>
            </w:pPr>
            <w:r>
              <w:rPr>
                <w:rFonts w:hint="eastAsia" w:ascii="微软雅黑" w:hAnsi="微软雅黑" w:eastAsia="微软雅黑" w:cs="宋体"/>
                <w:color w:val="000000"/>
                <w:sz w:val="21"/>
                <w:szCs w:val="21"/>
                <w:lang w:eastAsia="zh-CN"/>
              </w:rPr>
              <w:t>{{</w:t>
            </w:r>
            <w:r>
              <w:rPr>
                <w:rFonts w:ascii="微软雅黑" w:hAnsi="微软雅黑" w:eastAsia="微软雅黑" w:cs="宋体"/>
                <w:color w:val="000000"/>
                <w:sz w:val="21"/>
                <w:szCs w:val="21"/>
                <w:lang w:eastAsia="zh-CN"/>
              </w:rPr>
              <w:t xml:space="preserve"> sequencing_depth</w:t>
            </w:r>
            <w:r>
              <w:rPr>
                <w:rFonts w:hint="eastAsia" w:ascii="微软雅黑" w:hAnsi="微软雅黑" w:eastAsia="微软雅黑" w:cs="宋体"/>
                <w:color w:val="000000"/>
                <w:sz w:val="21"/>
                <w:szCs w:val="21"/>
                <w:lang w:eastAsia="zh-CN"/>
              </w:rPr>
              <w:t xml:space="preserve"> | oqa(50</w:t>
            </w:r>
            <w:r>
              <w:rPr>
                <w:rFonts w:ascii="微软雅黑" w:hAnsi="微软雅黑" w:eastAsia="微软雅黑" w:cs="宋体"/>
                <w:color w:val="000000"/>
                <w:sz w:val="21"/>
                <w:szCs w:val="21"/>
                <w:lang w:eastAsia="zh-CN"/>
              </w:rPr>
              <w:t>0</w:t>
            </w:r>
            <w:r>
              <w:rPr>
                <w:rFonts w:hint="eastAsia" w:ascii="微软雅黑" w:hAnsi="微软雅黑" w:eastAsia="微软雅黑" w:cs="宋体"/>
                <w:color w:val="000000"/>
                <w:sz w:val="21"/>
                <w:szCs w:val="21"/>
                <w:lang w:eastAsia="zh-CN"/>
              </w:rPr>
              <w:t>,400)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3"/>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4"/>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3"/>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line="240" w:lineRule="auto"/>
        <w:ind w:left="0" w:leftChars="0" w:firstLine="0" w:firstLineChars="0"/>
        <w:textAlignment w:val="auto"/>
        <w:outlineLvl w:val="1"/>
        <w:rPr>
          <w:rFonts w:hint="eastAsia" w:ascii="微软雅黑" w:hAnsi="微软雅黑" w:eastAsia="微软雅黑"/>
          <w:b/>
          <w:color w:val="000000"/>
          <w:sz w:val="32"/>
          <w:lang w:val="en-US" w:eastAsia="zh-CN"/>
        </w:rPr>
      </w:pPr>
      <w:bookmarkStart w:id="16" w:name="_Toc23686"/>
      <w:r>
        <w:rPr>
          <w:rFonts w:hint="eastAsia" w:ascii="微软雅黑" w:hAnsi="微软雅黑" w:eastAsia="微软雅黑"/>
          <w:b/>
          <w:color w:val="000000"/>
          <w:sz w:val="32"/>
          <w:lang w:val="en-US" w:eastAsia="zh-CN"/>
        </w:rPr>
        <w:t>检测</w:t>
      </w:r>
      <w:bookmarkEnd w:id="16"/>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C554FC">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使用的探针由目标基因相应DNA区域捕获探针及人基因组多态性位点(SNP)捕获探针构成，基于Illumina测序平台的二代高通量测序技术(NGS)对样本进行检测。本机构已依据相关技术指导准则完成技术平台验证。</w:t>
      </w:r>
    </w:p>
    <w:p w14:paraId="0F738594">
      <w:pPr>
        <w:keepNext w:val="0"/>
        <w:keepLines w:val="0"/>
        <w:pageBreakBefore w:val="0"/>
        <w:widowControl w:val="0"/>
        <w:kinsoku/>
        <w:wordWrap/>
        <w:overflowPunct/>
        <w:topLinePunct w:val="0"/>
        <w:autoSpaceDE/>
        <w:autoSpaceDN/>
        <w:bidi w:val="0"/>
        <w:adjustRightInd/>
        <w:snapToGrid/>
        <w:spacing w:after="0" w:line="240"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通过二代高通量测序技术，可获取相应区域的DNA序列数据。借助生物信息分析所得数据，可检测的突变类型包括点突变、小片段插入缺失、拷贝数变异、断点发生在产品捕获范围内的基因融合，以及基因组杂合性缺失（LOH）、端粒等位基因不平衡（TAI）、大片段迁移（LST）。并基于LOH、TAI、LST获得基因不稳定状态评分（HRD score），提供全面可信的检测结果。</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2"/>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046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56B43B5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Gene in gene.genes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(9,18,True) %}</w:t>
            </w:r>
          </w:p>
        </w:tc>
      </w:tr>
      <w:tr w14:paraId="5031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75" w:type="dxa"/>
            <w:vAlign w:val="center"/>
          </w:tcPr>
          <w:p w14:paraId="7AAC9B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5D28AD7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D4088C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068275F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B0A659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1A2D92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4716E4F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055525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847F9B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537F9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71" w:type="dxa"/>
            <w:gridSpan w:val="9"/>
            <w:vAlign w:val="center"/>
          </w:tcPr>
          <w:p w14:paraId="32E6623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59A566F3">
      <w:pPr>
        <w:spacing w:after="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61069D"/>
    <w:multiLevelType w:val="singleLevel"/>
    <w:tmpl w:val="DD61069D"/>
    <w:lvl w:ilvl="0" w:tentative="0">
      <w:start w:val="1"/>
      <w:numFmt w:val="decimal"/>
      <w:lvlText w:val="%1."/>
      <w:lvlJc w:val="left"/>
      <w:pPr>
        <w:ind w:left="425" w:hanging="425"/>
      </w:pPr>
      <w:rPr>
        <w:rFonts w:hint="default"/>
      </w:rPr>
    </w:lvl>
  </w:abstractNum>
  <w:abstractNum w:abstractNumId="2">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1">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2">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3">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11"/>
  </w:num>
  <w:num w:numId="8">
    <w:abstractNumId w:val="9"/>
  </w:num>
  <w:num w:numId="9">
    <w:abstractNumId w:val="0"/>
  </w:num>
  <w:num w:numId="10">
    <w:abstractNumId w:val="13"/>
    <w:lvlOverride w:ilvl="0">
      <w:startOverride w:val="1"/>
    </w:lvlOverride>
  </w:num>
  <w:num w:numId="11">
    <w:abstractNumId w:val="12"/>
  </w:num>
  <w:num w:numId="12">
    <w:abstractNumId w:val="10"/>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3DB6BF1"/>
    <w:rsid w:val="04CF30C5"/>
    <w:rsid w:val="04DA4474"/>
    <w:rsid w:val="04FB714B"/>
    <w:rsid w:val="057D69E2"/>
    <w:rsid w:val="072D7508"/>
    <w:rsid w:val="07886409"/>
    <w:rsid w:val="091F0FEF"/>
    <w:rsid w:val="09AF5BD3"/>
    <w:rsid w:val="09BB6E49"/>
    <w:rsid w:val="0B5C5BE2"/>
    <w:rsid w:val="0BE6493B"/>
    <w:rsid w:val="0C230DF6"/>
    <w:rsid w:val="0D286C64"/>
    <w:rsid w:val="0D32412C"/>
    <w:rsid w:val="0D35493D"/>
    <w:rsid w:val="0D84744D"/>
    <w:rsid w:val="0DB26A52"/>
    <w:rsid w:val="0E9F5FA8"/>
    <w:rsid w:val="0EAF24CD"/>
    <w:rsid w:val="0F312AB7"/>
    <w:rsid w:val="103A45BB"/>
    <w:rsid w:val="108C51BC"/>
    <w:rsid w:val="13313C85"/>
    <w:rsid w:val="138D4392"/>
    <w:rsid w:val="13D4499A"/>
    <w:rsid w:val="14546E50"/>
    <w:rsid w:val="1488724D"/>
    <w:rsid w:val="168A6BBD"/>
    <w:rsid w:val="17E93D8C"/>
    <w:rsid w:val="18F71640"/>
    <w:rsid w:val="19990EDC"/>
    <w:rsid w:val="19FA629F"/>
    <w:rsid w:val="1BE206FA"/>
    <w:rsid w:val="20077F38"/>
    <w:rsid w:val="20EF5C95"/>
    <w:rsid w:val="20F7728E"/>
    <w:rsid w:val="21582FD1"/>
    <w:rsid w:val="21876848"/>
    <w:rsid w:val="227B30DE"/>
    <w:rsid w:val="24227FE7"/>
    <w:rsid w:val="24912526"/>
    <w:rsid w:val="24D64800"/>
    <w:rsid w:val="25B20DC9"/>
    <w:rsid w:val="26D562AE"/>
    <w:rsid w:val="2749765B"/>
    <w:rsid w:val="275E3638"/>
    <w:rsid w:val="2A111A8E"/>
    <w:rsid w:val="2A4F4361"/>
    <w:rsid w:val="2AD35561"/>
    <w:rsid w:val="2B2F367F"/>
    <w:rsid w:val="2B8054C5"/>
    <w:rsid w:val="2B8271F1"/>
    <w:rsid w:val="2BE02DF6"/>
    <w:rsid w:val="2C6E5E3A"/>
    <w:rsid w:val="2CB56D90"/>
    <w:rsid w:val="2CC51901"/>
    <w:rsid w:val="2E9A1D03"/>
    <w:rsid w:val="2F4D6084"/>
    <w:rsid w:val="2FB229D9"/>
    <w:rsid w:val="2FF344B8"/>
    <w:rsid w:val="30020F23"/>
    <w:rsid w:val="30055F99"/>
    <w:rsid w:val="30DE08DF"/>
    <w:rsid w:val="31181CFC"/>
    <w:rsid w:val="31740B9D"/>
    <w:rsid w:val="32093887"/>
    <w:rsid w:val="32373AB1"/>
    <w:rsid w:val="32B3230F"/>
    <w:rsid w:val="331365F3"/>
    <w:rsid w:val="333F2E0A"/>
    <w:rsid w:val="33694E60"/>
    <w:rsid w:val="338C11FB"/>
    <w:rsid w:val="34207080"/>
    <w:rsid w:val="3432329E"/>
    <w:rsid w:val="34C463DA"/>
    <w:rsid w:val="3500641C"/>
    <w:rsid w:val="35BB3A30"/>
    <w:rsid w:val="36C30F4D"/>
    <w:rsid w:val="37785D74"/>
    <w:rsid w:val="37F30DCD"/>
    <w:rsid w:val="3A766411"/>
    <w:rsid w:val="3AA91BD1"/>
    <w:rsid w:val="3AC30F2B"/>
    <w:rsid w:val="3ACC6031"/>
    <w:rsid w:val="3B261A14"/>
    <w:rsid w:val="3CD613E9"/>
    <w:rsid w:val="3E454239"/>
    <w:rsid w:val="3F1E4B9D"/>
    <w:rsid w:val="3F4A39C9"/>
    <w:rsid w:val="41433ED6"/>
    <w:rsid w:val="41EF556F"/>
    <w:rsid w:val="43867A5D"/>
    <w:rsid w:val="43B27D8E"/>
    <w:rsid w:val="4454082D"/>
    <w:rsid w:val="44735770"/>
    <w:rsid w:val="46496210"/>
    <w:rsid w:val="466E4440"/>
    <w:rsid w:val="47925F0D"/>
    <w:rsid w:val="47C33F44"/>
    <w:rsid w:val="480171AF"/>
    <w:rsid w:val="48027536"/>
    <w:rsid w:val="49F06F55"/>
    <w:rsid w:val="4AF3760A"/>
    <w:rsid w:val="4B005D50"/>
    <w:rsid w:val="4B092B5E"/>
    <w:rsid w:val="4B0B4954"/>
    <w:rsid w:val="4B6A3DF6"/>
    <w:rsid w:val="4B7918E0"/>
    <w:rsid w:val="4BBA0D7E"/>
    <w:rsid w:val="4C080E93"/>
    <w:rsid w:val="4C9604BD"/>
    <w:rsid w:val="4D057181"/>
    <w:rsid w:val="4D1F0243"/>
    <w:rsid w:val="4DB95B9F"/>
    <w:rsid w:val="4E0423C2"/>
    <w:rsid w:val="4E1E6C22"/>
    <w:rsid w:val="4E495944"/>
    <w:rsid w:val="4E710F72"/>
    <w:rsid w:val="4E8C1402"/>
    <w:rsid w:val="4F2E6E63"/>
    <w:rsid w:val="4F7D3946"/>
    <w:rsid w:val="4F900B6C"/>
    <w:rsid w:val="51917235"/>
    <w:rsid w:val="52B96A43"/>
    <w:rsid w:val="545853DC"/>
    <w:rsid w:val="54FA4A5B"/>
    <w:rsid w:val="565E5126"/>
    <w:rsid w:val="568B2D64"/>
    <w:rsid w:val="57193C9E"/>
    <w:rsid w:val="572351D5"/>
    <w:rsid w:val="574870DD"/>
    <w:rsid w:val="57947A7F"/>
    <w:rsid w:val="58002B1D"/>
    <w:rsid w:val="5852375D"/>
    <w:rsid w:val="59B95D94"/>
    <w:rsid w:val="5A350349"/>
    <w:rsid w:val="5A6000EC"/>
    <w:rsid w:val="5AF80325"/>
    <w:rsid w:val="5C743C9D"/>
    <w:rsid w:val="5C78171D"/>
    <w:rsid w:val="5D2C7080"/>
    <w:rsid w:val="5D870AB5"/>
    <w:rsid w:val="5EF94460"/>
    <w:rsid w:val="5F031561"/>
    <w:rsid w:val="60182240"/>
    <w:rsid w:val="60F8107F"/>
    <w:rsid w:val="61AE5BE1"/>
    <w:rsid w:val="62C1366C"/>
    <w:rsid w:val="62C531E2"/>
    <w:rsid w:val="62EB255A"/>
    <w:rsid w:val="63027F93"/>
    <w:rsid w:val="63AC469A"/>
    <w:rsid w:val="64065861"/>
    <w:rsid w:val="655B4943"/>
    <w:rsid w:val="66415276"/>
    <w:rsid w:val="66D37220"/>
    <w:rsid w:val="66E35C90"/>
    <w:rsid w:val="68027928"/>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9EB1329"/>
    <w:rsid w:val="7BA95D7F"/>
    <w:rsid w:val="7BC561A8"/>
    <w:rsid w:val="7BCF6ABB"/>
    <w:rsid w:val="7CA57EB5"/>
    <w:rsid w:val="7D643172"/>
    <w:rsid w:val="7E425964"/>
    <w:rsid w:val="7EBC3294"/>
    <w:rsid w:val="7ED16C5A"/>
    <w:rsid w:val="7EE41F32"/>
    <w:rsid w:val="7F5C05D3"/>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4737</Words>
  <Characters>13396</Characters>
  <Lines>40</Lines>
  <Paragraphs>11</Paragraphs>
  <TotalTime>0</TotalTime>
  <ScaleCrop>false</ScaleCrop>
  <LinksUpToDate>false</LinksUpToDate>
  <CharactersWithSpaces>14421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2026-03-24T05:20:56Z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2052-12.1.0.25225</vt:lpwstr>
  </property>
  <property fmtid="{D5CDD505-2E9C-101B-9397-08002B2CF9AE}" pid="4" name="ICV">
    <vt:lpwstr>77C7F60402E9466795C27868484F6D22_43</vt:lpwstr>
  </property>
</Properties>
</file>