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F1615C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0D54AE2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0083C3" w:sz="4" w:space="0"/>
          <w:left w:val="none" w:color="auto" w:sz="0" w:space="0"/>
          <w:bottom w:val="single" w:color="0083C3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2668514F">
        <w:tblPrEx>
          <w:tblBorders>
            <w:top w:val="single" w:color="0083C3" w:sz="4" w:space="0"/>
            <w:left w:val="none" w:color="auto" w:sz="0" w:space="0"/>
            <w:bottom w:val="single" w:color="0083C3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771CCF9C">
            <w:pPr>
              <w:pStyle w:val="215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2B71DA10">
            <w:pPr>
              <w:pStyle w:val="215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73E1CFD0">
            <w:pPr>
              <w:pStyle w:val="215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202E5767">
            <w:pPr>
              <w:pStyle w:val="215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6C871BD0">
        <w:tblPrEx>
          <w:tblBorders>
            <w:top w:val="single" w:color="0083C3" w:sz="4" w:space="0"/>
            <w:left w:val="none" w:color="auto" w:sz="0" w:space="0"/>
            <w:bottom w:val="single" w:color="0083C3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0CD152D5">
            <w:pPr>
              <w:pStyle w:val="215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64FFCE60">
            <w:pPr>
              <w:pStyle w:val="215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046E924E">
            <w:pPr>
              <w:pStyle w:val="215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BFD8984">
            <w:pPr>
              <w:pStyle w:val="215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00AFA51D">
        <w:tblPrEx>
          <w:tblBorders>
            <w:top w:val="single" w:color="0083C3" w:sz="4" w:space="0"/>
            <w:left w:val="none" w:color="auto" w:sz="0" w:space="0"/>
            <w:bottom w:val="single" w:color="0083C3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1F0CAC09">
            <w:pPr>
              <w:pStyle w:val="215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4BBDA289">
            <w:pPr>
              <w:pStyle w:val="215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7BA4B95A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AA69BC2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0083C3" w:sz="12" w:space="0"/>
              <w:left w:val="nil"/>
              <w:bottom w:val="single" w:color="0083C3" w:sz="4" w:space="0"/>
              <w:right w:val="single" w:color="0083C3" w:sz="4" w:space="0"/>
            </w:tcBorders>
            <w:vAlign w:val="center"/>
          </w:tcPr>
          <w:p w14:paraId="0618B108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tcBorders>
              <w:top w:val="single" w:color="0083C3" w:sz="12" w:space="0"/>
              <w:left w:val="single" w:color="0083C3" w:sz="4" w:space="0"/>
              <w:bottom w:val="single" w:color="0083C3" w:sz="4" w:space="0"/>
              <w:right w:val="nil"/>
            </w:tcBorders>
            <w:vAlign w:val="center"/>
          </w:tcPr>
          <w:p w14:paraId="3AE38B71">
            <w:pPr>
              <w:pStyle w:val="216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7044C7E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0083C3" w:sz="4" w:space="0"/>
              <w:left w:val="nil"/>
              <w:bottom w:val="single" w:color="0083C3" w:sz="12" w:space="0"/>
              <w:right w:val="nil"/>
            </w:tcBorders>
          </w:tcPr>
          <w:p w14:paraId="19A0FAE4">
            <w:pPr>
              <w:pStyle w:val="229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9B2AA5D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5AFA059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74230F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75EB9C9B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0083C3" w:sz="4" w:space="0"/>
          <w:left w:val="single" w:color="0083C3" w:sz="4" w:space="0"/>
          <w:bottom w:val="single" w:color="0083C3" w:sz="4" w:space="0"/>
          <w:right w:val="single" w:color="0083C3" w:sz="4" w:space="0"/>
          <w:insideH w:val="single" w:color="0083C3" w:sz="4" w:space="0"/>
          <w:insideV w:val="single" w:color="0083C3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E2ECEC6">
        <w:tblPrEx>
          <w:tblBorders>
            <w:top w:val="single" w:color="0083C3" w:sz="4" w:space="0"/>
            <w:left w:val="single" w:color="0083C3" w:sz="4" w:space="0"/>
            <w:bottom w:val="single" w:color="0083C3" w:sz="4" w:space="0"/>
            <w:right w:val="single" w:color="0083C3" w:sz="4" w:space="0"/>
            <w:insideH w:val="single" w:color="0083C3" w:sz="4" w:space="0"/>
            <w:insideV w:val="single" w:color="0083C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bottom w:val="nil"/>
            </w:tcBorders>
            <w:shd w:val="clear" w:color="auto" w:fill="0083C3"/>
            <w:vAlign w:val="center"/>
          </w:tcPr>
          <w:p w14:paraId="3829C59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bottom w:val="nil"/>
            </w:tcBorders>
            <w:shd w:val="clear" w:color="auto" w:fill="0083C3"/>
            <w:vAlign w:val="center"/>
          </w:tcPr>
          <w:p w14:paraId="31CE65E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bottom w:val="nil"/>
            </w:tcBorders>
            <w:shd w:val="clear" w:color="auto" w:fill="0083C3"/>
            <w:vAlign w:val="center"/>
          </w:tcPr>
          <w:p w14:paraId="3FADB8E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bottom w:val="nil"/>
            </w:tcBorders>
            <w:shd w:val="clear" w:color="auto" w:fill="0083C3"/>
            <w:vAlign w:val="center"/>
          </w:tcPr>
          <w:p w14:paraId="4FCDD66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2A21570">
        <w:tblPrEx>
          <w:tblBorders>
            <w:top w:val="single" w:color="0083C3" w:sz="4" w:space="0"/>
            <w:left w:val="single" w:color="0083C3" w:sz="4" w:space="0"/>
            <w:bottom w:val="single" w:color="0083C3" w:sz="4" w:space="0"/>
            <w:right w:val="single" w:color="0083C3" w:sz="4" w:space="0"/>
            <w:insideH w:val="single" w:color="0083C3" w:sz="4" w:space="0"/>
            <w:insideV w:val="single" w:color="0083C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</w:tcBorders>
            <w:vAlign w:val="center"/>
          </w:tcPr>
          <w:p w14:paraId="6AA41D3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</w:tcBorders>
            <w:vAlign w:val="center"/>
          </w:tcPr>
          <w:p w14:paraId="0DCCC35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</w:tcBorders>
            <w:vAlign w:val="center"/>
          </w:tcPr>
          <w:p w14:paraId="55187D1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</w:tcBorders>
            <w:vAlign w:val="center"/>
          </w:tcPr>
          <w:p w14:paraId="574662DD">
            <w:pPr>
              <w:pStyle w:val="218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4D05C5EB">
        <w:tblPrEx>
          <w:tblBorders>
            <w:top w:val="single" w:color="0083C3" w:sz="4" w:space="0"/>
            <w:left w:val="single" w:color="0083C3" w:sz="4" w:space="0"/>
            <w:bottom w:val="single" w:color="0083C3" w:sz="4" w:space="0"/>
            <w:right w:val="single" w:color="0083C3" w:sz="4" w:space="0"/>
            <w:insideH w:val="single" w:color="0083C3" w:sz="4" w:space="0"/>
            <w:insideV w:val="single" w:color="0083C3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25DF414F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49DA940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82EFD5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070925D5">
            <w:pPr>
              <w:pStyle w:val="218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29EA496F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801968B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71D9D31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07DB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4810338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531FCBD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8991D4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52F49D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18E8D3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530E3F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0411ADB6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A4C879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1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17C03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bottom w:val="single" w:color="0083C3" w:sz="12" w:space="0"/>
              <w:tl2br w:val="nil"/>
              <w:tr2bl w:val="nil"/>
            </w:tcBorders>
            <w:vAlign w:val="bottom"/>
          </w:tcPr>
          <w:p w14:paraId="27AA23D6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3" w:type="dxa"/>
            <w:tcBorders>
              <w:bottom w:val="single" w:color="0083C3" w:sz="12" w:space="0"/>
              <w:tl2br w:val="nil"/>
              <w:tr2bl w:val="nil"/>
            </w:tcBorders>
            <w:vAlign w:val="bottom"/>
          </w:tcPr>
          <w:p w14:paraId="74CFD57D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223" w:type="dxa"/>
            <w:tcBorders>
              <w:bottom w:val="single" w:color="0083C3" w:sz="12" w:space="0"/>
              <w:tl2br w:val="nil"/>
              <w:tr2bl w:val="nil"/>
            </w:tcBorders>
            <w:vAlign w:val="bottom"/>
          </w:tcPr>
          <w:p w14:paraId="629DE943">
            <w:pPr>
              <w:jc w:val="left"/>
            </w:pPr>
          </w:p>
        </w:tc>
        <w:tc>
          <w:tcPr>
            <w:tcW w:w="3118" w:type="dxa"/>
            <w:tcBorders>
              <w:bottom w:val="single" w:color="0083C3" w:sz="12" w:space="0"/>
              <w:tl2br w:val="nil"/>
              <w:tr2bl w:val="nil"/>
            </w:tcBorders>
            <w:vAlign w:val="bottom"/>
          </w:tcPr>
          <w:p w14:paraId="7C189540">
            <w:pPr>
              <w:pStyle w:val="232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730ED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tl2br w:val="nil"/>
              <w:tr2bl w:val="nil"/>
            </w:tcBorders>
          </w:tcPr>
          <w:p w14:paraId="20C8F8D9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2E6C08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3CE2AA0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C1D0E95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0083C3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FECDF4B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0083C3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73A04140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19EB109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19EB109A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B465649">
      <w:pPr>
        <w:pStyle w:val="26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080AB02C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一</w:t>
      </w:r>
      <w:r>
        <w:rPr>
          <w:rFonts w:eastAsia="微软雅黑"/>
          <w:color w:val="0083C3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278E0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A714F6B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E07E234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7A68C1AB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78343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49CC4CE7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620675CA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7998D17D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4B2B4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1F05C71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FBB7E05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85BDCCA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2BC27C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0A5FB22C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817F404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78E267CD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57507DA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32C26378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6F17F08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结果声明</w:t>
      </w:r>
    </w:p>
    <w:p w14:paraId="7FDCFE4D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958B851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180C3B9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046FECBB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43C23E76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AE79E3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D117EBC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3280FA2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C509176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19723A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2A613EE">
            <w:pPr>
              <w:pStyle w:val="213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B3D6A0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240DEE9">
            <w:pPr>
              <w:pStyle w:val="213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C56EAAA">
            <w:pPr>
              <w:pStyle w:val="213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601B4EF">
            <w:pPr>
              <w:pStyle w:val="21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3EB4AC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89B3453">
            <w:pPr>
              <w:pStyle w:val="213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11E0F2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4A92BE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063EC252">
      <w:pP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br w:type="page"/>
      </w:r>
    </w:p>
    <w:p w14:paraId="18F43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Lines="50" w:line="288" w:lineRule="auto"/>
        <w:ind w:firstLine="180" w:firstLineChars="100"/>
        <w:jc w:val="left"/>
        <w:textAlignment w:val="auto"/>
        <w:rPr>
          <w:rFonts w:hint="eastAsia" w:ascii="微软雅黑" w:hAnsi="微软雅黑" w:eastAsia="微软雅黑" w:cs="微软雅黑"/>
          <w:b/>
          <w:bCs/>
          <w:color w:val="auto"/>
          <w:kern w:val="0"/>
          <w:sz w:val="18"/>
          <w:szCs w:val="18"/>
          <w:lang w:val="en-US" w:eastAsia="zh-CN" w:bidi="zh-CN"/>
        </w:rPr>
      </w:pPr>
      <w:r>
        <w:rPr>
          <w:rFonts w:hint="eastAsia" w:ascii="微软雅黑" w:hAnsi="微软雅黑" w:eastAsia="微软雅黑" w:cs="微软雅黑"/>
          <w:b/>
          <w:bCs/>
          <w:color w:val="auto"/>
          <w:kern w:val="0"/>
          <w:sz w:val="18"/>
          <w:szCs w:val="18"/>
          <w:lang w:val="en-US" w:eastAsia="zh-CN" w:bidi="zh-CN"/>
        </w:rPr>
        <w:t>信息来源：</w:t>
      </w:r>
    </w:p>
    <w:p w14:paraId="344393CE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[1]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  <w:t>实体肿瘤PD‐L1免疫组织化学检测专家共识（2021版）</w:t>
      </w:r>
    </w:p>
    <w:p w14:paraId="4EDD4A89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[2]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  <w:t>新型抗肿瘤药物临床应用指导原</w:t>
      </w:r>
      <w:bookmarkStart w:id="0" w:name="_GoBack"/>
      <w:bookmarkEnd w:id="0"/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  <w:t>则</w:t>
      </w:r>
    </w:p>
    <w:p w14:paraId="0889917F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[3]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shd w:val="clear" w:fill="FFFFFF"/>
        </w:rPr>
        <w:t>帕博利珠单抗注射液（JXSS2200010）申请上市技术审评报告</w:t>
      </w:r>
    </w:p>
    <w:p w14:paraId="4D0F76B2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u w:val="none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shd w:val="clear" w:fill="FFFFFF"/>
          <w:lang w:val="zh-CN" w:eastAsia="zh-CN" w:bidi="zh-CN"/>
        </w:rPr>
        <w:t>[4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u w:val="none"/>
          <w:shd w:val="clear" w:fill="FFFFFF"/>
          <w:lang w:val="zh-CN" w:eastAsia="zh-CN" w:bidi="zh-CN"/>
        </w:rPr>
        <w:t>]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begin"/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instrText xml:space="preserve"> HYPERLINK "https://www.accessdata.fda.gov/scripts/cder/daf/index.cfm?event=BasicSearch.process" </w:instrTex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separate"/>
      </w:r>
      <w:r>
        <w:rPr>
          <w:rStyle w:val="21"/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t>Drugs@FDA: FDA-Approved Drugs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end"/>
      </w:r>
    </w:p>
    <w:p w14:paraId="4F71A4E0">
      <w:pPr>
        <w:pStyle w:val="21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bidi w:val="0"/>
        <w:adjustRightInd w:val="0"/>
        <w:snapToGrid w:val="0"/>
        <w:spacing w:before="1" w:line="288" w:lineRule="auto"/>
        <w:ind w:left="216" w:leftChars="103" w:right="165" w:firstLine="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sz w:val="18"/>
          <w:szCs w:val="18"/>
          <w:u w:val="none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u w:val="none"/>
          <w:shd w:val="clear" w:fill="FFFFFF"/>
          <w:lang w:val="zh-CN" w:eastAsia="zh-CN" w:bidi="zh-CN"/>
        </w:rPr>
        <w:t>[5]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begin"/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instrText xml:space="preserve"> HYPERLINK "https://www.agilent.com.cn/cn/about/newsroom/presrel/2023/1117.html" </w:instrTex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separate"/>
      </w:r>
      <w:r>
        <w:rPr>
          <w:rStyle w:val="21"/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t>安捷伦PD-L1检测试剂盒（免疫组织化学法）获得FDA批准用于检测胃或胃食管结合部（GEJ）腺癌 (agilent.com.cn)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end"/>
      </w:r>
    </w:p>
    <w:p w14:paraId="7601B6C6">
      <w:pPr>
        <w:widowControl/>
        <w:ind w:left="218" w:leftChars="104" w:firstLine="0" w:firstLineChars="0"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  <w:u w:val="none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auto"/>
          <w:spacing w:val="8"/>
          <w:kern w:val="0"/>
          <w:sz w:val="18"/>
          <w:szCs w:val="18"/>
          <w:u w:val="none"/>
          <w:shd w:val="clear" w:fill="FFFFFF"/>
          <w:lang w:val="zh-CN" w:eastAsia="zh-CN" w:bidi="zh-CN"/>
        </w:rPr>
        <w:t>[6]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begin"/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instrText xml:space="preserve"> HYPERLINK "https://www.ema.europa.eu/en/medicines/human/summaries-opinion/keytruda-0" </w:instrTex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separate"/>
      </w:r>
      <w:r>
        <w:rPr>
          <w:rStyle w:val="21"/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t>Keytruda: Pending EC decision | European Medicines Agency (europa.eu)</w:t>
      </w:r>
      <w:r>
        <w:rPr>
          <w:rFonts w:hint="eastAsia" w:ascii="微软雅黑" w:hAnsi="微软雅黑" w:eastAsia="微软雅黑" w:cs="微软雅黑"/>
          <w:color w:val="auto"/>
          <w:sz w:val="18"/>
          <w:szCs w:val="18"/>
          <w:u w:val="none"/>
        </w:rPr>
        <w:fldChar w:fldCharType="end"/>
      </w:r>
    </w:p>
    <w:sectPr>
      <w:headerReference r:id="rId5" w:type="default"/>
      <w:footerReference r:id="rId6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DD43C2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A3DE6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A3DE6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AF0224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A6D1FB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A6D1FB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3E32E5">
    <w:pPr>
      <w:pStyle w:val="15"/>
      <w:pBdr>
        <w:bottom w:val="none" w:color="auto" w:sz="0" w:space="1"/>
      </w:pBdr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5168;mso-width-relative:page;mso-height-relative:page;" fillcolor="#C0C0C0" filled="t" stroked="f" coordsize="21600,21600" adj="10800">
          <v:path/>
          <v:fill on="t" color2="#FFFFFF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F24CC5"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color2="#FFFFFF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0E3569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62B03CF"/>
    <w:rsid w:val="083C2C62"/>
    <w:rsid w:val="08A77690"/>
    <w:rsid w:val="0A2437B8"/>
    <w:rsid w:val="10837493"/>
    <w:rsid w:val="132B3353"/>
    <w:rsid w:val="136A40B1"/>
    <w:rsid w:val="17F63E2B"/>
    <w:rsid w:val="183925C8"/>
    <w:rsid w:val="1BD47E9D"/>
    <w:rsid w:val="1D424E3A"/>
    <w:rsid w:val="212043F8"/>
    <w:rsid w:val="21AE23B4"/>
    <w:rsid w:val="22E055F1"/>
    <w:rsid w:val="2B632564"/>
    <w:rsid w:val="2D7F2166"/>
    <w:rsid w:val="2DA541D6"/>
    <w:rsid w:val="307957C4"/>
    <w:rsid w:val="33284289"/>
    <w:rsid w:val="38D368D9"/>
    <w:rsid w:val="397B36E6"/>
    <w:rsid w:val="3CAA31B8"/>
    <w:rsid w:val="409918AF"/>
    <w:rsid w:val="41540D13"/>
    <w:rsid w:val="417F39F8"/>
    <w:rsid w:val="41856871"/>
    <w:rsid w:val="424934FB"/>
    <w:rsid w:val="441B49DA"/>
    <w:rsid w:val="44314922"/>
    <w:rsid w:val="47424B6B"/>
    <w:rsid w:val="4DF03C41"/>
    <w:rsid w:val="4E5A559D"/>
    <w:rsid w:val="4FA519F8"/>
    <w:rsid w:val="502C64EB"/>
    <w:rsid w:val="54E265E6"/>
    <w:rsid w:val="5D683C7D"/>
    <w:rsid w:val="5F544FA6"/>
    <w:rsid w:val="61071D54"/>
    <w:rsid w:val="69F6601D"/>
    <w:rsid w:val="6A4C0E1D"/>
    <w:rsid w:val="6BBF0373"/>
    <w:rsid w:val="6D034223"/>
    <w:rsid w:val="6D782F93"/>
    <w:rsid w:val="6E0C5C8A"/>
    <w:rsid w:val="6F916EE8"/>
    <w:rsid w:val="6FDA1338"/>
    <w:rsid w:val="763065E7"/>
    <w:rsid w:val="78EF6C5F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2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3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4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5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6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7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8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9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10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2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4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9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8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7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Hyperlink"/>
    <w:basedOn w:val="19"/>
    <w:unhideWhenUsed/>
    <w:qFormat/>
    <w:uiPriority w:val="99"/>
    <w:rPr>
      <w:color w:val="0000FF"/>
      <w:u w:val="single"/>
    </w:rPr>
  </w:style>
  <w:style w:type="character" w:styleId="22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3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5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6">
    <w:name w:val="List Paragraph"/>
    <w:basedOn w:val="1"/>
    <w:link w:val="68"/>
    <w:autoRedefine/>
    <w:qFormat/>
    <w:uiPriority w:val="34"/>
    <w:pPr>
      <w:ind w:firstLine="420" w:firstLineChars="200"/>
    </w:pPr>
  </w:style>
  <w:style w:type="paragraph" w:customStyle="1" w:styleId="27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8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9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30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1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2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3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4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5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6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7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8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9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1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2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3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4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5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6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7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8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9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50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1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2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3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4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6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7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8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9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60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1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2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3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4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5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6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7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8">
    <w:name w:val="列出段落 Char"/>
    <w:basedOn w:val="19"/>
    <w:link w:val="26"/>
    <w:autoRedefine/>
    <w:qFormat/>
    <w:uiPriority w:val="34"/>
    <w:rPr>
      <w:sz w:val="18"/>
      <w:szCs w:val="18"/>
    </w:rPr>
  </w:style>
  <w:style w:type="character" w:customStyle="1" w:styleId="69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70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1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2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3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4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5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6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7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8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9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80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1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2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4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5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6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7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8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9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90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1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2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3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4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5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7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8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9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00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1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2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3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4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5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6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7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8">
    <w:name w:val="apple-style-span"/>
    <w:basedOn w:val="19"/>
    <w:autoRedefine/>
    <w:qFormat/>
    <w:uiPriority w:val="0"/>
  </w:style>
  <w:style w:type="character" w:customStyle="1" w:styleId="109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10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1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2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3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4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5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6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7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8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9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20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1">
    <w:name w:val="apple-style-span1"/>
    <w:basedOn w:val="19"/>
    <w:autoRedefine/>
    <w:qFormat/>
    <w:uiPriority w:val="0"/>
  </w:style>
  <w:style w:type="character" w:customStyle="1" w:styleId="122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3">
    <w:name w:val="jrnl"/>
    <w:basedOn w:val="19"/>
    <w:autoRedefine/>
    <w:qFormat/>
    <w:uiPriority w:val="0"/>
  </w:style>
  <w:style w:type="character" w:customStyle="1" w:styleId="124">
    <w:name w:val="src1"/>
    <w:autoRedefine/>
    <w:qFormat/>
    <w:uiPriority w:val="0"/>
  </w:style>
  <w:style w:type="character" w:customStyle="1" w:styleId="125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6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7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8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9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30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1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2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3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4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5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6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7">
    <w:name w:val="apple-style-span2"/>
    <w:basedOn w:val="19"/>
    <w:autoRedefine/>
    <w:qFormat/>
    <w:uiPriority w:val="0"/>
  </w:style>
  <w:style w:type="character" w:customStyle="1" w:styleId="138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9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40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1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2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3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4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5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6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7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8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9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50">
    <w:name w:val="apple-style-span3"/>
    <w:basedOn w:val="19"/>
    <w:autoRedefine/>
    <w:qFormat/>
    <w:uiPriority w:val="0"/>
  </w:style>
  <w:style w:type="character" w:customStyle="1" w:styleId="151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2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3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4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5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6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7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8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9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60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1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2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3">
    <w:name w:val="apple-style-span4"/>
    <w:basedOn w:val="19"/>
    <w:autoRedefine/>
    <w:qFormat/>
    <w:uiPriority w:val="0"/>
  </w:style>
  <w:style w:type="character" w:customStyle="1" w:styleId="164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5">
    <w:name w:val="jrnl1"/>
    <w:basedOn w:val="19"/>
    <w:autoRedefine/>
    <w:qFormat/>
    <w:uiPriority w:val="0"/>
  </w:style>
  <w:style w:type="character" w:customStyle="1" w:styleId="166">
    <w:name w:val="src11"/>
    <w:autoRedefine/>
    <w:qFormat/>
    <w:uiPriority w:val="0"/>
  </w:style>
  <w:style w:type="character" w:customStyle="1" w:styleId="167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8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70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1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2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3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4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5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6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7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8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9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80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1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2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3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4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5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6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7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8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9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90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1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2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3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4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5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6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7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8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9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200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1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2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3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4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5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6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7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8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9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10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1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2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3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4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5">
    <w:name w:val="basic"/>
    <w:basedOn w:val="1"/>
    <w:link w:val="217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6">
    <w:name w:val="qc"/>
    <w:basedOn w:val="1"/>
    <w:link w:val="219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7">
    <w:name w:val="basic Char"/>
    <w:basedOn w:val="19"/>
    <w:link w:val="215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8">
    <w:name w:val="tps"/>
    <w:basedOn w:val="1"/>
    <w:link w:val="22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9">
    <w:name w:val="qc Char"/>
    <w:basedOn w:val="19"/>
    <w:link w:val="216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20">
    <w:name w:val="image"/>
    <w:basedOn w:val="1"/>
    <w:link w:val="223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1">
    <w:name w:val="tps Char"/>
    <w:basedOn w:val="19"/>
    <w:link w:val="218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2">
    <w:name w:val="reportdate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3">
    <w:name w:val="image Char"/>
    <w:basedOn w:val="19"/>
    <w:link w:val="220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4">
    <w:name w:val="imageaudit"/>
    <w:basedOn w:val="1"/>
    <w:link w:val="226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5">
    <w:name w:val="reportdate Char"/>
    <w:basedOn w:val="19"/>
    <w:link w:val="222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6">
    <w:name w:val="imageaudit Char"/>
    <w:basedOn w:val="19"/>
    <w:link w:val="224"/>
    <w:autoRedefine/>
    <w:qFormat/>
    <w:uiPriority w:val="0"/>
    <w:rPr>
      <w:kern w:val="2"/>
      <w:sz w:val="21"/>
      <w:szCs w:val="22"/>
    </w:rPr>
  </w:style>
  <w:style w:type="paragraph" w:customStyle="1" w:styleId="227">
    <w:name w:val="rptdate"/>
    <w:basedOn w:val="1"/>
    <w:link w:val="228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8">
    <w:name w:val="rptdate Char"/>
    <w:basedOn w:val="19"/>
    <w:link w:val="227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9">
    <w:name w:val="scopeseen"/>
    <w:basedOn w:val="1"/>
    <w:link w:val="230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30">
    <w:name w:val="scopeseen Char"/>
    <w:basedOn w:val="19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1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2">
    <w:name w:val="rpt"/>
    <w:basedOn w:val="1"/>
    <w:link w:val="233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3">
    <w:name w:val="rpt Char"/>
    <w:basedOn w:val="19"/>
    <w:link w:val="232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  <customShpInfo spid="_x0000_s1026" textRotate="1"/>
    <customShpInfo spid="_x0000_s2050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800</Words>
  <Characters>1671</Characters>
  <Lines>18</Lines>
  <Paragraphs>5</Paragraphs>
  <TotalTime>0</TotalTime>
  <ScaleCrop>false</ScaleCrop>
  <LinksUpToDate>false</LinksUpToDate>
  <CharactersWithSpaces>1781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yolo</cp:lastModifiedBy>
  <cp:lastPrinted>2018-09-27T05:01:00Z</cp:lastPrinted>
  <dcterms:modified xsi:type="dcterms:W3CDTF">2026-05-22T05:45:55Z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eyJoZGlkIjoiZWYwY2UzN2JlOGI1MThkZDAzZjRhZWIwZWZiMGMwNmYiLCJ1c2VySWQiOiIzMTAxODgzOTQifQ==</vt:lpwstr>
  </property>
</Properties>
</file>