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94D96C">
      <w:pPr>
        <w:rPr>
          <w:color w:val="45A3A7"/>
          <w:sz w:val="20"/>
          <w:lang w:eastAsia="zh-CN"/>
        </w:rPr>
      </w:pPr>
    </w:p>
    <w:p w14:paraId="62D1A516">
      <w:pPr>
        <w:rPr>
          <w:sz w:val="20"/>
        </w:rPr>
      </w:pPr>
    </w:p>
    <w:p w14:paraId="6FD3FBC9">
      <w:pPr>
        <w:rPr>
          <w:sz w:val="20"/>
        </w:rPr>
      </w:pPr>
    </w:p>
    <w:p w14:paraId="45BDB098">
      <w:pPr>
        <w:rPr>
          <w:sz w:val="20"/>
        </w:rPr>
      </w:pPr>
    </w:p>
    <w:p w14:paraId="465085C6">
      <w:pPr>
        <w:rPr>
          <w:sz w:val="20"/>
        </w:rPr>
      </w:pPr>
    </w:p>
    <w:p w14:paraId="4E9E5438">
      <w:pPr>
        <w:rPr>
          <w:sz w:val="20"/>
        </w:rPr>
      </w:pPr>
    </w:p>
    <w:p w14:paraId="3BB1268A">
      <w:pPr>
        <w:rPr>
          <w:sz w:val="20"/>
        </w:rPr>
      </w:pPr>
    </w:p>
    <w:p w14:paraId="6596E1EB">
      <w:pPr>
        <w:rPr>
          <w:sz w:val="20"/>
        </w:rPr>
      </w:pPr>
    </w:p>
    <w:p w14:paraId="327FDC5F">
      <w:pPr>
        <w:rPr>
          <w:sz w:val="20"/>
        </w:rPr>
      </w:pPr>
    </w:p>
    <w:p w14:paraId="0A034529">
      <w:pPr>
        <w:jc w:val="center"/>
        <w:rPr>
          <w:rFonts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 if PDInfo == undefined %}中国人群BRCA1/2基因</w:t>
      </w:r>
    </w:p>
    <w:p w14:paraId="0040A2A0">
      <w:pPr>
        <w:jc w:val="center"/>
        <w:rPr>
          <w:rFonts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分子分型研究{% else %}中国人群BRCA1/2基因</w:t>
      </w:r>
    </w:p>
    <w:p w14:paraId="4F12436C">
      <w:pPr>
        <w:jc w:val="center"/>
        <w:rPr>
          <w:rFonts w:ascii="黑体" w:hAnsi="黑体" w:eastAsia="黑体" w:cs="黑体"/>
          <w:color w:val="548235" w:themeColor="accent6" w:themeShade="BF"/>
          <w:sz w:val="24"/>
          <w:szCs w:val="24"/>
          <w:highlight w:val="yellow"/>
          <w:lang w:eastAsia="zh-CN"/>
        </w:rPr>
      </w:pPr>
      <w:r>
        <w:rPr>
          <w:rFonts w:hint="eastAsia" w:ascii="黑体" w:hAnsi="黑体" w:eastAsia="黑体" w:cs="黑体"/>
          <w:color w:val="548235" w:themeColor="accent6" w:themeShade="BF"/>
          <w:sz w:val="72"/>
          <w:szCs w:val="72"/>
          <w:lang w:eastAsia="zh-CN"/>
        </w:rPr>
        <w:t>分子分型研究+PD-L1检测报告{% endif %}</w:t>
      </w:r>
    </w:p>
    <w:tbl>
      <w:tblPr>
        <w:tblStyle w:val="15"/>
        <w:tblpPr w:leftFromText="181" w:rightFromText="181" w:vertAnchor="page" w:horzAnchor="page" w:tblpXSpec="center" w:tblpY="9072"/>
        <w:tblOverlap w:val="never"/>
        <w:tblW w:w="65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4"/>
        <w:gridCol w:w="4471"/>
      </w:tblGrid>
      <w:tr w14:paraId="7DDDA6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2" w:hRule="atLeast"/>
          <w:jc w:val="center"/>
        </w:trPr>
        <w:tc>
          <w:tcPr>
            <w:tcW w:w="2124" w:type="dxa"/>
            <w:tcBorders>
              <w:top w:val="nil"/>
              <w:left w:val="nil"/>
              <w:bottom w:val="nil"/>
              <w:right w:val="nil"/>
            </w:tcBorders>
            <w:vAlign w:val="bottom"/>
          </w:tcPr>
          <w:p w14:paraId="51DBC225">
            <w:pPr>
              <w:pStyle w:val="6"/>
              <w:jc w:val="right"/>
              <w:rPr>
                <w:rFonts w:ascii="黑体"/>
                <w:sz w:val="48"/>
                <w:lang w:eastAsia="zh-CN"/>
              </w:rPr>
            </w:pPr>
            <w:r>
              <w:rPr>
                <w:rFonts w:hint="eastAsia" w:ascii="微软雅黑" w:eastAsia="微软雅黑"/>
                <w:sz w:val="30"/>
                <w:lang w:eastAsia="zh-CN"/>
              </w:rPr>
              <w:t>委 托 人：</w:t>
            </w:r>
          </w:p>
        </w:tc>
        <w:tc>
          <w:tcPr>
            <w:tcW w:w="4471" w:type="dxa"/>
            <w:tcBorders>
              <w:top w:val="nil"/>
              <w:left w:val="nil"/>
              <w:bottom w:val="single" w:color="auto" w:sz="4" w:space="0"/>
              <w:right w:val="nil"/>
            </w:tcBorders>
            <w:vAlign w:val="bottom"/>
          </w:tcPr>
          <w:p w14:paraId="0E67D7A7">
            <w:pPr>
              <w:pStyle w:val="6"/>
              <w:jc w:val="center"/>
              <w:rPr>
                <w:rFonts w:ascii="黑体"/>
                <w:sz w:val="48"/>
                <w:lang w:eastAsia="zh-CN"/>
              </w:rPr>
            </w:pPr>
            <w:r>
              <w:rPr>
                <w:rFonts w:hint="eastAsia" w:ascii="微软雅黑" w:eastAsia="微软雅黑"/>
                <w:sz w:val="30"/>
                <w:lang w:eastAsia="zh-CN"/>
              </w:rPr>
              <w:t>{{ client }}</w:t>
            </w:r>
          </w:p>
        </w:tc>
      </w:tr>
      <w:tr w14:paraId="6F67BA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1FCF7713">
            <w:pPr>
              <w:pStyle w:val="6"/>
              <w:jc w:val="right"/>
              <w:rPr>
                <w:rFonts w:ascii="黑体"/>
                <w:sz w:val="48"/>
                <w:lang w:eastAsia="zh-CN"/>
              </w:rPr>
            </w:pPr>
            <w:r>
              <w:rPr>
                <w:rFonts w:hint="eastAsia" w:ascii="微软雅黑" w:eastAsia="微软雅黑"/>
                <w:sz w:val="30"/>
                <w:lang w:eastAsia="zh-CN"/>
              </w:rPr>
              <w:t>委托日期：</w:t>
            </w:r>
          </w:p>
        </w:tc>
        <w:tc>
          <w:tcPr>
            <w:tcW w:w="4471" w:type="dxa"/>
            <w:tcBorders>
              <w:top w:val="single" w:color="auto" w:sz="4" w:space="0"/>
              <w:left w:val="nil"/>
              <w:bottom w:val="single" w:color="auto" w:sz="4" w:space="0"/>
              <w:right w:val="nil"/>
            </w:tcBorders>
            <w:vAlign w:val="bottom"/>
          </w:tcPr>
          <w:p w14:paraId="56705601">
            <w:pPr>
              <w:pStyle w:val="6"/>
              <w:jc w:val="center"/>
              <w:rPr>
                <w:rFonts w:ascii="Times New Roman" w:hAnsi="Times New Roman" w:cs="Times New Roman"/>
                <w:sz w:val="48"/>
                <w:lang w:eastAsia="zh-CN"/>
              </w:rPr>
            </w:pPr>
            <w:r>
              <w:rPr>
                <w:rFonts w:ascii="Times New Roman" w:hAnsi="Times New Roman" w:eastAsia="微软雅黑" w:cs="Times New Roman"/>
                <w:sz w:val="30"/>
                <w:lang w:eastAsia="zh-CN"/>
              </w:rPr>
              <w:t>{{ commission_date }}</w:t>
            </w:r>
          </w:p>
        </w:tc>
      </w:tr>
      <w:tr w14:paraId="03998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480573FD">
            <w:pPr>
              <w:pStyle w:val="6"/>
              <w:jc w:val="right"/>
              <w:rPr>
                <w:rFonts w:ascii="黑体"/>
                <w:sz w:val="48"/>
                <w:lang w:eastAsia="zh-CN"/>
              </w:rPr>
            </w:pPr>
            <w:r>
              <w:rPr>
                <w:rFonts w:hint="eastAsia" w:ascii="微软雅黑" w:eastAsia="微软雅黑"/>
                <w:sz w:val="30"/>
                <w:lang w:eastAsia="zh-CN"/>
              </w:rPr>
              <w:t>样本编号：</w:t>
            </w:r>
          </w:p>
        </w:tc>
        <w:tc>
          <w:tcPr>
            <w:tcW w:w="4471" w:type="dxa"/>
            <w:tcBorders>
              <w:top w:val="single" w:color="auto" w:sz="4" w:space="0"/>
              <w:left w:val="nil"/>
              <w:bottom w:val="single" w:color="auto" w:sz="4" w:space="0"/>
              <w:right w:val="nil"/>
            </w:tcBorders>
            <w:vAlign w:val="bottom"/>
          </w:tcPr>
          <w:p w14:paraId="44784548">
            <w:pPr>
              <w:pStyle w:val="6"/>
              <w:jc w:val="center"/>
              <w:rPr>
                <w:rFonts w:ascii="Times New Roman" w:hAnsi="Times New Roman" w:cs="Times New Roman"/>
                <w:sz w:val="48"/>
                <w:lang w:eastAsia="zh-CN"/>
              </w:rPr>
            </w:pPr>
            <w:r>
              <w:rPr>
                <w:rFonts w:ascii="Times New Roman" w:hAnsi="Times New Roman" w:eastAsia="微软雅黑" w:cs="Times New Roman"/>
                <w:sz w:val="30"/>
                <w:lang w:eastAsia="zh-CN"/>
              </w:rPr>
              <w:t>{{ subbarcode }}</w:t>
            </w:r>
          </w:p>
        </w:tc>
      </w:tr>
      <w:tr w14:paraId="560EA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jc w:val="center"/>
        </w:trPr>
        <w:tc>
          <w:tcPr>
            <w:tcW w:w="2124" w:type="dxa"/>
            <w:tcBorders>
              <w:top w:val="nil"/>
              <w:left w:val="nil"/>
              <w:bottom w:val="nil"/>
              <w:right w:val="nil"/>
            </w:tcBorders>
            <w:vAlign w:val="bottom"/>
          </w:tcPr>
          <w:p w14:paraId="0CD5D75F">
            <w:pPr>
              <w:pStyle w:val="6"/>
              <w:jc w:val="right"/>
              <w:rPr>
                <w:rFonts w:ascii="黑体"/>
                <w:sz w:val="48"/>
                <w:lang w:eastAsia="zh-CN"/>
              </w:rPr>
            </w:pPr>
            <w:r>
              <w:rPr>
                <w:rFonts w:hint="eastAsia" w:ascii="微软雅黑" w:eastAsia="微软雅黑"/>
                <w:sz w:val="30"/>
                <w:lang w:eastAsia="zh-CN"/>
              </w:rPr>
              <w:t>报告日期：</w:t>
            </w:r>
          </w:p>
        </w:tc>
        <w:tc>
          <w:tcPr>
            <w:tcW w:w="4471" w:type="dxa"/>
            <w:tcBorders>
              <w:top w:val="single" w:color="auto" w:sz="4" w:space="0"/>
              <w:left w:val="nil"/>
              <w:bottom w:val="single" w:color="auto" w:sz="4" w:space="0"/>
              <w:right w:val="nil"/>
            </w:tcBorders>
            <w:vAlign w:val="bottom"/>
          </w:tcPr>
          <w:p w14:paraId="2EAB91B9">
            <w:pPr>
              <w:pStyle w:val="6"/>
              <w:jc w:val="center"/>
              <w:rPr>
                <w:rFonts w:ascii="Times New Roman" w:hAnsi="Times New Roman" w:cs="Times New Roman"/>
                <w:sz w:val="48"/>
                <w:lang w:eastAsia="zh-CN"/>
              </w:rPr>
            </w:pPr>
            <w:r>
              <w:rPr>
                <w:rFonts w:ascii="Times New Roman" w:hAnsi="Times New Roman" w:eastAsia="微软雅黑" w:cs="Times New Roman"/>
                <w:sz w:val="30"/>
                <w:lang w:eastAsia="zh-CN"/>
              </w:rPr>
              <w:t>{{ reportdate }}</w:t>
            </w:r>
          </w:p>
        </w:tc>
      </w:tr>
    </w:tbl>
    <w:p w14:paraId="03BDE6DF">
      <w:pPr>
        <w:outlineLvl w:val="9"/>
        <w:rPr>
          <w:sz w:val="48"/>
          <w:szCs w:val="48"/>
          <w:lang w:eastAsia="zh-CN"/>
        </w:rPr>
      </w:pPr>
    </w:p>
    <w:p w14:paraId="1E9363C3">
      <w:pPr>
        <w:pStyle w:val="6"/>
        <w:rPr>
          <w:rFonts w:ascii="黑体"/>
          <w:sz w:val="72"/>
          <w:szCs w:val="72"/>
          <w:lang w:eastAsia="zh-CN"/>
        </w:rPr>
      </w:pPr>
    </w:p>
    <w:p w14:paraId="6CF6AC1E">
      <w:pPr>
        <w:pStyle w:val="6"/>
        <w:rPr>
          <w:rFonts w:ascii="黑体"/>
          <w:sz w:val="48"/>
          <w:lang w:eastAsia="zh-CN"/>
        </w:rPr>
      </w:pPr>
    </w:p>
    <w:p w14:paraId="6FE907A2">
      <w:pPr>
        <w:tabs>
          <w:tab w:val="left" w:pos="6082"/>
          <w:tab w:val="left" w:pos="6324"/>
          <w:tab w:val="left" w:pos="9183"/>
        </w:tabs>
        <w:spacing w:before="411" w:line="308" w:lineRule="auto"/>
        <w:ind w:right="2699"/>
        <w:jc w:val="both"/>
        <w:rPr>
          <w:sz w:val="30"/>
          <w:u w:val="single"/>
          <w:lang w:eastAsia="zh-CN"/>
        </w:rPr>
        <w:sectPr>
          <w:headerReference r:id="rId3" w:type="default"/>
          <w:headerReference r:id="rId4" w:type="even"/>
          <w:pgSz w:w="11911" w:h="16838"/>
          <w:pgMar w:top="1037" w:right="1020" w:bottom="981" w:left="1020" w:header="567" w:footer="720" w:gutter="0"/>
          <w:pgNumType w:start="1"/>
          <w:cols w:space="0" w:num="1"/>
        </w:sectPr>
      </w:pPr>
    </w:p>
    <w:p w14:paraId="545330A5">
      <w:pPr>
        <w:jc w:val="center"/>
        <w:rPr>
          <w:rFonts w:ascii="Times New Roman" w:hAnsi="Times New Roman" w:eastAsia="微软雅黑" w:cs="Times New Roman"/>
          <w:b/>
          <w:color w:val="5B9BD5" w:themeColor="accent1"/>
          <w:sz w:val="52"/>
          <w:szCs w:val="52"/>
          <w:lang w:eastAsia="zh-CN"/>
          <w14:shadow w14:blurRad="38100" w14:dist="19050" w14:dir="2700000" w14:sx="100000" w14:sy="100000" w14:kx="0" w14:ky="0" w14:algn="tl">
            <w14:schemeClr w14:val="dk1">
              <w14:alpha w14:val="60000"/>
            </w14:schemeClr>
          </w14:shadow>
          <w14:textFill>
            <w14:solidFill>
              <w14:schemeClr w14:val="accent1"/>
            </w14:solidFill>
          </w14:textFill>
          <w14:props3d w14:extrusionH="0" w14:contourW="0" w14:prstMaterial="clear"/>
        </w:rPr>
      </w:pPr>
      <w:r>
        <w:rPr>
          <w:rFonts w:hint="eastAsia" w:ascii="Times New Roman" w:hAnsi="Times New Roman" w:eastAsia="微软雅黑" w:cs="Times New Roman"/>
          <w:b/>
          <w:color w:val="62B541"/>
          <w:sz w:val="56"/>
          <w:szCs w:val="56"/>
          <w:lang w:eastAsia="zh-CN"/>
          <w14:shadow w14:blurRad="38100" w14:dist="19050" w14:dir="2700000" w14:sx="100000" w14:sy="100000" w14:kx="0" w14:ky="0" w14:algn="tl">
            <w14:schemeClr w14:val="dk1">
              <w14:alpha w14:val="60000"/>
            </w14:schemeClr>
          </w14:shadow>
          <w14:props3d w14:extrusionH="0" w14:contourW="0" w14:prstMaterial="clear"/>
        </w:rPr>
        <w:t>目录</w:t>
      </w:r>
    </w:p>
    <w:p w14:paraId="44091042">
      <w:pPr>
        <w:jc w:val="center"/>
        <w:rPr>
          <w:sz w:val="24"/>
          <w:szCs w:val="24"/>
          <w:lang w:eastAsia="zh-CN"/>
        </w:rPr>
      </w:pPr>
      <w:r>
        <w:rPr>
          <w:rFonts w:hint="eastAsia" w:ascii="Times New Roman" w:hAnsi="Times New Roman" w:eastAsia="微软雅黑"/>
          <w:sz w:val="36"/>
          <w:szCs w:val="36"/>
          <w:lang w:eastAsia="zh-CN"/>
        </w:rPr>
        <w:t>Content</w:t>
      </w:r>
    </w:p>
    <w:sdt>
      <w:sdtPr>
        <w:rPr>
          <w:sz w:val="21"/>
        </w:rPr>
        <w:id w:val="147459360"/>
        <w15:color w:val="DBDBDB"/>
        <w:docPartObj>
          <w:docPartGallery w:val="Table of Contents"/>
          <w:docPartUnique/>
        </w:docPartObj>
      </w:sdtPr>
      <w:sdtEndPr>
        <w:rPr>
          <w:b/>
          <w:sz w:val="22"/>
          <w:lang w:eastAsia="zh-CN"/>
        </w:rPr>
      </w:sdtEndPr>
      <w:sdtContent>
        <w:p w14:paraId="5A21B1F1">
          <w:pPr>
            <w:jc w:val="center"/>
          </w:pPr>
        </w:p>
        <w:p w14:paraId="4C178FEB">
          <w:pPr>
            <w:pStyle w:val="11"/>
            <w:tabs>
              <w:tab w:val="right" w:leader="dot" w:pos="9861"/>
            </w:tabs>
            <w:rPr>
              <w:rFonts w:ascii="Times New Roman" w:hAnsi="Times New Roman" w:eastAsia="微软雅黑"/>
              <w:b/>
              <w:color w:val="62B541"/>
              <w:sz w:val="32"/>
              <w:lang w:eastAsia="zh-CN"/>
            </w:rPr>
          </w:pPr>
          <w:r>
            <w:rPr>
              <w:lang w:eastAsia="zh-CN"/>
            </w:rPr>
            <w:fldChar w:fldCharType="begin"/>
          </w:r>
          <w:r>
            <w:rPr>
              <w:lang w:eastAsia="zh-CN"/>
            </w:rPr>
            <w:instrText xml:space="preserve">TOC \o "1-2" \h \u </w:instrText>
          </w:r>
          <w:r>
            <w:rPr>
              <w:lang w:eastAsia="zh-CN"/>
            </w:rPr>
            <w:fldChar w:fldCharType="separate"/>
          </w:r>
          <w:r>
            <w:fldChar w:fldCharType="begin"/>
          </w:r>
          <w:r>
            <w:instrText xml:space="preserve"> HYPERLINK \l "_Toc15245" </w:instrText>
          </w:r>
          <w:r>
            <w:fldChar w:fldCharType="separate"/>
          </w:r>
          <w:r>
            <w:rPr>
              <w:rFonts w:ascii="Times New Roman" w:hAnsi="Times New Roman" w:eastAsia="微软雅黑"/>
              <w:b/>
              <w:color w:val="62B541"/>
              <w:sz w:val="32"/>
              <w:lang w:eastAsia="zh-CN"/>
            </w:rPr>
            <w:t>样本信息</w:t>
          </w:r>
          <w:r>
            <w:rPr>
              <w:rFonts w:ascii="Times New Roman" w:hAnsi="Times New Roman" w:eastAsia="微软雅黑"/>
              <w:b/>
              <w:color w:val="62B541"/>
              <w:sz w:val="32"/>
              <w:lang w:eastAsia="zh-CN"/>
            </w:rPr>
            <w:tab/>
          </w: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PAGEREF _Toc15245 \h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lang w:eastAsia="zh-CN"/>
            </w:rPr>
            <w:t>1</w:t>
          </w:r>
          <w:r>
            <w:rPr>
              <w:rFonts w:ascii="Times New Roman" w:hAnsi="Times New Roman" w:eastAsia="微软雅黑"/>
              <w:b/>
              <w:color w:val="62B541"/>
              <w:sz w:val="32"/>
              <w:lang w:eastAsia="zh-CN"/>
            </w:rPr>
            <w:fldChar w:fldCharType="end"/>
          </w:r>
          <w:r>
            <w:rPr>
              <w:rFonts w:ascii="Times New Roman" w:hAnsi="Times New Roman" w:eastAsia="微软雅黑"/>
              <w:b/>
              <w:color w:val="62B541"/>
              <w:sz w:val="32"/>
              <w:lang w:eastAsia="zh-CN"/>
            </w:rPr>
            <w:fldChar w:fldCharType="end"/>
          </w:r>
        </w:p>
        <w:p w14:paraId="0F4886E4">
          <w:pPr>
            <w:pStyle w:val="11"/>
            <w:tabs>
              <w:tab w:val="right" w:leader="dot" w:pos="9861"/>
            </w:tabs>
            <w:rPr>
              <w:rFonts w:ascii="Times New Roman" w:hAnsi="Times New Roman" w:eastAsia="微软雅黑"/>
              <w:b/>
              <w:color w:val="62B541"/>
              <w:sz w:val="32"/>
              <w:lang w:eastAsia="zh-CN"/>
            </w:rPr>
          </w:pPr>
          <w:r>
            <w:fldChar w:fldCharType="begin"/>
          </w:r>
          <w:r>
            <w:instrText xml:space="preserve"> HYPERLINK \l "_Toc26912" </w:instrText>
          </w:r>
          <w:r>
            <w:fldChar w:fldCharType="separate"/>
          </w:r>
          <w:r>
            <w:rPr>
              <w:rFonts w:ascii="Times New Roman" w:hAnsi="Times New Roman" w:eastAsia="微软雅黑"/>
              <w:b/>
              <w:color w:val="62B541"/>
              <w:sz w:val="32"/>
              <w:lang w:eastAsia="zh-CN"/>
            </w:rPr>
            <w:t>检测项目</w:t>
          </w:r>
          <w:r>
            <w:rPr>
              <w:rFonts w:ascii="Times New Roman" w:hAnsi="Times New Roman" w:eastAsia="微软雅黑"/>
              <w:b/>
              <w:color w:val="62B541"/>
              <w:sz w:val="32"/>
              <w:lang w:eastAsia="zh-CN"/>
            </w:rPr>
            <w:tab/>
          </w: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PAGEREF _Toc26912 \h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lang w:eastAsia="zh-CN"/>
            </w:rPr>
            <w:t>1</w:t>
          </w:r>
          <w:r>
            <w:rPr>
              <w:rFonts w:ascii="Times New Roman" w:hAnsi="Times New Roman" w:eastAsia="微软雅黑"/>
              <w:b/>
              <w:color w:val="62B541"/>
              <w:sz w:val="32"/>
              <w:lang w:eastAsia="zh-CN"/>
            </w:rPr>
            <w:fldChar w:fldCharType="end"/>
          </w:r>
          <w:r>
            <w:rPr>
              <w:rFonts w:ascii="Times New Roman" w:hAnsi="Times New Roman" w:eastAsia="微软雅黑"/>
              <w:b/>
              <w:color w:val="62B541"/>
              <w:sz w:val="32"/>
              <w:lang w:eastAsia="zh-CN"/>
            </w:rPr>
            <w:fldChar w:fldCharType="end"/>
          </w:r>
        </w:p>
        <w:p w14:paraId="45221793">
          <w:pPr>
            <w:pStyle w:val="11"/>
            <w:tabs>
              <w:tab w:val="right" w:leader="dot" w:pos="9861"/>
            </w:tabs>
          </w:pPr>
          <w:r>
            <w:fldChar w:fldCharType="begin"/>
          </w:r>
          <w:r>
            <w:instrText xml:space="preserve"> HYPERLINK \l "_Toc22290" </w:instrText>
          </w:r>
          <w:r>
            <w:fldChar w:fldCharType="separate"/>
          </w:r>
          <w:r>
            <w:rPr>
              <w:rFonts w:hint="eastAsia" w:ascii="Times New Roman" w:hAnsi="Times New Roman" w:eastAsia="微软雅黑"/>
              <w:b/>
              <w:color w:val="62B541"/>
              <w:sz w:val="32"/>
              <w:lang w:eastAsia="zh-CN"/>
            </w:rPr>
            <w:t>检测结果总览</w:t>
          </w:r>
          <w:r>
            <w:rPr>
              <w:rFonts w:ascii="Times New Roman" w:hAnsi="Times New Roman" w:eastAsia="微软雅黑"/>
              <w:b/>
              <w:color w:val="62B541"/>
              <w:sz w:val="32"/>
              <w:lang w:eastAsia="zh-CN"/>
            </w:rPr>
            <w:tab/>
          </w: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PAGEREF _Toc22290 \h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lang w:eastAsia="zh-CN"/>
            </w:rPr>
            <w:t>1</w:t>
          </w:r>
          <w:r>
            <w:rPr>
              <w:rFonts w:ascii="Times New Roman" w:hAnsi="Times New Roman" w:eastAsia="微软雅黑"/>
              <w:b/>
              <w:color w:val="62B541"/>
              <w:sz w:val="32"/>
              <w:lang w:eastAsia="zh-CN"/>
            </w:rPr>
            <w:fldChar w:fldCharType="end"/>
          </w:r>
          <w:r>
            <w:rPr>
              <w:rFonts w:ascii="Times New Roman" w:hAnsi="Times New Roman" w:eastAsia="微软雅黑"/>
              <w:b/>
              <w:color w:val="62B541"/>
              <w:sz w:val="32"/>
              <w:lang w:eastAsia="zh-CN"/>
            </w:rPr>
            <w:fldChar w:fldCharType="end"/>
          </w:r>
        </w:p>
        <w:p w14:paraId="050242F6">
          <w:pPr>
            <w:pStyle w:val="12"/>
            <w:tabs>
              <w:tab w:val="right" w:leader="dot" w:pos="9870"/>
            </w:tabs>
            <w:ind w:left="440"/>
            <w:rPr>
              <w:rFonts w:ascii="Times New Roman" w:hAnsi="Times New Roman" w:eastAsia="微软雅黑"/>
              <w:sz w:val="28"/>
              <w:lang w:eastAsia="zh-CN"/>
            </w:rPr>
          </w:pPr>
          <w:r>
            <w:fldChar w:fldCharType="begin"/>
          </w:r>
          <w:r>
            <w:instrText xml:space="preserve"> HYPERLINK \l "_Toc30830" </w:instrText>
          </w:r>
          <w:r>
            <w:fldChar w:fldCharType="separate"/>
          </w:r>
          <w:r>
            <w:rPr>
              <w:rFonts w:hint="eastAsia" w:ascii="Times New Roman" w:hAnsi="Times New Roman" w:eastAsia="微软雅黑"/>
              <w:sz w:val="28"/>
              <w:lang w:eastAsia="zh-CN"/>
            </w:rPr>
            <w:t>检测结果小结</w:t>
          </w:r>
          <w:r>
            <w:rPr>
              <w:rFonts w:ascii="Times New Roman" w:hAnsi="Times New Roman" w:eastAsia="微软雅黑"/>
              <w:sz w:val="28"/>
              <w:lang w:eastAsia="zh-CN"/>
            </w:rPr>
            <w:tab/>
          </w: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PAGEREF _Toc30830 \h </w:instrText>
          </w:r>
          <w:r>
            <w:rPr>
              <w:rFonts w:ascii="Times New Roman" w:hAnsi="Times New Roman" w:eastAsia="微软雅黑"/>
              <w:sz w:val="28"/>
              <w:lang w:eastAsia="zh-CN"/>
            </w:rPr>
            <w:fldChar w:fldCharType="separate"/>
          </w:r>
          <w:r>
            <w:rPr>
              <w:rFonts w:ascii="Times New Roman" w:hAnsi="Times New Roman" w:eastAsia="微软雅黑"/>
              <w:sz w:val="28"/>
              <w:lang w:eastAsia="zh-CN"/>
            </w:rPr>
            <w:t>1</w:t>
          </w:r>
          <w:r>
            <w:rPr>
              <w:rFonts w:ascii="Times New Roman" w:hAnsi="Times New Roman" w:eastAsia="微软雅黑"/>
              <w:sz w:val="28"/>
              <w:lang w:eastAsia="zh-CN"/>
            </w:rPr>
            <w:fldChar w:fldCharType="end"/>
          </w:r>
          <w:r>
            <w:rPr>
              <w:rFonts w:ascii="Times New Roman" w:hAnsi="Times New Roman" w:eastAsia="微软雅黑"/>
              <w:sz w:val="28"/>
              <w:lang w:eastAsia="zh-CN"/>
            </w:rPr>
            <w:fldChar w:fldCharType="end"/>
          </w:r>
        </w:p>
        <w:p w14:paraId="403D0EB1">
          <w:pPr>
            <w:pStyle w:val="11"/>
            <w:tabs>
              <w:tab w:val="right" w:leader="dot" w:pos="9871"/>
            </w:tabs>
          </w:pPr>
          <w:r>
            <w:fldChar w:fldCharType="begin"/>
          </w:r>
          <w:r>
            <w:instrText xml:space="preserve"> HYPERLINK \l "_Toc9525" </w:instrText>
          </w:r>
          <w:r>
            <w:fldChar w:fldCharType="separate"/>
          </w:r>
          <w:r>
            <w:rPr>
              <w:rFonts w:ascii="Times New Roman" w:hAnsi="Times New Roman" w:eastAsia="微软雅黑"/>
              <w:b/>
              <w:color w:val="62B541"/>
              <w:sz w:val="32"/>
              <w:lang w:eastAsia="zh-CN"/>
            </w:rPr>
            <w:t>检测结果及用药提示</w:t>
          </w:r>
          <w:r>
            <w:rPr>
              <w:rFonts w:ascii="Times New Roman" w:hAnsi="Times New Roman" w:eastAsia="微软雅黑"/>
              <w:b/>
              <w:color w:val="62B541"/>
              <w:sz w:val="32"/>
              <w:lang w:eastAsia="zh-CN"/>
            </w:rPr>
            <w:tab/>
          </w: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PAGEREF _Toc9525 \h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lang w:eastAsia="zh-CN"/>
            </w:rPr>
            <w:t>3</w:t>
          </w:r>
          <w:r>
            <w:rPr>
              <w:rFonts w:ascii="Times New Roman" w:hAnsi="Times New Roman" w:eastAsia="微软雅黑"/>
              <w:b/>
              <w:color w:val="62B541"/>
              <w:sz w:val="32"/>
              <w:lang w:eastAsia="zh-CN"/>
            </w:rPr>
            <w:fldChar w:fldCharType="end"/>
          </w:r>
          <w:r>
            <w:rPr>
              <w:rFonts w:ascii="Times New Roman" w:hAnsi="Times New Roman" w:eastAsia="微软雅黑"/>
              <w:b/>
              <w:color w:val="62B541"/>
              <w:sz w:val="32"/>
              <w:lang w:eastAsia="zh-CN"/>
            </w:rPr>
            <w:fldChar w:fldCharType="end"/>
          </w:r>
        </w:p>
        <w:p w14:paraId="0CFCF71E">
          <w:pPr>
            <w:pStyle w:val="12"/>
            <w:tabs>
              <w:tab w:val="right" w:leader="dot" w:pos="9870"/>
            </w:tabs>
            <w:ind w:left="440"/>
            <w:rPr>
              <w:rFonts w:ascii="Times New Roman" w:hAnsi="Times New Roman" w:eastAsia="微软雅黑"/>
              <w:sz w:val="28"/>
              <w:lang w:eastAsia="zh-CN"/>
            </w:rPr>
          </w:pPr>
          <w:r>
            <w:fldChar w:fldCharType="begin"/>
          </w:r>
          <w:r>
            <w:instrText xml:space="preserve"> HYPERLINK \l "_Toc13568" </w:instrText>
          </w:r>
          <w:r>
            <w:fldChar w:fldCharType="separate"/>
          </w:r>
          <w:r>
            <w:rPr>
              <w:rFonts w:hint="eastAsia" w:ascii="Times New Roman" w:hAnsi="Times New Roman" w:eastAsia="微软雅黑"/>
              <w:sz w:val="28"/>
              <w:lang w:eastAsia="zh-CN"/>
            </w:rPr>
            <w:t>体细胞变异分级提示</w:t>
          </w:r>
          <w:r>
            <w:rPr>
              <w:rFonts w:ascii="Times New Roman" w:hAnsi="Times New Roman" w:eastAsia="微软雅黑"/>
              <w:sz w:val="28"/>
              <w:lang w:eastAsia="zh-CN"/>
            </w:rPr>
            <w:tab/>
          </w: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PAGEREF _Toc13568 \h </w:instrText>
          </w:r>
          <w:r>
            <w:rPr>
              <w:rFonts w:ascii="Times New Roman" w:hAnsi="Times New Roman" w:eastAsia="微软雅黑"/>
              <w:sz w:val="28"/>
              <w:lang w:eastAsia="zh-CN"/>
            </w:rPr>
            <w:fldChar w:fldCharType="separate"/>
          </w:r>
          <w:r>
            <w:rPr>
              <w:rFonts w:ascii="Times New Roman" w:hAnsi="Times New Roman" w:eastAsia="微软雅黑"/>
              <w:sz w:val="28"/>
              <w:lang w:eastAsia="zh-CN"/>
            </w:rPr>
            <w:t>3</w:t>
          </w:r>
          <w:r>
            <w:rPr>
              <w:rFonts w:ascii="Times New Roman" w:hAnsi="Times New Roman" w:eastAsia="微软雅黑"/>
              <w:sz w:val="28"/>
              <w:lang w:eastAsia="zh-CN"/>
            </w:rPr>
            <w:fldChar w:fldCharType="end"/>
          </w:r>
          <w:r>
            <w:rPr>
              <w:rFonts w:ascii="Times New Roman" w:hAnsi="Times New Roman" w:eastAsia="微软雅黑"/>
              <w:sz w:val="28"/>
              <w:lang w:eastAsia="zh-CN"/>
            </w:rPr>
            <w:fldChar w:fldCharType="end"/>
          </w:r>
        </w:p>
        <w:p w14:paraId="7AE969C2">
          <w:pPr>
            <w:pStyle w:val="12"/>
            <w:tabs>
              <w:tab w:val="right" w:leader="dot" w:pos="9870"/>
            </w:tabs>
            <w:ind w:left="440"/>
            <w:rPr>
              <w:rFonts w:ascii="Times New Roman" w:hAnsi="Times New Roman" w:eastAsia="微软雅黑"/>
              <w:sz w:val="24"/>
              <w:szCs w:val="24"/>
              <w:lang w:eastAsia="zh-CN"/>
            </w:rPr>
          </w:pPr>
          <w:r>
            <w:fldChar w:fldCharType="begin"/>
          </w:r>
          <w:r>
            <w:instrText xml:space="preserve"> HYPERLINK \l "_Toc10540" </w:instrText>
          </w:r>
          <w:r>
            <w:fldChar w:fldCharType="separate"/>
          </w:r>
          <w:r>
            <w:rPr>
              <w:rFonts w:hint="eastAsia" w:ascii="Times New Roman" w:hAnsi="Times New Roman" w:eastAsia="微软雅黑"/>
              <w:sz w:val="28"/>
              <w:lang w:eastAsia="zh-CN"/>
            </w:rPr>
            <w:t>胚系变异结果提示</w:t>
          </w:r>
          <w:r>
            <w:rPr>
              <w:rFonts w:ascii="Times New Roman" w:hAnsi="Times New Roman" w:eastAsia="微软雅黑"/>
              <w:sz w:val="28"/>
              <w:lang w:eastAsia="zh-CN"/>
            </w:rPr>
            <w:tab/>
          </w: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PAGEREF _Toc10540 \h </w:instrText>
          </w:r>
          <w:r>
            <w:rPr>
              <w:rFonts w:ascii="Times New Roman" w:hAnsi="Times New Roman" w:eastAsia="微软雅黑"/>
              <w:sz w:val="28"/>
              <w:lang w:eastAsia="zh-CN"/>
            </w:rPr>
            <w:fldChar w:fldCharType="separate"/>
          </w:r>
          <w:r>
            <w:rPr>
              <w:rFonts w:ascii="Times New Roman" w:hAnsi="Times New Roman" w:eastAsia="微软雅黑"/>
              <w:sz w:val="28"/>
              <w:lang w:eastAsia="zh-CN"/>
            </w:rPr>
            <w:t>7</w:t>
          </w:r>
          <w:r>
            <w:rPr>
              <w:rFonts w:ascii="Times New Roman" w:hAnsi="Times New Roman" w:eastAsia="微软雅黑"/>
              <w:sz w:val="28"/>
              <w:lang w:eastAsia="zh-CN"/>
            </w:rPr>
            <w:fldChar w:fldCharType="end"/>
          </w:r>
          <w:r>
            <w:rPr>
              <w:rFonts w:ascii="Times New Roman" w:hAnsi="Times New Roman" w:eastAsia="微软雅黑"/>
              <w:sz w:val="28"/>
              <w:lang w:eastAsia="zh-CN"/>
            </w:rPr>
            <w:fldChar w:fldCharType="end"/>
          </w:r>
          <w:r>
            <w:rPr>
              <w:rFonts w:hint="eastAsia" w:ascii="Times New Roman" w:hAnsi="Times New Roman" w:eastAsia="微软雅黑"/>
              <w:sz w:val="24"/>
              <w:szCs w:val="24"/>
              <w:lang w:eastAsia="zh-CN"/>
            </w:rPr>
            <w:t xml:space="preserve">{%if </w:t>
          </w:r>
          <w:r>
            <w:rPr>
              <w:rFonts w:ascii="Times New Roman" w:hAnsi="Times New Roman" w:eastAsia="微软雅黑"/>
              <w:sz w:val="24"/>
              <w:szCs w:val="24"/>
              <w:lang w:eastAsia="zh-CN"/>
            </w:rPr>
            <w:t>PDInfo</w:t>
          </w:r>
          <w:r>
            <w:rPr>
              <w:rFonts w:hint="eastAsia" w:ascii="Times New Roman" w:hAnsi="Times New Roman" w:eastAsia="微软雅黑"/>
              <w:sz w:val="24"/>
              <w:szCs w:val="24"/>
              <w:lang w:eastAsia="zh-CN"/>
            </w:rPr>
            <w:t xml:space="preserve"> != </w:t>
          </w:r>
          <w:r>
            <w:rPr>
              <w:rFonts w:ascii="Times New Roman" w:hAnsi="Times New Roman" w:eastAsia="微软雅黑"/>
              <w:sz w:val="24"/>
              <w:szCs w:val="24"/>
              <w:lang w:eastAsia="zh-CN"/>
            </w:rPr>
            <w:t>undefined</w:t>
          </w:r>
          <w:r>
            <w:rPr>
              <w:rFonts w:hint="eastAsia" w:ascii="Times New Roman" w:hAnsi="Times New Roman" w:eastAsia="微软雅黑"/>
              <w:sz w:val="24"/>
              <w:szCs w:val="24"/>
              <w:lang w:eastAsia="zh-CN"/>
            </w:rPr>
            <w:t xml:space="preserve"> %}</w:t>
          </w:r>
        </w:p>
        <w:p w14:paraId="266E3B81">
          <w:pPr>
            <w:pStyle w:val="12"/>
            <w:tabs>
              <w:tab w:val="right" w:leader="dot" w:pos="9870"/>
            </w:tabs>
            <w:ind w:left="440"/>
          </w:pPr>
          <w:r>
            <w:fldChar w:fldCharType="begin"/>
          </w:r>
          <w:r>
            <w:instrText xml:space="preserve"> HYPERLINK \l "_Toc28717" </w:instrText>
          </w:r>
          <w:r>
            <w:fldChar w:fldCharType="separate"/>
          </w:r>
          <w:r>
            <w:rPr>
              <w:rFonts w:hint="eastAsia" w:ascii="Times New Roman" w:hAnsi="Times New Roman" w:eastAsia="微软雅黑"/>
              <w:sz w:val="28"/>
              <w:szCs w:val="28"/>
              <w:lang w:eastAsia="zh-CN"/>
            </w:rPr>
            <w:t>PD-L1检测结果</w:t>
          </w:r>
          <w:r>
            <w:rPr>
              <w:rFonts w:ascii="Times New Roman" w:hAnsi="Times New Roman" w:eastAsia="微软雅黑"/>
              <w:sz w:val="28"/>
              <w:szCs w:val="28"/>
              <w:lang w:eastAsia="zh-CN"/>
            </w:rPr>
            <w:tab/>
          </w:r>
          <w:r>
            <w:rPr>
              <w:rFonts w:ascii="Times New Roman" w:hAnsi="Times New Roman" w:eastAsia="微软雅黑"/>
              <w:sz w:val="28"/>
              <w:szCs w:val="28"/>
              <w:lang w:eastAsia="zh-CN"/>
            </w:rPr>
            <w:fldChar w:fldCharType="begin"/>
          </w:r>
          <w:r>
            <w:rPr>
              <w:rFonts w:ascii="Times New Roman" w:hAnsi="Times New Roman" w:eastAsia="微软雅黑"/>
              <w:sz w:val="28"/>
              <w:szCs w:val="28"/>
              <w:lang w:eastAsia="zh-CN"/>
            </w:rPr>
            <w:instrText xml:space="preserve"> PAGEREF _Toc28717 \h </w:instrText>
          </w:r>
          <w:r>
            <w:rPr>
              <w:rFonts w:ascii="Times New Roman" w:hAnsi="Times New Roman" w:eastAsia="微软雅黑"/>
              <w:sz w:val="28"/>
              <w:szCs w:val="28"/>
              <w:lang w:eastAsia="zh-CN"/>
            </w:rPr>
            <w:fldChar w:fldCharType="separate"/>
          </w:r>
          <w:r>
            <w:rPr>
              <w:rFonts w:ascii="Times New Roman" w:hAnsi="Times New Roman" w:eastAsia="微软雅黑"/>
              <w:sz w:val="28"/>
              <w:szCs w:val="28"/>
              <w:lang w:eastAsia="zh-CN"/>
            </w:rPr>
            <w:t>9</w:t>
          </w:r>
          <w:r>
            <w:rPr>
              <w:rFonts w:ascii="Times New Roman" w:hAnsi="Times New Roman" w:eastAsia="微软雅黑"/>
              <w:sz w:val="28"/>
              <w:szCs w:val="28"/>
              <w:lang w:eastAsia="zh-CN"/>
            </w:rPr>
            <w:fldChar w:fldCharType="end"/>
          </w:r>
          <w:r>
            <w:rPr>
              <w:rFonts w:ascii="Times New Roman" w:hAnsi="Times New Roman" w:eastAsia="微软雅黑"/>
              <w:sz w:val="28"/>
              <w:szCs w:val="28"/>
              <w:lang w:eastAsia="zh-CN"/>
            </w:rPr>
            <w:fldChar w:fldCharType="end"/>
          </w:r>
          <w:r>
            <w:rPr>
              <w:rFonts w:hint="eastAsia" w:ascii="Times New Roman" w:hAnsi="Times New Roman" w:eastAsia="微软雅黑"/>
              <w:sz w:val="24"/>
              <w:szCs w:val="24"/>
              <w:lang w:eastAsia="zh-CN"/>
            </w:rPr>
            <w:t>{% endif %}{%if BodyDrugDrugDetectionStr or unknownVarAnalysisStr or geneticCancerRis</w:t>
          </w:r>
          <w:r>
            <w:rPr>
              <w:rFonts w:hint="eastAsia" w:ascii="Times New Roman" w:hAnsi="Times New Roman" w:eastAsia="微软雅黑" w:cs="Times New Roman"/>
              <w:sz w:val="24"/>
              <w:szCs w:val="24"/>
              <w:lang w:eastAsia="zh-CN"/>
            </w:rPr>
            <w:t>kInfo %}</w:t>
          </w:r>
        </w:p>
        <w:p w14:paraId="451019F4">
          <w:pPr>
            <w:pStyle w:val="11"/>
            <w:tabs>
              <w:tab w:val="right" w:leader="dot" w:pos="9871"/>
            </w:tabs>
            <w:rPr>
              <w:rFonts w:ascii="Times New Roman" w:hAnsi="Times New Roman" w:eastAsia="微软雅黑"/>
              <w:b/>
              <w:color w:val="62B541"/>
              <w:sz w:val="24"/>
              <w:szCs w:val="24"/>
              <w:lang w:eastAsia="zh-CN"/>
            </w:rPr>
          </w:pPr>
          <w:r>
            <w:fldChar w:fldCharType="begin"/>
          </w:r>
          <w:r>
            <w:instrText xml:space="preserve"> HYPERLINK \l "_Toc17927" </w:instrText>
          </w:r>
          <w:r>
            <w:fldChar w:fldCharType="separate"/>
          </w:r>
          <w:r>
            <w:rPr>
              <w:rFonts w:ascii="Times New Roman" w:hAnsi="Times New Roman" w:eastAsia="微软雅黑"/>
              <w:b/>
              <w:color w:val="62B541"/>
              <w:sz w:val="32"/>
              <w:lang w:eastAsia="zh-CN"/>
            </w:rPr>
            <w:t>基因检测结果解析</w:t>
          </w:r>
          <w:r>
            <w:rPr>
              <w:rFonts w:ascii="Times New Roman" w:hAnsi="Times New Roman" w:eastAsia="微软雅黑"/>
              <w:b/>
              <w:color w:val="62B541"/>
              <w:sz w:val="32"/>
              <w:lang w:eastAsia="zh-CN"/>
            </w:rPr>
            <w:tab/>
          </w: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PAGEREF _Toc17927 \h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lang w:eastAsia="zh-CN"/>
            </w:rPr>
            <w:t>11</w:t>
          </w:r>
          <w:r>
            <w:rPr>
              <w:rFonts w:ascii="Times New Roman" w:hAnsi="Times New Roman" w:eastAsia="微软雅黑"/>
              <w:b/>
              <w:color w:val="62B541"/>
              <w:sz w:val="32"/>
              <w:lang w:eastAsia="zh-CN"/>
            </w:rPr>
            <w:fldChar w:fldCharType="end"/>
          </w:r>
          <w:r>
            <w:rPr>
              <w:rFonts w:ascii="Times New Roman" w:hAnsi="Times New Roman" w:eastAsia="微软雅黑"/>
              <w:b/>
              <w:color w:val="62B541"/>
              <w:sz w:val="32"/>
              <w:lang w:eastAsia="zh-CN"/>
            </w:rPr>
            <w:fldChar w:fldCharType="end"/>
          </w:r>
          <w:r>
            <w:rPr>
              <w:rFonts w:hint="eastAsia" w:ascii="Times New Roman" w:hAnsi="Times New Roman" w:eastAsia="微软雅黑"/>
              <w:b/>
              <w:color w:val="62B541"/>
              <w:sz w:val="24"/>
              <w:szCs w:val="24"/>
              <w:lang w:eastAsia="zh-CN"/>
            </w:rPr>
            <w:t>{%if BodyDrugDrugDetectionStr or unknownVarAnalysisStr %}</w:t>
          </w:r>
        </w:p>
        <w:p w14:paraId="197B92EF">
          <w:pPr>
            <w:pStyle w:val="12"/>
            <w:tabs>
              <w:tab w:val="right" w:leader="dot" w:pos="9870"/>
            </w:tabs>
            <w:ind w:left="440"/>
            <w:rPr>
              <w:rFonts w:ascii="Times New Roman" w:hAnsi="Times New Roman" w:eastAsia="微软雅黑"/>
              <w:sz w:val="28"/>
              <w:lang w:eastAsia="zh-CN"/>
            </w:rPr>
          </w:pPr>
          <w:r>
            <w:fldChar w:fldCharType="begin"/>
          </w:r>
          <w:r>
            <w:instrText xml:space="preserve"> HYPERLINK \l "_Toc17301" </w:instrText>
          </w:r>
          <w:r>
            <w:fldChar w:fldCharType="separate"/>
          </w:r>
          <w:r>
            <w:rPr>
              <w:rFonts w:hint="eastAsia" w:ascii="Times New Roman" w:hAnsi="Times New Roman" w:eastAsia="微软雅黑"/>
              <w:sz w:val="28"/>
              <w:lang w:eastAsia="zh-CN"/>
            </w:rPr>
            <w:t>体细胞变异结果解析</w:t>
          </w:r>
          <w:r>
            <w:rPr>
              <w:rFonts w:ascii="Times New Roman" w:hAnsi="Times New Roman" w:eastAsia="微软雅黑"/>
              <w:sz w:val="28"/>
              <w:lang w:eastAsia="zh-CN"/>
            </w:rPr>
            <w:tab/>
          </w: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PAGEREF _Toc17301 \h </w:instrText>
          </w:r>
          <w:r>
            <w:rPr>
              <w:rFonts w:ascii="Times New Roman" w:hAnsi="Times New Roman" w:eastAsia="微软雅黑"/>
              <w:sz w:val="28"/>
              <w:lang w:eastAsia="zh-CN"/>
            </w:rPr>
            <w:fldChar w:fldCharType="separate"/>
          </w:r>
          <w:r>
            <w:rPr>
              <w:rFonts w:ascii="Times New Roman" w:hAnsi="Times New Roman" w:eastAsia="微软雅黑"/>
              <w:sz w:val="28"/>
              <w:lang w:eastAsia="zh-CN"/>
            </w:rPr>
            <w:t>11</w:t>
          </w:r>
          <w:r>
            <w:rPr>
              <w:rFonts w:ascii="Times New Roman" w:hAnsi="Times New Roman" w:eastAsia="微软雅黑"/>
              <w:sz w:val="28"/>
              <w:lang w:eastAsia="zh-CN"/>
            </w:rPr>
            <w:fldChar w:fldCharType="end"/>
          </w:r>
          <w:r>
            <w:rPr>
              <w:rFonts w:ascii="Times New Roman" w:hAnsi="Times New Roman" w:eastAsia="微软雅黑"/>
              <w:sz w:val="28"/>
              <w:lang w:eastAsia="zh-CN"/>
            </w:rPr>
            <w:fldChar w:fldCharType="end"/>
          </w:r>
          <w:r>
            <w:rPr>
              <w:rFonts w:hint="eastAsia" w:ascii="Times New Roman" w:hAnsi="Times New Roman" w:eastAsia="微软雅黑"/>
              <w:sz w:val="24"/>
              <w:szCs w:val="24"/>
              <w:lang w:eastAsia="zh-CN"/>
            </w:rPr>
            <w:t>{% endif %}{%if geneticCancerRiskInfo %}</w:t>
          </w:r>
        </w:p>
        <w:p w14:paraId="3A81F916">
          <w:pPr>
            <w:pStyle w:val="12"/>
            <w:tabs>
              <w:tab w:val="right" w:leader="dot" w:pos="9870"/>
            </w:tabs>
            <w:ind w:left="440"/>
            <w:rPr>
              <w:rFonts w:ascii="Times New Roman" w:hAnsi="Times New Roman" w:eastAsia="微软雅黑"/>
              <w:sz w:val="28"/>
              <w:lang w:eastAsia="zh-CN"/>
            </w:rPr>
          </w:pPr>
          <w:r>
            <w:fldChar w:fldCharType="begin"/>
          </w:r>
          <w:r>
            <w:instrText xml:space="preserve"> HYPERLINK \l "_Toc3720" </w:instrText>
          </w:r>
          <w:r>
            <w:fldChar w:fldCharType="separate"/>
          </w:r>
          <w:r>
            <w:rPr>
              <w:rFonts w:hint="eastAsia" w:ascii="Times New Roman" w:hAnsi="Times New Roman" w:eastAsia="微软雅黑"/>
              <w:sz w:val="28"/>
              <w:lang w:eastAsia="zh-CN"/>
            </w:rPr>
            <w:t>胚系变异结果解析</w:t>
          </w:r>
          <w:r>
            <w:rPr>
              <w:rFonts w:ascii="Times New Roman" w:hAnsi="Times New Roman" w:eastAsia="微软雅黑"/>
              <w:sz w:val="28"/>
              <w:lang w:eastAsia="zh-CN"/>
            </w:rPr>
            <w:tab/>
          </w: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PAGEREF _Toc3720 \h </w:instrText>
          </w:r>
          <w:r>
            <w:rPr>
              <w:rFonts w:ascii="Times New Roman" w:hAnsi="Times New Roman" w:eastAsia="微软雅黑"/>
              <w:sz w:val="28"/>
              <w:lang w:eastAsia="zh-CN"/>
            </w:rPr>
            <w:fldChar w:fldCharType="separate"/>
          </w:r>
          <w:r>
            <w:rPr>
              <w:rFonts w:ascii="Times New Roman" w:hAnsi="Times New Roman" w:eastAsia="微软雅黑"/>
              <w:sz w:val="28"/>
              <w:lang w:eastAsia="zh-CN"/>
            </w:rPr>
            <w:t>14</w:t>
          </w:r>
          <w:r>
            <w:rPr>
              <w:rFonts w:ascii="Times New Roman" w:hAnsi="Times New Roman" w:eastAsia="微软雅黑"/>
              <w:sz w:val="28"/>
              <w:lang w:eastAsia="zh-CN"/>
            </w:rPr>
            <w:fldChar w:fldCharType="end"/>
          </w:r>
          <w:r>
            <w:rPr>
              <w:rFonts w:ascii="Times New Roman" w:hAnsi="Times New Roman" w:eastAsia="微软雅黑"/>
              <w:sz w:val="28"/>
              <w:lang w:eastAsia="zh-CN"/>
            </w:rPr>
            <w:fldChar w:fldCharType="end"/>
          </w:r>
          <w:r>
            <w:rPr>
              <w:rFonts w:hint="eastAsia" w:ascii="Times New Roman" w:hAnsi="Times New Roman" w:eastAsia="微软雅黑"/>
              <w:sz w:val="24"/>
              <w:szCs w:val="24"/>
              <w:lang w:eastAsia="zh-CN"/>
            </w:rPr>
            <w:t>{% endif %}{% endif %}</w:t>
          </w:r>
        </w:p>
        <w:p w14:paraId="147A0DF3">
          <w:pPr>
            <w:pStyle w:val="11"/>
            <w:tabs>
              <w:tab w:val="right" w:leader="dot" w:pos="9871"/>
            </w:tabs>
            <w:rPr>
              <w:rFonts w:ascii="Times New Roman" w:hAnsi="Times New Roman" w:eastAsia="微软雅黑"/>
              <w:b/>
              <w:color w:val="62B541"/>
              <w:sz w:val="32"/>
              <w:lang w:eastAsia="zh-CN"/>
            </w:rPr>
          </w:pPr>
          <w:r>
            <w:fldChar w:fldCharType="begin"/>
          </w:r>
          <w:r>
            <w:instrText xml:space="preserve"> HYPERLINK \l "_Toc24584" </w:instrText>
          </w:r>
          <w:r>
            <w:fldChar w:fldCharType="separate"/>
          </w:r>
          <w:r>
            <w:rPr>
              <w:rFonts w:hint="eastAsia" w:ascii="Times New Roman" w:hAnsi="Times New Roman" w:eastAsia="微软雅黑"/>
              <w:b/>
              <w:color w:val="62B541"/>
              <w:sz w:val="32"/>
              <w:lang w:eastAsia="zh-CN"/>
            </w:rPr>
            <w:t>附录</w:t>
          </w:r>
          <w:r>
            <w:rPr>
              <w:rFonts w:ascii="Times New Roman" w:hAnsi="Times New Roman" w:eastAsia="微软雅黑"/>
              <w:b/>
              <w:color w:val="62B541"/>
              <w:sz w:val="32"/>
              <w:lang w:eastAsia="zh-CN"/>
            </w:rPr>
            <w:tab/>
          </w: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PAGEREF _Toc24584 \h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lang w:eastAsia="zh-CN"/>
            </w:rPr>
            <w:t>16</w:t>
          </w:r>
          <w:r>
            <w:rPr>
              <w:rFonts w:ascii="Times New Roman" w:hAnsi="Times New Roman" w:eastAsia="微软雅黑"/>
              <w:b/>
              <w:color w:val="62B541"/>
              <w:sz w:val="32"/>
              <w:lang w:eastAsia="zh-CN"/>
            </w:rPr>
            <w:fldChar w:fldCharType="end"/>
          </w:r>
          <w:r>
            <w:rPr>
              <w:rFonts w:ascii="Times New Roman" w:hAnsi="Times New Roman" w:eastAsia="微软雅黑"/>
              <w:b/>
              <w:color w:val="62B541"/>
              <w:sz w:val="32"/>
              <w:lang w:eastAsia="zh-CN"/>
            </w:rPr>
            <w:fldChar w:fldCharType="end"/>
          </w:r>
        </w:p>
        <w:p w14:paraId="666A7FE9">
          <w:pPr>
            <w:pStyle w:val="12"/>
            <w:tabs>
              <w:tab w:val="right" w:leader="dot" w:pos="9870"/>
            </w:tabs>
            <w:ind w:left="440"/>
            <w:rPr>
              <w:rFonts w:ascii="Times New Roman" w:hAnsi="Times New Roman" w:eastAsia="微软雅黑"/>
              <w:sz w:val="28"/>
              <w:lang w:eastAsia="zh-CN"/>
            </w:rPr>
          </w:pPr>
          <w:r>
            <w:fldChar w:fldCharType="begin"/>
          </w:r>
          <w:r>
            <w:instrText xml:space="preserve"> HYPERLINK \l "_Toc7411" </w:instrText>
          </w:r>
          <w:r>
            <w:fldChar w:fldCharType="separate"/>
          </w:r>
          <w:r>
            <w:rPr>
              <w:rFonts w:hint="eastAsia" w:ascii="Times New Roman" w:hAnsi="Times New Roman" w:eastAsia="微软雅黑"/>
              <w:sz w:val="28"/>
              <w:lang w:eastAsia="zh-CN"/>
            </w:rPr>
            <w:t>样本质控情况</w:t>
          </w:r>
          <w:r>
            <w:rPr>
              <w:rFonts w:ascii="Times New Roman" w:hAnsi="Times New Roman" w:eastAsia="微软雅黑"/>
              <w:sz w:val="28"/>
              <w:lang w:eastAsia="zh-CN"/>
            </w:rPr>
            <w:tab/>
          </w: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PAGEREF _Toc7411 \h </w:instrText>
          </w:r>
          <w:r>
            <w:rPr>
              <w:rFonts w:ascii="Times New Roman" w:hAnsi="Times New Roman" w:eastAsia="微软雅黑"/>
              <w:sz w:val="28"/>
              <w:lang w:eastAsia="zh-CN"/>
            </w:rPr>
            <w:fldChar w:fldCharType="separate"/>
          </w:r>
          <w:r>
            <w:rPr>
              <w:rFonts w:ascii="Times New Roman" w:hAnsi="Times New Roman" w:eastAsia="微软雅黑"/>
              <w:sz w:val="28"/>
              <w:lang w:eastAsia="zh-CN"/>
            </w:rPr>
            <w:t>16</w:t>
          </w:r>
          <w:r>
            <w:rPr>
              <w:rFonts w:ascii="Times New Roman" w:hAnsi="Times New Roman" w:eastAsia="微软雅黑"/>
              <w:sz w:val="28"/>
              <w:lang w:eastAsia="zh-CN"/>
            </w:rPr>
            <w:fldChar w:fldCharType="end"/>
          </w:r>
          <w:r>
            <w:rPr>
              <w:rFonts w:ascii="Times New Roman" w:hAnsi="Times New Roman" w:eastAsia="微软雅黑"/>
              <w:sz w:val="28"/>
              <w:lang w:eastAsia="zh-CN"/>
            </w:rPr>
            <w:fldChar w:fldCharType="end"/>
          </w:r>
        </w:p>
        <w:p w14:paraId="3968ED0B">
          <w:pPr>
            <w:pStyle w:val="12"/>
            <w:tabs>
              <w:tab w:val="right" w:leader="dot" w:pos="9870"/>
            </w:tabs>
            <w:ind w:left="440"/>
            <w:rPr>
              <w:rFonts w:ascii="Times New Roman" w:hAnsi="Times New Roman" w:eastAsia="微软雅黑"/>
              <w:sz w:val="28"/>
              <w:lang w:eastAsia="zh-CN"/>
            </w:rPr>
          </w:pPr>
          <w:r>
            <w:fldChar w:fldCharType="begin"/>
          </w:r>
          <w:r>
            <w:instrText xml:space="preserve"> HYPERLINK \l "_Toc14500" </w:instrText>
          </w:r>
          <w:r>
            <w:fldChar w:fldCharType="separate"/>
          </w:r>
          <w:r>
            <w:rPr>
              <w:rFonts w:hint="eastAsia" w:ascii="Times New Roman" w:hAnsi="Times New Roman" w:eastAsia="微软雅黑"/>
              <w:sz w:val="28"/>
              <w:lang w:eastAsia="zh-CN"/>
            </w:rPr>
            <w:t>BRCA1&amp;BRCA2基因背景介绍</w:t>
          </w:r>
          <w:r>
            <w:rPr>
              <w:rFonts w:ascii="Times New Roman" w:hAnsi="Times New Roman" w:eastAsia="微软雅黑"/>
              <w:sz w:val="28"/>
              <w:lang w:eastAsia="zh-CN"/>
            </w:rPr>
            <w:tab/>
          </w: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PAGEREF _Toc14500 \h </w:instrText>
          </w:r>
          <w:r>
            <w:rPr>
              <w:rFonts w:ascii="Times New Roman" w:hAnsi="Times New Roman" w:eastAsia="微软雅黑"/>
              <w:sz w:val="28"/>
              <w:lang w:eastAsia="zh-CN"/>
            </w:rPr>
            <w:fldChar w:fldCharType="separate"/>
          </w:r>
          <w:r>
            <w:rPr>
              <w:rFonts w:ascii="Times New Roman" w:hAnsi="Times New Roman" w:eastAsia="微软雅黑"/>
              <w:sz w:val="28"/>
              <w:lang w:eastAsia="zh-CN"/>
            </w:rPr>
            <w:t>17</w:t>
          </w:r>
          <w:r>
            <w:rPr>
              <w:rFonts w:ascii="Times New Roman" w:hAnsi="Times New Roman" w:eastAsia="微软雅黑"/>
              <w:sz w:val="28"/>
              <w:lang w:eastAsia="zh-CN"/>
            </w:rPr>
            <w:fldChar w:fldCharType="end"/>
          </w:r>
          <w:r>
            <w:rPr>
              <w:rFonts w:ascii="Times New Roman" w:hAnsi="Times New Roman" w:eastAsia="微软雅黑"/>
              <w:sz w:val="28"/>
              <w:lang w:eastAsia="zh-CN"/>
            </w:rPr>
            <w:fldChar w:fldCharType="end"/>
          </w:r>
        </w:p>
        <w:p w14:paraId="43ABD9C7">
          <w:pPr>
            <w:pStyle w:val="12"/>
            <w:tabs>
              <w:tab w:val="right" w:leader="dot" w:pos="9870"/>
            </w:tabs>
            <w:ind w:left="440"/>
            <w:rPr>
              <w:rFonts w:ascii="Times New Roman" w:hAnsi="Times New Roman" w:eastAsia="微软雅黑"/>
              <w:sz w:val="28"/>
              <w:lang w:eastAsia="zh-CN"/>
            </w:rPr>
          </w:pPr>
          <w:r>
            <w:fldChar w:fldCharType="begin"/>
          </w:r>
          <w:r>
            <w:instrText xml:space="preserve"> HYPERLINK \l "_Toc31274" </w:instrText>
          </w:r>
          <w:r>
            <w:fldChar w:fldCharType="separate"/>
          </w:r>
          <w:r>
            <w:rPr>
              <w:rFonts w:hint="eastAsia" w:ascii="Times New Roman" w:hAnsi="Times New Roman" w:eastAsia="微软雅黑"/>
              <w:sz w:val="28"/>
              <w:lang w:eastAsia="zh-CN"/>
            </w:rPr>
            <w:t>易感人群特征</w:t>
          </w:r>
          <w:r>
            <w:rPr>
              <w:rFonts w:ascii="Times New Roman" w:hAnsi="Times New Roman" w:eastAsia="微软雅黑"/>
              <w:sz w:val="28"/>
              <w:lang w:eastAsia="zh-CN"/>
            </w:rPr>
            <w:tab/>
          </w: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PAGEREF _Toc31274 \h </w:instrText>
          </w:r>
          <w:r>
            <w:rPr>
              <w:rFonts w:ascii="Times New Roman" w:hAnsi="Times New Roman" w:eastAsia="微软雅黑"/>
              <w:sz w:val="28"/>
              <w:lang w:eastAsia="zh-CN"/>
            </w:rPr>
            <w:fldChar w:fldCharType="separate"/>
          </w:r>
          <w:r>
            <w:rPr>
              <w:rFonts w:ascii="Times New Roman" w:hAnsi="Times New Roman" w:eastAsia="微软雅黑"/>
              <w:sz w:val="28"/>
              <w:lang w:eastAsia="zh-CN"/>
            </w:rPr>
            <w:t>18</w:t>
          </w:r>
          <w:r>
            <w:rPr>
              <w:rFonts w:ascii="Times New Roman" w:hAnsi="Times New Roman" w:eastAsia="微软雅黑"/>
              <w:sz w:val="28"/>
              <w:lang w:eastAsia="zh-CN"/>
            </w:rPr>
            <w:fldChar w:fldCharType="end"/>
          </w:r>
          <w:r>
            <w:rPr>
              <w:rFonts w:ascii="Times New Roman" w:hAnsi="Times New Roman" w:eastAsia="微软雅黑"/>
              <w:sz w:val="28"/>
              <w:lang w:eastAsia="zh-CN"/>
            </w:rPr>
            <w:fldChar w:fldCharType="end"/>
          </w:r>
        </w:p>
        <w:p w14:paraId="1E9114E7">
          <w:pPr>
            <w:pStyle w:val="12"/>
            <w:tabs>
              <w:tab w:val="right" w:leader="dot" w:pos="9870"/>
            </w:tabs>
            <w:ind w:left="440"/>
            <w:rPr>
              <w:rFonts w:ascii="Times New Roman" w:hAnsi="Times New Roman" w:eastAsia="微软雅黑"/>
              <w:sz w:val="28"/>
              <w:lang w:eastAsia="zh-CN"/>
            </w:rPr>
          </w:pPr>
          <w:r>
            <w:fldChar w:fldCharType="begin"/>
          </w:r>
          <w:r>
            <w:instrText xml:space="preserve"> HYPERLINK \l "_Toc6968" </w:instrText>
          </w:r>
          <w:r>
            <w:fldChar w:fldCharType="separate"/>
          </w:r>
          <w:r>
            <w:rPr>
              <w:rFonts w:hint="eastAsia" w:ascii="Times New Roman" w:hAnsi="Times New Roman" w:eastAsia="微软雅黑"/>
              <w:sz w:val="28"/>
              <w:lang w:eastAsia="zh-CN"/>
            </w:rPr>
            <w:t>检测方法与局限性</w:t>
          </w:r>
          <w:r>
            <w:rPr>
              <w:rFonts w:ascii="Times New Roman" w:hAnsi="Times New Roman" w:eastAsia="微软雅黑"/>
              <w:sz w:val="28"/>
              <w:lang w:eastAsia="zh-CN"/>
            </w:rPr>
            <w:tab/>
          </w: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PAGEREF _Toc6968 \h </w:instrText>
          </w:r>
          <w:r>
            <w:rPr>
              <w:rFonts w:ascii="Times New Roman" w:hAnsi="Times New Roman" w:eastAsia="微软雅黑"/>
              <w:sz w:val="28"/>
              <w:lang w:eastAsia="zh-CN"/>
            </w:rPr>
            <w:fldChar w:fldCharType="separate"/>
          </w:r>
          <w:r>
            <w:rPr>
              <w:rFonts w:ascii="Times New Roman" w:hAnsi="Times New Roman" w:eastAsia="微软雅黑"/>
              <w:sz w:val="28"/>
              <w:lang w:eastAsia="zh-CN"/>
            </w:rPr>
            <w:t>20</w:t>
          </w:r>
          <w:r>
            <w:rPr>
              <w:rFonts w:ascii="Times New Roman" w:hAnsi="Times New Roman" w:eastAsia="微软雅黑"/>
              <w:sz w:val="28"/>
              <w:lang w:eastAsia="zh-CN"/>
            </w:rPr>
            <w:fldChar w:fldCharType="end"/>
          </w:r>
          <w:r>
            <w:rPr>
              <w:rFonts w:ascii="Times New Roman" w:hAnsi="Times New Roman" w:eastAsia="微软雅黑"/>
              <w:sz w:val="28"/>
              <w:lang w:eastAsia="zh-CN"/>
            </w:rPr>
            <w:fldChar w:fldCharType="end"/>
          </w:r>
        </w:p>
        <w:p w14:paraId="20478715">
          <w:pPr>
            <w:pStyle w:val="12"/>
            <w:tabs>
              <w:tab w:val="right" w:leader="dot" w:pos="9870"/>
            </w:tabs>
            <w:ind w:left="440"/>
            <w:rPr>
              <w:rFonts w:ascii="Times New Roman" w:hAnsi="Times New Roman" w:eastAsia="微软雅黑"/>
              <w:sz w:val="28"/>
              <w:lang w:eastAsia="zh-CN"/>
            </w:rPr>
          </w:pPr>
          <w:r>
            <w:fldChar w:fldCharType="begin"/>
          </w:r>
          <w:r>
            <w:instrText xml:space="preserve"> HYPERLINK \l "_Toc32672" </w:instrText>
          </w:r>
          <w:r>
            <w:fldChar w:fldCharType="separate"/>
          </w:r>
          <w:r>
            <w:rPr>
              <w:rFonts w:hint="eastAsia" w:ascii="Times New Roman" w:hAnsi="Times New Roman" w:eastAsia="微软雅黑"/>
              <w:sz w:val="28"/>
              <w:lang w:eastAsia="zh-CN"/>
            </w:rPr>
            <w:t>参考文献</w:t>
          </w:r>
          <w:r>
            <w:rPr>
              <w:rFonts w:ascii="Times New Roman" w:hAnsi="Times New Roman" w:eastAsia="微软雅黑"/>
              <w:sz w:val="28"/>
              <w:lang w:eastAsia="zh-CN"/>
            </w:rPr>
            <w:tab/>
          </w: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PAGEREF _Toc32672 \h </w:instrText>
          </w:r>
          <w:r>
            <w:rPr>
              <w:rFonts w:ascii="Times New Roman" w:hAnsi="Times New Roman" w:eastAsia="微软雅黑"/>
              <w:sz w:val="28"/>
              <w:lang w:eastAsia="zh-CN"/>
            </w:rPr>
            <w:fldChar w:fldCharType="separate"/>
          </w:r>
          <w:r>
            <w:rPr>
              <w:rFonts w:ascii="Times New Roman" w:hAnsi="Times New Roman" w:eastAsia="微软雅黑"/>
              <w:sz w:val="28"/>
              <w:lang w:eastAsia="zh-CN"/>
            </w:rPr>
            <w:t>21</w:t>
          </w:r>
          <w:r>
            <w:rPr>
              <w:rFonts w:ascii="Times New Roman" w:hAnsi="Times New Roman" w:eastAsia="微软雅黑"/>
              <w:sz w:val="28"/>
              <w:lang w:eastAsia="zh-CN"/>
            </w:rPr>
            <w:fldChar w:fldCharType="end"/>
          </w:r>
          <w:r>
            <w:rPr>
              <w:rFonts w:ascii="Times New Roman" w:hAnsi="Times New Roman" w:eastAsia="微软雅黑"/>
              <w:sz w:val="28"/>
              <w:lang w:eastAsia="zh-CN"/>
            </w:rPr>
            <w:fldChar w:fldCharType="end"/>
          </w:r>
        </w:p>
        <w:p w14:paraId="54AC5139">
          <w:pPr>
            <w:pStyle w:val="12"/>
            <w:tabs>
              <w:tab w:val="right" w:leader="dot" w:pos="9860"/>
            </w:tabs>
            <w:spacing w:line="360" w:lineRule="auto"/>
            <w:ind w:left="440"/>
            <w:sectPr>
              <w:headerReference r:id="rId5" w:type="default"/>
              <w:footerReference r:id="rId6" w:type="default"/>
              <w:pgSz w:w="11911" w:h="16838"/>
              <w:pgMar w:top="1037" w:right="1020" w:bottom="981" w:left="1020" w:header="567" w:footer="720" w:gutter="0"/>
              <w:pgNumType w:start="1"/>
              <w:cols w:space="0" w:num="1"/>
              <w:docGrid w:linePitch="299" w:charSpace="0"/>
            </w:sectPr>
          </w:pPr>
          <w:r>
            <w:rPr>
              <w:lang w:eastAsia="zh-CN"/>
            </w:rPr>
            <w:fldChar w:fldCharType="end"/>
          </w:r>
          <w:bookmarkStart w:id="0" w:name="_Toc13806"/>
          <w:bookmarkStart w:id="1" w:name="_Toc30143_WPSOffice_Level1"/>
          <w:bookmarkStart w:id="2" w:name="_Toc24178_WPSOffice_Level1"/>
          <w:bookmarkStart w:id="3" w:name="_Toc21669"/>
          <w:bookmarkStart w:id="4" w:name="_Toc21009_WPSOffice_Level1"/>
        </w:p>
      </w:sdtContent>
    </w:sdt>
    <w:p w14:paraId="4ECE6442">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5" w:name="_Toc262"/>
      <w:bookmarkStart w:id="6" w:name="_Toc15245"/>
      <w:r>
        <w:rPr>
          <w:color w:val="62B541"/>
          <w:sz w:val="32"/>
          <w14:shadow w14:blurRad="50800" w14:dist="38100" w14:dir="10800000" w14:sx="100000" w14:sy="100000" w14:kx="0" w14:ky="0" w14:algn="r">
            <w14:srgbClr w14:val="62B541">
              <w14:alpha w14:val="60000"/>
            </w14:srgbClr>
          </w14:shadow>
        </w:rPr>
        <w:t>样本信息</w:t>
      </w:r>
      <w:bookmarkEnd w:id="0"/>
      <w:bookmarkEnd w:id="1"/>
      <w:bookmarkEnd w:id="2"/>
      <w:bookmarkEnd w:id="3"/>
      <w:bookmarkEnd w:id="4"/>
      <w:bookmarkEnd w:id="5"/>
      <w:bookmarkEnd w:id="6"/>
    </w:p>
    <w:tbl>
      <w:tblPr>
        <w:tblStyle w:val="14"/>
        <w:tblpPr w:leftFromText="180" w:rightFromText="180" w:vertAnchor="text" w:horzAnchor="margin" w:tblpXSpec="center" w:tblpY="1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14:paraId="41ECD0B5">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62BC41" w:sz="24" w:space="0"/>
              <w:tl2br w:val="nil"/>
              <w:tr2bl w:val="nil"/>
            </w:tcBorders>
            <w:shd w:val="clear" w:color="auto" w:fill="auto"/>
            <w:vAlign w:val="center"/>
          </w:tcPr>
          <w:p w14:paraId="1219A2A8">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62BC41" w:sz="24" w:space="0"/>
              <w:tl2br w:val="nil"/>
              <w:tr2bl w:val="nil"/>
            </w:tcBorders>
            <w:shd w:val="clear" w:color="auto" w:fill="auto"/>
            <w:vAlign w:val="center"/>
          </w:tcPr>
          <w:p w14:paraId="6D28D8FF">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62BC41" w:sz="24" w:space="0"/>
              <w:tl2br w:val="nil"/>
              <w:tr2bl w:val="nil"/>
            </w:tcBorders>
            <w:shd w:val="clear" w:color="auto" w:fill="auto"/>
            <w:vAlign w:val="center"/>
          </w:tcPr>
          <w:p w14:paraId="26ED7D49">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14:paraId="355320A8">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7F66924C">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14:paraId="3BDDDC23">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14:paraId="487ED94E">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14:paraId="4108E71B">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2BECD52C">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14:paraId="4CE7B456">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14:paraId="2197DF28">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r>
      <w:tr w14:paraId="1B8A1DEB">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6B3E5F46">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联系电话：</w:t>
            </w:r>
            <w:r>
              <w:rPr>
                <w:rFonts w:hint="eastAsia" w:ascii="Times New Roman" w:hAnsi="Times New Roman" w:eastAsia="微软雅黑" w:cs="Times New Roman"/>
                <w:bCs/>
                <w:color w:val="000000"/>
                <w:sz w:val="21"/>
                <w:szCs w:val="21"/>
                <w:lang w:eastAsia="zh-CN"/>
              </w:rPr>
              <w:t>{{ patient_phone }}</w:t>
            </w:r>
          </w:p>
        </w:tc>
        <w:tc>
          <w:tcPr>
            <w:tcW w:w="3323" w:type="dxa"/>
            <w:tcBorders>
              <w:tl2br w:val="nil"/>
              <w:tr2bl w:val="nil"/>
            </w:tcBorders>
            <w:shd w:val="clear" w:color="auto" w:fill="auto"/>
            <w:vAlign w:val="center"/>
          </w:tcPr>
          <w:p w14:paraId="6B972932">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c>
          <w:tcPr>
            <w:tcW w:w="3316" w:type="dxa"/>
            <w:tcBorders>
              <w:tl2br w:val="nil"/>
              <w:tr2bl w:val="nil"/>
            </w:tcBorders>
            <w:shd w:val="clear" w:color="auto" w:fill="auto"/>
            <w:vAlign w:val="center"/>
          </w:tcPr>
          <w:p w14:paraId="0321CADF">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r w14:paraId="53F0DD40">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7C4A5E28">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tl2br w:val="nil"/>
              <w:tr2bl w:val="nil"/>
            </w:tcBorders>
            <w:shd w:val="clear" w:color="auto" w:fill="auto"/>
            <w:vAlign w:val="center"/>
          </w:tcPr>
          <w:p w14:paraId="06D54D91">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订单编号：</w:t>
            </w:r>
            <w:r>
              <w:rPr>
                <w:rFonts w:ascii="Times New Roman" w:hAnsi="Times New Roman" w:eastAsia="微软雅黑" w:cs="Times New Roman"/>
                <w:bCs/>
                <w:color w:val="000000"/>
                <w:sz w:val="21"/>
                <w:szCs w:val="21"/>
                <w:lang w:eastAsia="zh-CN"/>
              </w:rPr>
              <w:t>-</w:t>
            </w:r>
          </w:p>
        </w:tc>
        <w:tc>
          <w:tcPr>
            <w:tcW w:w="3316" w:type="dxa"/>
            <w:tcBorders>
              <w:tl2br w:val="nil"/>
              <w:tr2bl w:val="nil"/>
            </w:tcBorders>
            <w:shd w:val="clear" w:color="auto" w:fill="auto"/>
            <w:vAlign w:val="center"/>
          </w:tcPr>
          <w:p w14:paraId="2644BCF2">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bl>
    <w:p w14:paraId="3A4484B8">
      <w:pPr>
        <w:rPr>
          <w:rFonts w:ascii="Times New Roman" w:hAnsi="Times New Roman" w:eastAsia="微软雅黑" w:cs="Times New Roman"/>
          <w:b/>
          <w:color w:val="00B050"/>
          <w:sz w:val="28"/>
          <w:szCs w:val="28"/>
          <w:lang w:eastAsia="zh-CN"/>
        </w:rPr>
      </w:pPr>
    </w:p>
    <w:p w14:paraId="39825FF7">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7" w:name="_Toc7021_WPSOffice_Level1"/>
      <w:bookmarkStart w:id="8" w:name="_Toc11015_WPSOffice_Level1"/>
      <w:bookmarkStart w:id="9" w:name="_Toc30875"/>
      <w:bookmarkStart w:id="10" w:name="_Toc26912"/>
      <w:bookmarkStart w:id="11" w:name="_Toc18062_WPSOffice_Level1"/>
      <w:bookmarkStart w:id="12" w:name="_Toc17451"/>
      <w:bookmarkStart w:id="13" w:name="_Toc3823"/>
      <w:r>
        <w:rPr>
          <w:color w:val="62B541"/>
          <w:sz w:val="32"/>
          <w14:shadow w14:blurRad="50800" w14:dist="38100" w14:dir="10800000" w14:sx="100000" w14:sy="100000" w14:kx="0" w14:ky="0" w14:algn="r">
            <w14:srgbClr w14:val="62B541">
              <w14:alpha w14:val="60000"/>
            </w14:srgbClr>
          </w14:shadow>
        </w:rPr>
        <w:t>检测项目</w:t>
      </w:r>
      <w:bookmarkEnd w:id="7"/>
      <w:bookmarkEnd w:id="8"/>
      <w:bookmarkEnd w:id="9"/>
      <w:bookmarkEnd w:id="10"/>
      <w:bookmarkEnd w:id="11"/>
      <w:bookmarkEnd w:id="12"/>
    </w:p>
    <w:p w14:paraId="0C86B2B2">
      <w:pPr>
        <w:spacing w:line="276" w:lineRule="auto"/>
        <w:ind w:firstLine="420" w:firstLineChars="200"/>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本产品对</w:t>
      </w:r>
      <w:r>
        <w:rPr>
          <w:rFonts w:ascii="Times New Roman" w:hAnsi="Times New Roman" w:eastAsia="微软雅黑" w:cs="Times New Roman"/>
          <w:bCs/>
          <w:sz w:val="21"/>
          <w:szCs w:val="21"/>
          <w:lang w:eastAsia="zh-CN"/>
        </w:rPr>
        <w:t>BRCA1/2基因全外显子±20 bp内含子区域进行高通量测序，检测BRCA1/2基因的靶向用药信息和遗传风险，适用于乳腺癌、卵巢癌、宫颈癌、子宫内膜癌、前列腺癌及胰腺癌等癌种。检测突变形式为点突变（SNV）、小片段插入缺失（INDEL）、拷贝数变异</w:t>
      </w:r>
      <w:r>
        <w:rPr>
          <w:rFonts w:hint="eastAsia" w:ascii="Times New Roman" w:hAnsi="Times New Roman" w:eastAsia="微软雅黑" w:cs="Times New Roman"/>
          <w:bCs/>
          <w:sz w:val="21"/>
          <w:szCs w:val="21"/>
          <w:lang w:eastAsia="zh-CN"/>
        </w:rPr>
        <w:t>（CNV）</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14:paraId="21B0833A">
      <w:pPr>
        <w:spacing w:line="276" w:lineRule="auto"/>
        <w:ind w:firstLine="420" w:firstLineChars="200"/>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本报告分析基因变异与靶向药物及遗传风险的相关性，给出靶向药物（</w:t>
      </w:r>
      <w:r>
        <w:rPr>
          <w:rFonts w:ascii="Times New Roman" w:hAnsi="Times New Roman" w:eastAsia="微软雅黑" w:cs="Times New Roman"/>
          <w:bCs/>
          <w:sz w:val="21"/>
          <w:szCs w:val="21"/>
          <w:lang w:eastAsia="zh-CN"/>
        </w:rPr>
        <w:t>FDA/NMPA批准药物、临床试验药物等）用药提示信息，从而为临床制定治疗方案提供参考信息。</w:t>
      </w:r>
    </w:p>
    <w:p w14:paraId="59310C6D">
      <w:pPr>
        <w:ind w:firstLine="420" w:firstLineChars="200"/>
        <w:rPr>
          <w:rFonts w:ascii="Times New Roman" w:hAnsi="Times New Roman" w:eastAsia="微软雅黑" w:cs="Times New Roman"/>
          <w:bCs/>
          <w:sz w:val="21"/>
          <w:szCs w:val="21"/>
          <w:lang w:eastAsia="zh-CN"/>
        </w:rPr>
      </w:pPr>
    </w:p>
    <w:p w14:paraId="31273B23">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14" w:name="_Toc18058"/>
      <w:bookmarkStart w:id="15" w:name="_Toc25920"/>
      <w:bookmarkStart w:id="16" w:name="_Toc23369_WPSOffice_Level1"/>
      <w:bookmarkStart w:id="17" w:name="_Toc6221_WPSOffice_Level1"/>
      <w:bookmarkStart w:id="18" w:name="_Toc9759"/>
      <w:bookmarkStart w:id="19" w:name="_Toc22290"/>
      <w:bookmarkStart w:id="20" w:name="_Toc534807930"/>
      <w:r>
        <w:rPr>
          <w:rFonts w:hint="eastAsia"/>
          <w:color w:val="62B541"/>
          <w:sz w:val="32"/>
          <w14:shadow w14:blurRad="50800" w14:dist="38100" w14:dir="10800000" w14:sx="100000" w14:sy="100000" w14:kx="0" w14:ky="0" w14:algn="r">
            <w14:srgbClr w14:val="62B541">
              <w14:alpha w14:val="60000"/>
            </w14:srgbClr>
          </w14:shadow>
        </w:rPr>
        <w:t>检测结果</w:t>
      </w:r>
      <w:bookmarkEnd w:id="14"/>
      <w:bookmarkEnd w:id="15"/>
      <w:bookmarkEnd w:id="16"/>
      <w:bookmarkEnd w:id="17"/>
      <w:r>
        <w:rPr>
          <w:rFonts w:hint="eastAsia"/>
          <w:color w:val="62B541"/>
          <w:sz w:val="32"/>
          <w14:shadow w14:blurRad="50800" w14:dist="38100" w14:dir="10800000" w14:sx="100000" w14:sy="100000" w14:kx="0" w14:ky="0" w14:algn="r">
            <w14:srgbClr w14:val="62B541">
              <w14:alpha w14:val="60000"/>
            </w14:srgbClr>
          </w14:shadow>
        </w:rPr>
        <w:t>总览</w:t>
      </w:r>
      <w:bookmarkEnd w:id="18"/>
      <w:bookmarkEnd w:id="19"/>
    </w:p>
    <w:p w14:paraId="5B9D2DDB">
      <w:pPr>
        <w:pStyle w:val="3"/>
        <w:keepNext w:val="0"/>
        <w:keepLines w:val="0"/>
        <w:pageBreakBefore w:val="0"/>
        <w:widowControl w:val="0"/>
        <w:numPr>
          <w:ilvl w:val="255"/>
          <w:numId w:val="0"/>
        </w:numPr>
        <w:kinsoku/>
        <w:wordWrap/>
        <w:overflowPunct/>
        <w:topLinePunct w:val="0"/>
        <w:autoSpaceDE/>
        <w:autoSpaceDN/>
        <w:bidi w:val="0"/>
        <w:adjustRightInd/>
        <w:snapToGrid/>
        <w:spacing w:afterAutospacing="0"/>
        <w:jc w:val="left"/>
        <w:textAlignment w:val="auto"/>
        <w:rPr>
          <w:lang w:eastAsia="zh-CN"/>
        </w:rPr>
      </w:pPr>
      <w:bookmarkStart w:id="21" w:name="_Toc149837254"/>
      <w:bookmarkStart w:id="22" w:name="_Toc30830"/>
      <w:bookmarkStart w:id="23" w:name="_Toc31543"/>
      <w:r>
        <w:rPr>
          <w:rFonts w:hint="eastAsia"/>
          <w:color w:val="auto"/>
          <w:sz w:val="30"/>
          <w:lang w:eastAsia="zh-CN"/>
        </w:rPr>
        <w:t>检测结果小结</w:t>
      </w:r>
      <w:bookmarkEnd w:id="21"/>
      <w:bookmarkEnd w:id="22"/>
      <w:bookmarkEnd w:id="23"/>
    </w:p>
    <w:tbl>
      <w:tblPr>
        <w:tblStyle w:val="14"/>
        <w:tblpPr w:leftFromText="181" w:rightFromText="181" w:vertAnchor="text" w:horzAnchor="page" w:tblpXSpec="center" w:tblpY="114"/>
        <w:tblOverlap w:val="never"/>
        <w:tblW w:w="9841" w:type="dxa"/>
        <w:jc w:val="center"/>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Layout w:type="fixed"/>
        <w:tblCellMar>
          <w:top w:w="0" w:type="dxa"/>
          <w:left w:w="0" w:type="dxa"/>
          <w:bottom w:w="0" w:type="dxa"/>
          <w:right w:w="0" w:type="dxa"/>
        </w:tblCellMar>
      </w:tblPr>
      <w:tblGrid>
        <w:gridCol w:w="3928"/>
        <w:gridCol w:w="5913"/>
      </w:tblGrid>
      <w:tr w14:paraId="190CB1A8">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88" w:hRule="atLeast"/>
          <w:jc w:val="center"/>
        </w:trPr>
        <w:tc>
          <w:tcPr>
            <w:tcW w:w="3928" w:type="dxa"/>
            <w:tcBorders>
              <w:top w:val="nil"/>
              <w:left w:val="nil"/>
              <w:bottom w:val="nil"/>
              <w:right w:val="single" w:color="FFFFFF" w:sz="18" w:space="0"/>
            </w:tcBorders>
            <w:shd w:val="clear" w:color="auto" w:fill="62B541"/>
            <w:vAlign w:val="center"/>
          </w:tcPr>
          <w:p w14:paraId="4373151F">
            <w:pPr>
              <w:jc w:val="center"/>
              <w:rPr>
                <w:rFonts w:ascii="Times New Roman" w:hAnsi="Times New Roman" w:eastAsia="微软雅黑" w:cs="Times New Roman"/>
                <w:b/>
                <w:sz w:val="24"/>
                <w:szCs w:val="24"/>
              </w:rPr>
            </w:pPr>
            <w:r>
              <w:rPr>
                <w:rFonts w:ascii="Times New Roman" w:hAnsi="Times New Roman" w:eastAsia="微软雅黑" w:cs="Times New Roman"/>
                <w:b/>
                <w:bCs/>
                <w:color w:val="FFFFFF" w:themeColor="background1"/>
                <w:sz w:val="24"/>
                <w:szCs w:val="24"/>
                <w:lang w:eastAsia="zh-CN"/>
                <w14:textFill>
                  <w14:solidFill>
                    <w14:schemeClr w14:val="bg1"/>
                  </w14:solidFill>
                </w14:textFill>
              </w:rPr>
              <w:br w:type="page"/>
            </w:r>
            <w:r>
              <w:rPr>
                <w:rFonts w:ascii="Times New Roman" w:hAnsi="Times New Roman" w:eastAsia="微软雅黑" w:cs="Times New Roman"/>
                <w:b/>
                <w:color w:val="FFFFFF" w:themeColor="background1"/>
                <w:sz w:val="24"/>
                <w:szCs w:val="24"/>
                <w14:textFill>
                  <w14:solidFill>
                    <w14:schemeClr w14:val="bg1"/>
                  </w14:solidFill>
                </w14:textFill>
              </w:rPr>
              <w:t>检测类型</w:t>
            </w:r>
          </w:p>
        </w:tc>
        <w:tc>
          <w:tcPr>
            <w:tcW w:w="5913" w:type="dxa"/>
            <w:tcBorders>
              <w:top w:val="nil"/>
              <w:left w:val="single" w:color="FFFFFF" w:sz="18" w:space="0"/>
              <w:bottom w:val="nil"/>
              <w:right w:val="nil"/>
            </w:tcBorders>
            <w:shd w:val="clear" w:color="auto" w:fill="62B541"/>
            <w:vAlign w:val="center"/>
          </w:tcPr>
          <w:p w14:paraId="0D707B17">
            <w:pPr>
              <w:jc w:val="center"/>
              <w:rPr>
                <w:rFonts w:ascii="Times New Roman" w:hAnsi="Times New Roman" w:eastAsia="微软雅黑" w:cs="Times New Roman"/>
                <w:b/>
                <w:sz w:val="24"/>
                <w:szCs w:val="24"/>
              </w:rPr>
            </w:pPr>
            <w:r>
              <w:rPr>
                <w:rFonts w:ascii="Times New Roman" w:hAnsi="Times New Roman" w:eastAsia="微软雅黑" w:cs="Times New Roman"/>
                <w:b/>
                <w:color w:val="FFFFFF" w:themeColor="background1"/>
                <w:sz w:val="24"/>
                <w:szCs w:val="24"/>
                <w14:textFill>
                  <w14:solidFill>
                    <w14:schemeClr w14:val="bg1"/>
                  </w14:solidFill>
                </w14:textFill>
              </w:rPr>
              <w:t>检测结果</w:t>
            </w:r>
          </w:p>
        </w:tc>
      </w:tr>
      <w:tr w14:paraId="64DBEC41">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397" w:hRule="atLeast"/>
          <w:jc w:val="center"/>
        </w:trPr>
        <w:tc>
          <w:tcPr>
            <w:tcW w:w="3928" w:type="dxa"/>
            <w:tcBorders>
              <w:top w:val="nil"/>
              <w:left w:val="nil"/>
              <w:bottom w:val="single" w:color="A4A4A4" w:sz="4" w:space="0"/>
              <w:right w:val="single" w:color="A4A4A4" w:sz="4" w:space="0"/>
            </w:tcBorders>
            <w:shd w:val="clear" w:color="auto" w:fill="auto"/>
            <w:vAlign w:val="center"/>
          </w:tcPr>
          <w:p w14:paraId="7E8EA80A">
            <w:pPr>
              <w:pStyle w:val="20"/>
              <w:ind w:left="119"/>
              <w:rPr>
                <w:rFonts w:ascii="Times New Roman" w:hAnsi="Times New Roman" w:eastAsia="微软雅黑" w:cs="Times New Roman"/>
                <w:b/>
                <w:bCs/>
                <w:sz w:val="21"/>
              </w:rPr>
            </w:pPr>
            <w:r>
              <w:rPr>
                <w:rFonts w:ascii="Times New Roman" w:hAnsi="Times New Roman" w:eastAsia="微软雅黑" w:cs="Times New Roman"/>
                <w:b/>
                <w:bCs/>
                <w:sz w:val="21"/>
                <w:szCs w:val="21"/>
              </w:rPr>
              <w:t>靶向用药指导</w:t>
            </w:r>
          </w:p>
        </w:tc>
        <w:tc>
          <w:tcPr>
            <w:tcW w:w="5913" w:type="dxa"/>
            <w:tcBorders>
              <w:top w:val="nil"/>
              <w:left w:val="single" w:color="A4A4A4" w:sz="4" w:space="0"/>
              <w:bottom w:val="single" w:color="A4A4A4" w:sz="4" w:space="0"/>
              <w:right w:val="nil"/>
            </w:tcBorders>
            <w:shd w:val="clear" w:color="auto" w:fill="auto"/>
            <w:vAlign w:val="center"/>
          </w:tcPr>
          <w:p w14:paraId="3B71C32D">
            <w:pPr>
              <w:pStyle w:val="20"/>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个体细胞突变，其中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bodyDrugStr</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rPr>
              <w:t>；</w:t>
            </w:r>
          </w:p>
          <w:p w14:paraId="5AF7740E">
            <w:pPr>
              <w:pStyle w:val="20"/>
              <w:spacing w:before="100" w:line="187" w:lineRule="auto"/>
              <w:ind w:left="119" w:right="119"/>
              <w:rPr>
                <w:rFonts w:ascii="Times New Roman" w:hAnsi="Times New Roman" w:eastAsia="微软雅黑" w:cs="Times New Roman"/>
                <w:sz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{{summaryOfRresults.crDrugList}}</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embryonalDrugStr</w:t>
            </w:r>
            <w:r>
              <w:rPr>
                <w:rFonts w:hint="eastAsia" w:ascii="Times New Roman" w:hAnsi="Times New Roman" w:eastAsia="微软雅黑" w:cs="Times New Roman"/>
                <w:sz w:val="21"/>
                <w:szCs w:val="21"/>
                <w:lang w:eastAsia="zh-CN" w:bidi="ar"/>
              </w:rPr>
              <w:t>}}</w:t>
            </w:r>
          </w:p>
        </w:tc>
      </w:tr>
      <w:tr w14:paraId="09D7C5B9">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397" w:hRule="atLeast"/>
          <w:jc w:val="center"/>
        </w:trPr>
        <w:tc>
          <w:tcPr>
            <w:tcW w:w="3928" w:type="dxa"/>
            <w:tcBorders>
              <w:top w:val="single" w:color="A4A4A4" w:sz="4" w:space="0"/>
              <w:left w:val="nil"/>
              <w:bottom w:val="single" w:color="A4A4A4" w:sz="4" w:space="0"/>
              <w:right w:val="single" w:color="A4A4A4" w:sz="4" w:space="0"/>
            </w:tcBorders>
            <w:shd w:val="clear" w:color="auto" w:fill="auto"/>
            <w:vAlign w:val="center"/>
          </w:tcPr>
          <w:p w14:paraId="1E832F4A">
            <w:pPr>
              <w:pStyle w:val="20"/>
              <w:ind w:left="119"/>
              <w:rPr>
                <w:rFonts w:ascii="Times New Roman" w:hAnsi="Times New Roman" w:eastAsia="微软雅黑" w:cs="Times New Roman"/>
                <w:b/>
                <w:bCs/>
                <w:sz w:val="21"/>
              </w:rPr>
            </w:pPr>
            <w:r>
              <w:rPr>
                <w:rFonts w:ascii="Times New Roman" w:hAnsi="Times New Roman" w:eastAsia="微软雅黑" w:cs="Times New Roman"/>
                <w:b/>
                <w:bCs/>
                <w:sz w:val="21"/>
                <w:szCs w:val="21"/>
              </w:rPr>
              <w:t>肿瘤遗传风险检测</w:t>
            </w:r>
          </w:p>
        </w:tc>
        <w:tc>
          <w:tcPr>
            <w:tcW w:w="5913" w:type="dxa"/>
            <w:tcBorders>
              <w:top w:val="single" w:color="A4A4A4" w:sz="4" w:space="0"/>
              <w:left w:val="single" w:color="A4A4A4" w:sz="4" w:space="0"/>
              <w:bottom w:val="single" w:color="A4A4A4" w:sz="4" w:space="0"/>
              <w:right w:val="nil"/>
            </w:tcBorders>
            <w:shd w:val="clear" w:color="auto" w:fill="auto"/>
          </w:tcPr>
          <w:p w14:paraId="139B65C4">
            <w:pPr>
              <w:pStyle w:val="20"/>
              <w:spacing w:before="77"/>
              <w:ind w:left="119" w:right="119"/>
              <w:rPr>
                <w:rFonts w:ascii="Times New Roman" w:hAnsi="Times New Roman" w:eastAsia="微软雅黑" w:cs="Times New Roman"/>
                <w:sz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{{summaryOfRresults.hasPathogenicityCount}}</w:t>
            </w:r>
            <w:r>
              <w:rPr>
                <w:rFonts w:ascii="Times New Roman" w:hAnsi="Times New Roman" w:eastAsia="微软雅黑" w:cs="Times New Roman"/>
                <w:sz w:val="21"/>
                <w:szCs w:val="21"/>
                <w:lang w:eastAsia="zh-CN"/>
              </w:rPr>
              <w:t>个为致病</w:t>
            </w:r>
            <w:r>
              <w:rPr>
                <w:rFonts w:hint="eastAsia" w:ascii="Times New Roman" w:hAnsi="Times New Roman" w:eastAsia="微软雅黑" w:cs="Times New Roman"/>
                <w:sz w:val="21"/>
                <w:szCs w:val="21"/>
                <w:lang w:eastAsia="zh-CN"/>
              </w:rPr>
              <w:t>/可能</w:t>
            </w:r>
            <w:r>
              <w:rPr>
                <w:rFonts w:ascii="Times New Roman" w:hAnsi="Times New Roman" w:eastAsia="微软雅黑" w:cs="Times New Roman"/>
                <w:sz w:val="21"/>
                <w:szCs w:val="21"/>
                <w:lang w:eastAsia="zh-CN"/>
              </w:rPr>
              <w:t>致病</w:t>
            </w:r>
            <w:r>
              <w:rPr>
                <w:rFonts w:hint="eastAsia" w:ascii="Times New Roman" w:hAnsi="Times New Roman" w:eastAsia="微软雅黑" w:cs="Times New Roman"/>
                <w:sz w:val="21"/>
                <w:szCs w:val="21"/>
                <w:lang w:eastAsia="zh-CN"/>
              </w:rPr>
              <w:t>性</w:t>
            </w:r>
            <w:r>
              <w:rPr>
                <w:rFonts w:ascii="Times New Roman" w:hAnsi="Times New Roman" w:eastAsia="微软雅黑" w:cs="Times New Roman"/>
                <w:sz w:val="21"/>
                <w:szCs w:val="21"/>
                <w:lang w:eastAsia="zh-CN"/>
              </w:rPr>
              <w:t>突变</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crCheckDrugStr</w:t>
            </w:r>
            <w:r>
              <w:rPr>
                <w:rFonts w:hint="eastAsia" w:ascii="Times New Roman" w:hAnsi="Times New Roman" w:eastAsia="微软雅黑" w:cs="Times New Roman"/>
                <w:sz w:val="21"/>
                <w:szCs w:val="21"/>
                <w:lang w:eastAsia="zh-CN" w:bidi="ar"/>
              </w:rPr>
              <w:t>}}</w:t>
            </w:r>
          </w:p>
        </w:tc>
      </w:tr>
      <w:tr w14:paraId="20358FCC">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397" w:hRule="atLeast"/>
          <w:jc w:val="center"/>
        </w:trPr>
        <w:tc>
          <w:tcPr>
            <w:tcW w:w="9841" w:type="dxa"/>
            <w:gridSpan w:val="2"/>
            <w:tcBorders>
              <w:top w:val="single" w:color="A4A4A4" w:sz="4" w:space="0"/>
              <w:left w:val="nil"/>
              <w:bottom w:val="single" w:color="A4A4A4" w:sz="4" w:space="0"/>
              <w:right w:val="nil"/>
            </w:tcBorders>
            <w:shd w:val="clear" w:color="auto" w:fill="auto"/>
            <w:vAlign w:val="center"/>
          </w:tcPr>
          <w:p w14:paraId="0FE730E0">
            <w:pPr>
              <w:pStyle w:val="20"/>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PDInfo != undefined %}</w:t>
            </w:r>
          </w:p>
        </w:tc>
      </w:tr>
      <w:tr w14:paraId="4D403DB4">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397" w:hRule="atLeast"/>
          <w:jc w:val="center"/>
        </w:trPr>
        <w:tc>
          <w:tcPr>
            <w:tcW w:w="3928" w:type="dxa"/>
            <w:tcBorders>
              <w:top w:val="single" w:color="A4A4A4" w:sz="4" w:space="0"/>
              <w:left w:val="nil"/>
              <w:bottom w:val="single" w:color="A4A4A4" w:sz="4" w:space="0"/>
              <w:right w:val="single" w:color="A4A4A4" w:sz="4" w:space="0"/>
            </w:tcBorders>
            <w:shd w:val="clear" w:color="auto" w:fill="auto"/>
            <w:vAlign w:val="center"/>
          </w:tcPr>
          <w:p w14:paraId="25DD3780">
            <w:pPr>
              <w:pStyle w:val="20"/>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rPr>
              <w:t>PD-L1蛋白表达水平</w:t>
            </w:r>
            <w:r>
              <w:rPr>
                <w:rFonts w:ascii="Times New Roman" w:hAnsi="Times New Roman" w:eastAsia="微软雅黑" w:cs="Times New Roman"/>
                <w:b/>
                <w:bCs/>
                <w:sz w:val="21"/>
                <w:szCs w:val="21"/>
              </w:rPr>
              <w:tab/>
            </w:r>
          </w:p>
        </w:tc>
        <w:tc>
          <w:tcPr>
            <w:tcW w:w="5913" w:type="dxa"/>
            <w:tcBorders>
              <w:top w:val="single" w:color="A4A4A4" w:sz="4" w:space="0"/>
              <w:left w:val="single" w:color="A4A4A4" w:sz="4" w:space="0"/>
              <w:bottom w:val="single" w:color="A4A4A4" w:sz="4" w:space="0"/>
              <w:right w:val="nil"/>
            </w:tcBorders>
            <w:shd w:val="clear" w:color="auto" w:fill="auto"/>
            <w:vAlign w:val="center"/>
          </w:tcPr>
          <w:p w14:paraId="29905670">
            <w:pPr>
              <w:pStyle w:val="20"/>
              <w:ind w:left="119" w:right="119"/>
              <w:jc w:val="both"/>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使用{{</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Detect_antibody</w:t>
            </w:r>
            <w:r>
              <w:rPr>
                <w:rFonts w:hint="eastAsia" w:ascii="Times New Roman" w:hAnsi="Times New Roman" w:eastAsia="微软雅黑" w:cs="Times New Roman"/>
                <w:sz w:val="21"/>
                <w:szCs w:val="21"/>
                <w:lang w:eastAsia="zh-CN"/>
              </w:rPr>
              <w:t xml:space="preserve"> }}抗体；T</w:t>
            </w:r>
            <w:r>
              <w:rPr>
                <w:rFonts w:ascii="Times New Roman" w:hAnsi="Times New Roman" w:eastAsia="微软雅黑" w:cs="Times New Roman"/>
                <w:sz w:val="21"/>
                <w:szCs w:val="21"/>
                <w:lang w:eastAsia="zh-CN"/>
              </w:rPr>
              <w:t>PS</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r>
      <w:tr w14:paraId="2E858126">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397" w:hRule="atLeast"/>
          <w:jc w:val="center"/>
        </w:trPr>
        <w:tc>
          <w:tcPr>
            <w:tcW w:w="9841" w:type="dxa"/>
            <w:gridSpan w:val="2"/>
            <w:tcBorders>
              <w:top w:val="single" w:color="A4A4A4" w:sz="4" w:space="0"/>
              <w:left w:val="nil"/>
              <w:bottom w:val="single" w:color="A4A4A4" w:sz="4" w:space="0"/>
              <w:right w:val="nil"/>
            </w:tcBorders>
            <w:shd w:val="clear" w:color="auto" w:fill="auto"/>
            <w:vAlign w:val="center"/>
          </w:tcPr>
          <w:p w14:paraId="3D987FB3">
            <w:pPr>
              <w:pStyle w:val="20"/>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endif %}</w:t>
            </w:r>
          </w:p>
        </w:tc>
      </w:tr>
      <w:tr w14:paraId="7283C5E7">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397" w:hRule="atLeast"/>
          <w:jc w:val="center"/>
        </w:trPr>
        <w:tc>
          <w:tcPr>
            <w:tcW w:w="3928" w:type="dxa"/>
            <w:tcBorders>
              <w:top w:val="single" w:color="A4A4A4" w:sz="4" w:space="0"/>
              <w:left w:val="nil"/>
              <w:bottom w:val="single" w:color="A4A4A4" w:sz="4" w:space="0"/>
              <w:right w:val="single" w:color="A4A4A4" w:sz="4" w:space="0"/>
            </w:tcBorders>
            <w:shd w:val="clear" w:color="auto" w:fill="auto"/>
            <w:vAlign w:val="center"/>
          </w:tcPr>
          <w:p w14:paraId="5AEB4B43">
            <w:pPr>
              <w:pStyle w:val="20"/>
              <w:spacing w:before="77"/>
              <w:ind w:left="119"/>
              <w:jc w:val="both"/>
              <w:rPr>
                <w:rFonts w:ascii="Times New Roman" w:hAnsi="Times New Roman" w:eastAsia="微软雅黑" w:cs="Times New Roman"/>
                <w:b/>
                <w:bCs/>
                <w:sz w:val="21"/>
              </w:rPr>
            </w:pPr>
            <w:r>
              <w:rPr>
                <w:rFonts w:ascii="Times New Roman" w:hAnsi="Times New Roman" w:eastAsia="微软雅黑" w:cs="Times New Roman"/>
                <w:b/>
                <w:bCs/>
                <w:sz w:val="21"/>
              </w:rPr>
              <w:t>样品总体质量评估</w:t>
            </w:r>
          </w:p>
        </w:tc>
        <w:tc>
          <w:tcPr>
            <w:tcW w:w="5913" w:type="dxa"/>
            <w:tcBorders>
              <w:top w:val="single" w:color="A4A4A4" w:sz="4" w:space="0"/>
              <w:left w:val="single" w:color="A4A4A4" w:sz="4" w:space="0"/>
              <w:bottom w:val="single" w:color="A4A4A4" w:sz="4" w:space="0"/>
              <w:right w:val="nil"/>
            </w:tcBorders>
            <w:shd w:val="clear" w:color="auto" w:fill="auto"/>
            <w:vAlign w:val="center"/>
          </w:tcPr>
          <w:p w14:paraId="7A33D4E7">
            <w:pPr>
              <w:pStyle w:val="20"/>
              <w:ind w:left="119"/>
              <w:jc w:val="both"/>
              <w:rPr>
                <w:rFonts w:ascii="Times New Roman" w:hAnsi="Times New Roman" w:eastAsia="微软雅黑" w:cs="Times New Roman"/>
                <w:sz w:val="21"/>
              </w:rPr>
            </w:pPr>
            <w:r>
              <w:rPr>
                <w:rFonts w:ascii="Times New Roman" w:hAnsi="Times New Roman" w:eastAsia="微软雅黑" w:cs="黑体"/>
                <w:sz w:val="21"/>
                <w:lang w:eastAsia="zh-CN"/>
              </w:rPr>
              <w:t>{{ overall_quality_assessment }}</w:t>
            </w:r>
          </w:p>
        </w:tc>
      </w:tr>
    </w:tbl>
    <w:p w14:paraId="4DCAEEBB">
      <w:pPr>
        <w:keepNext w:val="0"/>
        <w:keepLines w:val="0"/>
        <w:pageBreakBefore w:val="0"/>
        <w:widowControl w:val="0"/>
        <w:kinsoku/>
        <w:wordWrap/>
        <w:overflowPunct/>
        <w:topLinePunct w:val="0"/>
        <w:autoSpaceDE/>
        <w:autoSpaceDN/>
        <w:bidi w:val="0"/>
        <w:adjustRightInd/>
        <w:snapToGrid/>
        <w:spacing w:line="216" w:lineRule="auto"/>
        <w:textAlignment w:val="auto"/>
        <w:rPr>
          <w:rFonts w:ascii="Times New Roman" w:hAnsi="Times New Roman" w:eastAsia="微软雅黑" w:cs="Times New Roman"/>
          <w:b/>
          <w:bCs/>
          <w:sz w:val="18"/>
          <w:szCs w:val="18"/>
        </w:rPr>
      </w:pPr>
      <w:r>
        <w:rPr>
          <w:rFonts w:hint="eastAsia" w:ascii="微软雅黑" w:hAnsi="微软雅黑" w:eastAsia="微软雅黑" w:cs="微软雅黑"/>
          <w:b/>
          <w:bCs/>
          <w:sz w:val="18"/>
          <w:szCs w:val="18"/>
          <w:lang w:eastAsia="zh-CN" w:bidi="ar"/>
        </w:rPr>
        <w:t>注</w:t>
      </w:r>
      <w:r>
        <w:rPr>
          <w:rFonts w:ascii="微软雅黑" w:hAnsi="微软雅黑" w:eastAsia="微软雅黑" w:cs="微软雅黑"/>
          <w:b/>
          <w:bCs/>
          <w:sz w:val="18"/>
          <w:szCs w:val="18"/>
          <w:lang w:eastAsia="zh-CN" w:bidi="ar"/>
        </w:rPr>
        <w:t>：</w:t>
      </w:r>
    </w:p>
    <w:p w14:paraId="5B4BF472">
      <w:pPr>
        <w:keepNext w:val="0"/>
        <w:keepLines w:val="0"/>
        <w:pageBreakBefore w:val="0"/>
        <w:widowControl w:val="0"/>
        <w:numPr>
          <w:ilvl w:val="0"/>
          <w:numId w:val="6"/>
        </w:numPr>
        <w:kinsoku/>
        <w:wordWrap/>
        <w:overflowPunct/>
        <w:topLinePunct w:val="0"/>
        <w:autoSpaceDE/>
        <w:autoSpaceDN/>
        <w:bidi w:val="0"/>
        <w:adjustRightInd/>
        <w:snapToGrid/>
        <w:spacing w:line="216" w:lineRule="auto"/>
        <w:textAlignment w:val="auto"/>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本报告为基因检测结果，基因、药物等信息列举未按照重要性排序。</w:t>
      </w:r>
    </w:p>
    <w:p w14:paraId="40FB1279">
      <w:pPr>
        <w:keepNext w:val="0"/>
        <w:keepLines w:val="0"/>
        <w:pageBreakBefore w:val="0"/>
        <w:widowControl w:val="0"/>
        <w:numPr>
          <w:ilvl w:val="0"/>
          <w:numId w:val="6"/>
        </w:numPr>
        <w:kinsoku/>
        <w:wordWrap/>
        <w:overflowPunct/>
        <w:topLinePunct w:val="0"/>
        <w:autoSpaceDE/>
        <w:autoSpaceDN/>
        <w:bidi w:val="0"/>
        <w:adjustRightInd/>
        <w:snapToGrid/>
        <w:spacing w:line="216" w:lineRule="auto"/>
        <w:textAlignment w:val="auto"/>
        <w:rPr>
          <w:rFonts w:ascii="微软雅黑" w:hAnsi="微软雅黑" w:eastAsia="微软雅黑" w:cs="微软雅黑"/>
          <w:sz w:val="18"/>
          <w:szCs w:val="18"/>
          <w:lang w:eastAsia="zh-CN" w:bidi="ar"/>
        </w:rPr>
      </w:pPr>
      <w:r>
        <w:rPr>
          <w:rFonts w:hint="eastAsia" w:ascii="微软雅黑" w:hAnsi="微软雅黑" w:eastAsia="微软雅黑" w:cs="微软雅黑"/>
          <w:sz w:val="18"/>
          <w:szCs w:val="18"/>
          <w:lang w:eastAsia="zh-CN" w:bidi="ar"/>
        </w:rPr>
        <w:t>本报告中变异的解读基于当前对</w:t>
      </w:r>
      <w:r>
        <w:rPr>
          <w:rFonts w:ascii="Times New Roman" w:hAnsi="Times New Roman" w:eastAsia="微软雅黑" w:cs="Times New Roman"/>
          <w:sz w:val="18"/>
          <w:szCs w:val="18"/>
          <w:lang w:eastAsia="zh-CN" w:bidi="ar"/>
        </w:rPr>
        <w:t>BRCA1/2</w:t>
      </w:r>
      <w:r>
        <w:rPr>
          <w:rFonts w:hint="eastAsia" w:ascii="微软雅黑" w:hAnsi="微软雅黑" w:eastAsia="微软雅黑" w:cs="微软雅黑"/>
          <w:sz w:val="18"/>
          <w:szCs w:val="18"/>
          <w:lang w:eastAsia="zh-CN" w:bidi="ar"/>
        </w:rPr>
        <w:t>变异的认识， 随着数据库尤其是中国人群数据的完善及文献等资料的更新，对变异的解读有可能发生变更</w:t>
      </w:r>
      <w:r>
        <w:rPr>
          <w:rFonts w:ascii="微软雅黑" w:hAnsi="微软雅黑" w:eastAsia="微软雅黑" w:cs="微软雅黑"/>
          <w:sz w:val="18"/>
          <w:szCs w:val="18"/>
          <w:lang w:eastAsia="zh-CN" w:bidi="ar"/>
        </w:rPr>
        <w:t>。</w:t>
      </w:r>
    </w:p>
    <w:p w14:paraId="3EE7C9D8">
      <w:pPr>
        <w:keepNext w:val="0"/>
        <w:keepLines w:val="0"/>
        <w:pageBreakBefore w:val="0"/>
        <w:widowControl w:val="0"/>
        <w:numPr>
          <w:ilvl w:val="0"/>
          <w:numId w:val="6"/>
        </w:numPr>
        <w:kinsoku/>
        <w:wordWrap/>
        <w:overflowPunct/>
        <w:topLinePunct w:val="0"/>
        <w:autoSpaceDE/>
        <w:autoSpaceDN/>
        <w:bidi w:val="0"/>
        <w:adjustRightInd/>
        <w:snapToGrid/>
        <w:spacing w:line="216" w:lineRule="auto"/>
        <w:textAlignment w:val="auto"/>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检测结果仅供科学研究和临床用药参考，具体诊疗方案请咨询主治医生</w:t>
      </w:r>
      <w:r>
        <w:rPr>
          <w:rFonts w:hint="eastAsia" w:ascii="微软雅黑" w:hAnsi="微软雅黑" w:eastAsia="微软雅黑" w:cs="微软雅黑"/>
          <w:sz w:val="18"/>
          <w:szCs w:val="18"/>
          <w:lang w:eastAsia="zh-CN" w:bidi="ar"/>
        </w:rPr>
        <w:t>。</w:t>
      </w:r>
    </w:p>
    <w:p w14:paraId="256FEDDD">
      <w:pPr>
        <w:keepNext w:val="0"/>
        <w:keepLines w:val="0"/>
        <w:pageBreakBefore w:val="0"/>
        <w:widowControl w:val="0"/>
        <w:numPr>
          <w:ilvl w:val="0"/>
          <w:numId w:val="6"/>
        </w:numPr>
        <w:kinsoku/>
        <w:wordWrap/>
        <w:overflowPunct/>
        <w:topLinePunct w:val="0"/>
        <w:autoSpaceDE/>
        <w:autoSpaceDN/>
        <w:bidi w:val="0"/>
        <w:adjustRightInd/>
        <w:snapToGrid/>
        <w:spacing w:line="216" w:lineRule="auto"/>
        <w:textAlignment w:val="auto"/>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本报告只对本次采集样本负责，如有疑问，请在7个工作日内与我们联系。</w:t>
      </w:r>
      <w:r>
        <w:rPr>
          <w:rFonts w:hint="eastAsia" w:ascii="微软雅黑" w:hAnsi="微软雅黑" w:eastAsia="微软雅黑" w:cs="微软雅黑"/>
          <w:sz w:val="18"/>
          <w:szCs w:val="18"/>
          <w:lang w:eastAsia="zh-CN" w:bidi="ar"/>
        </w:rPr>
        <w:t xml:space="preserve">{% if summaryOfRresults.qualityStat== </w:t>
      </w:r>
      <w:r>
        <w:rPr>
          <w:rFonts w:ascii="微软雅黑" w:hAnsi="微软雅黑" w:eastAsia="微软雅黑" w:cs="微软雅黑"/>
          <w:sz w:val="18"/>
          <w:szCs w:val="18"/>
          <w:lang w:eastAsia="zh-CN" w:bidi="ar"/>
        </w:rPr>
        <w:t>“</w:t>
      </w:r>
      <w:r>
        <w:rPr>
          <w:rFonts w:hint="eastAsia" w:ascii="微软雅黑" w:hAnsi="微软雅黑" w:eastAsia="微软雅黑" w:cs="微软雅黑"/>
          <w:sz w:val="18"/>
          <w:szCs w:val="18"/>
          <w:lang w:eastAsia="zh-CN" w:bidi="ar"/>
        </w:rPr>
        <w:t>D</w:t>
      </w:r>
      <w:r>
        <w:rPr>
          <w:rFonts w:ascii="微软雅黑" w:hAnsi="微软雅黑" w:eastAsia="微软雅黑" w:cs="微软雅黑"/>
          <w:sz w:val="18"/>
          <w:szCs w:val="18"/>
          <w:lang w:eastAsia="zh-CN" w:bidi="ar"/>
        </w:rPr>
        <w:t>”</w:t>
      </w:r>
      <w:r>
        <w:rPr>
          <w:rFonts w:hint="eastAsia" w:ascii="微软雅黑" w:hAnsi="微软雅黑" w:eastAsia="微软雅黑" w:cs="微软雅黑"/>
          <w:sz w:val="18"/>
          <w:szCs w:val="18"/>
          <w:lang w:eastAsia="zh-CN" w:bidi="ar"/>
        </w:rPr>
        <w:t xml:space="preserve"> %}</w:t>
      </w:r>
    </w:p>
    <w:p w14:paraId="492C5C7D">
      <w:pPr>
        <w:keepNext w:val="0"/>
        <w:keepLines w:val="0"/>
        <w:pageBreakBefore w:val="0"/>
        <w:widowControl w:val="0"/>
        <w:numPr>
          <w:ilvl w:val="0"/>
          <w:numId w:val="6"/>
        </w:numPr>
        <w:kinsoku/>
        <w:wordWrap/>
        <w:overflowPunct/>
        <w:topLinePunct w:val="0"/>
        <w:autoSpaceDE/>
        <w:autoSpaceDN/>
        <w:bidi w:val="0"/>
        <w:adjustRightInd/>
        <w:snapToGrid/>
        <w:spacing w:line="216" w:lineRule="auto"/>
        <w:textAlignment w:val="auto"/>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该样本测序深度不足，</w:t>
      </w:r>
      <w:r>
        <w:rPr>
          <w:rFonts w:hint="eastAsia" w:ascii="微软雅黑" w:hAnsi="微软雅黑" w:eastAsia="微软雅黑" w:cs="微软雅黑"/>
          <w:sz w:val="18"/>
          <w:szCs w:val="18"/>
          <w:lang w:eastAsia="zh-CN" w:bidi="ar"/>
        </w:rPr>
        <w:t>风险出具，检测结果仅供参考。{% endif %}</w:t>
      </w:r>
    </w:p>
    <w:p w14:paraId="39235DF6">
      <w:pPr>
        <w:rPr>
          <w:rFonts w:hint="default" w:ascii="Times New Roman" w:hAnsi="Times New Roman" w:eastAsia="微软雅黑" w:cs="Times New Roman"/>
          <w:sz w:val="24"/>
          <w:szCs w:val="24"/>
          <w:lang w:val="en-US" w:eastAsia="zh-CN"/>
        </w:rPr>
      </w:pPr>
      <w:r>
        <w:rPr>
          <w:rFonts w:hint="eastAsia" w:ascii="Times New Roman" w:hAnsi="Times New Roman" w:eastAsia="微软雅黑" w:cs="Times New Roman"/>
          <w:sz w:val="24"/>
          <w:szCs w:val="24"/>
          <w:lang w:eastAsia="zh-CN"/>
        </w:rPr>
        <w:t xml:space="preserve">{%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1</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04195077">
      <w:pPr>
        <w:rPr>
          <w:lang w:eastAsia="zh-CN"/>
        </w:rPr>
      </w:pPr>
    </w:p>
    <w:tbl>
      <w:tblPr>
        <w:tblStyle w:val="34"/>
        <w:tblW w:w="6772" w:type="dxa"/>
        <w:jc w:val="right"/>
        <w:tblLayout w:type="fixed"/>
        <w:tblCellMar>
          <w:top w:w="0" w:type="dxa"/>
          <w:left w:w="0" w:type="dxa"/>
          <w:bottom w:w="0" w:type="dxa"/>
          <w:right w:w="0" w:type="dxa"/>
        </w:tblCellMar>
      </w:tblPr>
      <w:tblGrid>
        <w:gridCol w:w="1272"/>
        <w:gridCol w:w="2040"/>
        <w:gridCol w:w="1166"/>
        <w:gridCol w:w="2294"/>
      </w:tblGrid>
      <w:tr w14:paraId="2B1747D7">
        <w:tblPrEx>
          <w:tblCellMar>
            <w:top w:w="0" w:type="dxa"/>
            <w:left w:w="0" w:type="dxa"/>
            <w:bottom w:w="0" w:type="dxa"/>
            <w:right w:w="0" w:type="dxa"/>
          </w:tblCellMar>
        </w:tblPrEx>
        <w:trPr>
          <w:trHeight w:val="680" w:hRule="exact"/>
          <w:jc w:val="right"/>
        </w:trPr>
        <w:tc>
          <w:tcPr>
            <w:tcW w:w="1272" w:type="dxa"/>
            <w:vAlign w:val="center"/>
          </w:tcPr>
          <w:p w14:paraId="60E8C3F2">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251E8B55">
            <w:pPr>
              <w:pStyle w:val="20"/>
              <w:spacing w:before="13"/>
              <w:jc w:val="both"/>
              <w:rPr>
                <w:rFonts w:ascii="Times New Roman" w:hAnsi="Times New Roman" w:cs="Times New Roman"/>
                <w:b/>
                <w:sz w:val="24"/>
                <w:szCs w:val="24"/>
              </w:rPr>
            </w:pPr>
            <w:r>
              <w:rPr>
                <w:rFonts w:hint="eastAsia" w:ascii="Times New Roman" w:hAnsi="Times New Roman" w:cs="Times New Roman"/>
                <w:b/>
                <w:sz w:val="24"/>
                <w:szCs w:val="24"/>
              </w:rPr>
              <w:t>{{"ty_tianjin1"|sign(64,28)}}</w:t>
            </w:r>
          </w:p>
        </w:tc>
        <w:tc>
          <w:tcPr>
            <w:tcW w:w="1166" w:type="dxa"/>
            <w:vAlign w:val="center"/>
          </w:tcPr>
          <w:p w14:paraId="7D982F5F">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258DE98F">
            <w:pPr>
              <w:pStyle w:val="20"/>
              <w:spacing w:before="13"/>
              <w:ind w:right="15"/>
              <w:jc w:val="both"/>
              <w:rPr>
                <w:rFonts w:ascii="Times New Roman" w:hAnsi="Times New Roman" w:cs="Times New Roman"/>
                <w:b/>
                <w:sz w:val="24"/>
                <w:szCs w:val="24"/>
              </w:rPr>
            </w:pPr>
            <w:r>
              <w:rPr>
                <w:rFonts w:hint="eastAsia" w:ascii="Times New Roman" w:hAnsi="Times New Roman" w:cs="Times New Roman"/>
                <w:b/>
                <w:sz w:val="24"/>
                <w:szCs w:val="24"/>
              </w:rPr>
              <w:t>{{"ty_tianjin2"|sign(59,34)}}</w:t>
            </w:r>
            <w:r>
              <w:rPr>
                <w:sz w:val="18"/>
              </w:rPr>
              <w:drawing>
                <wp:anchor distT="0" distB="0" distL="114300" distR="114300" simplePos="0" relativeHeight="251663360" behindDoc="0" locked="0" layoutInCell="1" allowOverlap="1">
                  <wp:simplePos x="0" y="0"/>
                  <wp:positionH relativeFrom="column">
                    <wp:posOffset>-398145</wp:posOffset>
                  </wp:positionH>
                  <wp:positionV relativeFrom="paragraph">
                    <wp:posOffset>-311785</wp:posOffset>
                  </wp:positionV>
                  <wp:extent cx="1443355" cy="1443355"/>
                  <wp:effectExtent l="0" t="0" r="4445" b="4445"/>
                  <wp:wrapNone/>
                  <wp:docPr id="21"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1443355" cy="1443355"/>
                          </a:xfrm>
                          <a:prstGeom prst="rect">
                            <a:avLst/>
                          </a:prstGeom>
                          <a:noFill/>
                          <a:ln>
                            <a:noFill/>
                          </a:ln>
                        </pic:spPr>
                      </pic:pic>
                    </a:graphicData>
                  </a:graphic>
                </wp:anchor>
              </w:drawing>
            </w:r>
          </w:p>
        </w:tc>
      </w:tr>
      <w:tr w14:paraId="5DBB37C5">
        <w:tblPrEx>
          <w:tblCellMar>
            <w:top w:w="0" w:type="dxa"/>
            <w:left w:w="0" w:type="dxa"/>
            <w:bottom w:w="0" w:type="dxa"/>
            <w:right w:w="0" w:type="dxa"/>
          </w:tblCellMar>
        </w:tblPrEx>
        <w:trPr>
          <w:trHeight w:val="457" w:hRule="exact"/>
          <w:jc w:val="right"/>
        </w:trPr>
        <w:tc>
          <w:tcPr>
            <w:tcW w:w="1272" w:type="dxa"/>
            <w:vAlign w:val="center"/>
          </w:tcPr>
          <w:p w14:paraId="7E8D293A">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625C0E7A">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5F472428">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7D2E0957">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5C117E1B">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27E52C29">
      <w:pPr>
        <w:rPr>
          <w:rFonts w:hint="default"/>
          <w:sz w:val="24"/>
          <w:lang w:val="en-US" w:eastAsia="zh-CN"/>
        </w:rPr>
      </w:pPr>
    </w:p>
    <w:p w14:paraId="0D32B89C">
      <w:pPr>
        <w:rPr>
          <w:sz w:val="24"/>
          <w:lang w:eastAsia="zh-CN"/>
        </w:rPr>
      </w:pPr>
    </w:p>
    <w:tbl>
      <w:tblPr>
        <w:tblStyle w:val="34"/>
        <w:tblW w:w="6772" w:type="dxa"/>
        <w:jc w:val="right"/>
        <w:tblLayout w:type="fixed"/>
        <w:tblCellMar>
          <w:top w:w="0" w:type="dxa"/>
          <w:left w:w="0" w:type="dxa"/>
          <w:bottom w:w="0" w:type="dxa"/>
          <w:right w:w="0" w:type="dxa"/>
        </w:tblCellMar>
      </w:tblPr>
      <w:tblGrid>
        <w:gridCol w:w="1272"/>
        <w:gridCol w:w="2040"/>
        <w:gridCol w:w="1166"/>
        <w:gridCol w:w="2294"/>
      </w:tblGrid>
      <w:tr w14:paraId="1F15458B">
        <w:tblPrEx>
          <w:tblCellMar>
            <w:top w:w="0" w:type="dxa"/>
            <w:left w:w="0" w:type="dxa"/>
            <w:bottom w:w="0" w:type="dxa"/>
            <w:right w:w="0" w:type="dxa"/>
          </w:tblCellMar>
        </w:tblPrEx>
        <w:trPr>
          <w:trHeight w:val="680" w:hRule="exact"/>
          <w:jc w:val="right"/>
        </w:trPr>
        <w:tc>
          <w:tcPr>
            <w:tcW w:w="1272" w:type="dxa"/>
            <w:vAlign w:val="center"/>
          </w:tcPr>
          <w:p w14:paraId="12A328F7">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6DB7773F">
            <w:pPr>
              <w:pStyle w:val="20"/>
              <w:spacing w:before="13"/>
              <w:jc w:val="both"/>
              <w:rPr>
                <w:rFonts w:ascii="Times New Roman" w:hAnsi="Times New Roman" w:cs="Times New Roman"/>
                <w:b/>
                <w:sz w:val="24"/>
                <w:szCs w:val="24"/>
              </w:rPr>
            </w:pPr>
            <w:r>
              <w:rPr>
                <w:rFonts w:hint="eastAsia" w:ascii="Times New Roman" w:hAnsi="Times New Roman" w:cs="Times New Roman"/>
                <w:b/>
                <w:sz w:val="24"/>
                <w:szCs w:val="24"/>
              </w:rPr>
              <w:t>{{"ty_guangzhou1"|sign(62,34)}}</w:t>
            </w:r>
          </w:p>
        </w:tc>
        <w:tc>
          <w:tcPr>
            <w:tcW w:w="1166" w:type="dxa"/>
            <w:vAlign w:val="center"/>
          </w:tcPr>
          <w:p w14:paraId="1420D3B8">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54AFD6CC">
            <w:pPr>
              <w:pStyle w:val="20"/>
              <w:spacing w:before="13"/>
              <w:ind w:right="15"/>
              <w:jc w:val="both"/>
              <w:rPr>
                <w:rFonts w:ascii="Times New Roman" w:hAnsi="Times New Roman" w:cs="Times New Roman"/>
                <w:b/>
                <w:sz w:val="24"/>
                <w:szCs w:val="24"/>
              </w:rPr>
            </w:pPr>
            <w:r>
              <w:rPr>
                <w:rFonts w:hint="eastAsia" w:ascii="Times New Roman" w:hAnsi="Times New Roman" w:cs="Times New Roman"/>
                <w:b/>
                <w:sz w:val="24"/>
                <w:szCs w:val="24"/>
              </w:rPr>
              <w:t>{{"ty_guangzhou2"|sign(59,34)}}</w:t>
            </w:r>
            <w:r>
              <w:rPr>
                <w:sz w:val="24"/>
              </w:rPr>
              <w:drawing>
                <wp:anchor distT="0" distB="0" distL="114300" distR="114300" simplePos="0" relativeHeight="251664384" behindDoc="0" locked="0" layoutInCell="1" allowOverlap="1">
                  <wp:simplePos x="0" y="0"/>
                  <wp:positionH relativeFrom="column">
                    <wp:posOffset>-375285</wp:posOffset>
                  </wp:positionH>
                  <wp:positionV relativeFrom="paragraph">
                    <wp:posOffset>-391795</wp:posOffset>
                  </wp:positionV>
                  <wp:extent cx="1443355" cy="1443355"/>
                  <wp:effectExtent l="0" t="0" r="4445" b="4445"/>
                  <wp:wrapNone/>
                  <wp:docPr id="8"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1443355" cy="1443355"/>
                          </a:xfrm>
                          <a:prstGeom prst="rect">
                            <a:avLst/>
                          </a:prstGeom>
                          <a:noFill/>
                          <a:ln>
                            <a:noFill/>
                          </a:ln>
                        </pic:spPr>
                      </pic:pic>
                    </a:graphicData>
                  </a:graphic>
                </wp:anchor>
              </w:drawing>
            </w:r>
          </w:p>
        </w:tc>
      </w:tr>
      <w:tr w14:paraId="39F2F582">
        <w:tblPrEx>
          <w:tblCellMar>
            <w:top w:w="0" w:type="dxa"/>
            <w:left w:w="0" w:type="dxa"/>
            <w:bottom w:w="0" w:type="dxa"/>
            <w:right w:w="0" w:type="dxa"/>
          </w:tblCellMar>
        </w:tblPrEx>
        <w:trPr>
          <w:trHeight w:val="457" w:hRule="exact"/>
          <w:jc w:val="right"/>
        </w:trPr>
        <w:tc>
          <w:tcPr>
            <w:tcW w:w="1272" w:type="dxa"/>
            <w:vAlign w:val="center"/>
          </w:tcPr>
          <w:p w14:paraId="0E20F947">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60C8B6BE">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14CE6294">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4CD5E991">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02383EB9">
      <w:pPr>
        <w:rPr>
          <w:rFonts w:hint="eastAsia" w:eastAsia="宋体"/>
          <w:b/>
          <w:bCs/>
          <w:lang w:val="en-US" w:eastAsia="zh-CN"/>
        </w:rPr>
      </w:pPr>
      <w:r>
        <w:rPr>
          <w:rFonts w:hint="eastAsia" w:ascii="Times New Roman" w:hAnsi="Times New Roman" w:eastAsia="微软雅黑" w:cs="Times New Roman"/>
          <w:sz w:val="24"/>
          <w:szCs w:val="24"/>
          <w:lang w:eastAsia="zh-CN"/>
        </w:rPr>
        <w:t>{% endif %}</w:t>
      </w:r>
    </w:p>
    <w:p w14:paraId="1486306F">
      <w:pPr>
        <w:rPr>
          <w:rFonts w:hint="eastAsia" w:eastAsia="宋体"/>
          <w:b/>
          <w:bCs/>
          <w:lang w:val="en-US" w:eastAsia="zh-CN"/>
        </w:rPr>
      </w:pPr>
    </w:p>
    <w:p w14:paraId="1ECDDD6E">
      <w:pPr>
        <w:rPr>
          <w:lang w:eastAsia="zh-CN"/>
        </w:rPr>
      </w:pPr>
      <w:r>
        <w:rPr>
          <w:rFonts w:hint="eastAsia" w:eastAsia="宋体"/>
          <w:b/>
          <w:bCs/>
          <w:lang w:val="en-US" w:eastAsia="zh-CN"/>
        </w:rPr>
        <w:t>检测合作单位：天津诺禾医学检验所</w:t>
      </w:r>
      <w:r>
        <w:rPr>
          <w:rFonts w:ascii="Times New Roman" w:hAnsi="Times New Roman" w:eastAsia="微软雅黑" w:cs="黑体"/>
          <w:b/>
          <w:bCs/>
          <w:color w:val="00B050"/>
          <w:sz w:val="28"/>
          <w:szCs w:val="36"/>
          <w:lang w:eastAsia="zh-CN"/>
        </w:rPr>
        <w:br w:type="page"/>
      </w:r>
    </w:p>
    <w:p w14:paraId="3141B01D">
      <w:pPr>
        <w:pStyle w:val="2"/>
        <w:numPr>
          <w:ilvl w:val="0"/>
          <w:numId w:val="0"/>
        </w:numPr>
        <w:jc w:val="both"/>
        <w:rPr>
          <w:rStyle w:val="41"/>
          <w:b/>
          <w:bCs/>
          <w:color w:val="62B541"/>
          <w:sz w:val="32"/>
          <w:szCs w:val="40"/>
          <w14:shadow w14:blurRad="50800" w14:dist="38100" w14:dir="10800000" w14:sx="100000" w14:sy="100000" w14:kx="0" w14:ky="0" w14:algn="r">
            <w14:srgbClr w14:val="62B541">
              <w14:alpha w14:val="60000"/>
            </w14:srgbClr>
          </w14:shadow>
        </w:rPr>
      </w:pPr>
      <w:bookmarkStart w:id="24" w:name="_Toc19898_WPSOffice_Level1"/>
      <w:bookmarkStart w:id="25" w:name="_Toc2781"/>
      <w:bookmarkStart w:id="26" w:name="_Toc9525"/>
      <w:bookmarkStart w:id="27" w:name="_Toc22132"/>
      <w:bookmarkStart w:id="28" w:name="_Toc21428"/>
      <w:bookmarkStart w:id="29" w:name="_Toc20136_WPSOffice_Level1"/>
      <w:r>
        <w:rPr>
          <w:rStyle w:val="41"/>
          <w:b/>
          <w:bCs/>
          <w:color w:val="62B541"/>
          <w:sz w:val="32"/>
          <w:szCs w:val="40"/>
          <w14:shadow w14:blurRad="50800" w14:dist="38100" w14:dir="10800000" w14:sx="100000" w14:sy="100000" w14:kx="0" w14:ky="0" w14:algn="r">
            <w14:srgbClr w14:val="62B541">
              <w14:alpha w14:val="60000"/>
            </w14:srgbClr>
          </w14:shadow>
        </w:rPr>
        <w:t>检测结果及用药提示</w:t>
      </w:r>
      <w:bookmarkEnd w:id="20"/>
      <w:bookmarkEnd w:id="24"/>
      <w:bookmarkEnd w:id="25"/>
      <w:bookmarkEnd w:id="26"/>
      <w:bookmarkEnd w:id="27"/>
      <w:bookmarkEnd w:id="28"/>
      <w:bookmarkEnd w:id="29"/>
    </w:p>
    <w:bookmarkEnd w:id="13"/>
    <w:p w14:paraId="7FD56BA5">
      <w:pPr>
        <w:pStyle w:val="3"/>
        <w:numPr>
          <w:ilvl w:val="255"/>
          <w:numId w:val="0"/>
        </w:numPr>
        <w:jc w:val="left"/>
        <w:rPr>
          <w:color w:val="auto"/>
          <w:sz w:val="30"/>
          <w:lang w:eastAsia="zh-CN"/>
        </w:rPr>
      </w:pPr>
      <w:bookmarkStart w:id="30" w:name="_Toc149837258"/>
      <w:bookmarkStart w:id="31" w:name="_Toc12516"/>
      <w:bookmarkStart w:id="32" w:name="_Toc13568"/>
      <w:bookmarkStart w:id="33" w:name="_Toc32443_WPSOffice_Level1"/>
      <w:bookmarkStart w:id="34" w:name="_Toc25727"/>
      <w:bookmarkStart w:id="35" w:name="_Toc23903"/>
      <w:bookmarkStart w:id="36" w:name="_Toc4331_WPSOffice_Level1"/>
      <w:bookmarkStart w:id="37" w:name="_Toc23846_WPSOffice_Level1"/>
      <w:r>
        <w:rPr>
          <w:rFonts w:hint="eastAsia"/>
          <w:color w:val="auto"/>
          <w:sz w:val="30"/>
          <w:lang w:eastAsia="zh-CN"/>
        </w:rPr>
        <w:t>体细胞变异分级提示</w:t>
      </w:r>
      <w:bookmarkEnd w:id="30"/>
      <w:bookmarkEnd w:id="31"/>
      <w:bookmarkEnd w:id="32"/>
    </w:p>
    <w:p w14:paraId="6BE4C94B">
      <w:pPr>
        <w:spacing w:after="240"/>
        <w:ind w:firstLine="420" w:firstLineChars="200"/>
        <w:rPr>
          <w:rFonts w:ascii="Times New Roman" w:hAnsi="Times New Roman" w:eastAsia="微软雅黑" w:cs="Times New Roman"/>
          <w:b/>
          <w:color w:val="000000" w:themeColor="text1"/>
          <w:sz w:val="21"/>
          <w:szCs w:val="21"/>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}}个体细胞突变，其中{{summaryOfRresults.somaticDrugCount}}个与靶向药物相关。{%if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endif %}</w:t>
      </w:r>
    </w:p>
    <w:tbl>
      <w:tblPr>
        <w:tblStyle w:val="21"/>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2"/>
        <w:gridCol w:w="1077"/>
        <w:gridCol w:w="1527"/>
        <w:gridCol w:w="964"/>
        <w:gridCol w:w="1077"/>
        <w:gridCol w:w="2252"/>
        <w:gridCol w:w="2262"/>
      </w:tblGrid>
      <w:tr w14:paraId="6917F48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62B541"/>
            <w:vAlign w:val="center"/>
          </w:tcPr>
          <w:p w14:paraId="78F5DDB7">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62B541"/>
            <w:vAlign w:val="center"/>
          </w:tcPr>
          <w:p w14:paraId="500A9811">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检测</w:t>
            </w:r>
            <w:r>
              <w:rPr>
                <w:rFonts w:ascii="Times New Roman" w:hAnsi="Times New Roman" w:eastAsia="微软雅黑" w:cs="Times New Roman"/>
                <w:b/>
                <w:color w:val="FFFFFF" w:themeColor="background1"/>
                <w:sz w:val="21"/>
                <w:szCs w:val="21"/>
                <w14:textFill>
                  <w14:solidFill>
                    <w14:schemeClr w14:val="bg1"/>
                  </w14:solidFill>
                </w14:textFill>
              </w:rPr>
              <w:t>基因</w:t>
            </w:r>
          </w:p>
        </w:tc>
        <w:tc>
          <w:tcPr>
            <w:tcW w:w="759" w:type="pct"/>
            <w:tcBorders>
              <w:top w:val="nil"/>
              <w:left w:val="single" w:color="FFFFFF" w:sz="18" w:space="0"/>
              <w:bottom w:val="nil"/>
              <w:right w:val="single" w:color="FFFFFF" w:sz="18" w:space="0"/>
            </w:tcBorders>
            <w:shd w:val="clear" w:color="auto" w:fill="62B541"/>
            <w:vAlign w:val="center"/>
          </w:tcPr>
          <w:p w14:paraId="1F05A049">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62B541"/>
            <w:vAlign w:val="center"/>
          </w:tcPr>
          <w:p w14:paraId="7E00C834">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35" w:type="pct"/>
            <w:tcBorders>
              <w:top w:val="nil"/>
              <w:left w:val="single" w:color="FFFFFF" w:sz="18" w:space="0"/>
              <w:bottom w:val="nil"/>
              <w:right w:val="single" w:color="FFFFFF" w:sz="18" w:space="0"/>
            </w:tcBorders>
            <w:shd w:val="clear" w:color="auto" w:fill="62B541"/>
            <w:vAlign w:val="center"/>
          </w:tcPr>
          <w:p w14:paraId="3D9249DD">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lang w:eastAsia="zh-CN" w:bidi="ar"/>
              </w:rPr>
              <w:t>变异丰度/</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拷贝数{% if readsFlag == True %}</w:t>
            </w:r>
          </w:p>
          <w:p w14:paraId="2AA69BB1">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lang w:eastAsia="zh-CN" w:bidi="ar"/>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reads数{%endif%}</w:t>
            </w:r>
          </w:p>
        </w:tc>
        <w:tc>
          <w:tcPr>
            <w:tcW w:w="1119" w:type="pct"/>
            <w:tcBorders>
              <w:top w:val="nil"/>
              <w:left w:val="single" w:color="FFFFFF" w:sz="18" w:space="0"/>
              <w:bottom w:val="nil"/>
              <w:right w:val="single" w:color="FFFFFF" w:sz="18" w:space="0"/>
            </w:tcBorders>
            <w:shd w:val="clear" w:color="auto" w:fill="62B541"/>
            <w:vAlign w:val="center"/>
          </w:tcPr>
          <w:p w14:paraId="3E55E02A">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2" w:type="pct"/>
            <w:tcBorders>
              <w:top w:val="nil"/>
              <w:left w:val="single" w:color="FFFFFF" w:sz="18" w:space="0"/>
              <w:bottom w:val="nil"/>
              <w:right w:val="nil"/>
            </w:tcBorders>
            <w:shd w:val="clear" w:color="auto" w:fill="62B541"/>
            <w:vAlign w:val="center"/>
          </w:tcPr>
          <w:p w14:paraId="428853C0">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1E865A0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543CD953">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14:paraId="3E83DD5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4336AC38">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 %}</w:t>
            </w:r>
          </w:p>
        </w:tc>
      </w:tr>
      <w:tr w14:paraId="14BC695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484984C5">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6CB699B">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92FB6F2">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1AE34D0">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B9231C9">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0B4607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3DD9EE2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41E37F3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134304C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78D6DF0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1BCBBEE9">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0EB414B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6D13716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3F24F74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5474EEF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5DEE360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23536C16">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33BE621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22BA3819">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14:paraId="654B4AF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385530CD">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8FAC66E">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5DCB7B5">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A566BDA">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44B5BC8">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D3BF655">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7D166AB0">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5489C93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0F5A13D5">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2429FC3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4"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3B581B6B">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 %}</w:t>
            </w:r>
          </w:p>
        </w:tc>
      </w:tr>
      <w:tr w14:paraId="0048052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0E195027">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1077" w:type="dxa"/>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49C1093">
            <w:pPr>
              <w:ind w:left="162" w:leftChars="0" w:right="163" w:rightChars="0"/>
              <w:jc w:val="center"/>
              <w:rPr>
                <w:rFonts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tip.comutation</w:t>
            </w:r>
            <w:r>
              <w:rPr>
                <w:rFonts w:hint="eastAsia" w:ascii="Times New Roman" w:hAnsi="Times New Roman" w:eastAsia="微软雅黑" w:cs="Times New Roman"/>
                <w:b/>
                <w:sz w:val="21"/>
                <w:szCs w:val="21"/>
                <w:lang w:val="en-US" w:eastAsia="zh-CN"/>
              </w:rPr>
              <w:t>1</w:t>
            </w:r>
            <w:r>
              <w:rPr>
                <w:rFonts w:hint="default" w:ascii="Times New Roman" w:hAnsi="Times New Roman" w:eastAsia="微软雅黑" w:cs="Times New Roman"/>
                <w:b/>
                <w:sz w:val="21"/>
                <w:szCs w:val="21"/>
                <w:lang w:eastAsia="zh-CN"/>
              </w:rPr>
              <w:t xml:space="preserve"> }}</w:t>
            </w:r>
          </w:p>
        </w:tc>
        <w:tc>
          <w:tcPr>
            <w:tcW w:w="1527" w:type="dxa"/>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A127C30">
            <w:pPr>
              <w:spacing w:before="2"/>
              <w:ind w:left="116" w:leftChars="0" w:right="116" w:rightChars="0"/>
              <w:jc w:val="center"/>
              <w:rPr>
                <w:rFonts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tip.comutation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7FC0B5B">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60119EC">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067D44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1B24621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47729B5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120ABCB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5270D55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3DE5935F">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0C0BA89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2B65E24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28C72DB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0DF0B3F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798C66E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29"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2B42DFB6">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67CEE4A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577997B2">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774443A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2AAD75ED">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CD9F8C4">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1BB65FA">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401201A">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A5916F5">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8D96CA0">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32AD262D">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127D533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02F92B75">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76FE1C5D">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385976F6">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3FD51696">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基因变异所对应的可能获益/耐药药物信息来源于本机构内部数据库，同时参考NCCN指南、OncoKB [PMID: 28890946]等公共数据库内容，该数据仅供临床医生参考。随着数据库不断完善以及临床数据的更新，变异分级可能发生变化。</w:t>
      </w:r>
    </w:p>
    <w:p w14:paraId="7FDEE941">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p>
    <w:p w14:paraId="1E787EA5">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0736A0FC">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6DA6FE97">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2A0E9816">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417612C3">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33A588E1">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14:paraId="09F64882">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拷贝数：是指某⼀种基因或某⼀段特定的DNA序列在单倍体基因组中出现的数目。</w:t>
      </w:r>
      <w:r>
        <w:rPr>
          <w:rFonts w:hint="eastAsia" w:ascii="Times New Roman" w:hAnsi="Times New Roman" w:eastAsia="微软雅黑" w:cs="Times New Roman"/>
          <w:lang w:eastAsia="zh-CN"/>
        </w:rPr>
        <w:t>{% if readsFlag == True %}</w:t>
      </w:r>
    </w:p>
    <w:p w14:paraId="5139873B">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reads数：RNA层面检测到的支持融合基因的片段数。</w:t>
      </w:r>
      <w:r>
        <w:rPr>
          <w:rFonts w:hint="eastAsia" w:ascii="Times New Roman" w:hAnsi="Times New Roman" w:eastAsia="微软雅黑" w:cs="Times New Roman"/>
          <w:lang w:eastAsia="zh-CN"/>
        </w:rPr>
        <w:t>{% endif %}</w:t>
      </w:r>
    </w:p>
    <w:p w14:paraId="65F43021">
      <w:pPr>
        <w:pStyle w:val="6"/>
        <w:numPr>
          <w:ilvl w:val="0"/>
          <w:numId w:val="7"/>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子，“intron”为内含子，“c”为DNA序列，“p”为蛋白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14:paraId="74FF033F">
      <w:pPr>
        <w:pStyle w:val="6"/>
        <w:numPr>
          <w:ilvl w:val="0"/>
          <w:numId w:val="7"/>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14:paraId="16AB85EE">
      <w:pPr>
        <w:numPr>
          <w:ilvl w:val="0"/>
          <w:numId w:val="8"/>
        </w:numPr>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p>
    <w:p w14:paraId="5652993A">
      <w:pPr>
        <w:pStyle w:val="3"/>
        <w:numPr>
          <w:ilvl w:val="255"/>
          <w:numId w:val="0"/>
        </w:numPr>
        <w:jc w:val="left"/>
      </w:pPr>
      <w:bookmarkStart w:id="38" w:name="_Toc23435"/>
      <w:bookmarkStart w:id="39" w:name="_Toc149837259"/>
      <w:bookmarkStart w:id="40" w:name="_Toc10540"/>
      <w:r>
        <w:rPr>
          <w:rFonts w:hint="eastAsia"/>
          <w:color w:val="auto"/>
          <w:sz w:val="30"/>
          <w:lang w:eastAsia="zh-CN"/>
        </w:rPr>
        <w:t>胚系变异结果提示</w:t>
      </w:r>
      <w:bookmarkEnd w:id="38"/>
      <w:bookmarkEnd w:id="39"/>
      <w:bookmarkEnd w:id="40"/>
    </w:p>
    <w:p w14:paraId="50C9F117">
      <w:pPr>
        <w:spacing w:before="240" w:beforeLines="100" w:after="24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肿瘤遗传风险检测</w:t>
      </w:r>
    </w:p>
    <w:p w14:paraId="559AC5A2">
      <w:pPr>
        <w:spacing w:before="240" w:beforeLines="100" w:after="240"/>
        <w:ind w:firstLine="420" w:firstLineChars="200"/>
        <w:rPr>
          <w:rFonts w:ascii="Times New Roman" w:hAnsi="Times New Roman" w:eastAsia="微软雅黑" w:cs="黑体"/>
          <w:b/>
          <w:bCs/>
          <w:sz w:val="21"/>
          <w:szCs w:val="21"/>
          <w:highlight w:val="yellow"/>
          <w:lang w:eastAsia="zh-CN"/>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w:t>
      </w:r>
      <w:r>
        <w:rPr>
          <w:rFonts w:ascii="Times New Roman" w:hAnsi="Times New Roman" w:eastAsia="微软雅黑" w:cs="Times New Roman"/>
          <w:b/>
          <w:color w:val="000000" w:themeColor="text1"/>
          <w:sz w:val="21"/>
          <w:szCs w:val="21"/>
          <w:lang w:eastAsia="zh-CN"/>
          <w14:textFill>
            <w14:solidFill>
              <w14:schemeClr w14:val="tx1"/>
            </w14:solidFill>
          </w14:textFill>
        </w:rPr>
        <w:t>{{summaryOfRresults.crCheckLineStrYF1280Size}}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个胚系突变，其中{{summaryOfRresults.hasPathogenicityCount}}个为致病/可能致病性突变，其中{{summaryOfRresults.crDrugList}}个与靶向药物相关</w:t>
      </w:r>
      <w:r>
        <w:rPr>
          <w:rFonts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sz w:val="21"/>
          <w:szCs w:val="21"/>
          <w:lang w:eastAsia="zh-CN"/>
        </w:rPr>
        <w:t>{%if geneticCancerRiskInfo %}</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具体信息见“基因检测结果解析”。{% endif %}如果您有家族遗传史，可联系我们做进一步的检测。</w:t>
      </w:r>
    </w:p>
    <w:tbl>
      <w:tblPr>
        <w:tblStyle w:val="21"/>
        <w:tblW w:w="9844" w:type="dxa"/>
        <w:jc w:val="center"/>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0" w:type="dxa"/>
          <w:bottom w:w="0" w:type="dxa"/>
          <w:right w:w="0" w:type="dxa"/>
        </w:tblCellMar>
      </w:tblPr>
      <w:tblGrid>
        <w:gridCol w:w="1255"/>
        <w:gridCol w:w="825"/>
        <w:gridCol w:w="825"/>
        <w:gridCol w:w="1146"/>
        <w:gridCol w:w="1056"/>
        <w:gridCol w:w="1140"/>
        <w:gridCol w:w="1140"/>
        <w:gridCol w:w="930"/>
        <w:gridCol w:w="1527"/>
      </w:tblGrid>
      <w:tr w14:paraId="62A23CE9">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510" w:hRule="exact"/>
          <w:jc w:val="center"/>
        </w:trPr>
        <w:tc>
          <w:tcPr>
            <w:tcW w:w="1255" w:type="dxa"/>
            <w:tcBorders>
              <w:top w:val="nil"/>
              <w:left w:val="nil"/>
              <w:bottom w:val="nil"/>
              <w:right w:val="single" w:color="FFFFFF" w:themeColor="background1" w:sz="18" w:space="0"/>
            </w:tcBorders>
            <w:shd w:val="clear" w:color="auto" w:fill="62B541"/>
            <w:vAlign w:val="center"/>
          </w:tcPr>
          <w:p w14:paraId="1CC47303">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检测</w:t>
            </w:r>
            <w:r>
              <w:rPr>
                <w:rFonts w:ascii="Times New Roman" w:hAnsi="Times New Roman" w:eastAsia="微软雅黑" w:cs="Times New Roman"/>
                <w:b/>
                <w:bCs/>
                <w:color w:val="FFFFFF" w:themeColor="background1"/>
                <w:sz w:val="21"/>
                <w:szCs w:val="21"/>
                <w14:textFill>
                  <w14:solidFill>
                    <w14:schemeClr w14:val="bg1"/>
                  </w14:solidFill>
                </w14:textFill>
              </w:rPr>
              <w:t>基因</w:t>
            </w:r>
          </w:p>
        </w:tc>
        <w:tc>
          <w:tcPr>
            <w:tcW w:w="825" w:type="dxa"/>
            <w:tcBorders>
              <w:top w:val="nil"/>
              <w:left w:val="single" w:color="FFFFFF" w:themeColor="background1" w:sz="18" w:space="0"/>
              <w:bottom w:val="nil"/>
              <w:right w:val="single" w:color="FFFFFF" w:themeColor="background1" w:sz="18" w:space="0"/>
            </w:tcBorders>
            <w:shd w:val="clear" w:color="auto" w:fill="62B541"/>
            <w:vAlign w:val="center"/>
          </w:tcPr>
          <w:p w14:paraId="465C5B0B">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染色体</w:t>
            </w:r>
          </w:p>
        </w:tc>
        <w:tc>
          <w:tcPr>
            <w:tcW w:w="825" w:type="dxa"/>
            <w:tcBorders>
              <w:top w:val="nil"/>
              <w:left w:val="single" w:color="FFFFFF" w:themeColor="background1" w:sz="18" w:space="0"/>
              <w:bottom w:val="nil"/>
              <w:right w:val="single" w:color="FFFFFF" w:themeColor="background1" w:sz="18" w:space="0"/>
            </w:tcBorders>
            <w:shd w:val="clear" w:color="auto" w:fill="62B541"/>
            <w:vAlign w:val="center"/>
          </w:tcPr>
          <w:p w14:paraId="29591039">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区域</w:t>
            </w:r>
          </w:p>
        </w:tc>
        <w:tc>
          <w:tcPr>
            <w:tcW w:w="1146" w:type="dxa"/>
            <w:tcBorders>
              <w:top w:val="nil"/>
              <w:left w:val="single" w:color="FFFFFF" w:themeColor="background1" w:sz="18" w:space="0"/>
              <w:bottom w:val="nil"/>
              <w:right w:val="single" w:color="FFFFFF" w:themeColor="background1" w:sz="18" w:space="0"/>
            </w:tcBorders>
            <w:shd w:val="clear" w:color="auto" w:fill="62B541"/>
            <w:vAlign w:val="center"/>
          </w:tcPr>
          <w:p w14:paraId="24581522">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核苷酸</w:t>
            </w:r>
          </w:p>
        </w:tc>
        <w:tc>
          <w:tcPr>
            <w:tcW w:w="1056" w:type="dxa"/>
            <w:tcBorders>
              <w:top w:val="nil"/>
              <w:left w:val="single" w:color="FFFFFF" w:themeColor="background1" w:sz="18" w:space="0"/>
              <w:bottom w:val="nil"/>
              <w:right w:val="single" w:color="FFFFFF" w:themeColor="background1" w:sz="18" w:space="0"/>
            </w:tcBorders>
            <w:shd w:val="clear" w:color="auto" w:fill="62B541"/>
            <w:vAlign w:val="center"/>
          </w:tcPr>
          <w:p w14:paraId="21D902AC">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氨基酸</w:t>
            </w:r>
          </w:p>
        </w:tc>
        <w:tc>
          <w:tcPr>
            <w:tcW w:w="1140" w:type="dxa"/>
            <w:tcBorders>
              <w:top w:val="nil"/>
              <w:left w:val="single" w:color="FFFFFF" w:themeColor="background1" w:sz="18" w:space="0"/>
              <w:bottom w:val="nil"/>
              <w:right w:val="single" w:color="FFFFFF" w:themeColor="background1" w:sz="18" w:space="0"/>
            </w:tcBorders>
            <w:shd w:val="clear" w:color="auto" w:fill="62B541"/>
            <w:vAlign w:val="center"/>
          </w:tcPr>
          <w:p w14:paraId="26A6ABE1">
            <w:pPr>
              <w:pStyle w:val="20"/>
              <w:jc w:val="center"/>
              <w:rPr>
                <w:rFonts w:ascii="Times New Roman" w:hAnsi="Times New Roman" w:eastAsia="微软雅黑" w:cs="Times New Roman"/>
                <w:b/>
                <w:bCs/>
                <w:color w:val="FFFFFF" w:themeColor="background1"/>
                <w:spacing w:val="-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突变类型</w:t>
            </w:r>
          </w:p>
        </w:tc>
        <w:tc>
          <w:tcPr>
            <w:tcW w:w="1140" w:type="dxa"/>
            <w:tcBorders>
              <w:top w:val="nil"/>
              <w:left w:val="single" w:color="FFFFFF" w:themeColor="background1" w:sz="18" w:space="0"/>
              <w:bottom w:val="nil"/>
              <w:right w:val="single" w:color="FFFFFF" w:themeColor="background1" w:sz="18" w:space="0"/>
            </w:tcBorders>
            <w:shd w:val="clear" w:color="auto" w:fill="62B541"/>
            <w:vAlign w:val="center"/>
          </w:tcPr>
          <w:p w14:paraId="45108E66">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930" w:type="dxa"/>
            <w:tcBorders>
              <w:top w:val="nil"/>
              <w:left w:val="single" w:color="FFFFFF" w:themeColor="background1" w:sz="18" w:space="0"/>
              <w:bottom w:val="nil"/>
              <w:right w:val="single" w:color="FFFFFF" w:themeColor="background1" w:sz="18" w:space="0"/>
            </w:tcBorders>
            <w:shd w:val="clear" w:color="auto" w:fill="62B541"/>
            <w:vAlign w:val="center"/>
          </w:tcPr>
          <w:p w14:paraId="11593B6B">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千人频率</w:t>
            </w:r>
          </w:p>
        </w:tc>
        <w:tc>
          <w:tcPr>
            <w:tcW w:w="1527" w:type="dxa"/>
            <w:tcBorders>
              <w:top w:val="nil"/>
              <w:left w:val="single" w:color="FFFFFF" w:themeColor="background1" w:sz="18" w:space="0"/>
              <w:bottom w:val="nil"/>
              <w:right w:val="nil"/>
            </w:tcBorders>
            <w:shd w:val="clear" w:color="auto" w:fill="62B541"/>
            <w:vAlign w:val="center"/>
          </w:tcPr>
          <w:p w14:paraId="0C5C9DFE">
            <w:pPr>
              <w:pStyle w:val="20"/>
              <w:spacing w:before="24" w:beforeLines="1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临床意义</w:t>
            </w:r>
          </w:p>
        </w:tc>
      </w:tr>
      <w:tr w14:paraId="3C3FBCAA">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510" w:hRule="atLeast"/>
          <w:jc w:val="center"/>
        </w:trPr>
        <w:tc>
          <w:tcPr>
            <w:tcW w:w="9844" w:type="dxa"/>
            <w:gridSpan w:val="9"/>
            <w:tcBorders>
              <w:top w:val="nil"/>
              <w:left w:val="nil"/>
              <w:bottom w:val="single" w:color="A4A4A4" w:sz="4" w:space="0"/>
              <w:right w:val="nil"/>
            </w:tcBorders>
            <w:shd w:val="clear" w:color="auto" w:fill="auto"/>
            <w:vAlign w:val="center"/>
          </w:tcPr>
          <w:p w14:paraId="3B354303">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crCheckLineStrYF1280 != [] %}</w:t>
            </w:r>
          </w:p>
        </w:tc>
      </w:tr>
      <w:tr w14:paraId="72371685">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510" w:hRule="atLeast"/>
          <w:jc w:val="center"/>
        </w:trPr>
        <w:tc>
          <w:tcPr>
            <w:tcW w:w="9844" w:type="dxa"/>
            <w:gridSpan w:val="9"/>
            <w:tcBorders>
              <w:top w:val="nil"/>
              <w:left w:val="nil"/>
              <w:bottom w:val="single" w:color="A4A4A4" w:sz="4" w:space="0"/>
              <w:right w:val="nil"/>
            </w:tcBorders>
            <w:shd w:val="clear" w:color="auto" w:fill="auto"/>
            <w:vAlign w:val="center"/>
          </w:tcPr>
          <w:p w14:paraId="5886AEE1">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cr in crCheckLineStrYF1280 %}</w:t>
            </w:r>
          </w:p>
        </w:tc>
      </w:tr>
      <w:tr w14:paraId="0ABDFED3">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510" w:hRule="atLeast"/>
          <w:jc w:val="center"/>
        </w:trPr>
        <w:tc>
          <w:tcPr>
            <w:tcW w:w="9844" w:type="dxa"/>
            <w:gridSpan w:val="9"/>
            <w:tcBorders>
              <w:top w:val="nil"/>
              <w:left w:val="nil"/>
              <w:bottom w:val="nil"/>
              <w:right w:val="nil"/>
            </w:tcBorders>
            <w:shd w:val="clear" w:color="auto" w:fill="auto"/>
            <w:vAlign w:val="center"/>
          </w:tcPr>
          <w:p w14:paraId="25EBD3BB">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{%tr if cr.Clinical_significance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致病性变异</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or cr.Clinical_significance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可能致病性变异</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p>
        </w:tc>
      </w:tr>
      <w:tr w14:paraId="25D97593">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510" w:hRule="atLeast"/>
          <w:jc w:val="center"/>
        </w:trPr>
        <w:tc>
          <w:tcPr>
            <w:tcW w:w="1255" w:type="dxa"/>
            <w:tcBorders>
              <w:top w:val="nil"/>
              <w:left w:val="nil"/>
              <w:bottom w:val="single" w:color="A4A4A4" w:themeColor="background1" w:themeShade="A5" w:sz="4" w:space="0"/>
              <w:right w:val="single" w:color="A4A4A4" w:sz="4" w:space="0"/>
            </w:tcBorders>
            <w:shd w:val="clear" w:color="auto" w:fill="auto"/>
            <w:vAlign w:val="center"/>
          </w:tcPr>
          <w:p w14:paraId="6BA58F3A">
            <w:pPr>
              <w:spacing w:before="20"/>
              <w:jc w:val="center"/>
              <w:rPr>
                <w:rFonts w:ascii="Times New Roman" w:hAnsi="Times New Roman" w:eastAsia="微软雅黑" w:cs="Times New Roman"/>
                <w:b/>
                <w:bCs/>
                <w:color w:val="FF0000"/>
                <w:sz w:val="21"/>
                <w:szCs w:val="21"/>
                <w:lang w:eastAsia="zh-CN"/>
              </w:rPr>
            </w:pPr>
            <w:r>
              <w:rPr>
                <w:rFonts w:hint="eastAsia" w:ascii="Times New Roman" w:hAnsi="Times New Roman" w:eastAsia="微软雅黑" w:cs="Times New Roman"/>
                <w:color w:val="FF0000"/>
                <w:sz w:val="21"/>
                <w:szCs w:val="21"/>
                <w:lang w:eastAsia="zh-CN"/>
              </w:rPr>
              <w:t>{{ cr.Gene }}</w:t>
            </w:r>
          </w:p>
        </w:tc>
        <w:tc>
          <w:tcPr>
            <w:tcW w:w="825" w:type="dxa"/>
            <w:tcBorders>
              <w:top w:val="nil"/>
              <w:left w:val="single" w:color="A4A4A4" w:sz="4" w:space="0"/>
              <w:bottom w:val="single" w:color="A4A4A4" w:themeColor="background1" w:themeShade="A5" w:sz="4" w:space="0"/>
              <w:right w:val="single" w:color="A4A4A4" w:sz="4" w:space="0"/>
            </w:tcBorders>
            <w:shd w:val="clear" w:color="auto" w:fill="auto"/>
            <w:vAlign w:val="center"/>
          </w:tcPr>
          <w:p w14:paraId="4C57596C">
            <w:pPr>
              <w:spacing w:before="20"/>
              <w:jc w:val="center"/>
              <w:rPr>
                <w:rFonts w:ascii="Times New Roman" w:hAnsi="Times New Roman" w:eastAsia="微软雅黑" w:cs="Times New Roman"/>
                <w:color w:val="FF0000"/>
                <w:sz w:val="21"/>
                <w:szCs w:val="21"/>
                <w:lang w:eastAsia="zh-CN"/>
              </w:rPr>
            </w:pPr>
            <w:r>
              <w:rPr>
                <w:rFonts w:hint="eastAsia" w:ascii="Times New Roman" w:hAnsi="Times New Roman" w:eastAsia="微软雅黑" w:cs="Times New Roman"/>
                <w:color w:val="FF0000"/>
                <w:sz w:val="21"/>
                <w:szCs w:val="21"/>
                <w:lang w:eastAsia="zh-CN"/>
              </w:rPr>
              <w:t>{{ cr.Chr }}</w:t>
            </w:r>
          </w:p>
        </w:tc>
        <w:tc>
          <w:tcPr>
            <w:tcW w:w="825" w:type="dxa"/>
            <w:tcBorders>
              <w:top w:val="nil"/>
              <w:left w:val="single" w:color="A4A4A4" w:sz="4" w:space="0"/>
              <w:bottom w:val="single" w:color="A4A4A4" w:themeColor="background1" w:themeShade="A5" w:sz="4" w:space="0"/>
              <w:right w:val="single" w:color="A4A4A4" w:sz="4" w:space="0"/>
            </w:tcBorders>
            <w:shd w:val="clear" w:color="auto" w:fill="auto"/>
            <w:vAlign w:val="center"/>
          </w:tcPr>
          <w:p w14:paraId="6A69EAE1">
            <w:pPr>
              <w:spacing w:before="20"/>
              <w:jc w:val="center"/>
              <w:rPr>
                <w:rFonts w:ascii="Times New Roman" w:hAnsi="Times New Roman" w:eastAsia="微软雅黑" w:cs="Times New Roman"/>
                <w:color w:val="FF0000"/>
                <w:sz w:val="21"/>
                <w:szCs w:val="21"/>
                <w:lang w:eastAsia="zh-CN"/>
              </w:rPr>
            </w:pPr>
            <w:r>
              <w:rPr>
                <w:rFonts w:hint="eastAsia" w:ascii="Times New Roman" w:hAnsi="Times New Roman" w:eastAsia="微软雅黑" w:cs="Times New Roman"/>
                <w:color w:val="FF0000"/>
                <w:sz w:val="21"/>
                <w:szCs w:val="21"/>
                <w:lang w:eastAsia="zh-CN"/>
              </w:rPr>
              <w:t>{{ cr.</w:t>
            </w:r>
            <w:r>
              <w:rPr>
                <w:rFonts w:ascii="Times New Roman" w:hAnsi="Times New Roman" w:eastAsia="微软雅黑" w:cs="Times New Roman"/>
                <w:color w:val="FF0000"/>
                <w:sz w:val="21"/>
                <w:szCs w:val="21"/>
                <w:lang w:eastAsia="zh-CN"/>
              </w:rPr>
              <w:t>exon</w:t>
            </w:r>
            <w:r>
              <w:rPr>
                <w:rFonts w:hint="eastAsia" w:ascii="Times New Roman" w:hAnsi="Times New Roman" w:eastAsia="微软雅黑" w:cs="Times New Roman"/>
                <w:color w:val="FF0000"/>
                <w:sz w:val="21"/>
                <w:szCs w:val="21"/>
                <w:lang w:eastAsia="zh-CN"/>
              </w:rPr>
              <w:t xml:space="preserve"> }}</w:t>
            </w:r>
          </w:p>
        </w:tc>
        <w:tc>
          <w:tcPr>
            <w:tcW w:w="1146" w:type="dxa"/>
            <w:tcBorders>
              <w:top w:val="nil"/>
              <w:left w:val="single" w:color="A4A4A4" w:sz="4" w:space="0"/>
              <w:bottom w:val="single" w:color="A4A4A4" w:themeColor="background1" w:themeShade="A5" w:sz="4" w:space="0"/>
              <w:right w:val="single" w:color="A4A4A4" w:sz="4" w:space="0"/>
            </w:tcBorders>
            <w:shd w:val="clear" w:color="auto" w:fill="auto"/>
            <w:vAlign w:val="center"/>
          </w:tcPr>
          <w:p w14:paraId="18F54452">
            <w:pPr>
              <w:spacing w:before="20"/>
              <w:jc w:val="center"/>
              <w:rPr>
                <w:rFonts w:ascii="Times New Roman" w:hAnsi="Times New Roman" w:eastAsia="微软雅黑" w:cs="Times New Roman"/>
                <w:color w:val="FF0000"/>
                <w:sz w:val="21"/>
                <w:szCs w:val="21"/>
                <w:lang w:eastAsia="zh-CN"/>
              </w:rPr>
            </w:pPr>
            <w:r>
              <w:rPr>
                <w:rFonts w:hint="eastAsia" w:ascii="Times New Roman" w:hAnsi="Times New Roman" w:eastAsia="微软雅黑" w:cs="Times New Roman"/>
                <w:color w:val="FF0000"/>
                <w:sz w:val="21"/>
                <w:szCs w:val="21"/>
                <w:lang w:eastAsia="zh-CN"/>
              </w:rPr>
              <w:t>{{ cr.cHGVS }}</w:t>
            </w:r>
          </w:p>
        </w:tc>
        <w:tc>
          <w:tcPr>
            <w:tcW w:w="1056" w:type="dxa"/>
            <w:tcBorders>
              <w:top w:val="nil"/>
              <w:left w:val="single" w:color="A4A4A4" w:sz="4" w:space="0"/>
              <w:bottom w:val="single" w:color="A4A4A4" w:themeColor="background1" w:themeShade="A5" w:sz="4" w:space="0"/>
              <w:right w:val="single" w:color="A4A4A4" w:sz="4" w:space="0"/>
            </w:tcBorders>
            <w:shd w:val="clear" w:color="auto" w:fill="auto"/>
            <w:vAlign w:val="center"/>
          </w:tcPr>
          <w:p w14:paraId="2921C907">
            <w:pPr>
              <w:spacing w:before="20"/>
              <w:jc w:val="center"/>
              <w:rPr>
                <w:rFonts w:ascii="Times New Roman" w:hAnsi="Times New Roman" w:eastAsia="微软雅黑" w:cs="Times New Roman"/>
                <w:color w:val="FF0000"/>
                <w:sz w:val="21"/>
                <w:szCs w:val="21"/>
                <w:lang w:eastAsia="zh-CN"/>
              </w:rPr>
            </w:pPr>
            <w:r>
              <w:rPr>
                <w:rFonts w:hint="eastAsia" w:ascii="Times New Roman" w:hAnsi="Times New Roman" w:eastAsia="微软雅黑" w:cs="Times New Roman"/>
                <w:color w:val="FF0000"/>
                <w:sz w:val="21"/>
                <w:szCs w:val="21"/>
                <w:lang w:eastAsia="zh-CN"/>
              </w:rPr>
              <w:t>{{ cr.pHGVS }}</w:t>
            </w:r>
          </w:p>
        </w:tc>
        <w:tc>
          <w:tcPr>
            <w:tcW w:w="1140" w:type="dxa"/>
            <w:tcBorders>
              <w:top w:val="nil"/>
              <w:left w:val="single" w:color="A4A4A4" w:sz="4" w:space="0"/>
              <w:bottom w:val="single" w:color="A4A4A4" w:themeColor="background1" w:themeShade="A5" w:sz="4" w:space="0"/>
              <w:right w:val="single" w:color="A4A4A4" w:sz="4" w:space="0"/>
            </w:tcBorders>
            <w:shd w:val="clear" w:color="auto" w:fill="auto"/>
            <w:vAlign w:val="center"/>
          </w:tcPr>
          <w:p w14:paraId="08EB2775">
            <w:pPr>
              <w:spacing w:before="20"/>
              <w:jc w:val="center"/>
              <w:rPr>
                <w:rFonts w:ascii="Times New Roman" w:hAnsi="Times New Roman" w:eastAsia="微软雅黑" w:cs="Times New Roman"/>
                <w:color w:val="FF0000"/>
                <w:sz w:val="21"/>
                <w:szCs w:val="21"/>
                <w:lang w:eastAsia="zh-CN"/>
              </w:rPr>
            </w:pPr>
            <w:r>
              <w:rPr>
                <w:rFonts w:hint="eastAsia" w:ascii="Times New Roman" w:hAnsi="Times New Roman" w:eastAsia="微软雅黑" w:cs="Times New Roman"/>
                <w:color w:val="FF0000"/>
                <w:sz w:val="21"/>
                <w:szCs w:val="21"/>
                <w:lang w:eastAsia="zh-CN"/>
              </w:rPr>
              <w:t>{{ cr.ExonicFunc }}</w:t>
            </w:r>
          </w:p>
        </w:tc>
        <w:tc>
          <w:tcPr>
            <w:tcW w:w="1140" w:type="dxa"/>
            <w:tcBorders>
              <w:top w:val="nil"/>
              <w:left w:val="single" w:color="A4A4A4" w:sz="4" w:space="0"/>
              <w:bottom w:val="single" w:color="A4A4A4" w:themeColor="background1" w:themeShade="A5" w:sz="4" w:space="0"/>
              <w:right w:val="single" w:color="A4A4A4" w:sz="4" w:space="0"/>
            </w:tcBorders>
            <w:shd w:val="clear" w:color="auto" w:fill="auto"/>
            <w:vAlign w:val="center"/>
          </w:tcPr>
          <w:p w14:paraId="35B1889C">
            <w:pPr>
              <w:spacing w:before="20"/>
              <w:jc w:val="center"/>
              <w:rPr>
                <w:rFonts w:ascii="Times New Roman" w:hAnsi="Times New Roman" w:eastAsia="微软雅黑" w:cs="Times New Roman"/>
                <w:color w:val="FF0000"/>
                <w:sz w:val="21"/>
                <w:szCs w:val="21"/>
                <w:lang w:eastAsia="zh-CN"/>
              </w:rPr>
            </w:pPr>
            <w:r>
              <w:rPr>
                <w:rFonts w:hint="eastAsia" w:ascii="Times New Roman" w:hAnsi="Times New Roman" w:eastAsia="微软雅黑" w:cs="Times New Roman"/>
                <w:color w:val="FF0000"/>
                <w:sz w:val="21"/>
                <w:szCs w:val="21"/>
                <w:lang w:eastAsia="zh-CN"/>
              </w:rPr>
              <w:t>{{ cr.Zygosity }}</w:t>
            </w:r>
          </w:p>
        </w:tc>
        <w:tc>
          <w:tcPr>
            <w:tcW w:w="930" w:type="dxa"/>
            <w:tcBorders>
              <w:top w:val="nil"/>
              <w:left w:val="single" w:color="A4A4A4" w:sz="4" w:space="0"/>
              <w:bottom w:val="single" w:color="A4A4A4" w:themeColor="background1" w:themeShade="A5" w:sz="4" w:space="0"/>
              <w:right w:val="single" w:color="A4A4A4" w:sz="4" w:space="0"/>
            </w:tcBorders>
            <w:shd w:val="clear" w:color="auto" w:fill="auto"/>
            <w:vAlign w:val="center"/>
          </w:tcPr>
          <w:p w14:paraId="094E37ED">
            <w:pPr>
              <w:spacing w:before="20"/>
              <w:jc w:val="center"/>
              <w:rPr>
                <w:rFonts w:ascii="Times New Roman" w:hAnsi="Times New Roman" w:eastAsia="微软雅黑" w:cs="Times New Roman"/>
                <w:color w:val="FF0000"/>
                <w:sz w:val="21"/>
                <w:szCs w:val="21"/>
                <w:lang w:eastAsia="zh-CN"/>
              </w:rPr>
            </w:pPr>
            <w:r>
              <w:rPr>
                <w:rFonts w:hint="eastAsia" w:ascii="Times New Roman" w:hAnsi="Times New Roman" w:eastAsia="微软雅黑" w:cs="Times New Roman"/>
                <w:color w:val="FF0000"/>
                <w:sz w:val="21"/>
                <w:szCs w:val="21"/>
                <w:lang w:eastAsia="zh-CN"/>
              </w:rPr>
              <w:t>{{ cr.c1000g2015aug_all }}</w:t>
            </w:r>
          </w:p>
        </w:tc>
        <w:tc>
          <w:tcPr>
            <w:tcW w:w="1527" w:type="dxa"/>
            <w:tcBorders>
              <w:top w:val="nil"/>
              <w:left w:val="single" w:color="A4A4A4" w:sz="4" w:space="0"/>
              <w:bottom w:val="single" w:color="A4A4A4" w:themeColor="background1" w:themeShade="A5" w:sz="4" w:space="0"/>
              <w:right w:val="nil"/>
            </w:tcBorders>
            <w:shd w:val="clear" w:color="auto" w:fill="auto"/>
            <w:vAlign w:val="center"/>
          </w:tcPr>
          <w:p w14:paraId="60AEDAE2">
            <w:pPr>
              <w:spacing w:before="20"/>
              <w:jc w:val="center"/>
              <w:rPr>
                <w:rFonts w:ascii="Times New Roman" w:hAnsi="Times New Roman" w:eastAsia="微软雅黑" w:cs="Times New Roman"/>
                <w:color w:val="FF0000"/>
                <w:sz w:val="21"/>
                <w:szCs w:val="21"/>
                <w:lang w:eastAsia="zh-CN"/>
              </w:rPr>
            </w:pPr>
            <w:r>
              <w:rPr>
                <w:rFonts w:hint="eastAsia" w:ascii="Times New Roman" w:hAnsi="Times New Roman" w:eastAsia="微软雅黑" w:cs="Times New Roman"/>
                <w:color w:val="FF0000"/>
                <w:sz w:val="21"/>
                <w:szCs w:val="21"/>
                <w:lang w:eastAsia="zh-CN"/>
              </w:rPr>
              <w:t>{{ cr.Clinical_significance }}</w:t>
            </w:r>
          </w:p>
        </w:tc>
      </w:tr>
      <w:tr w14:paraId="3D7159B8">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510" w:hRule="atLeast"/>
          <w:jc w:val="center"/>
        </w:trPr>
        <w:tc>
          <w:tcPr>
            <w:tcW w:w="9844" w:type="dxa"/>
            <w:gridSpan w:val="9"/>
            <w:tcBorders>
              <w:top w:val="nil"/>
              <w:left w:val="nil"/>
              <w:bottom w:val="single" w:color="A4A4A4" w:themeColor="background1" w:themeShade="A5" w:sz="4" w:space="0"/>
              <w:right w:val="nil"/>
            </w:tcBorders>
            <w:shd w:val="clear" w:color="auto" w:fill="auto"/>
            <w:vAlign w:val="center"/>
          </w:tcPr>
          <w:p w14:paraId="69D2D8DD">
            <w:pPr>
              <w:spacing w:before="20"/>
              <w:jc w:val="center"/>
              <w:rPr>
                <w:rFonts w:ascii="Times New Roman" w:hAnsi="Times New Roman" w:eastAsia="微软雅黑" w:cs="Times New Roman"/>
                <w:color w:val="FF0000"/>
                <w:sz w:val="21"/>
                <w:szCs w:val="21"/>
                <w:lang w:eastAsia="zh-CN"/>
              </w:rPr>
            </w:pPr>
            <w:r>
              <w:rPr>
                <w:rFonts w:hint="eastAsia" w:ascii="Times New Roman" w:hAnsi="Times New Roman" w:eastAsia="微软雅黑" w:cs="Times New Roman"/>
                <w:sz w:val="21"/>
                <w:szCs w:val="21"/>
                <w:lang w:eastAsia="zh-CN"/>
              </w:rPr>
              <w:t>{%tr else %}</w:t>
            </w:r>
          </w:p>
        </w:tc>
      </w:tr>
      <w:tr w14:paraId="36737566">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510" w:hRule="atLeast"/>
          <w:jc w:val="center"/>
        </w:trPr>
        <w:tc>
          <w:tcPr>
            <w:tcW w:w="1255" w:type="dxa"/>
            <w:tcBorders>
              <w:top w:val="nil"/>
              <w:left w:val="nil"/>
              <w:bottom w:val="single" w:color="A4A4A4" w:themeColor="background1" w:themeShade="A5" w:sz="4" w:space="0"/>
              <w:right w:val="single" w:color="A4A4A4" w:sz="4" w:space="0"/>
            </w:tcBorders>
            <w:shd w:val="clear" w:color="auto" w:fill="auto"/>
            <w:vAlign w:val="center"/>
          </w:tcPr>
          <w:p w14:paraId="3B847E34">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cr.Gene }}</w:t>
            </w:r>
          </w:p>
        </w:tc>
        <w:tc>
          <w:tcPr>
            <w:tcW w:w="825" w:type="dxa"/>
            <w:tcBorders>
              <w:top w:val="nil"/>
              <w:left w:val="single" w:color="A4A4A4" w:sz="4" w:space="0"/>
              <w:bottom w:val="single" w:color="A4A4A4" w:themeColor="background1" w:themeShade="A5" w:sz="4" w:space="0"/>
              <w:right w:val="single" w:color="A4A4A4" w:sz="4" w:space="0"/>
            </w:tcBorders>
            <w:shd w:val="clear" w:color="auto" w:fill="auto"/>
            <w:vAlign w:val="center"/>
          </w:tcPr>
          <w:p w14:paraId="1F311ACF">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cr.Chr }}</w:t>
            </w:r>
          </w:p>
        </w:tc>
        <w:tc>
          <w:tcPr>
            <w:tcW w:w="825" w:type="dxa"/>
            <w:tcBorders>
              <w:top w:val="nil"/>
              <w:left w:val="single" w:color="A4A4A4" w:sz="4" w:space="0"/>
              <w:bottom w:val="single" w:color="A4A4A4" w:themeColor="background1" w:themeShade="A5" w:sz="4" w:space="0"/>
              <w:right w:val="single" w:color="A4A4A4" w:sz="4" w:space="0"/>
            </w:tcBorders>
            <w:shd w:val="clear" w:color="auto" w:fill="auto"/>
            <w:vAlign w:val="center"/>
          </w:tcPr>
          <w:p w14:paraId="755F9F04">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w:t>
            </w:r>
            <w:r>
              <w:rPr>
                <w:rFonts w:ascii="Times New Roman" w:hAnsi="Times New Roman" w:eastAsia="微软雅黑" w:cs="Times New Roman"/>
                <w:sz w:val="21"/>
                <w:szCs w:val="21"/>
                <w:lang w:eastAsia="zh-CN"/>
              </w:rPr>
              <w:t>exon</w:t>
            </w:r>
            <w:r>
              <w:rPr>
                <w:rFonts w:hint="eastAsia" w:ascii="Times New Roman" w:hAnsi="Times New Roman" w:eastAsia="微软雅黑" w:cs="Times New Roman"/>
                <w:sz w:val="21"/>
                <w:szCs w:val="21"/>
                <w:lang w:eastAsia="zh-CN"/>
              </w:rPr>
              <w:t xml:space="preserve"> }}</w:t>
            </w:r>
          </w:p>
        </w:tc>
        <w:tc>
          <w:tcPr>
            <w:tcW w:w="1146" w:type="dxa"/>
            <w:tcBorders>
              <w:top w:val="nil"/>
              <w:left w:val="single" w:color="A4A4A4" w:sz="4" w:space="0"/>
              <w:bottom w:val="single" w:color="A4A4A4" w:themeColor="background1" w:themeShade="A5" w:sz="4" w:space="0"/>
              <w:right w:val="single" w:color="A4A4A4" w:sz="4" w:space="0"/>
            </w:tcBorders>
            <w:shd w:val="clear" w:color="auto" w:fill="auto"/>
            <w:vAlign w:val="center"/>
          </w:tcPr>
          <w:p w14:paraId="69178C77">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cr.cHGVS }}</w:t>
            </w:r>
          </w:p>
        </w:tc>
        <w:tc>
          <w:tcPr>
            <w:tcW w:w="1056" w:type="dxa"/>
            <w:tcBorders>
              <w:top w:val="nil"/>
              <w:left w:val="single" w:color="A4A4A4" w:sz="4" w:space="0"/>
              <w:bottom w:val="single" w:color="A4A4A4" w:themeColor="background1" w:themeShade="A5" w:sz="4" w:space="0"/>
              <w:right w:val="single" w:color="A4A4A4" w:sz="4" w:space="0"/>
            </w:tcBorders>
            <w:shd w:val="clear" w:color="auto" w:fill="auto"/>
            <w:vAlign w:val="center"/>
          </w:tcPr>
          <w:p w14:paraId="2336F4E4">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cr.pHGVS }}</w:t>
            </w:r>
          </w:p>
        </w:tc>
        <w:tc>
          <w:tcPr>
            <w:tcW w:w="1140" w:type="dxa"/>
            <w:tcBorders>
              <w:top w:val="nil"/>
              <w:left w:val="single" w:color="A4A4A4" w:sz="4" w:space="0"/>
              <w:bottom w:val="single" w:color="A4A4A4" w:themeColor="background1" w:themeShade="A5" w:sz="4" w:space="0"/>
              <w:right w:val="single" w:color="A4A4A4" w:sz="4" w:space="0"/>
            </w:tcBorders>
            <w:shd w:val="clear" w:color="auto" w:fill="auto"/>
            <w:vAlign w:val="center"/>
          </w:tcPr>
          <w:p w14:paraId="7166FA2D">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cr.ExonicFunc }}</w:t>
            </w:r>
          </w:p>
        </w:tc>
        <w:tc>
          <w:tcPr>
            <w:tcW w:w="1140" w:type="dxa"/>
            <w:tcBorders>
              <w:top w:val="nil"/>
              <w:left w:val="single" w:color="A4A4A4" w:sz="4" w:space="0"/>
              <w:bottom w:val="single" w:color="A4A4A4" w:themeColor="background1" w:themeShade="A5" w:sz="4" w:space="0"/>
              <w:right w:val="single" w:color="A4A4A4" w:sz="4" w:space="0"/>
            </w:tcBorders>
            <w:shd w:val="clear" w:color="auto" w:fill="auto"/>
            <w:vAlign w:val="center"/>
          </w:tcPr>
          <w:p w14:paraId="23CB8333">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cr.Zygosity }}</w:t>
            </w:r>
          </w:p>
        </w:tc>
        <w:tc>
          <w:tcPr>
            <w:tcW w:w="930" w:type="dxa"/>
            <w:tcBorders>
              <w:top w:val="nil"/>
              <w:left w:val="single" w:color="A4A4A4" w:sz="4" w:space="0"/>
              <w:bottom w:val="single" w:color="A4A4A4" w:themeColor="background1" w:themeShade="A5" w:sz="4" w:space="0"/>
              <w:right w:val="single" w:color="A4A4A4" w:sz="4" w:space="0"/>
            </w:tcBorders>
            <w:shd w:val="clear" w:color="auto" w:fill="auto"/>
            <w:vAlign w:val="center"/>
          </w:tcPr>
          <w:p w14:paraId="62C48DE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cr.c1000g2015aug_all }}</w:t>
            </w:r>
          </w:p>
        </w:tc>
        <w:tc>
          <w:tcPr>
            <w:tcW w:w="1527" w:type="dxa"/>
            <w:tcBorders>
              <w:top w:val="nil"/>
              <w:left w:val="single" w:color="A4A4A4" w:sz="4" w:space="0"/>
              <w:bottom w:val="single" w:color="A4A4A4" w:themeColor="background1" w:themeShade="A5" w:sz="4" w:space="0"/>
              <w:right w:val="nil"/>
            </w:tcBorders>
            <w:shd w:val="clear" w:color="auto" w:fill="auto"/>
            <w:vAlign w:val="center"/>
          </w:tcPr>
          <w:p w14:paraId="038F44CD">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cr.Clinical_significance }}</w:t>
            </w:r>
          </w:p>
        </w:tc>
      </w:tr>
      <w:tr w14:paraId="63DCBCB1">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510" w:hRule="atLeast"/>
          <w:jc w:val="center"/>
        </w:trPr>
        <w:tc>
          <w:tcPr>
            <w:tcW w:w="9844" w:type="dxa"/>
            <w:gridSpan w:val="9"/>
            <w:tcBorders>
              <w:top w:val="single" w:color="A4A4A4" w:themeColor="background1" w:themeShade="A5" w:sz="4" w:space="0"/>
              <w:left w:val="nil"/>
              <w:bottom w:val="single" w:color="A4A4A4" w:sz="4" w:space="0"/>
              <w:right w:val="nil"/>
            </w:tcBorders>
            <w:shd w:val="clear" w:color="auto" w:fill="auto"/>
            <w:vAlign w:val="center"/>
          </w:tcPr>
          <w:p w14:paraId="6D3002E7">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r w14:paraId="2E8C56BB">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510" w:hRule="atLeast"/>
          <w:jc w:val="center"/>
        </w:trPr>
        <w:tc>
          <w:tcPr>
            <w:tcW w:w="9844" w:type="dxa"/>
            <w:gridSpan w:val="9"/>
            <w:tcBorders>
              <w:top w:val="single" w:color="A4A4A4" w:themeColor="background1" w:themeShade="A5" w:sz="4" w:space="0"/>
              <w:left w:val="nil"/>
              <w:bottom w:val="single" w:color="A4A4A4" w:sz="4" w:space="0"/>
              <w:right w:val="nil"/>
            </w:tcBorders>
            <w:shd w:val="clear" w:color="auto" w:fill="auto"/>
            <w:vAlign w:val="center"/>
          </w:tcPr>
          <w:p w14:paraId="6D0BF9FE">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1944834D">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510" w:hRule="atLeast"/>
          <w:jc w:val="center"/>
        </w:trPr>
        <w:tc>
          <w:tcPr>
            <w:tcW w:w="9844" w:type="dxa"/>
            <w:gridSpan w:val="9"/>
            <w:tcBorders>
              <w:top w:val="single" w:color="A4A4A4" w:sz="4" w:space="0"/>
              <w:left w:val="nil"/>
              <w:bottom w:val="nil"/>
              <w:right w:val="nil"/>
            </w:tcBorders>
            <w:shd w:val="clear" w:color="auto" w:fill="auto"/>
            <w:vAlign w:val="center"/>
          </w:tcPr>
          <w:p w14:paraId="0B51EF86">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1F07F1BB">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510" w:hRule="atLeast"/>
          <w:jc w:val="center"/>
        </w:trPr>
        <w:tc>
          <w:tcPr>
            <w:tcW w:w="1255" w:type="dxa"/>
            <w:tcBorders>
              <w:top w:val="nil"/>
              <w:left w:val="nil"/>
              <w:bottom w:val="single" w:color="A4A4A4" w:sz="4" w:space="0"/>
              <w:right w:val="single" w:color="A4A4A4" w:themeColor="background1" w:themeShade="A5" w:sz="4" w:space="0"/>
            </w:tcBorders>
            <w:shd w:val="clear" w:color="auto" w:fill="auto"/>
            <w:vAlign w:val="center"/>
          </w:tcPr>
          <w:p w14:paraId="228DE3C1">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w:t>
            </w:r>
          </w:p>
        </w:tc>
        <w:tc>
          <w:tcPr>
            <w:tcW w:w="825" w:type="dxa"/>
            <w:tcBorders>
              <w:top w:val="nil"/>
              <w:left w:val="single" w:color="A4A4A4" w:themeColor="background1" w:themeShade="A5" w:sz="4" w:space="0"/>
              <w:bottom w:val="single" w:color="A4A4A4" w:sz="4" w:space="0"/>
              <w:right w:val="single" w:color="A4A4A4" w:themeColor="background1" w:themeShade="A5" w:sz="4" w:space="0"/>
            </w:tcBorders>
            <w:shd w:val="clear" w:color="auto" w:fill="auto"/>
            <w:vAlign w:val="center"/>
          </w:tcPr>
          <w:p w14:paraId="45A9FB19">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825" w:type="dxa"/>
            <w:tcBorders>
              <w:top w:val="nil"/>
              <w:left w:val="single" w:color="A4A4A4" w:themeColor="background1" w:themeShade="A5" w:sz="4" w:space="0"/>
              <w:bottom w:val="single" w:color="A4A4A4" w:sz="4" w:space="0"/>
              <w:right w:val="single" w:color="A4A4A4" w:themeColor="background1" w:themeShade="A5" w:sz="4" w:space="0"/>
            </w:tcBorders>
            <w:shd w:val="clear" w:color="auto" w:fill="auto"/>
            <w:vAlign w:val="center"/>
          </w:tcPr>
          <w:p w14:paraId="27F2F1D6">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6" w:type="dxa"/>
            <w:tcBorders>
              <w:top w:val="nil"/>
              <w:left w:val="single" w:color="A4A4A4" w:themeColor="background1" w:themeShade="A5" w:sz="4" w:space="0"/>
              <w:bottom w:val="single" w:color="A4A4A4" w:sz="4" w:space="0"/>
              <w:right w:val="single" w:color="A4A4A4" w:themeColor="background1" w:themeShade="A5" w:sz="4" w:space="0"/>
            </w:tcBorders>
            <w:shd w:val="clear" w:color="auto" w:fill="auto"/>
            <w:vAlign w:val="center"/>
          </w:tcPr>
          <w:p w14:paraId="4A83410D">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056" w:type="dxa"/>
            <w:tcBorders>
              <w:top w:val="nil"/>
              <w:left w:val="single" w:color="A4A4A4" w:themeColor="background1" w:themeShade="A5" w:sz="4" w:space="0"/>
              <w:bottom w:val="single" w:color="A4A4A4" w:sz="4" w:space="0"/>
              <w:right w:val="single" w:color="A4A4A4" w:themeColor="background1" w:themeShade="A5" w:sz="4" w:space="0"/>
            </w:tcBorders>
            <w:shd w:val="clear" w:color="auto" w:fill="auto"/>
            <w:vAlign w:val="center"/>
          </w:tcPr>
          <w:p w14:paraId="504E7181">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left w:val="single" w:color="A4A4A4" w:themeColor="background1" w:themeShade="A5" w:sz="4" w:space="0"/>
              <w:bottom w:val="single" w:color="A4A4A4" w:sz="4" w:space="0"/>
              <w:right w:val="single" w:color="A4A4A4" w:themeColor="background1" w:themeShade="A5" w:sz="4" w:space="0"/>
            </w:tcBorders>
            <w:shd w:val="clear" w:color="auto" w:fill="auto"/>
            <w:vAlign w:val="center"/>
          </w:tcPr>
          <w:p w14:paraId="4DB47929">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left w:val="single" w:color="A4A4A4" w:themeColor="background1" w:themeShade="A5" w:sz="4" w:space="0"/>
              <w:bottom w:val="single" w:color="A4A4A4" w:sz="4" w:space="0"/>
              <w:right w:val="single" w:color="A4A4A4" w:themeColor="background1" w:themeShade="A5" w:sz="4" w:space="0"/>
            </w:tcBorders>
            <w:shd w:val="clear" w:color="auto" w:fill="auto"/>
            <w:vAlign w:val="center"/>
          </w:tcPr>
          <w:p w14:paraId="20B4F0D5">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930" w:type="dxa"/>
            <w:tcBorders>
              <w:top w:val="nil"/>
              <w:left w:val="single" w:color="A4A4A4" w:themeColor="background1" w:themeShade="A5" w:sz="4" w:space="0"/>
              <w:bottom w:val="single" w:color="A4A4A4" w:sz="4" w:space="0"/>
              <w:right w:val="single" w:color="A4A4A4" w:themeColor="background1" w:themeShade="A5" w:sz="4" w:space="0"/>
            </w:tcBorders>
            <w:shd w:val="clear" w:color="auto" w:fill="auto"/>
            <w:vAlign w:val="center"/>
          </w:tcPr>
          <w:p w14:paraId="2D46F9DF">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527" w:type="dxa"/>
            <w:tcBorders>
              <w:top w:val="nil"/>
              <w:left w:val="single" w:color="A4A4A4" w:themeColor="background1" w:themeShade="A5" w:sz="4" w:space="0"/>
              <w:bottom w:val="single" w:color="A4A4A4" w:sz="4" w:space="0"/>
              <w:right w:val="nil"/>
            </w:tcBorders>
            <w:shd w:val="clear" w:color="auto" w:fill="auto"/>
            <w:vAlign w:val="center"/>
          </w:tcPr>
          <w:p w14:paraId="1032B89D">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1098AA80">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510" w:hRule="atLeast"/>
          <w:jc w:val="center"/>
        </w:trPr>
        <w:tc>
          <w:tcPr>
            <w:tcW w:w="9844" w:type="dxa"/>
            <w:gridSpan w:val="9"/>
            <w:tcBorders>
              <w:top w:val="single" w:color="A4A4A4" w:sz="4" w:space="0"/>
              <w:left w:val="nil"/>
              <w:bottom w:val="single" w:color="A4A4A4" w:sz="4" w:space="0"/>
              <w:right w:val="nil"/>
            </w:tcBorders>
            <w:shd w:val="clear" w:color="auto" w:fill="auto"/>
            <w:vAlign w:val="center"/>
          </w:tcPr>
          <w:p w14:paraId="2CD52B51">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0DBAE855">
      <w:pPr>
        <w:rPr>
          <w:rFonts w:ascii="Times New Roman" w:hAnsi="Times New Roman" w:eastAsia="微软雅黑" w:cs="Times New Roman"/>
          <w:sz w:val="24"/>
          <w:szCs w:val="24"/>
          <w:lang w:eastAsia="zh-CN"/>
        </w:rPr>
      </w:pPr>
    </w:p>
    <w:p w14:paraId="73E39693">
      <w:pPr>
        <w:spacing w:before="120" w:beforeLines="50" w:after="192" w:afterLines="80"/>
        <w:rPr>
          <w:rFonts w:ascii="Times New Roman" w:hAnsi="Times New Roman" w:eastAsia="微软雅黑" w:cs="黑体"/>
          <w:b/>
          <w:bCs/>
          <w:sz w:val="24"/>
          <w:szCs w:val="24"/>
          <w:lang w:eastAsia="zh-CN"/>
        </w:rPr>
      </w:pPr>
      <w:r>
        <w:rPr>
          <w:rFonts w:hint="eastAsia" w:ascii="Times New Roman" w:hAnsi="Times New Roman" w:eastAsia="微软雅黑" w:cs="Times New Roman"/>
          <w:b/>
          <w:sz w:val="24"/>
          <w:szCs w:val="24"/>
          <w:lang w:eastAsia="zh-CN"/>
        </w:rPr>
        <w:t>胚系变异用药提示</w:t>
      </w:r>
    </w:p>
    <w:tbl>
      <w:tblPr>
        <w:tblStyle w:val="21"/>
        <w:tblW w:w="5035"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85"/>
        <w:gridCol w:w="1779"/>
        <w:gridCol w:w="1292"/>
        <w:gridCol w:w="1076"/>
        <w:gridCol w:w="2252"/>
        <w:gridCol w:w="2256"/>
      </w:tblGrid>
      <w:tr w14:paraId="07E330D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646" w:type="pct"/>
            <w:tcBorders>
              <w:top w:val="nil"/>
              <w:left w:val="nil"/>
              <w:bottom w:val="nil"/>
              <w:right w:val="single" w:color="FFFFFF" w:sz="18" w:space="0"/>
            </w:tcBorders>
            <w:shd w:val="clear" w:color="auto" w:fill="62B541"/>
            <w:vAlign w:val="center"/>
          </w:tcPr>
          <w:p w14:paraId="630C5DCE">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检测</w:t>
            </w:r>
            <w:r>
              <w:rPr>
                <w:rFonts w:ascii="Times New Roman" w:hAnsi="Times New Roman" w:eastAsia="微软雅黑" w:cs="Times New Roman"/>
                <w:b/>
                <w:color w:val="FFFFFF" w:themeColor="background1"/>
                <w:sz w:val="21"/>
                <w:szCs w:val="21"/>
                <w14:textFill>
                  <w14:solidFill>
                    <w14:schemeClr w14:val="bg1"/>
                  </w14:solidFill>
                </w14:textFill>
              </w:rPr>
              <w:t>基因</w:t>
            </w:r>
          </w:p>
        </w:tc>
        <w:tc>
          <w:tcPr>
            <w:tcW w:w="895" w:type="pct"/>
            <w:tcBorders>
              <w:top w:val="nil"/>
              <w:left w:val="single" w:color="FFFFFF" w:sz="18" w:space="0"/>
              <w:bottom w:val="nil"/>
              <w:right w:val="single" w:color="FFFFFF" w:sz="18" w:space="0"/>
            </w:tcBorders>
            <w:shd w:val="clear" w:color="auto" w:fill="62B541"/>
            <w:vAlign w:val="center"/>
          </w:tcPr>
          <w:p w14:paraId="1BB7D889">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650" w:type="pct"/>
            <w:tcBorders>
              <w:top w:val="nil"/>
              <w:left w:val="single" w:color="FFFFFF" w:sz="18" w:space="0"/>
              <w:bottom w:val="nil"/>
              <w:right w:val="single" w:color="FFFFFF" w:sz="18" w:space="0"/>
            </w:tcBorders>
            <w:shd w:val="clear" w:color="auto" w:fill="62B541"/>
            <w:vAlign w:val="center"/>
          </w:tcPr>
          <w:p w14:paraId="6A7BFF80">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41" w:type="pct"/>
            <w:tcBorders>
              <w:top w:val="nil"/>
              <w:left w:val="single" w:color="FFFFFF" w:sz="18" w:space="0"/>
              <w:bottom w:val="nil"/>
              <w:right w:val="single" w:color="FFFFFF" w:sz="18" w:space="0"/>
            </w:tcBorders>
            <w:shd w:val="clear" w:color="auto" w:fill="62B541"/>
            <w:vAlign w:val="center"/>
          </w:tcPr>
          <w:p w14:paraId="1639C6A3">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1133" w:type="pct"/>
            <w:tcBorders>
              <w:top w:val="nil"/>
              <w:left w:val="single" w:color="FFFFFF" w:sz="18" w:space="0"/>
              <w:bottom w:val="nil"/>
              <w:right w:val="single" w:color="FFFFFF" w:sz="18" w:space="0"/>
            </w:tcBorders>
            <w:shd w:val="clear" w:color="auto" w:fill="62B541"/>
            <w:vAlign w:val="center"/>
          </w:tcPr>
          <w:p w14:paraId="15916175">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33" w:type="pct"/>
            <w:tcBorders>
              <w:top w:val="nil"/>
              <w:left w:val="single" w:color="FFFFFF" w:sz="18" w:space="0"/>
              <w:bottom w:val="nil"/>
              <w:right w:val="nil"/>
            </w:tcBorders>
            <w:shd w:val="clear" w:color="auto" w:fill="62B541"/>
            <w:vAlign w:val="center"/>
          </w:tcPr>
          <w:p w14:paraId="79B12F9F">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50650CB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39ED0ACA">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embryonalDrugTipLineStr != [] %}</w:t>
            </w:r>
          </w:p>
        </w:tc>
      </w:tr>
      <w:tr w14:paraId="0A57A8C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6A942361">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embryonalDrugTipLineStr %}</w:t>
            </w:r>
          </w:p>
        </w:tc>
      </w:tr>
      <w:tr w14:paraId="2B98D52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1286" w:type="dxa"/>
            <w:tcBorders>
              <w:top w:val="nil"/>
              <w:left w:val="nil"/>
              <w:bottom w:val="single" w:color="A4A4A4" w:themeColor="background1" w:themeShade="A5" w:sz="4" w:space="0"/>
            </w:tcBorders>
            <w:shd w:val="clear" w:color="auto" w:fill="auto"/>
            <w:vAlign w:val="center"/>
          </w:tcPr>
          <w:p w14:paraId="0E56A6EF">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1780" w:type="dxa"/>
            <w:tcBorders>
              <w:top w:val="nil"/>
              <w:bottom w:val="single" w:color="A4A4A4" w:themeColor="background1" w:themeShade="A5" w:sz="4" w:space="0"/>
            </w:tcBorders>
            <w:shd w:val="clear" w:color="auto" w:fill="auto"/>
            <w:vAlign w:val="center"/>
          </w:tcPr>
          <w:p w14:paraId="13540C5F">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650" w:type="pct"/>
            <w:tcBorders>
              <w:top w:val="nil"/>
              <w:bottom w:val="single" w:color="A4A4A4" w:themeColor="background1" w:themeShade="A5" w:sz="4" w:space="0"/>
            </w:tcBorders>
            <w:shd w:val="clear" w:color="auto" w:fill="auto"/>
            <w:vAlign w:val="center"/>
          </w:tcPr>
          <w:p w14:paraId="7EF1BA67">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41" w:type="pct"/>
            <w:tcBorders>
              <w:top w:val="nil"/>
              <w:bottom w:val="single" w:color="A4A4A4" w:themeColor="background1" w:themeShade="A5" w:sz="4" w:space="0"/>
            </w:tcBorders>
            <w:shd w:val="clear" w:color="auto" w:fill="auto"/>
            <w:vAlign w:val="center"/>
          </w:tcPr>
          <w:p w14:paraId="66CDFDF4">
            <w:pPr>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 tip.mutFreq }}</w:t>
            </w:r>
          </w:p>
        </w:tc>
        <w:tc>
          <w:tcPr>
            <w:tcW w:w="2253" w:type="dxa"/>
            <w:tcBorders>
              <w:top w:val="nil"/>
              <w:bottom w:val="single" w:color="A4A4A4" w:themeColor="background1" w:themeShade="A5" w:sz="4" w:space="0"/>
            </w:tcBorders>
            <w:shd w:val="clear" w:color="auto" w:fill="auto"/>
            <w:vAlign w:val="center"/>
          </w:tcPr>
          <w:p w14:paraId="1AB4663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376BAD7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276AA84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2E36DB3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2700568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2253" w:type="dxa"/>
            <w:tcBorders>
              <w:top w:val="nil"/>
              <w:bottom w:val="single" w:color="A4A4A4" w:themeColor="background1" w:themeShade="A5" w:sz="4" w:space="0"/>
              <w:right w:val="nil"/>
            </w:tcBorders>
            <w:shd w:val="clear" w:color="auto" w:fill="auto"/>
            <w:vAlign w:val="center"/>
          </w:tcPr>
          <w:p w14:paraId="4D43CD06">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2E899E6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11B2E52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7B8241E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299A439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64F9105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146343B">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175907B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76BD4B0D">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095C386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37430711">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本次检测未发现靶药相关致病性及可能致病性胚系突变</w:t>
            </w:r>
          </w:p>
        </w:tc>
      </w:tr>
      <w:tr w14:paraId="1D6EC42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7CA10B5B">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5CC19222">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14:paraId="1A8506CF">
      <w:pPr>
        <w:pStyle w:val="22"/>
        <w:numPr>
          <w:ilvl w:val="0"/>
          <w:numId w:val="9"/>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本报告只给出千人频率均在2%以下的胚系非同义突变。</w:t>
      </w:r>
    </w:p>
    <w:p w14:paraId="3AC2CC62">
      <w:pPr>
        <w:pStyle w:val="22"/>
        <w:numPr>
          <w:ilvl w:val="0"/>
          <w:numId w:val="9"/>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根据美国医学遗传医师学会（ACMG）指导意见，个体携带的变异，分为5个大类：</w:t>
      </w:r>
    </w:p>
    <w:p w14:paraId="45142AD2">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致病性变异：有大量证据表明这种变异是高风险的致病性变异。</w:t>
      </w:r>
    </w:p>
    <w:p w14:paraId="229D7877">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可能致病性变异：有一些证据表明这种变异是高风险的致病性变异。</w:t>
      </w:r>
    </w:p>
    <w:p w14:paraId="2A8A7190">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不确定性变异：没有足够的证据，将变异分类到其他四类中。</w:t>
      </w:r>
    </w:p>
    <w:p w14:paraId="778CE4F7">
      <w:pPr>
        <w:ind w:firstLine="360" w:firstLineChars="200"/>
        <w:rPr>
          <w:rFonts w:ascii="Times New Roman" w:hAnsi="Times New Roman" w:eastAsia="微软雅黑" w:cs="Times New Roman"/>
          <w:sz w:val="18"/>
          <w:szCs w:val="18"/>
          <w:lang w:val="zh-CN"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可能良性</w:t>
      </w:r>
      <w:r>
        <w:rPr>
          <w:rFonts w:ascii="Times New Roman" w:hAnsi="Times New Roman" w:eastAsia="微软雅黑" w:cs="Times New Roman"/>
          <w:sz w:val="18"/>
          <w:szCs w:val="18"/>
          <w:lang w:val="zh-CN" w:eastAsia="zh-CN"/>
        </w:rPr>
        <w:t>变异：有一些证据表明这种变异不是高风险的致病变异。</w:t>
      </w:r>
    </w:p>
    <w:p w14:paraId="41450DB7">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良性</w:t>
      </w:r>
      <w:r>
        <w:rPr>
          <w:rFonts w:ascii="Times New Roman" w:hAnsi="Times New Roman" w:eastAsia="微软雅黑" w:cs="Times New Roman"/>
          <w:sz w:val="18"/>
          <w:szCs w:val="18"/>
          <w:lang w:val="zh-CN" w:eastAsia="zh-CN"/>
        </w:rPr>
        <w:t>变异：有大量证据表明这种变异不是高风险的致病变异。</w:t>
      </w:r>
    </w:p>
    <w:p w14:paraId="62B3C408">
      <w:pPr>
        <w:numPr>
          <w:ilvl w:val="0"/>
          <w:numId w:val="9"/>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基因变异临床意义等级来源于ACMG指南及Clinvar等公共数据库，随着相关指南、数据库不断完善以及临床数据的更新，变异分级可能发生变化。</w:t>
      </w:r>
    </w:p>
    <w:p w14:paraId="69FC6A10">
      <w:pPr>
        <w:numPr>
          <w:ilvl w:val="0"/>
          <w:numId w:val="9"/>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良性变异和可能良性变异不在报告中展示。</w:t>
      </w:r>
    </w:p>
    <w:p w14:paraId="380AD263">
      <w:pPr>
        <w:rPr>
          <w:rFonts w:ascii="Times New Roman" w:hAnsi="Times New Roman" w:eastAsia="微软雅黑" w:cs="黑体"/>
          <w:b/>
          <w:bCs/>
          <w:sz w:val="30"/>
          <w:szCs w:val="30"/>
          <w:lang w:eastAsia="zh-CN"/>
        </w:rPr>
      </w:pPr>
      <w:r>
        <w:rPr>
          <w:rFonts w:hint="eastAsia" w:ascii="Times New Roman" w:hAnsi="Times New Roman" w:eastAsia="微软雅黑" w:cs="黑体"/>
          <w:b/>
          <w:bCs/>
          <w:sz w:val="30"/>
          <w:szCs w:val="30"/>
          <w:lang w:eastAsia="zh-CN"/>
        </w:rPr>
        <w:br w:type="page"/>
      </w:r>
    </w:p>
    <w:p w14:paraId="269BFD06">
      <w:p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14:paraId="2512020C">
      <w:pPr>
        <w:pStyle w:val="3"/>
        <w:numPr>
          <w:ilvl w:val="255"/>
          <w:numId w:val="0"/>
        </w:numPr>
        <w:jc w:val="left"/>
        <w:rPr>
          <w:color w:val="auto"/>
          <w:sz w:val="30"/>
          <w:lang w:eastAsia="zh-CN"/>
        </w:rPr>
      </w:pPr>
      <w:bookmarkStart w:id="41" w:name="_Toc20034"/>
      <w:bookmarkStart w:id="42" w:name="_Toc7657"/>
      <w:bookmarkStart w:id="43" w:name="_Toc10223"/>
      <w:bookmarkStart w:id="44" w:name="_Toc28717"/>
      <w:bookmarkStart w:id="45" w:name="_Toc29277"/>
      <w:bookmarkStart w:id="46" w:name="_Toc106719764"/>
      <w:r>
        <w:rPr>
          <w:rFonts w:hint="eastAsia"/>
          <w:color w:val="auto"/>
          <w:sz w:val="30"/>
          <w:lang w:eastAsia="zh-CN"/>
        </w:rPr>
        <w:t>PD-L1检测结果</w:t>
      </w:r>
      <w:bookmarkEnd w:id="41"/>
      <w:bookmarkEnd w:id="42"/>
      <w:bookmarkEnd w:id="43"/>
      <w:bookmarkEnd w:id="44"/>
      <w:bookmarkEnd w:id="45"/>
      <w:bookmarkEnd w:id="46"/>
    </w:p>
    <w:p w14:paraId="18A77CA3">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组织切片质控：</w:t>
      </w:r>
    </w:p>
    <w:tbl>
      <w:tblPr>
        <w:tblStyle w:val="15"/>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0315A8A6">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343C93A5">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6DBD3E40">
            <w:pPr>
              <w:pStyle w:val="42"/>
            </w:pPr>
            <w:r>
              <w:rPr>
                <w:rFonts w:hint="eastAsia"/>
              </w:rPr>
              <w:t>{{</w:t>
            </w:r>
            <w:r>
              <w:t xml:space="preserve"> PDInfo</w:t>
            </w:r>
            <w:r>
              <w:rPr>
                <w:rFonts w:hint="eastAsia"/>
              </w:rPr>
              <w:t>.</w:t>
            </w:r>
            <w:r>
              <w:t>Tumor_cell_count</w:t>
            </w:r>
            <w:r>
              <w:rPr>
                <w:rFonts w:hint="eastAsia"/>
              </w:rPr>
              <w:t xml:space="preserve"> }}</w:t>
            </w:r>
          </w:p>
        </w:tc>
      </w:tr>
      <w:tr w14:paraId="4256E7FA">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45B5A041">
            <w:pPr>
              <w:pStyle w:val="43"/>
            </w:pPr>
            <w:r>
              <w:t>镜下描述：</w:t>
            </w:r>
            <w:r>
              <w:rPr>
                <w:rFonts w:hint="eastAsia"/>
              </w:rPr>
              <w:t>{{</w:t>
            </w:r>
            <w:r>
              <w:t xml:space="preserve"> PDInfo</w:t>
            </w:r>
            <w:r>
              <w:rPr>
                <w:rFonts w:hint="eastAsia"/>
              </w:rPr>
              <w:t>.</w:t>
            </w:r>
            <w:r>
              <w:t>Seen_microscopically</w:t>
            </w:r>
            <w:r>
              <w:rPr>
                <w:rFonts w:hint="eastAsia"/>
              </w:rPr>
              <w:t xml:space="preserve"> }}</w:t>
            </w:r>
          </w:p>
        </w:tc>
      </w:tr>
    </w:tbl>
    <w:p w14:paraId="070B0B67">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14:paraId="0F7FCF6F">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14:paraId="7191665E">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14:paraId="5AE9B15E">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检测结果：</w:t>
      </w:r>
    </w:p>
    <w:tbl>
      <w:tblPr>
        <w:tblStyle w:val="14"/>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42EB8C71">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62B541"/>
            <w:vAlign w:val="center"/>
          </w:tcPr>
          <w:p w14:paraId="66F5F45E">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2B541"/>
            <w:vAlign w:val="center"/>
          </w:tcPr>
          <w:p w14:paraId="740DD1B6">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2B541"/>
          </w:tcPr>
          <w:p w14:paraId="340FE647">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2B541"/>
            <w:vAlign w:val="center"/>
          </w:tcPr>
          <w:p w14:paraId="52116C20">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5D7050A0">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63FCDB5A">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32996DA1">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08B15D5F">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14:paraId="38EC0370">
            <w:pPr>
              <w:pStyle w:val="44"/>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14:paraId="79AFD60E">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07079B84">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4CB337FD">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2C2ED59A">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4F87DAC1">
            <w:pPr>
              <w:pStyle w:val="44"/>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14:paraId="6C3E20A0">
      <w:pPr>
        <w:spacing w:line="276" w:lineRule="auto"/>
        <w:ind w:right="449" w:rightChars="204"/>
        <w:rPr>
          <w:rFonts w:ascii="微软雅黑" w:hAnsi="微软雅黑" w:eastAsia="微软雅黑" w:cs="微软雅黑"/>
          <w:b/>
          <w:color w:val="000000"/>
          <w:sz w:val="18"/>
          <w:szCs w:val="18"/>
        </w:rPr>
      </w:pPr>
    </w:p>
    <w:p w14:paraId="6C65412C">
      <w:pPr>
        <w:ind w:firstLine="240" w:firstLineChars="100"/>
        <w:rPr>
          <w:rFonts w:ascii="Times New Roman" w:hAnsi="Times New Roman" w:eastAsia="微软雅黑" w:cs="黑体"/>
          <w:b/>
          <w:bCs/>
          <w:color w:val="033F86"/>
          <w:sz w:val="24"/>
          <w:szCs w:val="30"/>
          <w:lang w:eastAsia="zh-CN"/>
        </w:rPr>
      </w:pPr>
      <w:r>
        <w:rPr>
          <w:rFonts w:ascii="Times New Roman" w:hAnsi="Times New Roman" w:eastAsia="微软雅黑" w:cs="黑体"/>
          <w:b/>
          <w:bCs/>
          <w:color w:val="62B541"/>
          <w:sz w:val="24"/>
          <w:szCs w:val="30"/>
          <w:lang w:eastAsia="zh-CN"/>
        </w:rPr>
        <w:t>检测图谱</w:t>
      </w:r>
      <w:r>
        <w:rPr>
          <w:rFonts w:hint="eastAsia" w:ascii="Times New Roman" w:hAnsi="Times New Roman" w:eastAsia="微软雅黑" w:cs="黑体"/>
          <w:b/>
          <w:bCs/>
          <w:color w:val="62B541"/>
          <w:sz w:val="24"/>
          <w:szCs w:val="30"/>
          <w:lang w:eastAsia="zh-CN"/>
        </w:rPr>
        <w:t>：</w:t>
      </w:r>
      <w:r>
        <w:rPr>
          <w:rFonts w:ascii="Times New Roman" w:hAnsi="Times New Roman" w:eastAsia="微软雅黑" w:cs="黑体"/>
          <w:b/>
          <w:bCs/>
          <w:color w:val="033F86"/>
          <w:sz w:val="24"/>
          <w:szCs w:val="30"/>
          <w:lang w:eastAsia="zh-CN"/>
        </w:rPr>
        <w:t xml:space="preserve"> </w:t>
      </w:r>
    </w:p>
    <w:p w14:paraId="01E41199">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36C0FB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3DC60409">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3D541808">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1A2534DF">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14:paraId="178060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75547EDB">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14:paraId="6CE1698E">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14:paraId="6195D18F">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14:paraId="534038DC">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5"/>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77656C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1D2A5888">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7CC8ECB0">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14:paraId="1870090D">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7D66BA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114CA286">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6C72A40E">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10800D6D">
            <w:pPr>
              <w:spacing w:line="276" w:lineRule="auto"/>
              <w:jc w:val="left"/>
              <w:rPr>
                <w:rFonts w:ascii="Times New Roman" w:hAnsi="Times New Roman" w:eastAsia="微软雅黑" w:cs="Times New Roman"/>
                <w:sz w:val="18"/>
                <w:szCs w:val="18"/>
                <w:shd w:val="clear" w:color="auto" w:fill="FFFFFF"/>
                <w:lang w:eastAsia="zh-CN"/>
              </w:rPr>
            </w:pPr>
          </w:p>
        </w:tc>
      </w:tr>
      <w:tr w14:paraId="689496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5EE8D636">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0695EE83">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1F6BC02A">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09B69E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287059CC">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00D3AA6B">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6E92A8B3">
            <w:pPr>
              <w:spacing w:line="276" w:lineRule="auto"/>
              <w:jc w:val="left"/>
              <w:rPr>
                <w:rFonts w:ascii="Times New Roman" w:hAnsi="Times New Roman" w:eastAsia="微软雅黑" w:cs="Times New Roman"/>
                <w:sz w:val="18"/>
                <w:szCs w:val="18"/>
                <w:shd w:val="clear" w:color="auto" w:fill="FFFFFF"/>
                <w:lang w:eastAsia="zh-CN"/>
              </w:rPr>
            </w:pPr>
          </w:p>
        </w:tc>
      </w:tr>
    </w:tbl>
    <w:p w14:paraId="571FE972">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14:paraId="60DE8376">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14:paraId="40C9DF67">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.pdInfoTable != [] %}</w:t>
      </w:r>
    </w:p>
    <w:p w14:paraId="0DD5AA3B">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PD-L1表达阳性阈值：</w:t>
      </w:r>
    </w:p>
    <w:p w14:paraId="7A5799DC">
      <w:pPr>
        <w:pStyle w:val="6"/>
        <w:spacing w:before="18"/>
        <w:rPr>
          <w:b/>
          <w:sz w:val="6"/>
        </w:rPr>
      </w:pPr>
    </w:p>
    <w:tbl>
      <w:tblPr>
        <w:tblStyle w:val="14"/>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66744E0F">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bottom w:val="nil"/>
              <w:right w:val="single" w:color="FFFFFF" w:themeColor="background1" w:sz="18" w:space="0"/>
            </w:tcBorders>
            <w:shd w:val="clear" w:color="auto" w:fill="62B541"/>
            <w:vAlign w:val="center"/>
          </w:tcPr>
          <w:p w14:paraId="2C6C5B14">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癌种</w:t>
            </w:r>
          </w:p>
        </w:tc>
        <w:tc>
          <w:tcPr>
            <w:tcW w:w="2093" w:type="dxa"/>
            <w:tcBorders>
              <w:left w:val="single" w:color="FFFFFF" w:themeColor="background1" w:sz="18" w:space="0"/>
              <w:bottom w:val="nil"/>
              <w:right w:val="single" w:color="FFFFFF" w:themeColor="background1" w:sz="18" w:space="0"/>
            </w:tcBorders>
            <w:shd w:val="clear" w:color="auto" w:fill="62B541"/>
            <w:vAlign w:val="center"/>
          </w:tcPr>
          <w:p w14:paraId="7E90B4F6">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判读标准</w:t>
            </w:r>
          </w:p>
        </w:tc>
        <w:tc>
          <w:tcPr>
            <w:tcW w:w="5504" w:type="dxa"/>
            <w:tcBorders>
              <w:left w:val="single" w:color="FFFFFF" w:themeColor="background1" w:sz="18" w:space="0"/>
              <w:bottom w:val="nil"/>
            </w:tcBorders>
            <w:shd w:val="clear" w:color="auto" w:fill="62B541"/>
            <w:vAlign w:val="center"/>
          </w:tcPr>
          <w:p w14:paraId="778061CC">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hint="eastAsia" w:ascii="微软雅黑" w:hAnsi="微软雅黑" w:eastAsia="微软雅黑" w:cs="微软雅黑"/>
                <w:b/>
                <w:color w:val="FFFFFF"/>
                <w:lang w:val="zh-CN" w:eastAsia="zh-CN" w:bidi="zh-CN"/>
              </w:rPr>
              <w:t>临床意义</w:t>
            </w:r>
          </w:p>
        </w:tc>
      </w:tr>
      <w:tr w14:paraId="396A7155">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nil"/>
              <w:left w:val="nil"/>
              <w:bottom w:val="single" w:color="A4A4A4" w:themeColor="background1" w:themeShade="A5" w:sz="4" w:space="0"/>
              <w:right w:val="nil"/>
            </w:tcBorders>
            <w:vAlign w:val="center"/>
          </w:tcPr>
          <w:p w14:paraId="0634583A">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for pd in PDInfo.pdInfoTable %}</w:t>
            </w:r>
          </w:p>
        </w:tc>
      </w:tr>
      <w:tr w14:paraId="75CD899F">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495E3B4C">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304648BF">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1352D066">
            <w:pPr>
              <w:pStyle w:val="20"/>
              <w:keepNext w:val="0"/>
              <w:keepLines w:val="0"/>
              <w:pageBreakBefore w:val="0"/>
              <w:widowControl w:val="0"/>
              <w:kinsoku/>
              <w:wordWrap/>
              <w:overflowPunct/>
              <w:topLinePunct w:val="0"/>
              <w:autoSpaceDE w:val="0"/>
              <w:autoSpaceDN w:val="0"/>
              <w:bidi w:val="0"/>
              <w:adjustRightInd/>
              <w:snapToGrid/>
              <w:spacing w:before="1"/>
              <w:ind w:left="88" w:leftChars="40" w:right="113"/>
              <w:textAlignment w:val="auto"/>
              <w:rPr>
                <w:rFonts w:ascii="微软雅黑" w:hAnsi="微软雅黑" w:eastAsia="微软雅黑" w:cs="微软雅黑"/>
                <w:sz w:val="18"/>
                <w:szCs w:val="18"/>
                <w:lang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eastAsia="zh-CN"/>
              </w:rPr>
              <w:t>pd.</w:t>
            </w:r>
            <w:r>
              <w:rPr>
                <w:rFonts w:hint="eastAsia" w:ascii="微软雅黑" w:hAnsi="微软雅黑" w:eastAsia="微软雅黑" w:cs="微软雅黑"/>
                <w:sz w:val="18"/>
                <w:szCs w:val="18"/>
                <w:vertAlign w:val="superscript"/>
              </w:rPr>
              <w:t>superscript }}</w:t>
            </w:r>
          </w:p>
        </w:tc>
      </w:tr>
      <w:tr w14:paraId="770288AB">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0A8711FD">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endfor %}</w:t>
            </w:r>
          </w:p>
        </w:tc>
      </w:tr>
    </w:tbl>
    <w:p w14:paraId="0A4CBA63">
      <w:pPr>
        <w:widowControl/>
        <w:ind w:firstLine="180" w:firstLineChars="100"/>
        <w:rPr>
          <w:rFonts w:ascii="微软雅黑" w:hAnsi="微软雅黑" w:eastAsia="微软雅黑" w:cs="微软雅黑"/>
          <w:sz w:val="18"/>
          <w:szCs w:val="18"/>
          <w:lang w:bidi="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Cs/>
          <w:sz w:val="18"/>
          <w:szCs w:val="18"/>
          <w:lang w:eastAsia="zh-CN"/>
        </w:rPr>
        <w:t>PDInfo.superscript_remark == True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sz w:val="18"/>
          <w:szCs w:val="18"/>
          <w:lang w:bidi="zh-CN"/>
        </w:rPr>
        <w:t>[1]实体肿瘤</w:t>
      </w:r>
      <w:r>
        <w:rPr>
          <w:rFonts w:ascii="Times New Roman" w:hAnsi="Times New Roman" w:eastAsia="微软雅黑" w:cs="Times New Roman"/>
          <w:sz w:val="18"/>
          <w:szCs w:val="18"/>
          <w:lang w:bidi="zh-CN"/>
        </w:rPr>
        <w:t>PD-L1</w:t>
      </w:r>
      <w:r>
        <w:rPr>
          <w:rFonts w:hint="eastAsia" w:ascii="微软雅黑" w:hAnsi="微软雅黑" w:eastAsia="微软雅黑" w:cs="微软雅黑"/>
          <w:sz w:val="18"/>
          <w:szCs w:val="18"/>
          <w:lang w:bidi="zh-CN"/>
        </w:rPr>
        <w:t>免疫组织化学检测专家共识（</w:t>
      </w:r>
      <w:r>
        <w:rPr>
          <w:rFonts w:ascii="Times New Roman" w:hAnsi="Times New Roman" w:eastAsia="微软雅黑" w:cs="Times New Roman"/>
          <w:sz w:val="18"/>
          <w:szCs w:val="18"/>
          <w:lang w:bidi="zh-CN"/>
        </w:rPr>
        <w:t>2021</w:t>
      </w:r>
      <w:r>
        <w:rPr>
          <w:rFonts w:hint="eastAsia" w:ascii="微软雅黑" w:hAnsi="微软雅黑" w:eastAsia="微软雅黑" w:cs="微软雅黑"/>
          <w:sz w:val="18"/>
          <w:szCs w:val="18"/>
          <w:lang w:bidi="zh-CN"/>
        </w:rPr>
        <w:t>版）</w:t>
      </w:r>
      <w:r>
        <w:rPr>
          <w:rFonts w:hint="eastAsia" w:ascii="Times New Roman" w:hAnsi="Times New Roman" w:eastAsia="微软雅黑" w:cs="Times New Roman"/>
          <w:bCs/>
          <w:sz w:val="18"/>
          <w:szCs w:val="18"/>
          <w:lang w:eastAsia="zh-CN"/>
        </w:rPr>
        <w:t>{% endif %}</w:t>
      </w:r>
    </w:p>
    <w:p w14:paraId="7C6B4796">
      <w:pPr>
        <w:widowControl/>
        <w:ind w:firstLine="180" w:firstLineChars="100"/>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注：NMPA：国家药品监督管理局；FDA：美国食品药品管理局。信息来源：FDA/NMPA官网、药企官网发布信息。</w:t>
      </w:r>
    </w:p>
    <w:p w14:paraId="416B1A77">
      <w:pPr>
        <w:numPr>
          <w:ilvl w:val="255"/>
          <w:numId w:val="0"/>
        </w:num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%}{%if BodyDrugDrugDetectionStr or unknownVarAnalysisStr or geneticCancerRiskInfo %}</w:t>
      </w:r>
    </w:p>
    <w:p w14:paraId="251A76F3">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47" w:name="_Toc17927"/>
      <w:bookmarkStart w:id="48" w:name="_Toc4421"/>
      <w:r>
        <w:rPr>
          <w:color w:val="62B541"/>
          <w:sz w:val="32"/>
          <w14:shadow w14:blurRad="50800" w14:dist="38100" w14:dir="10800000" w14:sx="100000" w14:sy="100000" w14:kx="0" w14:ky="0" w14:algn="r">
            <w14:srgbClr w14:val="62B541">
              <w14:alpha w14:val="60000"/>
            </w14:srgbClr>
          </w14:shadow>
        </w:rPr>
        <w:t>基因检测结果解析</w:t>
      </w:r>
      <w:bookmarkEnd w:id="33"/>
      <w:bookmarkEnd w:id="34"/>
      <w:bookmarkEnd w:id="35"/>
      <w:bookmarkEnd w:id="36"/>
      <w:bookmarkEnd w:id="37"/>
      <w:bookmarkEnd w:id="47"/>
      <w:bookmarkEnd w:id="48"/>
    </w:p>
    <w:p w14:paraId="361AF15C">
      <w:pPr>
        <w:rPr>
          <w:rFonts w:ascii="Times New Roman" w:hAnsi="Times New Roman" w:eastAsia="微软雅黑" w:cs="Times New Roman"/>
          <w:b/>
          <w:sz w:val="24"/>
          <w:szCs w:val="24"/>
          <w:lang w:eastAsia="zh-CN"/>
        </w:rPr>
      </w:pPr>
      <w:bookmarkStart w:id="49" w:name="_Toc1707_WPSOffice_Level1"/>
      <w:bookmarkStart w:id="50" w:name="_Toc27302"/>
      <w:bookmarkStart w:id="51" w:name="_Toc21764_WPSOffice_Level1"/>
      <w:bookmarkStart w:id="52" w:name="_Toc28240"/>
      <w:bookmarkStart w:id="53" w:name="_Toc13196_WPSOffice_Level1"/>
      <w:r>
        <w:rPr>
          <w:rFonts w:hint="eastAsia" w:ascii="Times New Roman" w:hAnsi="Times New Roman" w:eastAsia="微软雅黑" w:cs="Times New Roman"/>
          <w:b/>
          <w:sz w:val="24"/>
          <w:szCs w:val="24"/>
          <w:lang w:eastAsia="zh-CN"/>
        </w:rPr>
        <w:t>{%if BodyDrugDrugDetectionStr or unknownVarAnalysisStr %}</w:t>
      </w:r>
    </w:p>
    <w:p w14:paraId="7987FDC3">
      <w:pPr>
        <w:pStyle w:val="3"/>
        <w:numPr>
          <w:ilvl w:val="255"/>
          <w:numId w:val="0"/>
        </w:numPr>
        <w:jc w:val="left"/>
        <w:rPr>
          <w:color w:val="auto"/>
          <w:sz w:val="30"/>
          <w:lang w:eastAsia="zh-CN"/>
        </w:rPr>
      </w:pPr>
      <w:bookmarkStart w:id="54" w:name="_Toc17301"/>
      <w:bookmarkStart w:id="55" w:name="_Toc4331_WPSOffice_Level2"/>
      <w:bookmarkStart w:id="56" w:name="_Toc23606"/>
      <w:bookmarkStart w:id="57" w:name="_Toc32302"/>
      <w:bookmarkStart w:id="58" w:name="_Toc32443_WPSOffice_Level2"/>
      <w:bookmarkStart w:id="59" w:name="_Toc21349"/>
      <w:bookmarkStart w:id="60" w:name="_Toc149837264"/>
      <w:r>
        <w:rPr>
          <w:rFonts w:hint="eastAsia"/>
          <w:color w:val="auto"/>
          <w:sz w:val="30"/>
          <w:lang w:eastAsia="zh-CN"/>
        </w:rPr>
        <w:t>体细胞变异结果解析</w:t>
      </w:r>
      <w:bookmarkEnd w:id="54"/>
      <w:bookmarkEnd w:id="55"/>
      <w:bookmarkEnd w:id="56"/>
      <w:bookmarkEnd w:id="57"/>
      <w:bookmarkEnd w:id="58"/>
    </w:p>
    <w:p w14:paraId="57E6747C">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for tdd in BodyDrugNoComplexStr %}</w:t>
      </w:r>
      <w:bookmarkEnd w:id="59"/>
      <w:bookmarkEnd w:id="60"/>
    </w:p>
    <w:p w14:paraId="22F43481">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651317D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656F701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2AC33F7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21F231D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3CF7B96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bookmarkStart w:id="61" w:name="OLE_LINK4"/>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bookmarkEnd w:id="61"/>
          </w:p>
        </w:tc>
        <w:tc>
          <w:tcPr>
            <w:tcW w:w="8247" w:type="dxa"/>
            <w:tcBorders>
              <w:top w:val="single" w:color="A4A4A4" w:sz="4" w:space="0"/>
              <w:left w:val="nil"/>
              <w:bottom w:val="single" w:color="A4A4A4" w:sz="4" w:space="0"/>
              <w:right w:val="nil"/>
            </w:tcBorders>
            <w:vAlign w:val="center"/>
          </w:tcPr>
          <w:p w14:paraId="574FA8A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2024E62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467AC75F">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ADB2703">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2546BE5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E43F8A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5129898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99E7F74">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74539B4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F49AF9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481153F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2015CAF">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55A5177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365549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14F57138">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3763634">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411AB81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F19C85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60FD7C0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5C6575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7DF4905E">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7BA5FA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2D8F1C6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F14A59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0E7085F0">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222A41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7F9152D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BC4435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58DF64D7">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F92A50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0CA13D0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0F3712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6248C1CA">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117294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166A310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71777AF4">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4F022DB4">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2CA4EE95">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381A8104">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14E8B91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707A1B8F">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6D0BE476">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43E4F05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0AA44FF6">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0125B87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0E7D6FB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107F1D5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7F7CBD74">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4E2EA8E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4831306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7677638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29A7661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500EA9B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42525115">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4F12F278">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6DE552C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39DEB06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6E7AC152">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6E2EE5FB">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14640D86">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10DCB48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019B4D9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7057110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77E287F6">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171E653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6795A21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7295774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0ADF607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09B6B34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0F34243C">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307AB36E">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69A11C8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4BA87CC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0F7ABB6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1B98097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5FCB75C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131E363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0391261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196EE81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09B67C6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5DBE2D2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22571F8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5C380936">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7DEF4BC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659B39E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7A414D25">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021E9682">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308D1B5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6F2FD81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52D1615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34CCBBB6">
      <w:pPr>
        <w:pStyle w:val="25"/>
        <w:rPr>
          <w:color w:val="auto"/>
        </w:rPr>
      </w:pPr>
      <w:r>
        <w:rPr>
          <w:rFonts w:hint="eastAsia"/>
          <w:color w:val="auto"/>
        </w:rPr>
        <w:t>{% endif %}{% endfor %}{% for vus in unknownVarAnalysisStr %}</w:t>
      </w:r>
    </w:p>
    <w:p w14:paraId="58CBB0BA">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vus.gene}}</w:t>
      </w:r>
    </w:p>
    <w:tbl>
      <w:tblPr>
        <w:tblStyle w:val="14"/>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6BFAFCC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62B541"/>
            <w:vAlign w:val="center"/>
          </w:tcPr>
          <w:p w14:paraId="0CBBDC00">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778C5D80">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3D2D049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62B541"/>
            <w:vAlign w:val="center"/>
          </w:tcPr>
          <w:p w14:paraId="6BE837F0">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25BF3B3C">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44E699A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62B541"/>
            <w:vAlign w:val="center"/>
          </w:tcPr>
          <w:p w14:paraId="06864DB0">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1EE4E65F">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39EE5E20">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 %}</w:t>
      </w:r>
    </w:p>
    <w:p w14:paraId="7C32C85B">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tdd.comutation</w:t>
      </w:r>
      <w:r>
        <w:rPr>
          <w:rFonts w:hint="eastAsia" w:ascii="Times New Roman" w:hAnsi="Times New Roman" w:eastAsia="微软雅黑" w:cs="Times New Roman"/>
          <w:b/>
          <w:sz w:val="24"/>
          <w:szCs w:val="24"/>
          <w:lang w:val="en-US" w:eastAsia="zh-CN"/>
        </w:rPr>
        <w:t>1</w:t>
      </w:r>
      <w:r>
        <w:rPr>
          <w:rFonts w:hint="eastAsia" w:ascii="Times New Roman" w:hAnsi="Times New Roman" w:eastAsia="微软雅黑" w:cs="Times New Roman"/>
          <w:b/>
          <w:sz w:val="24"/>
          <w:szCs w:val="24"/>
          <w:lang w:eastAsia="zh-CN"/>
        </w:rPr>
        <w:t xml:space="preserv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62E2419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28A6440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43BFC1E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val="en-US" w:eastAsia="zh-CN"/>
              </w:rPr>
              <w:t>{{tdd.comutation}}</w:t>
            </w:r>
          </w:p>
        </w:tc>
      </w:tr>
      <w:tr w14:paraId="40810D1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12B4132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6FE88E1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09EEB37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17FE2796">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34913D7">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040637A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F08000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23E5D453">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8B552D4">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14A0104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1AFB79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5BB41478">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E9E5DBF">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77F063B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78C9A2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4BEB17E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3DDB23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2F6548B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1B7A87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12567DD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DC75C5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552C1EE5">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949F17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60FAE1F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7935FA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6A690945">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0988B7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41F3F2C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6CAF4F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3BA7BC2E">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32374A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4915A35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823E6A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195325FB">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A5E978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7A4AF05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68415415">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418280D7">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3DF98A9D">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7FA1B9FB">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2E2BC4F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70B9E5C5">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0A851AA8">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2AA9B4D5">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2C1B3B5F">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5D07725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08757A8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122C379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5CB2A327">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3492923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3E50EDC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0027296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6B85F7E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7DD6ABD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3A924816">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6703C1EE">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6724CE5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679AE037">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4C942E0B">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0BDEE011">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26546502">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3608BBF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5075484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5133DA2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3AF95090">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14CED5F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2113A20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0D26B6E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52BB1CF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17095DA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0B552BA6">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58EBC7CD">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52FEF76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382B4AB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3197F87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0BEB793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01C665A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51F6DD5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2DC453C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6A50F97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53F2B43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33C4212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57F07AD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52E66E0B">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2C355DC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6388EB0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4A624737">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6ADC724A">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4B68D9D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2E7A001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39BB06B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15D047F5">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r>
        <w:rPr>
          <w:rFonts w:hint="eastAsia" w:ascii="Times New Roman" w:hAnsi="Times New Roman" w:eastAsia="微软雅黑" w:cs="Times New Roman"/>
          <w:b/>
          <w:sz w:val="24"/>
          <w:szCs w:val="24"/>
          <w:lang w:eastAsia="zh-CN"/>
        </w:rPr>
        <w:t>{% endif %}</w:t>
      </w:r>
      <w:bookmarkStart w:id="62" w:name="OLE_LINK1"/>
      <w:r>
        <w:rPr>
          <w:rFonts w:hint="eastAsia" w:ascii="Times New Roman" w:hAnsi="Times New Roman" w:eastAsia="微软雅黑" w:cs="Times New Roman"/>
          <w:b/>
          <w:sz w:val="24"/>
          <w:szCs w:val="24"/>
          <w:lang w:eastAsia="zh-CN"/>
        </w:rPr>
        <w:t>{%if geneticCancerRiskInfo %}</w:t>
      </w:r>
      <w:bookmarkEnd w:id="62"/>
    </w:p>
    <w:p w14:paraId="6276FBF5">
      <w:pPr>
        <w:pStyle w:val="3"/>
        <w:numPr>
          <w:ilvl w:val="255"/>
          <w:numId w:val="0"/>
        </w:numPr>
        <w:jc w:val="left"/>
        <w:rPr>
          <w:color w:val="auto"/>
          <w:sz w:val="30"/>
          <w:lang w:eastAsia="zh-CN"/>
        </w:rPr>
      </w:pPr>
      <w:bookmarkStart w:id="63" w:name="_Toc3720"/>
      <w:bookmarkStart w:id="64" w:name="_Toc5550"/>
      <w:bookmarkStart w:id="65" w:name="_Toc149837265"/>
      <w:r>
        <w:rPr>
          <w:rFonts w:hint="eastAsia"/>
          <w:color w:val="auto"/>
          <w:sz w:val="30"/>
          <w:lang w:eastAsia="zh-CN"/>
        </w:rPr>
        <w:t>胚系变异结果解析</w:t>
      </w:r>
      <w:bookmarkEnd w:id="63"/>
    </w:p>
    <w:p w14:paraId="6D7C9FD5">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for tdd in geneticCancerRiskInfo %}</w:t>
      </w:r>
      <w:bookmarkEnd w:id="64"/>
      <w:bookmarkEnd w:id="65"/>
    </w:p>
    <w:p w14:paraId="75AE0799">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4ED9F70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63040C1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0C81D8C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6110AA8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5FFDCCD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44441B9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68F6D0E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13C4765">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676CD7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30A7759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BC87D7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7E2B2F1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82D7017">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3AE476D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EFDE99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55A1D4EF">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3CF991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6C3F826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F72352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0E644B6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33E8F8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373B4C3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28EB94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02932F1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2AF5E9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7A31C827">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1784FD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6FC1B70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FE8801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1C075E60">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FACABF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23B103C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6F2D9C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7EADF0E9">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FDE4D6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3F7FCEB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CF2B7F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647425A5">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F7FB0B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4ED1993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5CA14682">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'变异解析</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23B81AF7">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48F5802D">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4DA29EDB">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5A00F66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5051F582">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372A55C1">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7686054F">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09CE60BE">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604A577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47DCBC1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3269E0B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51224444">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62FB5FF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3710E95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06D7402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49FDF7F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0191E0F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2CC89514">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00936B63">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33F9F72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0007B94F">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20AD5BE0">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6335C9DE">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64F713B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55FE3EE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4A89ED4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67D933E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235A72CE">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79F619E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2AB150B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140E701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4AC6CB5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372A677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617118D4">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070A6BB2">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6D210E4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18EC072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1C1DD4B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7952E12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3683CCF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4F8D7DA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66610C6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2E0043D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61C30AE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237A5DC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6700875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556789BE">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4DB0B62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32A5E4C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7F6E6366">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490B92BC">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77CD4B9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08C4A53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6163663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260C2C8F">
      <w:r>
        <w:rPr>
          <w:rFonts w:hint="eastAsia" w:ascii="Times New Roman" w:hAnsi="Times New Roman" w:eastAsia="微软雅黑" w:cs="Times New Roman"/>
          <w:b/>
          <w:sz w:val="24"/>
          <w:szCs w:val="24"/>
          <w:lang w:eastAsia="zh-CN"/>
        </w:rPr>
        <w:t>{% endif %}{% endfor %}</w:t>
      </w:r>
      <w:r>
        <w:rPr>
          <w:sz w:val="16"/>
        </w:rPr>
        <w:br w:type="page"/>
      </w:r>
      <w:r>
        <w:rPr>
          <w:rFonts w:hint="eastAsia" w:ascii="Times New Roman" w:hAnsi="Times New Roman" w:eastAsia="微软雅黑" w:cs="Times New Roman"/>
          <w:sz w:val="24"/>
          <w:szCs w:val="24"/>
          <w:lang w:eastAsia="zh-CN"/>
        </w:rPr>
        <w:t>{% endif %}{% endif %}</w:t>
      </w:r>
    </w:p>
    <w:p w14:paraId="7D9D3931">
      <w:pPr>
        <w:numPr>
          <w:ilvl w:val="255"/>
          <w:numId w:val="0"/>
        </w:numPr>
        <w:jc w:val="both"/>
        <w:rPr>
          <w:rStyle w:val="41"/>
          <w:rFonts w:ascii="微软雅黑" w:hAnsi="微软雅黑" w:cs="微软雅黑"/>
          <w:color w:val="62B541"/>
          <w:sz w:val="32"/>
          <w:szCs w:val="32"/>
          <w14:shadow w14:blurRad="50800" w14:dist="38100" w14:dir="10800000" w14:sx="100000" w14:sy="100000" w14:kx="0" w14:ky="0" w14:algn="r">
            <w14:srgbClr w14:val="62B541">
              <w14:alpha w14:val="60000"/>
            </w14:srgbClr>
          </w14:shadow>
        </w:rPr>
      </w:pPr>
      <w:bookmarkStart w:id="66" w:name="_Toc17734"/>
      <w:bookmarkStart w:id="67" w:name="_Toc24584"/>
      <w:r>
        <w:rPr>
          <w:rStyle w:val="41"/>
          <w:rFonts w:hint="eastAsia" w:ascii="微软雅黑" w:hAnsi="微软雅黑" w:cs="微软雅黑"/>
          <w:color w:val="62B541"/>
          <w:sz w:val="32"/>
          <w:szCs w:val="32"/>
          <w14:shadow w14:blurRad="50800" w14:dist="38100" w14:dir="10800000" w14:sx="100000" w14:sy="100000" w14:kx="0" w14:ky="0" w14:algn="r">
            <w14:srgbClr w14:val="62B541">
              <w14:alpha w14:val="60000"/>
            </w14:srgbClr>
          </w14:shadow>
        </w:rPr>
        <w:t>附录</w:t>
      </w:r>
      <w:bookmarkEnd w:id="49"/>
      <w:bookmarkEnd w:id="50"/>
      <w:bookmarkEnd w:id="51"/>
      <w:bookmarkEnd w:id="52"/>
      <w:bookmarkEnd w:id="53"/>
    </w:p>
    <w:bookmarkEnd w:id="66"/>
    <w:bookmarkEnd w:id="67"/>
    <w:p w14:paraId="3FE31733">
      <w:pPr>
        <w:pStyle w:val="3"/>
        <w:numPr>
          <w:ilvl w:val="255"/>
          <w:numId w:val="0"/>
        </w:numPr>
        <w:jc w:val="left"/>
        <w:rPr>
          <w:color w:val="auto"/>
          <w:sz w:val="30"/>
          <w:lang w:eastAsia="zh-CN"/>
        </w:rPr>
      </w:pPr>
      <w:bookmarkStart w:id="68" w:name="_Toc3674"/>
      <w:bookmarkStart w:id="69" w:name="_Toc15840_WPSOffice_Level1"/>
      <w:bookmarkStart w:id="70" w:name="_Toc25043"/>
      <w:bookmarkStart w:id="71" w:name="_Toc9066"/>
      <w:bookmarkStart w:id="72" w:name="_Toc24085_WPSOffice_Level1"/>
      <w:bookmarkStart w:id="73" w:name="_Toc14255_WPSOffice_Level1"/>
      <w:bookmarkStart w:id="74" w:name="_Toc7411"/>
      <w:bookmarkStart w:id="75" w:name="_Hlk33190413"/>
      <w:bookmarkStart w:id="76" w:name="_Toc18699"/>
      <w:bookmarkStart w:id="77" w:name="_Toc28810_WPSOffice_Level1"/>
      <w:bookmarkStart w:id="78" w:name="_Toc11193_WPSOffice_Level1"/>
      <w:bookmarkStart w:id="79" w:name="_Toc11896_WPSOffice_Level1"/>
      <w:r>
        <w:rPr>
          <w:rFonts w:hint="eastAsia"/>
          <w:color w:val="auto"/>
          <w:sz w:val="30"/>
          <w:lang w:eastAsia="zh-CN"/>
        </w:rPr>
        <w:t>样本质控情况</w:t>
      </w:r>
      <w:bookmarkEnd w:id="68"/>
      <w:bookmarkEnd w:id="69"/>
      <w:bookmarkEnd w:id="70"/>
      <w:bookmarkEnd w:id="71"/>
      <w:bookmarkEnd w:id="72"/>
      <w:bookmarkEnd w:id="73"/>
      <w:bookmarkEnd w:id="74"/>
    </w:p>
    <w:p w14:paraId="02235754">
      <w:pPr>
        <w:pStyle w:val="6"/>
        <w:rPr>
          <w:b/>
          <w:sz w:val="6"/>
        </w:rPr>
      </w:pPr>
    </w:p>
    <w:tbl>
      <w:tblPr>
        <w:tblStyle w:val="14"/>
        <w:tblW w:w="9810" w:type="dxa"/>
        <w:jc w:val="center"/>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Layout w:type="fixed"/>
        <w:tblCellMar>
          <w:top w:w="0" w:type="dxa"/>
          <w:left w:w="0" w:type="dxa"/>
          <w:bottom w:w="0" w:type="dxa"/>
          <w:right w:w="0" w:type="dxa"/>
        </w:tblCellMar>
      </w:tblPr>
      <w:tblGrid>
        <w:gridCol w:w="1984"/>
        <w:gridCol w:w="2717"/>
        <w:gridCol w:w="2378"/>
        <w:gridCol w:w="2712"/>
        <w:gridCol w:w="19"/>
      </w:tblGrid>
      <w:tr w14:paraId="7464EBFF">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3" w:hRule="atLeast"/>
          <w:jc w:val="center"/>
        </w:trPr>
        <w:tc>
          <w:tcPr>
            <w:tcW w:w="1984" w:type="dxa"/>
            <w:tcBorders>
              <w:top w:val="nil"/>
              <w:left w:val="nil"/>
              <w:bottom w:val="nil"/>
              <w:right w:val="single" w:color="FFFFFF" w:sz="18" w:space="0"/>
            </w:tcBorders>
            <w:shd w:val="clear" w:color="auto" w:fill="62BC41"/>
            <w:vAlign w:val="center"/>
          </w:tcPr>
          <w:p w14:paraId="2B38A4A4">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质控环节</w:t>
            </w:r>
          </w:p>
        </w:tc>
        <w:tc>
          <w:tcPr>
            <w:tcW w:w="2717" w:type="dxa"/>
            <w:tcBorders>
              <w:top w:val="nil"/>
              <w:left w:val="single" w:color="FFFFFF" w:sz="18" w:space="0"/>
              <w:bottom w:val="nil"/>
              <w:right w:val="single" w:color="FFFFFF" w:sz="18" w:space="0"/>
            </w:tcBorders>
            <w:shd w:val="clear" w:color="auto" w:fill="62BC41"/>
            <w:vAlign w:val="center"/>
          </w:tcPr>
          <w:p w14:paraId="45B0DEC9">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质控参数</w:t>
            </w:r>
          </w:p>
        </w:tc>
        <w:tc>
          <w:tcPr>
            <w:tcW w:w="2378" w:type="dxa"/>
            <w:tcBorders>
              <w:top w:val="nil"/>
              <w:left w:val="single" w:color="FFFFFF" w:sz="18" w:space="0"/>
              <w:bottom w:val="nil"/>
              <w:right w:val="single" w:color="FFFFFF" w:sz="18" w:space="0"/>
            </w:tcBorders>
            <w:shd w:val="clear" w:color="auto" w:fill="62BC41"/>
            <w:vAlign w:val="center"/>
          </w:tcPr>
          <w:p w14:paraId="15A3A2CF">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质控数值</w:t>
            </w:r>
          </w:p>
        </w:tc>
        <w:tc>
          <w:tcPr>
            <w:tcW w:w="2731" w:type="dxa"/>
            <w:gridSpan w:val="2"/>
            <w:tcBorders>
              <w:top w:val="nil"/>
              <w:left w:val="single" w:color="FFFFFF" w:sz="18" w:space="0"/>
              <w:bottom w:val="nil"/>
              <w:right w:val="nil"/>
            </w:tcBorders>
            <w:shd w:val="clear" w:color="auto" w:fill="62BC41"/>
            <w:vAlign w:val="center"/>
          </w:tcPr>
          <w:p w14:paraId="562216C9">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质控标准</w:t>
            </w:r>
          </w:p>
        </w:tc>
      </w:tr>
      <w:tr w14:paraId="224148EF">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4" w:type="dxa"/>
            <w:tcBorders>
              <w:top w:val="nil"/>
              <w:left w:val="nil"/>
            </w:tcBorders>
            <w:shd w:val="clear" w:color="auto" w:fill="auto"/>
            <w:vAlign w:val="center"/>
          </w:tcPr>
          <w:p w14:paraId="6F4C9FE4">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病理评估</w:t>
            </w:r>
          </w:p>
        </w:tc>
        <w:tc>
          <w:tcPr>
            <w:tcW w:w="2717" w:type="dxa"/>
            <w:tcBorders>
              <w:top w:val="nil"/>
            </w:tcBorders>
            <w:shd w:val="clear" w:color="auto" w:fill="auto"/>
            <w:vAlign w:val="center"/>
          </w:tcPr>
          <w:p w14:paraId="46DE096B">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肿瘤细胞含量</w:t>
            </w:r>
          </w:p>
        </w:tc>
        <w:tc>
          <w:tcPr>
            <w:tcW w:w="2378" w:type="dxa"/>
            <w:tcBorders>
              <w:top w:val="nil"/>
            </w:tcBorders>
            <w:shd w:val="clear" w:color="auto" w:fill="auto"/>
            <w:vAlign w:val="center"/>
          </w:tcPr>
          <w:p w14:paraId="6A1FE645">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31" w:type="dxa"/>
            <w:gridSpan w:val="2"/>
            <w:tcBorders>
              <w:top w:val="nil"/>
              <w:right w:val="nil"/>
            </w:tcBorders>
            <w:shd w:val="clear" w:color="auto" w:fill="auto"/>
            <w:vAlign w:val="center"/>
          </w:tcPr>
          <w:p w14:paraId="1E252D23">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1</w:t>
            </w:r>
            <w:r>
              <w:rPr>
                <w:rFonts w:ascii="Times New Roman" w:hAnsi="Times New Roman" w:eastAsia="微软雅黑" w:cs="Times New Roman"/>
                <w:sz w:val="21"/>
                <w:szCs w:val="21"/>
                <w:lang w:eastAsia="zh-CN" w:bidi="ar"/>
              </w:rPr>
              <w:t>0%</w:t>
            </w:r>
          </w:p>
        </w:tc>
      </w:tr>
      <w:tr w14:paraId="4D2CFFFF">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4" w:type="dxa"/>
            <w:vMerge w:val="restart"/>
            <w:tcBorders>
              <w:left w:val="nil"/>
            </w:tcBorders>
            <w:shd w:val="clear" w:color="auto" w:fill="auto"/>
            <w:vAlign w:val="center"/>
          </w:tcPr>
          <w:p w14:paraId="4C5F06C9">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核酸质量评估</w:t>
            </w:r>
          </w:p>
        </w:tc>
        <w:tc>
          <w:tcPr>
            <w:tcW w:w="2717" w:type="dxa"/>
            <w:shd w:val="clear" w:color="auto" w:fill="auto"/>
            <w:vAlign w:val="center"/>
          </w:tcPr>
          <w:p w14:paraId="41B3AAD2">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微软雅黑" w:hAnsi="微软雅黑"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微软雅黑" w:hAnsi="微软雅黑" w:eastAsia="微软雅黑" w:cs="微软雅黑"/>
                <w:sz w:val="21"/>
                <w:szCs w:val="21"/>
                <w:lang w:eastAsia="zh-CN" w:bidi="ar"/>
              </w:rPr>
              <w:t>）</w:t>
            </w:r>
          </w:p>
        </w:tc>
        <w:tc>
          <w:tcPr>
            <w:tcW w:w="2378" w:type="dxa"/>
            <w:shd w:val="clear" w:color="auto" w:fill="auto"/>
            <w:vAlign w:val="center"/>
          </w:tcPr>
          <w:p w14:paraId="3FE950F7">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31" w:type="dxa"/>
            <w:gridSpan w:val="2"/>
            <w:tcBorders>
              <w:right w:val="nil"/>
            </w:tcBorders>
            <w:shd w:val="clear" w:color="auto" w:fill="auto"/>
            <w:vAlign w:val="center"/>
          </w:tcPr>
          <w:p w14:paraId="43FBA6CD">
            <w:pPr>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val="en-US" w:eastAsia="zh-CN" w:bidi="ar"/>
              </w:rPr>
              <w:t>5</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val="en-US" w:eastAsia="zh-CN" w:bidi="ar"/>
              </w:rPr>
              <w:t>1</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14:paraId="4E8CBFAD">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4" w:type="dxa"/>
            <w:vMerge w:val="continue"/>
            <w:tcBorders>
              <w:left w:val="nil"/>
            </w:tcBorders>
            <w:shd w:val="clear" w:color="auto" w:fill="auto"/>
            <w:vAlign w:val="center"/>
          </w:tcPr>
          <w:p w14:paraId="56F18B1F">
            <w:pPr>
              <w:rPr>
                <w:rFonts w:ascii="Times New Roman" w:hAnsi="Times New Roman" w:cs="Times New Roman"/>
                <w:b/>
                <w:bCs/>
                <w:sz w:val="20"/>
                <w:szCs w:val="20"/>
              </w:rPr>
            </w:pPr>
          </w:p>
        </w:tc>
        <w:tc>
          <w:tcPr>
            <w:tcW w:w="2717" w:type="dxa"/>
            <w:shd w:val="clear" w:color="auto" w:fill="auto"/>
            <w:vAlign w:val="center"/>
          </w:tcPr>
          <w:p w14:paraId="14BD8C1B">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微软雅黑" w:hAnsi="微软雅黑" w:eastAsia="微软雅黑" w:cs="微软雅黑"/>
                <w:sz w:val="21"/>
                <w:szCs w:val="21"/>
                <w:lang w:eastAsia="zh-CN" w:bidi="ar"/>
              </w:rPr>
              <w:t>降解程度</w:t>
            </w:r>
          </w:p>
        </w:tc>
        <w:tc>
          <w:tcPr>
            <w:tcW w:w="2378" w:type="dxa"/>
            <w:shd w:val="clear" w:color="auto" w:fill="auto"/>
            <w:vAlign w:val="center"/>
          </w:tcPr>
          <w:p w14:paraId="3E213C65">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31" w:type="dxa"/>
            <w:gridSpan w:val="2"/>
            <w:tcBorders>
              <w:right w:val="nil"/>
            </w:tcBorders>
            <w:shd w:val="clear" w:color="auto" w:fill="auto"/>
            <w:vAlign w:val="center"/>
          </w:tcPr>
          <w:p w14:paraId="70D3EA14">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val="en-US" w:eastAsia="zh-CN" w:bidi="ar"/>
              </w:rPr>
              <w:t>1-2</w:t>
            </w:r>
            <w:r>
              <w:rPr>
                <w:rFonts w:hint="eastAsia" w:ascii="微软雅黑" w:hAnsi="微软雅黑" w:eastAsia="微软雅黑" w:cs="微软雅黑"/>
                <w:sz w:val="21"/>
                <w:szCs w:val="21"/>
                <w:lang w:eastAsia="zh-CN" w:bidi="ar"/>
              </w:rPr>
              <w:t>级</w:t>
            </w:r>
          </w:p>
        </w:tc>
      </w:tr>
      <w:tr w14:paraId="0818924A">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4" w:type="dxa"/>
            <w:vMerge w:val="continue"/>
            <w:tcBorders>
              <w:left w:val="nil"/>
            </w:tcBorders>
            <w:shd w:val="clear" w:color="auto" w:fill="auto"/>
            <w:vAlign w:val="center"/>
          </w:tcPr>
          <w:p w14:paraId="466C7F90">
            <w:pPr>
              <w:rPr>
                <w:rFonts w:ascii="Times New Roman" w:hAnsi="Times New Roman" w:cs="Times New Roman"/>
                <w:b/>
                <w:bCs/>
                <w:sz w:val="20"/>
                <w:szCs w:val="20"/>
              </w:rPr>
            </w:pPr>
          </w:p>
        </w:tc>
        <w:tc>
          <w:tcPr>
            <w:tcW w:w="2717" w:type="dxa"/>
            <w:shd w:val="clear" w:color="auto" w:fill="auto"/>
            <w:vAlign w:val="center"/>
          </w:tcPr>
          <w:p w14:paraId="68D82E4F">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微软雅黑" w:hAnsi="微软雅黑" w:eastAsia="微软雅黑" w:cs="微软雅黑"/>
                <w:sz w:val="21"/>
                <w:szCs w:val="21"/>
                <w:lang w:eastAsia="zh-CN" w:bidi="ar"/>
              </w:rPr>
              <w:t>）</w:t>
            </w:r>
          </w:p>
        </w:tc>
        <w:tc>
          <w:tcPr>
            <w:tcW w:w="2378" w:type="dxa"/>
            <w:shd w:val="clear" w:color="auto" w:fill="auto"/>
            <w:vAlign w:val="center"/>
          </w:tcPr>
          <w:p w14:paraId="7FD890E4">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31" w:type="dxa"/>
            <w:gridSpan w:val="2"/>
            <w:tcBorders>
              <w:right w:val="nil"/>
            </w:tcBorders>
            <w:shd w:val="clear" w:color="auto" w:fill="auto"/>
            <w:vAlign w:val="center"/>
          </w:tcPr>
          <w:p w14:paraId="02E857AB">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val="en-US" w:eastAsia="zh-CN" w:bidi="ar"/>
              </w:rPr>
              <w:t>32</w:t>
            </w:r>
            <w:r>
              <w:rPr>
                <w:rFonts w:ascii="Times New Roman" w:hAnsi="Times New Roman" w:eastAsia="微软雅黑" w:cs="Times New Roman"/>
                <w:sz w:val="21"/>
                <w:szCs w:val="21"/>
                <w:lang w:eastAsia="zh-CN" w:bidi="ar"/>
              </w:rPr>
              <w:t>0</w:t>
            </w:r>
          </w:p>
        </w:tc>
      </w:tr>
      <w:tr w14:paraId="42CB3CD4">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4" w:type="dxa"/>
            <w:vMerge w:val="restart"/>
            <w:tcBorders>
              <w:left w:val="nil"/>
            </w:tcBorders>
            <w:shd w:val="clear" w:color="auto" w:fill="auto"/>
            <w:vAlign w:val="center"/>
          </w:tcPr>
          <w:p w14:paraId="48932257">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测序质量评估</w:t>
            </w:r>
          </w:p>
        </w:tc>
        <w:tc>
          <w:tcPr>
            <w:tcW w:w="2717" w:type="dxa"/>
            <w:shd w:val="clear" w:color="auto" w:fill="auto"/>
            <w:vAlign w:val="center"/>
          </w:tcPr>
          <w:p w14:paraId="307AECBF">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平均测序深度</w:t>
            </w:r>
          </w:p>
        </w:tc>
        <w:tc>
          <w:tcPr>
            <w:tcW w:w="2378" w:type="dxa"/>
            <w:shd w:val="clear" w:color="auto" w:fill="auto"/>
            <w:vAlign w:val="center"/>
          </w:tcPr>
          <w:p w14:paraId="43C8561A">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31" w:type="dxa"/>
            <w:gridSpan w:val="2"/>
            <w:tcBorders>
              <w:right w:val="nil"/>
            </w:tcBorders>
            <w:shd w:val="clear" w:color="auto" w:fill="auto"/>
            <w:vAlign w:val="center"/>
          </w:tcPr>
          <w:p w14:paraId="50A8CDB3">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14:paraId="5EE112AA">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4" w:type="dxa"/>
            <w:vMerge w:val="continue"/>
            <w:tcBorders>
              <w:left w:val="nil"/>
            </w:tcBorders>
            <w:shd w:val="clear" w:color="auto" w:fill="auto"/>
            <w:vAlign w:val="center"/>
          </w:tcPr>
          <w:p w14:paraId="56237FD2">
            <w:pPr>
              <w:rPr>
                <w:rFonts w:ascii="Times New Roman" w:hAnsi="Times New Roman" w:cs="Times New Roman"/>
                <w:b/>
                <w:bCs/>
                <w:sz w:val="20"/>
                <w:szCs w:val="20"/>
              </w:rPr>
            </w:pPr>
          </w:p>
        </w:tc>
        <w:tc>
          <w:tcPr>
            <w:tcW w:w="2717" w:type="dxa"/>
            <w:shd w:val="clear" w:color="auto" w:fill="auto"/>
            <w:vAlign w:val="center"/>
          </w:tcPr>
          <w:p w14:paraId="0D86A817">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覆盖均一性</w:t>
            </w:r>
          </w:p>
        </w:tc>
        <w:tc>
          <w:tcPr>
            <w:tcW w:w="2378" w:type="dxa"/>
            <w:shd w:val="clear" w:color="auto" w:fill="auto"/>
            <w:vAlign w:val="center"/>
          </w:tcPr>
          <w:p w14:paraId="20B9147F">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coverage_uniformity }}</w:t>
            </w:r>
          </w:p>
        </w:tc>
        <w:tc>
          <w:tcPr>
            <w:tcW w:w="2731" w:type="dxa"/>
            <w:gridSpan w:val="2"/>
            <w:tcBorders>
              <w:right w:val="nil"/>
            </w:tcBorders>
            <w:shd w:val="clear" w:color="auto" w:fill="auto"/>
            <w:vAlign w:val="center"/>
          </w:tcPr>
          <w:p w14:paraId="1D790642">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14:paraId="37FBD0BF">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620" w:hRule="atLeast"/>
          <w:jc w:val="center"/>
        </w:trPr>
        <w:tc>
          <w:tcPr>
            <w:tcW w:w="1984" w:type="dxa"/>
            <w:vMerge w:val="continue"/>
            <w:tcBorders>
              <w:left w:val="nil"/>
            </w:tcBorders>
            <w:shd w:val="clear" w:color="auto" w:fill="auto"/>
            <w:vAlign w:val="center"/>
          </w:tcPr>
          <w:p w14:paraId="2E29F1EB">
            <w:pPr>
              <w:rPr>
                <w:rFonts w:ascii="Times New Roman" w:hAnsi="Times New Roman" w:cs="Times New Roman"/>
                <w:b/>
                <w:bCs/>
                <w:sz w:val="20"/>
                <w:szCs w:val="20"/>
              </w:rPr>
            </w:pPr>
          </w:p>
        </w:tc>
        <w:tc>
          <w:tcPr>
            <w:tcW w:w="2717" w:type="dxa"/>
            <w:shd w:val="clear" w:color="auto" w:fill="auto"/>
            <w:vAlign w:val="center"/>
          </w:tcPr>
          <w:p w14:paraId="15FC0EDB">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基因组比对率</w:t>
            </w:r>
          </w:p>
        </w:tc>
        <w:tc>
          <w:tcPr>
            <w:tcW w:w="2378" w:type="dxa"/>
            <w:shd w:val="clear" w:color="auto" w:fill="auto"/>
            <w:vAlign w:val="center"/>
          </w:tcPr>
          <w:p w14:paraId="7D797DCC">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genome_alignment }}</w:t>
            </w:r>
          </w:p>
        </w:tc>
        <w:tc>
          <w:tcPr>
            <w:tcW w:w="2731" w:type="dxa"/>
            <w:gridSpan w:val="2"/>
            <w:tcBorders>
              <w:right w:val="nil"/>
            </w:tcBorders>
            <w:shd w:val="clear" w:color="auto" w:fill="auto"/>
            <w:vAlign w:val="center"/>
          </w:tcPr>
          <w:p w14:paraId="3D6FB228">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14:paraId="5C08FE53">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620" w:hRule="atLeast"/>
          <w:jc w:val="center"/>
        </w:trPr>
        <w:tc>
          <w:tcPr>
            <w:tcW w:w="1984" w:type="dxa"/>
            <w:vMerge w:val="continue"/>
            <w:tcBorders>
              <w:left w:val="nil"/>
            </w:tcBorders>
            <w:shd w:val="clear" w:color="auto" w:fill="auto"/>
            <w:vAlign w:val="center"/>
          </w:tcPr>
          <w:p w14:paraId="251086DC">
            <w:pPr>
              <w:rPr>
                <w:rFonts w:ascii="Times New Roman" w:hAnsi="Times New Roman" w:cs="Times New Roman"/>
                <w:b/>
                <w:bCs/>
                <w:sz w:val="20"/>
                <w:szCs w:val="20"/>
              </w:rPr>
            </w:pPr>
          </w:p>
        </w:tc>
        <w:tc>
          <w:tcPr>
            <w:tcW w:w="2717" w:type="dxa"/>
            <w:shd w:val="clear" w:color="auto" w:fill="auto"/>
            <w:vAlign w:val="center"/>
          </w:tcPr>
          <w:p w14:paraId="426B1851">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微软雅黑" w:hAnsi="微软雅黑" w:eastAsia="微软雅黑" w:cs="微软雅黑"/>
                <w:sz w:val="21"/>
                <w:szCs w:val="21"/>
                <w:lang w:eastAsia="zh-CN" w:bidi="ar"/>
              </w:rPr>
              <w:t>占比</w:t>
            </w:r>
          </w:p>
        </w:tc>
        <w:tc>
          <w:tcPr>
            <w:tcW w:w="2378" w:type="dxa"/>
            <w:shd w:val="clear" w:color="auto" w:fill="auto"/>
            <w:vAlign w:val="center"/>
          </w:tcPr>
          <w:p w14:paraId="5BC5B142">
            <w:pPr>
              <w:autoSpaceDE w:val="0"/>
              <w:ind w:left="110" w:leftChars="50"/>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base_quality }}</w:t>
            </w:r>
          </w:p>
        </w:tc>
        <w:tc>
          <w:tcPr>
            <w:tcW w:w="2731" w:type="dxa"/>
            <w:gridSpan w:val="2"/>
            <w:tcBorders>
              <w:right w:val="nil"/>
            </w:tcBorders>
            <w:shd w:val="clear" w:color="auto" w:fill="auto"/>
            <w:vAlign w:val="center"/>
          </w:tcPr>
          <w:p w14:paraId="5CF4DFB0">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14:paraId="77164756">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gridAfter w:val="1"/>
          <w:wAfter w:w="19" w:type="dxa"/>
          <w:trHeight w:val="510" w:hRule="atLeast"/>
          <w:jc w:val="center"/>
        </w:trPr>
        <w:tc>
          <w:tcPr>
            <w:tcW w:w="1984" w:type="dxa"/>
            <w:tcBorders>
              <w:left w:val="nil"/>
            </w:tcBorders>
            <w:shd w:val="clear" w:color="auto" w:fill="F1F1F1"/>
            <w:vAlign w:val="center"/>
          </w:tcPr>
          <w:p w14:paraId="7F040657">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总体质量评估</w:t>
            </w:r>
          </w:p>
        </w:tc>
        <w:tc>
          <w:tcPr>
            <w:tcW w:w="7807" w:type="dxa"/>
            <w:gridSpan w:val="3"/>
            <w:tcBorders>
              <w:right w:val="nil"/>
            </w:tcBorders>
            <w:shd w:val="clear" w:color="auto" w:fill="F1F1F1"/>
            <w:vAlign w:val="center"/>
          </w:tcPr>
          <w:p w14:paraId="7D5372A0">
            <w:pPr>
              <w:autoSpaceDE w:val="0"/>
              <w:ind w:left="110" w:leftChars="50"/>
              <w:jc w:val="center"/>
              <w:rPr>
                <w:rFonts w:ascii="Times New Roman" w:hAnsi="Times New Roman" w:eastAsia="微软雅黑" w:cs="Times New Roman"/>
                <w:sz w:val="21"/>
                <w:szCs w:val="21"/>
                <w:lang w:eastAsia="zh-CN"/>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14:paraId="53824027">
      <w:pPr>
        <w:rPr>
          <w:rFonts w:ascii="微软雅黑" w:hAnsi="微软雅黑" w:eastAsia="微软雅黑" w:cs="微软雅黑"/>
          <w:b/>
          <w:bCs/>
          <w:sz w:val="18"/>
          <w:szCs w:val="18"/>
          <w:lang w:eastAsia="zh-CN" w:bidi="ar"/>
        </w:rPr>
      </w:pPr>
      <w:r>
        <w:rPr>
          <w:rFonts w:hint="eastAsia" w:ascii="微软雅黑" w:hAnsi="微软雅黑" w:eastAsia="微软雅黑" w:cs="微软雅黑"/>
          <w:b/>
          <w:bCs/>
          <w:sz w:val="18"/>
          <w:szCs w:val="18"/>
          <w:lang w:eastAsia="zh-CN" w:bidi="ar"/>
        </w:rPr>
        <w:t>注：</w:t>
      </w:r>
    </w:p>
    <w:p w14:paraId="0ED08F51">
      <w:pPr>
        <w:numPr>
          <w:ilvl w:val="0"/>
          <w:numId w:val="10"/>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肿瘤细胞含量：送检样本经HE染色评估的肿瘤细胞含量。如送检样本不满足病理评估所需条件，则不进行此项评估。{% if summaryOfRresults.type == “blood” %}血浆cfDNA样本不做此项评估。{% endif %}</w:t>
      </w:r>
    </w:p>
    <w:p w14:paraId="6E29A911">
      <w:pPr>
        <w:numPr>
          <w:ilvl w:val="0"/>
          <w:numId w:val="10"/>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DNA总量：送检样本的DNA提取总量。</w:t>
      </w:r>
    </w:p>
    <w:p w14:paraId="277536BF">
      <w:pPr>
        <w:numPr>
          <w:ilvl w:val="0"/>
          <w:numId w:val="10"/>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DNA降解程度：1-2级别样本质量较好，3级不能满足检测要求{% if summaryOfRresults.type == “blood” %}；cfDNA样本不适用于此项评估{% endif %}。</w:t>
      </w:r>
    </w:p>
    <w:p w14:paraId="37D05719">
      <w:pPr>
        <w:numPr>
          <w:ilvl w:val="0"/>
          <w:numId w:val="10"/>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预文库总量：核酸片段经过接头连接和扩增纯化后中间产物的总量。</w:t>
      </w:r>
    </w:p>
    <w:p w14:paraId="66F2B3FA">
      <w:pPr>
        <w:numPr>
          <w:ilvl w:val="0"/>
          <w:numId w:val="10"/>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平均测序深度：目标区域每个碱基被测到的平均次数。</w:t>
      </w:r>
    </w:p>
    <w:p w14:paraId="72036DF7">
      <w:pPr>
        <w:numPr>
          <w:ilvl w:val="0"/>
          <w:numId w:val="10"/>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覆盖均一性：测序深度达到平均测序深度20%的碱基占比。</w:t>
      </w:r>
    </w:p>
    <w:p w14:paraId="2582B610">
      <w:pPr>
        <w:numPr>
          <w:ilvl w:val="0"/>
          <w:numId w:val="10"/>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基因组比对率：比对到参考基因组上的reads数目占比。</w:t>
      </w:r>
    </w:p>
    <w:p w14:paraId="31AE7D6D">
      <w:pPr>
        <w:numPr>
          <w:ilvl w:val="0"/>
          <w:numId w:val="10"/>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碱基质量Q30占比：测序数据中碱基质量在Q30以上（即碱基识别错误率在千分之一以下）的占比。</w:t>
      </w:r>
    </w:p>
    <w:p w14:paraId="4EBEB61F">
      <w:pPr>
        <w:numPr>
          <w:ilvl w:val="0"/>
          <w:numId w:val="10"/>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总体质量评估：根据 DNA 平均测序深度进行评估，分为“合格”、“警戒“、”不合格”三个等级。总体质量评估为“警戒“或者“不合格”时，均会影响检测的准确性和敏感性。</w:t>
      </w:r>
    </w:p>
    <w:p w14:paraId="7FF2E05A">
      <w:pPr>
        <w:rPr>
          <w:rFonts w:ascii="Times New Roman" w:hAnsi="Times New Roman" w:eastAsia="微软雅黑" w:cs="Times New Roman"/>
          <w:lang w:eastAsia="zh-CN"/>
        </w:rPr>
      </w:pPr>
      <w:bookmarkStart w:id="119" w:name="_GoBack"/>
      <w:bookmarkEnd w:id="119"/>
      <w:r>
        <w:rPr>
          <w:rFonts w:ascii="Times New Roman" w:hAnsi="Times New Roman" w:eastAsia="微软雅黑" w:cs="Times New Roman"/>
          <w:lang w:eastAsia="zh-CN"/>
        </w:rPr>
        <w:br w:type="page"/>
      </w:r>
    </w:p>
    <w:p w14:paraId="0E6FE995">
      <w:pPr>
        <w:pStyle w:val="3"/>
        <w:numPr>
          <w:ilvl w:val="255"/>
          <w:numId w:val="0"/>
        </w:numPr>
        <w:jc w:val="left"/>
        <w:rPr>
          <w:color w:val="auto"/>
          <w:sz w:val="30"/>
          <w:lang w:eastAsia="zh-CN"/>
        </w:rPr>
      </w:pPr>
      <w:bookmarkStart w:id="80" w:name="_Toc14500"/>
      <w:bookmarkStart w:id="81" w:name="_Toc7713"/>
      <w:r>
        <w:rPr>
          <w:rFonts w:hint="eastAsia"/>
          <w:color w:val="auto"/>
          <w:sz w:val="30"/>
          <w:lang w:eastAsia="zh-CN"/>
        </w:rPr>
        <w:t>BRCA1&amp;BRCA2</w:t>
      </w:r>
      <w:bookmarkEnd w:id="75"/>
      <w:r>
        <w:rPr>
          <w:rFonts w:hint="eastAsia"/>
          <w:color w:val="auto"/>
          <w:sz w:val="30"/>
          <w:lang w:eastAsia="zh-CN"/>
        </w:rPr>
        <w:t>基因背景介绍</w:t>
      </w:r>
      <w:bookmarkEnd w:id="76"/>
      <w:bookmarkEnd w:id="80"/>
      <w:bookmarkEnd w:id="81"/>
    </w:p>
    <w:p w14:paraId="3FC0785E">
      <w:pPr>
        <w:spacing w:before="26"/>
        <w:jc w:val="both"/>
        <w:rPr>
          <w:rFonts w:ascii="Times New Roman" w:hAnsi="Times New Roman" w:eastAsia="微软雅黑" w:cs="Times New Roman"/>
          <w:sz w:val="8"/>
          <w:lang w:eastAsia="zh-CN"/>
        </w:rPr>
      </w:pPr>
      <w:r>
        <w:rPr>
          <w:rFonts w:ascii="Times New Roman" w:hAnsi="Times New Roman" w:eastAsia="微软雅黑" w:cs="Times New Roman"/>
          <w:lang w:eastAsia="zh-CN"/>
        </w:rPr>
        <w:t>BRCA1、BRCA2为乳腺癌易感基因，目前研究表明这两个基因和乳腺癌、卵巢癌、前列腺癌等多种肿瘤发生相关。BRCA基因有害遗传突变可以增加易感人群患乳腺癌和卵巢癌的概率。大规模人群研究</w:t>
      </w:r>
      <w:r>
        <w:rPr>
          <w:rFonts w:ascii="Times New Roman" w:hAnsi="Times New Roman" w:eastAsia="微软雅黑" w:cs="Times New Roman"/>
          <w:vertAlign w:val="superscript"/>
          <w:lang w:eastAsia="zh-CN"/>
        </w:rPr>
        <w:t>a</w:t>
      </w:r>
      <w:r>
        <w:rPr>
          <w:rFonts w:ascii="Times New Roman" w:hAnsi="Times New Roman" w:eastAsia="微软雅黑" w:cs="Times New Roman"/>
          <w:lang w:eastAsia="zh-CN"/>
        </w:rPr>
        <w:t>显示由BRCA1、BRCA2突变致癌占乳腺癌病患的5%~10%，而且多发生在50岁以下女性。根据突变所在的位置不同，携带者患乳腺癌和卵巢癌的几率也不相同。如果携带BRCA1突变，不经任何预防措施，首患乳腺癌的概率为50%~80%，次患乳腺癌的概率为40%~60%，卵巢癌的概率为20%~45%。而BRCA2突变时，患癌的概率在乳腺癌和BRCA1突变相似，但卵巢癌概率稍低为10%~20%。一般女性人群患卵巢癌的风险约是1.7%，而携带BRCA1突变的女性到70岁时患卵巢癌的风险高达39%~46%，携带BRCA2基因突变的女性到70岁时患卵巢癌的风险为10%~27%。遗传性卵巢癌患者约50%是由于BRCA1和BRCA2基因突变所导致的。</w:t>
      </w:r>
    </w:p>
    <w:p w14:paraId="50B1E58C">
      <w:pPr>
        <w:spacing w:before="26"/>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a数据出自世界范围内人群的调查，中国人群的BRCA有害突变携带者患病比例和其有一定的差异。</w:t>
      </w:r>
    </w:p>
    <w:p w14:paraId="1B17E3EA">
      <w:pPr>
        <w:spacing w:before="26"/>
        <w:rPr>
          <w:rFonts w:ascii="Times New Roman" w:hAnsi="Times New Roman" w:eastAsia="微软雅黑" w:cs="Times New Roman"/>
          <w:b/>
          <w:bCs/>
          <w:sz w:val="24"/>
          <w:szCs w:val="24"/>
          <w:lang w:eastAsia="zh-CN"/>
        </w:rPr>
      </w:pPr>
      <w:bookmarkStart w:id="82" w:name="_Toc26220"/>
      <w:r>
        <w:rPr>
          <w:rFonts w:ascii="Times New Roman" w:hAnsi="Times New Roman" w:eastAsia="微软雅黑" w:cs="Times New Roman"/>
          <w:b/>
          <w:bCs/>
          <w:sz w:val="24"/>
          <w:szCs w:val="24"/>
          <w:lang w:eastAsia="zh-CN"/>
        </w:rPr>
        <w:t>BRCA1&amp;BRCA2基因说明及用药提示</w:t>
      </w:r>
      <w:bookmarkStart w:id="83" w:name="_Hlk33179213"/>
    </w:p>
    <w:tbl>
      <w:tblPr>
        <w:tblStyle w:val="14"/>
        <w:tblW w:w="10207" w:type="dxa"/>
        <w:tblInd w:w="-147"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09"/>
        <w:gridCol w:w="4820"/>
        <w:gridCol w:w="2129"/>
        <w:gridCol w:w="2549"/>
      </w:tblGrid>
      <w:tr w14:paraId="483A4FC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13" w:hRule="atLeast"/>
        </w:trPr>
        <w:tc>
          <w:tcPr>
            <w:tcW w:w="709" w:type="dxa"/>
            <w:tcBorders>
              <w:top w:val="nil"/>
              <w:bottom w:val="nil"/>
              <w:right w:val="single" w:color="FFFFFF" w:sz="18" w:space="0"/>
            </w:tcBorders>
            <w:shd w:val="clear" w:color="auto" w:fill="62B541"/>
            <w:vAlign w:val="center"/>
          </w:tcPr>
          <w:p w14:paraId="12EDE8CA">
            <w:pPr>
              <w:pStyle w:val="20"/>
              <w:spacing w:before="10"/>
              <w:jc w:val="center"/>
              <w:rPr>
                <w:rFonts w:ascii="Times New Roman" w:hAnsi="Times New Roman" w:eastAsia="微软雅黑" w:cs="Times New Roman"/>
                <w:b/>
                <w:color w:val="FFFFFF"/>
                <w:sz w:val="18"/>
                <w:szCs w:val="18"/>
              </w:rPr>
            </w:pPr>
            <w:r>
              <w:rPr>
                <w:rFonts w:ascii="Times New Roman" w:hAnsi="Times New Roman" w:eastAsia="微软雅黑" w:cs="Times New Roman"/>
                <w:b/>
                <w:color w:val="FFFFFF"/>
                <w:sz w:val="18"/>
                <w:szCs w:val="18"/>
              </w:rPr>
              <w:t>基因</w:t>
            </w:r>
          </w:p>
        </w:tc>
        <w:tc>
          <w:tcPr>
            <w:tcW w:w="4820" w:type="dxa"/>
            <w:tcBorders>
              <w:top w:val="nil"/>
              <w:left w:val="single" w:color="FFFFFF" w:sz="18" w:space="0"/>
              <w:bottom w:val="nil"/>
              <w:right w:val="single" w:color="FFFFFF" w:sz="18" w:space="0"/>
            </w:tcBorders>
            <w:shd w:val="clear" w:color="auto" w:fill="62B541"/>
            <w:vAlign w:val="center"/>
          </w:tcPr>
          <w:p w14:paraId="446B1EA9">
            <w:pPr>
              <w:pStyle w:val="20"/>
              <w:spacing w:before="10"/>
              <w:jc w:val="center"/>
              <w:rPr>
                <w:rFonts w:ascii="Times New Roman" w:hAnsi="Times New Roman" w:eastAsia="微软雅黑" w:cs="Times New Roman"/>
                <w:b/>
                <w:color w:val="FFFFFF"/>
                <w:sz w:val="18"/>
                <w:szCs w:val="18"/>
              </w:rPr>
            </w:pPr>
            <w:r>
              <w:rPr>
                <w:rFonts w:ascii="Times New Roman" w:hAnsi="Times New Roman" w:eastAsia="微软雅黑" w:cs="Times New Roman"/>
                <w:b/>
                <w:color w:val="FFFFFF"/>
                <w:sz w:val="18"/>
                <w:szCs w:val="18"/>
              </w:rPr>
              <w:t>基因说明</w:t>
            </w:r>
          </w:p>
        </w:tc>
        <w:tc>
          <w:tcPr>
            <w:tcW w:w="2129" w:type="dxa"/>
            <w:tcBorders>
              <w:top w:val="nil"/>
              <w:left w:val="single" w:color="FFFFFF" w:sz="18" w:space="0"/>
              <w:bottom w:val="nil"/>
              <w:right w:val="single" w:color="FFFFFF" w:sz="18" w:space="0"/>
            </w:tcBorders>
            <w:shd w:val="clear" w:color="auto" w:fill="62B541"/>
            <w:vAlign w:val="center"/>
          </w:tcPr>
          <w:p w14:paraId="5E3068CD">
            <w:pPr>
              <w:pStyle w:val="20"/>
              <w:jc w:val="center"/>
              <w:rPr>
                <w:rFonts w:ascii="Times New Roman" w:hAnsi="Times New Roman" w:eastAsia="微软雅黑" w:cs="Times New Roman"/>
                <w:b/>
                <w:sz w:val="18"/>
                <w:szCs w:val="18"/>
              </w:rPr>
            </w:pPr>
            <w:r>
              <w:rPr>
                <w:rFonts w:ascii="Times New Roman" w:hAnsi="Times New Roman" w:eastAsia="微软雅黑" w:cs="Times New Roman"/>
                <w:b/>
                <w:color w:val="FFFFFF"/>
                <w:sz w:val="18"/>
                <w:szCs w:val="18"/>
              </w:rPr>
              <w:t>靶向药物</w:t>
            </w:r>
          </w:p>
        </w:tc>
        <w:tc>
          <w:tcPr>
            <w:tcW w:w="2549" w:type="dxa"/>
            <w:tcBorders>
              <w:top w:val="nil"/>
              <w:left w:val="single" w:color="FFFFFF" w:sz="18" w:space="0"/>
              <w:bottom w:val="nil"/>
            </w:tcBorders>
            <w:shd w:val="clear" w:color="auto" w:fill="62B541"/>
            <w:vAlign w:val="center"/>
          </w:tcPr>
          <w:p w14:paraId="61640C87">
            <w:pPr>
              <w:pStyle w:val="20"/>
              <w:ind w:left="134"/>
              <w:jc w:val="center"/>
              <w:rPr>
                <w:rFonts w:ascii="Times New Roman" w:hAnsi="Times New Roman" w:eastAsia="微软雅黑" w:cs="Times New Roman"/>
                <w:b/>
                <w:sz w:val="18"/>
                <w:szCs w:val="18"/>
                <w:lang w:eastAsia="zh-CN"/>
              </w:rPr>
            </w:pPr>
            <w:r>
              <w:rPr>
                <w:rFonts w:ascii="Times New Roman" w:hAnsi="Times New Roman" w:eastAsia="微软雅黑" w:cs="Times New Roman"/>
                <w:b/>
                <w:color w:val="FFFFFF"/>
                <w:sz w:val="18"/>
                <w:szCs w:val="18"/>
                <w:lang w:eastAsia="zh-CN"/>
              </w:rPr>
              <w:t>用药提示（仅供参考）</w:t>
            </w:r>
          </w:p>
        </w:tc>
      </w:tr>
      <w:tr w14:paraId="6C30BEC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0207" w:type="dxa"/>
            <w:gridSpan w:val="4"/>
            <w:tcBorders>
              <w:top w:val="nil"/>
            </w:tcBorders>
            <w:vAlign w:val="center"/>
          </w:tcPr>
          <w:p w14:paraId="5CC9BFE3">
            <w:pPr>
              <w:pStyle w:val="20"/>
              <w:ind w:left="119" w:right="181"/>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lang w:eastAsia="zh-CN"/>
              </w:rPr>
              <w:t>{%tr for brca in brcaGeneSpecification %}</w:t>
            </w:r>
          </w:p>
        </w:tc>
      </w:tr>
      <w:tr w14:paraId="3787449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709" w:type="dxa"/>
            <w:vAlign w:val="center"/>
          </w:tcPr>
          <w:p w14:paraId="40FBABDF">
            <w:pPr>
              <w:pStyle w:val="20"/>
              <w:adjustRightInd w:val="0"/>
              <w:spacing w:before="158"/>
              <w:jc w:val="both"/>
              <w:rPr>
                <w:rFonts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eastAsia="zh-CN"/>
              </w:rPr>
              <w:t>{{ brca.gene }}</w:t>
            </w:r>
          </w:p>
        </w:tc>
        <w:tc>
          <w:tcPr>
            <w:tcW w:w="4820" w:type="dxa"/>
            <w:vAlign w:val="center"/>
          </w:tcPr>
          <w:p w14:paraId="2AFF77FC">
            <w:pPr>
              <w:pStyle w:val="20"/>
              <w:ind w:left="119" w:right="40"/>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brca.gene_specification }}</w:t>
            </w:r>
          </w:p>
        </w:tc>
        <w:tc>
          <w:tcPr>
            <w:tcW w:w="2129" w:type="dxa"/>
            <w:vAlign w:val="center"/>
          </w:tcPr>
          <w:p w14:paraId="48C6D235">
            <w:pPr>
              <w:pStyle w:val="20"/>
              <w:adjustRightInd w:val="0"/>
              <w:spacing w:before="35"/>
              <w:ind w:left="110" w:leftChars="50"/>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brca.drugAndsuperscript %}{%if loop.last%}{{ b.targeted_drug }}</w:t>
            </w:r>
            <w:r>
              <w:rPr>
                <w:rFonts w:hint="eastAsia" w:ascii="Times New Roman" w:hAnsi="Times New Roman" w:eastAsia="微软雅黑" w:cs="Times New Roman"/>
                <w:sz w:val="18"/>
                <w:szCs w:val="18"/>
                <w:vertAlign w:val="superscript"/>
                <w:lang w:eastAsia="zh-CN"/>
              </w:rPr>
              <w:t>{{ b.superscript }}</w:t>
            </w:r>
            <w:r>
              <w:rPr>
                <w:rFonts w:hint="eastAsia" w:ascii="Times New Roman" w:hAnsi="Times New Roman" w:eastAsia="微软雅黑" w:cs="Times New Roman"/>
                <w:sz w:val="18"/>
                <w:szCs w:val="18"/>
                <w:lang w:eastAsia="zh-CN"/>
              </w:rPr>
              <w:t>{%else%}{{ b.targeted_drug }}</w:t>
            </w:r>
            <w:r>
              <w:rPr>
                <w:rFonts w:hint="eastAsia" w:ascii="Times New Roman" w:hAnsi="Times New Roman" w:eastAsia="微软雅黑" w:cs="Times New Roman"/>
                <w:sz w:val="18"/>
                <w:szCs w:val="18"/>
                <w:vertAlign w:val="superscript"/>
                <w:lang w:eastAsia="zh-CN"/>
              </w:rPr>
              <w:t>{{ b.superscript }}</w:t>
            </w:r>
            <w:r>
              <w:rPr>
                <w:rFonts w:hint="eastAsia" w:ascii="Times New Roman" w:hAnsi="Times New Roman" w:eastAsia="微软雅黑" w:cs="Times New Roman"/>
                <w:sz w:val="18"/>
                <w:szCs w:val="18"/>
                <w:lang w:eastAsia="zh-CN"/>
              </w:rPr>
              <w:t>、</w:t>
            </w:r>
          </w:p>
          <w:p w14:paraId="439EDA60">
            <w:pPr>
              <w:adjustRightInd w:val="0"/>
              <w:ind w:left="110" w:leftChars="50"/>
              <w:jc w:val="both"/>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{%endif%}{% endfor %}</w:t>
            </w:r>
          </w:p>
          <w:p w14:paraId="7A624A83">
            <w:pPr>
              <w:pStyle w:val="20"/>
              <w:spacing w:before="35" w:line="319" w:lineRule="auto"/>
              <w:ind w:left="110" w:leftChars="50"/>
              <w:jc w:val="both"/>
              <w:rPr>
                <w:rFonts w:ascii="Times New Roman" w:hAnsi="Times New Roman" w:eastAsia="微软雅黑" w:cs="Times New Roman"/>
                <w:sz w:val="18"/>
                <w:szCs w:val="18"/>
              </w:rPr>
            </w:pPr>
          </w:p>
        </w:tc>
        <w:tc>
          <w:tcPr>
            <w:tcW w:w="2549" w:type="dxa"/>
            <w:vAlign w:val="center"/>
          </w:tcPr>
          <w:p w14:paraId="1E2101A4">
            <w:pPr>
              <w:pStyle w:val="20"/>
              <w:ind w:left="119" w:right="181"/>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brca.medication_suggestion }}</w:t>
            </w:r>
          </w:p>
        </w:tc>
      </w:tr>
      <w:tr w14:paraId="662BE1F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0207" w:type="dxa"/>
            <w:gridSpan w:val="4"/>
            <w:vAlign w:val="center"/>
          </w:tcPr>
          <w:p w14:paraId="4AC14CA3">
            <w:pPr>
              <w:pStyle w:val="20"/>
              <w:ind w:left="119" w:right="181"/>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lang w:eastAsia="zh-CN"/>
              </w:rPr>
              <w:t>{%tr endfor %}</w:t>
            </w:r>
          </w:p>
        </w:tc>
      </w:tr>
      <w:bookmarkEnd w:id="83"/>
    </w:tbl>
    <w:p w14:paraId="333C3CA5">
      <w:pPr>
        <w:rPr>
          <w:rFonts w:ascii="微软雅黑 Light" w:hAnsi="微软雅黑 Light" w:eastAsia="微软雅黑 Light"/>
          <w:b/>
          <w:sz w:val="18"/>
          <w:szCs w:val="18"/>
        </w:rPr>
      </w:pPr>
      <w:r>
        <w:rPr>
          <w:rFonts w:ascii="微软雅黑 Light" w:hAnsi="微软雅黑 Light" w:eastAsia="微软雅黑 Light"/>
          <w:b/>
          <w:sz w:val="18"/>
          <w:szCs w:val="18"/>
        </w:rPr>
        <w:t>注：</w:t>
      </w:r>
    </w:p>
    <w:p w14:paraId="6F1E732E">
      <w:pPr>
        <w:pStyle w:val="39"/>
        <w:numPr>
          <w:ilvl w:val="0"/>
          <w:numId w:val="11"/>
        </w:numPr>
        <w:autoSpaceDE w:val="0"/>
        <w:autoSpaceDN w:val="0"/>
        <w:ind w:firstLineChars="0"/>
        <w:rPr>
          <w:rFonts w:ascii="Times New Roman" w:hAnsi="Times New Roman" w:eastAsia="微软雅黑"/>
          <w:sz w:val="18"/>
          <w:szCs w:val="18"/>
          <w:lang w:eastAsia="zh-CN"/>
        </w:rPr>
      </w:pPr>
      <w:r>
        <w:rPr>
          <w:rFonts w:hint="eastAsia" w:ascii="Times New Roman" w:hAnsi="Times New Roman" w:eastAsia="微软雅黑"/>
          <w:sz w:val="18"/>
          <w:szCs w:val="18"/>
          <w:lang w:eastAsia="zh-CN"/>
        </w:rPr>
        <w:t>数字</w:t>
      </w:r>
      <w:r>
        <w:rPr>
          <w:rFonts w:ascii="Times New Roman" w:hAnsi="Times New Roman" w:eastAsia="微软雅黑"/>
          <w:sz w:val="18"/>
          <w:szCs w:val="18"/>
          <w:lang w:eastAsia="zh-CN"/>
        </w:rPr>
        <w:t>1</w:t>
      </w:r>
      <w:r>
        <w:rPr>
          <w:rFonts w:hint="eastAsia" w:ascii="Times New Roman" w:hAnsi="Times New Roman" w:eastAsia="微软雅黑"/>
          <w:sz w:val="18"/>
          <w:szCs w:val="18"/>
          <w:lang w:eastAsia="zh-CN"/>
        </w:rPr>
        <w:t>表示</w:t>
      </w:r>
      <w:r>
        <w:rPr>
          <w:rFonts w:ascii="Times New Roman" w:hAnsi="Times New Roman" w:eastAsia="微软雅黑"/>
          <w:sz w:val="18"/>
          <w:szCs w:val="18"/>
          <w:lang w:eastAsia="zh-CN"/>
        </w:rPr>
        <w:t>FDA</w:t>
      </w:r>
      <w:r>
        <w:rPr>
          <w:rFonts w:hint="eastAsia" w:ascii="Times New Roman" w:hAnsi="Times New Roman" w:eastAsia="微软雅黑"/>
          <w:sz w:val="18"/>
          <w:szCs w:val="18"/>
          <w:lang w:eastAsia="zh-CN"/>
        </w:rPr>
        <w:t>获批</w:t>
      </w:r>
      <w:r>
        <w:rPr>
          <w:rFonts w:ascii="Times New Roman" w:hAnsi="Times New Roman" w:eastAsia="微软雅黑"/>
          <w:sz w:val="18"/>
          <w:szCs w:val="18"/>
          <w:lang w:eastAsia="zh-CN"/>
        </w:rPr>
        <w:t>药物</w:t>
      </w:r>
      <w:r>
        <w:rPr>
          <w:rFonts w:hint="eastAsia" w:ascii="Times New Roman" w:hAnsi="Times New Roman" w:eastAsia="微软雅黑"/>
          <w:sz w:val="18"/>
          <w:szCs w:val="18"/>
          <w:lang w:eastAsia="zh-CN"/>
        </w:rPr>
        <w:t>；</w:t>
      </w:r>
    </w:p>
    <w:p w14:paraId="2F1AF028">
      <w:pPr>
        <w:pStyle w:val="39"/>
        <w:numPr>
          <w:ilvl w:val="0"/>
          <w:numId w:val="11"/>
        </w:numPr>
        <w:autoSpaceDE w:val="0"/>
        <w:autoSpaceDN w:val="0"/>
        <w:ind w:firstLineChars="0"/>
        <w:rPr>
          <w:rFonts w:ascii="Times New Roman" w:hAnsi="Times New Roman" w:eastAsia="微软雅黑"/>
          <w:sz w:val="18"/>
          <w:szCs w:val="18"/>
          <w:lang w:eastAsia="zh-CN"/>
        </w:rPr>
      </w:pPr>
      <w:r>
        <w:rPr>
          <w:rFonts w:hint="eastAsia" w:ascii="Times New Roman" w:hAnsi="Times New Roman" w:eastAsia="微软雅黑"/>
          <w:sz w:val="18"/>
          <w:szCs w:val="18"/>
          <w:lang w:eastAsia="zh-CN"/>
        </w:rPr>
        <w:t>数字</w:t>
      </w:r>
      <w:r>
        <w:rPr>
          <w:rFonts w:ascii="Times New Roman" w:hAnsi="Times New Roman" w:eastAsia="微软雅黑"/>
          <w:sz w:val="18"/>
          <w:szCs w:val="18"/>
          <w:lang w:eastAsia="zh-CN"/>
        </w:rPr>
        <w:t>2</w:t>
      </w:r>
      <w:r>
        <w:rPr>
          <w:rFonts w:hint="eastAsia" w:ascii="Times New Roman" w:hAnsi="Times New Roman" w:eastAsia="微软雅黑"/>
          <w:sz w:val="18"/>
          <w:szCs w:val="18"/>
          <w:lang w:eastAsia="zh-CN"/>
        </w:rPr>
        <w:t>表示临床试验的药物；</w:t>
      </w:r>
    </w:p>
    <w:p w14:paraId="2A635A3D">
      <w:pPr>
        <w:pStyle w:val="39"/>
        <w:numPr>
          <w:ilvl w:val="0"/>
          <w:numId w:val="11"/>
        </w:numPr>
        <w:autoSpaceDE w:val="0"/>
        <w:autoSpaceDN w:val="0"/>
        <w:ind w:firstLineChars="0"/>
        <w:rPr>
          <w:rFonts w:hint="eastAsia" w:ascii="Times New Roman" w:hAnsi="Times New Roman" w:eastAsia="微软雅黑"/>
          <w:sz w:val="18"/>
          <w:szCs w:val="18"/>
          <w:lang w:eastAsia="zh-CN"/>
        </w:rPr>
      </w:pPr>
      <w:r>
        <w:rPr>
          <w:rFonts w:hint="eastAsia" w:ascii="Times New Roman" w:hAnsi="Times New Roman" w:eastAsia="微软雅黑"/>
          <w:sz w:val="18"/>
          <w:szCs w:val="18"/>
          <w:lang w:eastAsia="zh-CN"/>
        </w:rPr>
        <w:t>*表示NMPA获批药物。</w:t>
      </w:r>
      <w:r>
        <w:rPr>
          <w:rFonts w:hint="eastAsia" w:ascii="Times New Roman" w:hAnsi="Times New Roman" w:eastAsia="微软雅黑"/>
          <w:sz w:val="18"/>
          <w:szCs w:val="18"/>
          <w:lang w:eastAsia="zh-CN"/>
        </w:rPr>
        <w:br w:type="page"/>
      </w:r>
    </w:p>
    <w:p w14:paraId="397B8CFB">
      <w:pPr>
        <w:pStyle w:val="3"/>
        <w:numPr>
          <w:ilvl w:val="255"/>
          <w:numId w:val="0"/>
        </w:numPr>
        <w:jc w:val="left"/>
        <w:rPr>
          <w:color w:val="auto"/>
          <w:sz w:val="30"/>
          <w:lang w:eastAsia="zh-CN"/>
        </w:rPr>
      </w:pPr>
      <w:bookmarkStart w:id="84" w:name="_Toc14221"/>
      <w:bookmarkStart w:id="85" w:name="_Toc31274"/>
      <w:r>
        <w:rPr>
          <w:rFonts w:hint="eastAsia"/>
          <w:color w:val="auto"/>
          <w:sz w:val="30"/>
          <w:lang w:eastAsia="zh-CN"/>
        </w:rPr>
        <w:t>易感人群特征</w:t>
      </w:r>
      <w:bookmarkEnd w:id="82"/>
      <w:bookmarkEnd w:id="84"/>
      <w:bookmarkEnd w:id="85"/>
    </w:p>
    <w:p w14:paraId="020670AD">
      <w:pPr>
        <w:spacing w:before="26"/>
        <w:rPr>
          <w:rFonts w:ascii="Times New Roman" w:hAnsi="Times New Roman" w:eastAsia="微软雅黑" w:cs="Times New Roman"/>
          <w:b/>
          <w:bCs/>
          <w:color w:val="416AAB"/>
          <w:sz w:val="24"/>
          <w:szCs w:val="24"/>
          <w:lang w:eastAsia="zh-CN"/>
        </w:rPr>
      </w:pPr>
    </w:p>
    <w:p w14:paraId="1A312C68">
      <w:pPr>
        <w:spacing w:before="26"/>
        <w:rPr>
          <w:rFonts w:ascii="Times New Roman" w:hAnsi="Times New Roman" w:eastAsia="微软雅黑" w:cs="Times New Roman"/>
          <w:b/>
          <w:sz w:val="6"/>
          <w:lang w:eastAsia="zh-CN"/>
        </w:rPr>
      </w:pPr>
      <w:r>
        <w:rPr>
          <w:rFonts w:hint="eastAsia" w:ascii="Times New Roman" w:hAnsi="Times New Roman" w:eastAsia="微软雅黑" w:cs="Times New Roman"/>
          <w:b/>
          <w:bCs/>
          <w:sz w:val="24"/>
          <w:szCs w:val="24"/>
          <w:lang w:eastAsia="zh-CN"/>
        </w:rPr>
        <w:t>乳腺癌、卵巢癌易感人群特征</w:t>
      </w:r>
    </w:p>
    <w:p w14:paraId="55B1DD7F">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1 患者发病年龄≤45岁；</w:t>
      </w:r>
    </w:p>
    <w:p w14:paraId="168CBC15">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2 患者发病年龄46</w:t>
      </w:r>
      <w:r>
        <w:rPr>
          <w:rFonts w:hint="eastAsia" w:ascii="Times New Roman" w:hAnsi="Times New Roman" w:eastAsia="微软雅黑" w:cs="Times New Roman"/>
          <w:lang w:eastAsia="zh-CN"/>
        </w:rPr>
        <w:t>~</w:t>
      </w:r>
      <w:r>
        <w:rPr>
          <w:rFonts w:ascii="Times New Roman" w:hAnsi="Times New Roman" w:eastAsia="微软雅黑" w:cs="Times New Roman"/>
          <w:lang w:eastAsia="zh-CN"/>
        </w:rPr>
        <w:t>50岁发病，同时伴有：</w:t>
      </w:r>
    </w:p>
    <w:p w14:paraId="32D07F98">
      <w:pPr>
        <w:widowControl/>
        <w:numPr>
          <w:ilvl w:val="0"/>
          <w:numId w:val="12"/>
        </w:numPr>
        <w:spacing w:before="26"/>
        <w:ind w:firstLine="220" w:firstLineChars="100"/>
        <w:rPr>
          <w:rFonts w:ascii="Times New Roman" w:hAnsi="Times New Roman" w:eastAsia="微软雅黑" w:cs="Times New Roman"/>
        </w:rPr>
      </w:pPr>
      <w:r>
        <w:rPr>
          <w:rFonts w:ascii="Times New Roman" w:hAnsi="Times New Roman" w:eastAsia="微软雅黑" w:cs="Times New Roman"/>
        </w:rPr>
        <w:t>第二原发性乳腺癌；</w:t>
      </w:r>
    </w:p>
    <w:p w14:paraId="446C59AB">
      <w:pPr>
        <w:spacing w:before="26"/>
        <w:ind w:firstLine="220" w:firstLineChars="100"/>
        <w:rPr>
          <w:rFonts w:ascii="Times New Roman" w:hAnsi="Times New Roman" w:eastAsia="微软雅黑" w:cs="Times New Roman"/>
          <w:lang w:eastAsia="zh-CN"/>
        </w:rPr>
      </w:pPr>
      <w:r>
        <w:rPr>
          <w:rFonts w:ascii="Times New Roman" w:hAnsi="Times New Roman" w:eastAsia="微软雅黑" w:cs="Times New Roman"/>
          <w:lang w:eastAsia="zh-CN"/>
        </w:rPr>
        <w:t>(2) 满足≥1项以下家族史标准：</w:t>
      </w:r>
    </w:p>
    <w:p w14:paraId="483729A7">
      <w:pPr>
        <w:spacing w:before="26"/>
        <w:ind w:left="880" w:leftChars="300" w:hanging="220" w:hangingChars="100"/>
        <w:rPr>
          <w:rFonts w:ascii="Times New Roman" w:hAnsi="Times New Roman" w:eastAsia="微软雅黑" w:cs="Times New Roman"/>
          <w:lang w:eastAsia="zh-CN"/>
        </w:rPr>
      </w:pPr>
      <w:r>
        <w:rPr>
          <w:rFonts w:hint="eastAsia"/>
          <w:lang w:eastAsia="zh-CN"/>
        </w:rPr>
        <w:t>①</w:t>
      </w:r>
      <w:r>
        <w:rPr>
          <w:rFonts w:ascii="Times New Roman" w:hAnsi="Times New Roman" w:eastAsia="微软雅黑" w:cs="Times New Roman"/>
          <w:lang w:eastAsia="zh-CN"/>
        </w:rPr>
        <w:t xml:space="preserve"> ≥1血缘近亲有任何年龄发病的乳腺癌史、卵巢癌史、胰腺癌史、前列腺癌史（Gleason评分≥7）或导管内前列腺癌；</w:t>
      </w:r>
    </w:p>
    <w:p w14:paraId="37B8C9F7">
      <w:pPr>
        <w:spacing w:before="26"/>
        <w:ind w:firstLine="660" w:firstLineChars="300"/>
        <w:rPr>
          <w:rFonts w:ascii="Times New Roman" w:hAnsi="Times New Roman" w:eastAsia="微软雅黑" w:cs="Times New Roman"/>
          <w:lang w:eastAsia="zh-CN"/>
        </w:rPr>
      </w:pPr>
      <w:r>
        <w:rPr>
          <w:rFonts w:hint="eastAsia"/>
          <w:lang w:eastAsia="zh-CN"/>
        </w:rPr>
        <w:t>②</w:t>
      </w:r>
      <w:r>
        <w:rPr>
          <w:rFonts w:ascii="Times New Roman" w:hAnsi="Times New Roman" w:eastAsia="微软雅黑" w:cs="Times New Roman"/>
          <w:lang w:eastAsia="zh-CN"/>
        </w:rPr>
        <w:t xml:space="preserve"> 未知或有限的家族史；</w:t>
      </w:r>
    </w:p>
    <w:p w14:paraId="0C51F514">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3 患者发病年龄≤60岁发病，同时伴有：三阴性乳腺癌；</w:t>
      </w:r>
    </w:p>
    <w:p w14:paraId="109F498C">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4 所有男性乳腺癌患者；</w:t>
      </w:r>
    </w:p>
    <w:p w14:paraId="57A0D1D4">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5 任何年龄发病，同时满足≥1项以下家族史标准：</w:t>
      </w:r>
    </w:p>
    <w:p w14:paraId="6F2DE5E2">
      <w:pPr>
        <w:spacing w:before="26"/>
        <w:ind w:firstLine="660" w:firstLineChars="300"/>
        <w:rPr>
          <w:rFonts w:ascii="Times New Roman" w:hAnsi="Times New Roman" w:eastAsia="微软雅黑" w:cs="Times New Roman"/>
          <w:lang w:eastAsia="zh-CN"/>
        </w:rPr>
      </w:pPr>
      <w:r>
        <w:rPr>
          <w:rFonts w:hint="eastAsia"/>
          <w:lang w:eastAsia="zh-CN"/>
        </w:rPr>
        <w:t>①</w:t>
      </w:r>
      <w:r>
        <w:rPr>
          <w:rFonts w:ascii="Times New Roman" w:hAnsi="Times New Roman" w:eastAsia="微软雅黑" w:cs="Times New Roman"/>
          <w:lang w:eastAsia="zh-CN"/>
        </w:rPr>
        <w:t xml:space="preserve"> ≥1血缘近亲有≤50岁发病的乳腺癌史；</w:t>
      </w:r>
    </w:p>
    <w:p w14:paraId="65975CF8">
      <w:pPr>
        <w:spacing w:before="26"/>
        <w:ind w:firstLine="660" w:firstLineChars="300"/>
        <w:rPr>
          <w:rFonts w:ascii="Times New Roman" w:hAnsi="Times New Roman" w:eastAsia="微软雅黑" w:cs="Times New Roman"/>
          <w:lang w:eastAsia="zh-CN"/>
        </w:rPr>
      </w:pPr>
      <w:r>
        <w:rPr>
          <w:rFonts w:hint="eastAsia"/>
          <w:lang w:eastAsia="zh-CN"/>
        </w:rPr>
        <w:t>②</w:t>
      </w:r>
      <w:r>
        <w:rPr>
          <w:rFonts w:ascii="Times New Roman" w:hAnsi="Times New Roman" w:eastAsia="微软雅黑" w:cs="Times New Roman"/>
          <w:lang w:eastAsia="zh-CN"/>
        </w:rPr>
        <w:t xml:space="preserve"> 在任何年龄被诊断患有卵巢癌、胰腺癌或转移性前列腺癌或导管内前列腺癌；</w:t>
      </w:r>
    </w:p>
    <w:p w14:paraId="5430E629">
      <w:pPr>
        <w:spacing w:before="26"/>
        <w:ind w:firstLine="660" w:firstLineChars="300"/>
        <w:rPr>
          <w:rFonts w:ascii="Times New Roman" w:hAnsi="Times New Roman" w:eastAsia="微软雅黑" w:cs="Times New Roman"/>
          <w:lang w:eastAsia="zh-CN"/>
        </w:rPr>
      </w:pPr>
      <w:r>
        <w:rPr>
          <w:rFonts w:hint="eastAsia"/>
          <w:lang w:eastAsia="zh-CN"/>
        </w:rPr>
        <w:t>③</w:t>
      </w:r>
      <w:r>
        <w:rPr>
          <w:rFonts w:ascii="Times New Roman" w:hAnsi="Times New Roman" w:eastAsia="微软雅黑" w:cs="Times New Roman"/>
          <w:lang w:eastAsia="zh-CN"/>
        </w:rPr>
        <w:t xml:space="preserve"> ≥2血缘近亲有任何年龄发病的乳腺癌或前列腺癌（任何级别）；</w:t>
      </w:r>
    </w:p>
    <w:p w14:paraId="4E52AF93">
      <w:pPr>
        <w:spacing w:before="26"/>
        <w:ind w:left="880" w:leftChars="300" w:hanging="220" w:hangingChars="100"/>
        <w:rPr>
          <w:rFonts w:ascii="Times New Roman" w:hAnsi="Times New Roman" w:eastAsia="微软雅黑" w:cs="Times New Roman"/>
          <w:lang w:eastAsia="zh-CN"/>
        </w:rPr>
      </w:pPr>
      <w:r>
        <w:rPr>
          <w:rFonts w:hint="eastAsia"/>
          <w:lang w:eastAsia="zh-CN"/>
        </w:rPr>
        <w:t>④</w:t>
      </w:r>
      <w:r>
        <w:rPr>
          <w:lang w:eastAsia="zh-CN"/>
        </w:rPr>
        <w:t xml:space="preserve"> </w:t>
      </w:r>
      <w:r>
        <w:rPr>
          <w:rFonts w:ascii="Times New Roman" w:hAnsi="Times New Roman" w:eastAsia="微软雅黑" w:cs="Times New Roman"/>
          <w:lang w:eastAsia="zh-CN"/>
        </w:rPr>
        <w:t>有三级亲属患有乳腺癌和（或）卵巢癌，同时其有≥2血缘近亲患有乳腺癌（其中至少有1例≤50岁）和（或）卵巢癌；</w:t>
      </w:r>
    </w:p>
    <w:p w14:paraId="682EF385">
      <w:pPr>
        <w:spacing w:before="26"/>
        <w:ind w:firstLine="660" w:firstLineChars="300"/>
        <w:rPr>
          <w:rFonts w:ascii="Times New Roman" w:hAnsi="Times New Roman" w:eastAsia="微软雅黑" w:cs="Times New Roman"/>
          <w:lang w:eastAsia="zh-CN"/>
        </w:rPr>
      </w:pPr>
      <w:r>
        <w:rPr>
          <w:rFonts w:hint="eastAsia"/>
          <w:lang w:eastAsia="zh-CN"/>
        </w:rPr>
        <w:t>⑤</w:t>
      </w:r>
      <w:r>
        <w:rPr>
          <w:rFonts w:ascii="Times New Roman" w:hAnsi="Times New Roman" w:eastAsia="微软雅黑" w:cs="Times New Roman"/>
          <w:lang w:eastAsia="zh-CN"/>
        </w:rPr>
        <w:t xml:space="preserve"> 血缘近亲有男性乳腺癌家族史；</w:t>
      </w:r>
    </w:p>
    <w:p w14:paraId="53E0B3DF">
      <w:pPr>
        <w:spacing w:before="26"/>
        <w:ind w:firstLine="660" w:firstLineChars="300"/>
        <w:rPr>
          <w:rFonts w:ascii="Times New Roman" w:hAnsi="Times New Roman" w:eastAsia="微软雅黑" w:cs="Times New Roman"/>
          <w:lang w:eastAsia="zh-CN"/>
        </w:rPr>
      </w:pPr>
      <w:r>
        <w:rPr>
          <w:rFonts w:hint="eastAsia"/>
          <w:lang w:eastAsia="zh-CN"/>
        </w:rPr>
        <w:t>⑥</w:t>
      </w:r>
      <w:r>
        <w:rPr>
          <w:lang w:eastAsia="zh-CN"/>
        </w:rPr>
        <w:t xml:space="preserve"> </w:t>
      </w:r>
      <w:r>
        <w:rPr>
          <w:rFonts w:ascii="Times New Roman" w:hAnsi="Times New Roman" w:eastAsia="微软雅黑" w:cs="Times New Roman"/>
          <w:lang w:eastAsia="zh-CN"/>
        </w:rPr>
        <w:t>有已知的家族型致病性BRCA1/2基因突变。</w:t>
      </w:r>
    </w:p>
    <w:p w14:paraId="479C0781">
      <w:pPr>
        <w:spacing w:before="26"/>
        <w:ind w:firstLine="660" w:firstLineChars="300"/>
        <w:rPr>
          <w:rFonts w:ascii="Times New Roman" w:hAnsi="Times New Roman" w:eastAsia="微软雅黑" w:cs="Times New Roman"/>
          <w:lang w:eastAsia="zh-CN"/>
        </w:rPr>
      </w:pPr>
    </w:p>
    <w:p w14:paraId="51A5DCA0">
      <w:pPr>
        <w:spacing w:before="26"/>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注：符合以上标准中一条或多条即应考虑进一步的风险评估、遗传咨询，以及基因检测和管理。仅有家族史个体应慎重解读基因检测结果，因其可能存在明显局限性。</w:t>
      </w:r>
    </w:p>
    <w:p w14:paraId="5B2ED0C0">
      <w:pPr>
        <w:rPr>
          <w:rFonts w:ascii="Times New Roman" w:hAnsi="Times New Roman" w:eastAsia="微软雅黑" w:cs="Times New Roman"/>
          <w:b/>
          <w:bCs/>
          <w:color w:val="416AAB"/>
          <w:sz w:val="24"/>
          <w:szCs w:val="24"/>
          <w:lang w:eastAsia="zh-CN"/>
        </w:rPr>
      </w:pPr>
      <w:r>
        <w:rPr>
          <w:rFonts w:ascii="Times New Roman" w:hAnsi="Times New Roman" w:eastAsia="微软雅黑" w:cs="Times New Roman"/>
          <w:b/>
          <w:bCs/>
          <w:color w:val="416AAB"/>
          <w:sz w:val="24"/>
          <w:szCs w:val="24"/>
          <w:lang w:eastAsia="zh-CN"/>
        </w:rPr>
        <w:br w:type="page"/>
      </w:r>
    </w:p>
    <w:p w14:paraId="739A4D21">
      <w:pPr>
        <w:spacing w:before="26"/>
        <w:rPr>
          <w:rFonts w:ascii="Times New Roman" w:hAnsi="Times New Roman" w:eastAsia="微软雅黑" w:cs="Times New Roman"/>
          <w:b/>
          <w:sz w:val="4"/>
          <w:szCs w:val="21"/>
          <w:lang w:eastAsia="zh-CN"/>
        </w:rPr>
      </w:pPr>
      <w:r>
        <w:rPr>
          <w:rFonts w:hint="eastAsia" w:ascii="Times New Roman" w:hAnsi="Times New Roman" w:eastAsia="微软雅黑" w:cs="Times New Roman"/>
          <w:b/>
          <w:bCs/>
          <w:sz w:val="24"/>
          <w:szCs w:val="24"/>
          <w:lang w:eastAsia="zh-CN"/>
        </w:rPr>
        <w:t>前列腺癌易感人群特征</w:t>
      </w:r>
    </w:p>
    <w:p w14:paraId="5A72909A">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1 &gt;50岁的男性；</w:t>
      </w:r>
    </w:p>
    <w:p w14:paraId="731215B6">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 xml:space="preserve">2 </w:t>
      </w:r>
      <w:r>
        <w:rPr>
          <w:rFonts w:hint="eastAsia" w:ascii="Times New Roman" w:hAnsi="Times New Roman" w:eastAsia="微软雅黑" w:cs="Times New Roman"/>
          <w:lang w:eastAsia="zh-CN"/>
        </w:rPr>
        <w:t>患者个人有男性乳腺癌或胰腺癌病史；</w:t>
      </w:r>
    </w:p>
    <w:p w14:paraId="3D01330B">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3 &gt;40岁且前列腺特异性抗原（PSA）&gt;1μg/L；</w:t>
      </w:r>
    </w:p>
    <w:p w14:paraId="6257B507">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4 &gt;45岁，同时满足≥1项一下家族史：</w:t>
      </w:r>
    </w:p>
    <w:p w14:paraId="79712F41">
      <w:pPr>
        <w:spacing w:before="26"/>
        <w:ind w:left="218" w:leftChars="99" w:firstLine="110" w:firstLineChars="50"/>
        <w:rPr>
          <w:rFonts w:ascii="Times New Roman" w:hAnsi="Times New Roman" w:eastAsia="微软雅黑" w:cs="Times New Roman"/>
          <w:lang w:eastAsia="zh-CN"/>
        </w:rPr>
      </w:pPr>
      <w:r>
        <w:rPr>
          <w:rFonts w:hint="eastAsia"/>
          <w:lang w:eastAsia="zh-CN"/>
        </w:rPr>
        <w:t>①</w:t>
      </w:r>
      <w:r>
        <w:rPr>
          <w:lang w:eastAsia="zh-CN"/>
        </w:rPr>
        <w:t xml:space="preserve"> </w:t>
      </w:r>
      <w:r>
        <w:rPr>
          <w:rFonts w:ascii="Times New Roman" w:hAnsi="Times New Roman" w:eastAsia="微软雅黑" w:cs="Times New Roman"/>
          <w:lang w:eastAsia="zh-CN"/>
        </w:rPr>
        <w:t>有</w:t>
      </w:r>
      <w:r>
        <w:rPr>
          <w:rFonts w:hint="eastAsia" w:ascii="Times New Roman" w:hAnsi="Times New Roman" w:eastAsia="微软雅黑" w:cs="Times New Roman"/>
          <w:lang w:eastAsia="zh-CN"/>
        </w:rPr>
        <w:t>兄弟、父亲或其他家族成员在60岁前诊断为前列腺癌或因前列腺癌死亡；</w:t>
      </w:r>
    </w:p>
    <w:p w14:paraId="772C6DA3">
      <w:pPr>
        <w:spacing w:before="26"/>
        <w:ind w:left="438" w:leftChars="149" w:hanging="110" w:hangingChars="50"/>
        <w:rPr>
          <w:rFonts w:ascii="Times New Roman" w:hAnsi="Times New Roman" w:eastAsia="微软雅黑" w:cs="Times New Roman"/>
          <w:lang w:eastAsia="zh-CN"/>
        </w:rPr>
      </w:pPr>
      <w:r>
        <w:rPr>
          <w:rFonts w:hint="eastAsia"/>
          <w:lang w:eastAsia="zh-CN"/>
        </w:rPr>
        <w:t>②</w:t>
      </w:r>
      <w:r>
        <w:rPr>
          <w:lang w:eastAsia="zh-CN"/>
        </w:rPr>
        <w:t xml:space="preserve"> </w:t>
      </w:r>
      <w:r>
        <w:rPr>
          <w:rFonts w:hint="eastAsia" w:ascii="Times New Roman" w:hAnsi="Times New Roman" w:eastAsia="微软雅黑" w:cs="Times New Roman"/>
          <w:lang w:eastAsia="zh-CN"/>
        </w:rPr>
        <w:t>同系家属中具有多名包括胆管癌、乳腺癌、胰腺癌、前列腺癌、卵巢癌、结直肠癌、子宫内膜癌、胃癌、肾癌、黑色素瘤、小肠癌以及尿路上皮癌患者，特别是其确诊年龄≤50岁；</w:t>
      </w:r>
    </w:p>
    <w:p w14:paraId="31342176">
      <w:pPr>
        <w:spacing w:before="26"/>
        <w:ind w:left="218" w:leftChars="99" w:firstLine="110" w:firstLineChars="50"/>
        <w:rPr>
          <w:rFonts w:ascii="Times New Roman" w:hAnsi="Times New Roman" w:eastAsia="微软雅黑" w:cs="Times New Roman"/>
          <w:lang w:eastAsia="zh-CN"/>
        </w:rPr>
      </w:pPr>
      <w:r>
        <w:rPr>
          <w:rFonts w:hint="eastAsia"/>
          <w:lang w:eastAsia="zh-CN"/>
        </w:rPr>
        <w:t>③</w:t>
      </w:r>
      <w:r>
        <w:rPr>
          <w:lang w:eastAsia="zh-CN"/>
        </w:rPr>
        <w:t xml:space="preserve"> </w:t>
      </w:r>
      <w:r>
        <w:rPr>
          <w:rFonts w:hint="eastAsia" w:ascii="Times New Roman" w:hAnsi="Times New Roman" w:eastAsia="微软雅黑" w:cs="Times New Roman"/>
          <w:lang w:eastAsia="zh-CN"/>
        </w:rPr>
        <w:t>已知家族携带相关胚系致病基因</w:t>
      </w:r>
      <w:r>
        <w:rPr>
          <w:rFonts w:ascii="Times New Roman" w:hAnsi="Times New Roman" w:eastAsia="微软雅黑" w:cs="Times New Roman"/>
          <w:lang w:eastAsia="zh-CN"/>
        </w:rPr>
        <w:t>（BRCA1/BRCA2等）</w:t>
      </w:r>
      <w:r>
        <w:rPr>
          <w:rFonts w:hint="eastAsia" w:ascii="Times New Roman" w:hAnsi="Times New Roman" w:eastAsia="微软雅黑" w:cs="Times New Roman"/>
          <w:lang w:eastAsia="zh-CN"/>
        </w:rPr>
        <w:t>突变。</w:t>
      </w:r>
    </w:p>
    <w:p w14:paraId="2E7C0698">
      <w:pPr>
        <w:spacing w:before="26"/>
        <w:ind w:left="218" w:leftChars="99" w:firstLine="2"/>
        <w:rPr>
          <w:rFonts w:ascii="Times New Roman" w:hAnsi="Times New Roman" w:eastAsia="微软雅黑" w:cs="Times New Roman"/>
          <w:lang w:eastAsia="zh-CN"/>
        </w:rPr>
      </w:pPr>
    </w:p>
    <w:p w14:paraId="08362EC9">
      <w:pPr>
        <w:spacing w:before="26"/>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注：符合以上标准中一条或多条即应考虑进一步的风险评估、遗传咨询，以及基因检测和管理。仅有家族史个体应慎重解读基因检测结果，因其可能存在明显局限性。</w:t>
      </w:r>
    </w:p>
    <w:p w14:paraId="73B3F090">
      <w:pPr>
        <w:spacing w:before="26"/>
        <w:rPr>
          <w:rFonts w:ascii="Times New Roman" w:hAnsi="Times New Roman" w:eastAsia="微软雅黑" w:cs="Times New Roman"/>
          <w:b/>
          <w:bCs/>
          <w:sz w:val="24"/>
          <w:szCs w:val="24"/>
          <w:lang w:eastAsia="zh-CN"/>
        </w:rPr>
      </w:pPr>
    </w:p>
    <w:p w14:paraId="2447B590">
      <w:pPr>
        <w:spacing w:before="26"/>
        <w:rPr>
          <w:lang w:eastAsia="zh-CN"/>
        </w:rPr>
      </w:pPr>
      <w:r>
        <w:rPr>
          <w:rFonts w:hint="eastAsia" w:ascii="Times New Roman" w:hAnsi="Times New Roman" w:eastAsia="微软雅黑" w:cs="Times New Roman"/>
          <w:b/>
          <w:bCs/>
          <w:sz w:val="24"/>
          <w:szCs w:val="24"/>
          <w:lang w:eastAsia="zh-CN"/>
        </w:rPr>
        <w:t>胰腺癌易感人群特征</w:t>
      </w:r>
    </w:p>
    <w:p w14:paraId="4AA75B07">
      <w:pPr>
        <w:pStyle w:val="27"/>
        <w:outlineLvl w:val="9"/>
        <w:rPr>
          <w:b w:val="0"/>
          <w:bCs w:val="0"/>
          <w:color w:val="auto"/>
          <w:sz w:val="22"/>
          <w:szCs w:val="22"/>
        </w:rPr>
      </w:pPr>
      <w:bookmarkStart w:id="86" w:name="_Toc4680"/>
      <w:bookmarkStart w:id="87" w:name="_Toc27291"/>
      <w:bookmarkStart w:id="88" w:name="_Toc32060"/>
      <w:bookmarkStart w:id="89" w:name="_Toc13238"/>
      <w:bookmarkStart w:id="90" w:name="_Toc3846"/>
      <w:bookmarkStart w:id="91" w:name="_Toc29283"/>
      <w:bookmarkStart w:id="92" w:name="_Toc5400"/>
      <w:bookmarkStart w:id="93" w:name="_Toc5114"/>
      <w:bookmarkStart w:id="94" w:name="_Toc29484"/>
      <w:r>
        <w:rPr>
          <w:b w:val="0"/>
          <w:bCs w:val="0"/>
          <w:color w:val="auto"/>
          <w:sz w:val="22"/>
          <w:szCs w:val="22"/>
        </w:rPr>
        <w:t>1 40岁以上，同时伴有≥1项下述者</w:t>
      </w:r>
      <w:bookmarkEnd w:id="86"/>
      <w:bookmarkEnd w:id="87"/>
      <w:bookmarkEnd w:id="88"/>
      <w:bookmarkEnd w:id="89"/>
      <w:bookmarkEnd w:id="90"/>
      <w:bookmarkEnd w:id="91"/>
      <w:bookmarkEnd w:id="92"/>
      <w:bookmarkEnd w:id="93"/>
      <w:bookmarkEnd w:id="94"/>
    </w:p>
    <w:p w14:paraId="360EAE94">
      <w:pPr>
        <w:spacing w:before="26"/>
        <w:ind w:left="218" w:leftChars="99" w:firstLine="110" w:firstLineChars="50"/>
        <w:rPr>
          <w:rFonts w:ascii="Times New Roman" w:hAnsi="Times New Roman" w:eastAsia="微软雅黑" w:cs="Times New Roman"/>
          <w:lang w:eastAsia="zh-CN"/>
        </w:rPr>
      </w:pPr>
      <w:r>
        <w:rPr>
          <w:rFonts w:hint="eastAsia"/>
          <w:lang w:eastAsia="zh-CN"/>
        </w:rPr>
        <w:t>①</w:t>
      </w:r>
      <w:r>
        <w:rPr>
          <w:lang w:eastAsia="zh-CN"/>
        </w:rPr>
        <w:t xml:space="preserve"> </w:t>
      </w:r>
      <w:r>
        <w:rPr>
          <w:rFonts w:ascii="Times New Roman" w:hAnsi="Times New Roman" w:eastAsia="微软雅黑" w:cs="Times New Roman"/>
          <w:lang w:eastAsia="zh-CN"/>
        </w:rPr>
        <w:t>无家族遗传史的新近突发糖尿病患者；</w:t>
      </w:r>
    </w:p>
    <w:p w14:paraId="5BC2FB8C">
      <w:pPr>
        <w:spacing w:before="26"/>
        <w:ind w:left="218" w:leftChars="99" w:firstLine="110" w:firstLineChars="50"/>
        <w:rPr>
          <w:rFonts w:ascii="Times New Roman" w:hAnsi="Times New Roman" w:eastAsia="微软雅黑" w:cs="Times New Roman"/>
          <w:lang w:eastAsia="zh-CN"/>
        </w:rPr>
      </w:pPr>
      <w:r>
        <w:rPr>
          <w:rFonts w:hint="eastAsia"/>
          <w:lang w:eastAsia="zh-CN"/>
        </w:rPr>
        <w:t>②</w:t>
      </w:r>
      <w:r>
        <w:rPr>
          <w:lang w:eastAsia="zh-CN"/>
        </w:rPr>
        <w:t xml:space="preserve"> </w:t>
      </w:r>
      <w:r>
        <w:rPr>
          <w:rFonts w:ascii="Times New Roman" w:hAnsi="Times New Roman" w:eastAsia="微软雅黑" w:cs="Times New Roman"/>
          <w:lang w:eastAsia="zh-CN"/>
        </w:rPr>
        <w:t>有长期吸烟、饮酒、高脂肪和高蛋白饮食史；</w:t>
      </w:r>
    </w:p>
    <w:p w14:paraId="5C1D4E36">
      <w:pPr>
        <w:spacing w:before="26"/>
        <w:ind w:left="438" w:leftChars="149" w:hanging="110" w:hangingChars="50"/>
        <w:rPr>
          <w:rFonts w:ascii="Times New Roman" w:hAnsi="Times New Roman" w:eastAsia="微软雅黑" w:cs="Times New Roman"/>
          <w:lang w:eastAsia="zh-CN"/>
        </w:rPr>
      </w:pPr>
      <w:r>
        <w:rPr>
          <w:rFonts w:hint="eastAsia"/>
          <w:lang w:eastAsia="zh-CN"/>
        </w:rPr>
        <w:t>③</w:t>
      </w:r>
      <w:r>
        <w:rPr>
          <w:lang w:eastAsia="zh-CN"/>
        </w:rPr>
        <w:t xml:space="preserve"> </w:t>
      </w:r>
      <w:r>
        <w:rPr>
          <w:rFonts w:ascii="Times New Roman" w:hAnsi="Times New Roman" w:eastAsia="微软雅黑" w:cs="Times New Roman"/>
          <w:lang w:eastAsia="zh-CN"/>
        </w:rPr>
        <w:t>慢性胰腺炎反复发作者，尤其合并胰管结石的慢性胰腺炎；</w:t>
      </w:r>
      <w:r>
        <w:rPr>
          <w:rFonts w:hint="eastAsia" w:ascii="Times New Roman" w:hAnsi="Times New Roman" w:eastAsia="微软雅黑" w:cs="Times New Roman"/>
          <w:lang w:eastAsia="zh-CN"/>
        </w:rPr>
        <w:t>在胰腺炎发病后20年或在40岁时（选较早者）进行胰腺癌筛查</w:t>
      </w:r>
      <w:r>
        <w:rPr>
          <w:rFonts w:ascii="Times New Roman" w:hAnsi="Times New Roman" w:eastAsia="微软雅黑" w:cs="Times New Roman"/>
          <w:lang w:eastAsia="zh-CN"/>
        </w:rPr>
        <w:t>；</w:t>
      </w:r>
    </w:p>
    <w:p w14:paraId="09F07010">
      <w:pPr>
        <w:spacing w:before="26"/>
        <w:ind w:left="218" w:leftChars="99" w:firstLine="110" w:firstLineChars="50"/>
        <w:rPr>
          <w:rFonts w:ascii="Times New Roman" w:hAnsi="Times New Roman" w:eastAsia="微软雅黑" w:cs="Times New Roman"/>
          <w:lang w:eastAsia="zh-CN"/>
        </w:rPr>
      </w:pPr>
      <w:r>
        <w:rPr>
          <w:rFonts w:hint="eastAsia"/>
          <w:lang w:eastAsia="zh-CN"/>
        </w:rPr>
        <w:t>④</w:t>
      </w:r>
      <w:r>
        <w:rPr>
          <w:lang w:eastAsia="zh-CN"/>
        </w:rPr>
        <w:t xml:space="preserve"> </w:t>
      </w:r>
      <w:r>
        <w:rPr>
          <w:rFonts w:ascii="Times New Roman" w:hAnsi="Times New Roman" w:eastAsia="微软雅黑" w:cs="Times New Roman"/>
          <w:lang w:eastAsia="zh-CN"/>
        </w:rPr>
        <w:t>主胰管型粘液乳头状瘤、粘液性囊性腺瘤，突性假乳头状瘤患者，有血清CA19-9升高者；</w:t>
      </w:r>
    </w:p>
    <w:p w14:paraId="18B86E0E">
      <w:pPr>
        <w:pStyle w:val="27"/>
        <w:outlineLvl w:val="9"/>
        <w:rPr>
          <w:b w:val="0"/>
          <w:bCs w:val="0"/>
          <w:color w:val="auto"/>
          <w:sz w:val="22"/>
          <w:szCs w:val="22"/>
        </w:rPr>
      </w:pPr>
      <w:bookmarkStart w:id="95" w:name="_Toc10299"/>
      <w:bookmarkStart w:id="96" w:name="_Toc22196"/>
      <w:bookmarkStart w:id="97" w:name="_Toc5838"/>
      <w:bookmarkStart w:id="98" w:name="_Toc32349"/>
      <w:bookmarkStart w:id="99" w:name="_Toc783"/>
      <w:bookmarkStart w:id="100" w:name="_Toc21034"/>
      <w:bookmarkStart w:id="101" w:name="_Toc126"/>
      <w:bookmarkStart w:id="102" w:name="_Toc1891"/>
      <w:bookmarkStart w:id="103" w:name="_Toc2976"/>
      <w:r>
        <w:rPr>
          <w:b w:val="0"/>
          <w:bCs w:val="0"/>
          <w:color w:val="auto"/>
          <w:sz w:val="22"/>
          <w:szCs w:val="22"/>
        </w:rPr>
        <w:t>2 有胰腺癌家族史、糖尿病史</w:t>
      </w:r>
      <w:bookmarkEnd w:id="95"/>
      <w:bookmarkEnd w:id="96"/>
      <w:bookmarkEnd w:id="97"/>
      <w:bookmarkEnd w:id="98"/>
      <w:bookmarkEnd w:id="99"/>
      <w:bookmarkEnd w:id="100"/>
      <w:bookmarkEnd w:id="101"/>
      <w:bookmarkEnd w:id="102"/>
      <w:bookmarkEnd w:id="103"/>
    </w:p>
    <w:p w14:paraId="34B0CEF9">
      <w:pPr>
        <w:spacing w:before="26"/>
        <w:ind w:left="218" w:leftChars="99" w:firstLine="110" w:firstLineChars="50"/>
        <w:rPr>
          <w:rFonts w:ascii="Times New Roman" w:hAnsi="Times New Roman" w:eastAsia="微软雅黑" w:cs="Times New Roman"/>
          <w:lang w:eastAsia="zh-CN"/>
        </w:rPr>
      </w:pPr>
      <w:r>
        <w:rPr>
          <w:rFonts w:hint="eastAsia"/>
          <w:lang w:eastAsia="zh-CN"/>
        </w:rPr>
        <w:t>①</w:t>
      </w:r>
      <w:r>
        <w:rPr>
          <w:lang w:eastAsia="zh-CN"/>
        </w:rPr>
        <w:t xml:space="preserve"> </w:t>
      </w:r>
      <w:r>
        <w:rPr>
          <w:rFonts w:hint="eastAsia" w:ascii="Times New Roman" w:hAnsi="Times New Roman" w:eastAsia="微软雅黑" w:cs="Times New Roman"/>
          <w:lang w:eastAsia="zh-CN"/>
        </w:rPr>
        <w:t>一级亲属被确认患有胰腺外分泌癌的个体；</w:t>
      </w:r>
    </w:p>
    <w:p w14:paraId="58E8B161">
      <w:pPr>
        <w:spacing w:before="26"/>
        <w:ind w:left="438" w:leftChars="149" w:hanging="110" w:hangingChars="50"/>
        <w:rPr>
          <w:rFonts w:ascii="Times New Roman" w:hAnsi="Times New Roman" w:eastAsia="微软雅黑" w:cs="Times New Roman"/>
          <w:lang w:eastAsia="zh-CN"/>
        </w:rPr>
      </w:pPr>
      <w:r>
        <w:rPr>
          <w:rFonts w:hint="eastAsia"/>
          <w:lang w:eastAsia="zh-CN"/>
        </w:rPr>
        <w:t>②</w:t>
      </w:r>
      <w:r>
        <w:rPr>
          <w:lang w:eastAsia="zh-CN"/>
        </w:rPr>
        <w:t xml:space="preserve"> </w:t>
      </w:r>
      <w:r>
        <w:rPr>
          <w:rFonts w:hint="eastAsia" w:ascii="Times New Roman" w:hAnsi="Times New Roman" w:eastAsia="微软雅黑" w:cs="Times New Roman"/>
          <w:lang w:eastAsia="zh-CN"/>
        </w:rPr>
        <w:t>携带已知的胰腺癌遗传易感基因的致病/疑似致病突变（包括ATM、BRCA1、BRCA2、CDKN2A等，具体可参考第一部分所列基因）和有胰腺癌家族史（血缘一级亲属或二级亲属为胰腺癌患者）的人群；</w:t>
      </w:r>
    </w:p>
    <w:p w14:paraId="11B24FAA">
      <w:pPr>
        <w:spacing w:before="26"/>
        <w:ind w:left="438" w:leftChars="149" w:hanging="110" w:hangingChars="50"/>
        <w:rPr>
          <w:rFonts w:ascii="Times New Roman" w:hAnsi="Times New Roman" w:eastAsia="微软雅黑" w:cs="Times New Roman"/>
          <w:lang w:eastAsia="zh-CN"/>
        </w:rPr>
      </w:pPr>
      <w:r>
        <w:rPr>
          <w:rFonts w:hint="eastAsia"/>
          <w:lang w:eastAsia="zh-CN"/>
        </w:rPr>
        <w:t>③</w:t>
      </w:r>
      <w:r>
        <w:rPr>
          <w:lang w:eastAsia="zh-CN"/>
        </w:rPr>
        <w:t xml:space="preserve"> </w:t>
      </w:r>
      <w:r>
        <w:rPr>
          <w:rFonts w:hint="eastAsia" w:ascii="Times New Roman" w:hAnsi="Times New Roman" w:eastAsia="微软雅黑" w:cs="Times New Roman"/>
          <w:lang w:eastAsia="zh-CN"/>
        </w:rPr>
        <w:t>家族中有≥2个同支的一级亲属确诊为胰腺外分泌癌时，即使家族中没有携带已知的胚系致病/疑似致病突变也要进行早期筛查（某些机构建议1个一级亲属和1个二级亲属患胰腺癌时也进行筛查）；</w:t>
      </w:r>
    </w:p>
    <w:p w14:paraId="29E7CA75">
      <w:pPr>
        <w:spacing w:before="26"/>
        <w:ind w:left="438" w:leftChars="149" w:hanging="110" w:hangingChars="50"/>
        <w:rPr>
          <w:rFonts w:ascii="Times New Roman" w:hAnsi="Times New Roman" w:eastAsia="微软雅黑" w:cs="Times New Roman"/>
          <w:lang w:eastAsia="zh-CN"/>
        </w:rPr>
      </w:pPr>
      <w:r>
        <w:rPr>
          <w:rFonts w:hint="eastAsia"/>
          <w:lang w:eastAsia="zh-CN"/>
        </w:rPr>
        <w:t>④</w:t>
      </w:r>
      <w:r>
        <w:rPr>
          <w:lang w:eastAsia="zh-CN"/>
        </w:rPr>
        <w:t xml:space="preserve"> </w:t>
      </w:r>
      <w:r>
        <w:rPr>
          <w:rFonts w:hint="eastAsia" w:ascii="Times New Roman" w:hAnsi="Times New Roman" w:eastAsia="微软雅黑" w:cs="Times New Roman"/>
          <w:lang w:val="en-US" w:eastAsia="zh-CN"/>
        </w:rPr>
        <w:t>家</w:t>
      </w:r>
      <w:r>
        <w:rPr>
          <w:rFonts w:hint="eastAsia" w:ascii="Times New Roman" w:hAnsi="Times New Roman" w:eastAsia="微软雅黑" w:cs="Times New Roman"/>
          <w:lang w:eastAsia="zh-CN"/>
        </w:rPr>
        <w:t>族中有≥3个同支的一级和/或二级亲属确诊为胰腺外分泌癌时，即使家族中没有携带已知的胚系致病/疑似致病突变也要进行筛查。</w:t>
      </w:r>
    </w:p>
    <w:p w14:paraId="44F69E92">
      <w:pPr>
        <w:spacing w:before="26"/>
        <w:rPr>
          <w:rFonts w:ascii="Times New Roman" w:hAnsi="Times New Roman" w:eastAsia="微软雅黑" w:cs="Times New Roman"/>
          <w:sz w:val="18"/>
          <w:szCs w:val="18"/>
          <w:lang w:eastAsia="zh-CN"/>
        </w:rPr>
      </w:pPr>
    </w:p>
    <w:p w14:paraId="4A49A4E1">
      <w:pPr>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注：符合以上标准中一条或多条即应考虑进一步的风险评估、遗传咨询，以及基因检测和管理。仅有家族史个体应慎重解读基因检测结果，因其可能存在明显局限性。</w:t>
      </w:r>
    </w:p>
    <w:bookmarkEnd w:id="77"/>
    <w:bookmarkEnd w:id="78"/>
    <w:bookmarkEnd w:id="79"/>
    <w:p w14:paraId="411EE61C">
      <w:pPr>
        <w:rPr>
          <w:lang w:eastAsia="zh-CN"/>
        </w:rPr>
      </w:pPr>
    </w:p>
    <w:p w14:paraId="2D8614C3">
      <w:pPr>
        <w:rPr>
          <w:rFonts w:ascii="Times New Roman" w:hAnsi="Times New Roman" w:eastAsia="微软雅黑" w:cs="Times New Roman"/>
          <w:sz w:val="24"/>
          <w:szCs w:val="24"/>
          <w:lang w:eastAsia="zh-CN"/>
        </w:rPr>
      </w:pPr>
      <w:r>
        <w:rPr>
          <w:rFonts w:ascii="Times New Roman" w:hAnsi="Times New Roman" w:eastAsia="微软雅黑" w:cs="Times New Roman"/>
          <w:sz w:val="24"/>
          <w:szCs w:val="24"/>
          <w:lang w:eastAsia="zh-CN"/>
        </w:rPr>
        <w:br w:type="page"/>
      </w:r>
    </w:p>
    <w:p w14:paraId="3AC573D5">
      <w:pPr>
        <w:pStyle w:val="3"/>
        <w:numPr>
          <w:ilvl w:val="255"/>
          <w:numId w:val="0"/>
        </w:numPr>
        <w:jc w:val="left"/>
        <w:rPr>
          <w:color w:val="auto"/>
          <w:sz w:val="30"/>
          <w:lang w:eastAsia="zh-CN"/>
        </w:rPr>
      </w:pPr>
      <w:bookmarkStart w:id="104" w:name="_Toc6968"/>
      <w:bookmarkStart w:id="105" w:name="_Toc3409"/>
      <w:bookmarkStart w:id="106" w:name="_Toc28061"/>
      <w:bookmarkStart w:id="107" w:name="_Toc15114"/>
      <w:bookmarkStart w:id="108" w:name="_Toc26926"/>
      <w:bookmarkStart w:id="109" w:name="_Toc20170_WPSOffice_Level1"/>
      <w:bookmarkStart w:id="110" w:name="_Toc26985_WPSOffice_Level1"/>
      <w:bookmarkStart w:id="111" w:name="_Toc28454_WPSOffice_Level1"/>
      <w:r>
        <w:rPr>
          <w:rFonts w:hint="eastAsia"/>
          <w:color w:val="auto"/>
          <w:sz w:val="30"/>
          <w:lang w:eastAsia="zh-CN"/>
        </w:rPr>
        <w:t>检测方法与局限性</w:t>
      </w:r>
      <w:bookmarkEnd w:id="104"/>
      <w:bookmarkEnd w:id="105"/>
      <w:bookmarkEnd w:id="106"/>
      <w:bookmarkEnd w:id="107"/>
      <w:bookmarkEnd w:id="108"/>
    </w:p>
    <w:p w14:paraId="488B630B">
      <w:pPr>
        <w:rPr>
          <w:highlight w:val="yellow"/>
          <w:lang w:eastAsia="zh-CN"/>
        </w:rPr>
      </w:pPr>
    </w:p>
    <w:p w14:paraId="325C09E7">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14:paraId="5E633D58">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summaryOfRresults.productModularization.detection_method | nl() %}{%if loop.last%}{{ b }}{%else%}{{ b }}</w:t>
      </w:r>
    </w:p>
    <w:p w14:paraId="1A95C70C">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44C0C811">
      <w:pPr>
        <w:rPr>
          <w:rFonts w:ascii="Times New Roman" w:hAnsi="Times New Roman" w:eastAsia="微软雅黑" w:cs="Times New Roman"/>
          <w:bCs/>
          <w:sz w:val="21"/>
          <w:szCs w:val="21"/>
          <w:lang w:eastAsia="zh-CN"/>
        </w:rPr>
      </w:pPr>
    </w:p>
    <w:p w14:paraId="1BDDFBA3">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14:paraId="0E68E0BC">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summaryOfRresults.productModularization.limitation_statement | nl() %}{%if loop.last%}{{ b }}{%else%}{{ b }}</w:t>
      </w:r>
    </w:p>
    <w:p w14:paraId="54AA4358">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21600F49">
      <w:pPr>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br w:type="page"/>
      </w:r>
    </w:p>
    <w:bookmarkEnd w:id="109"/>
    <w:bookmarkEnd w:id="110"/>
    <w:bookmarkEnd w:id="111"/>
    <w:p w14:paraId="28C96B89">
      <w:pPr>
        <w:pStyle w:val="3"/>
        <w:numPr>
          <w:ilvl w:val="255"/>
          <w:numId w:val="0"/>
        </w:numPr>
        <w:jc w:val="left"/>
        <w:rPr>
          <w:color w:val="auto"/>
          <w:sz w:val="30"/>
          <w:lang w:eastAsia="zh-CN"/>
        </w:rPr>
      </w:pPr>
      <w:bookmarkStart w:id="112" w:name="_Toc32672"/>
      <w:bookmarkStart w:id="113" w:name="_Toc19584_WPSOffice_Level1"/>
      <w:bookmarkStart w:id="114" w:name="_Toc13275"/>
      <w:bookmarkStart w:id="115" w:name="_Toc4605"/>
      <w:bookmarkStart w:id="116" w:name="_Toc22162_WPSOffice_Level1"/>
      <w:bookmarkStart w:id="117" w:name="_Toc14611_WPSOffice_Level1"/>
      <w:bookmarkStart w:id="118" w:name="_Toc22623"/>
      <w:r>
        <w:rPr>
          <w:rFonts w:hint="eastAsia"/>
          <w:color w:val="auto"/>
          <w:sz w:val="30"/>
          <w:lang w:eastAsia="zh-CN"/>
        </w:rPr>
        <w:t>参考文献</w:t>
      </w:r>
      <w:bookmarkEnd w:id="112"/>
      <w:bookmarkEnd w:id="113"/>
      <w:bookmarkEnd w:id="114"/>
      <w:bookmarkEnd w:id="115"/>
      <w:bookmarkEnd w:id="116"/>
    </w:p>
    <w:p w14:paraId="35ECD00B">
      <w:pPr>
        <w:rPr>
          <w:lang w:eastAsia="zh-CN"/>
        </w:rPr>
      </w:pPr>
    </w:p>
    <w:bookmarkEnd w:id="117"/>
    <w:bookmarkEnd w:id="118"/>
    <w:p w14:paraId="253E21DF">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Nakonechny Q B, Gilks C B. Ovarian cancer in hereditary cancer susceptibility syndromes[J]. Surgical pathology clinics, 2016, 9(2): 189-199.</w:t>
      </w:r>
      <w:r>
        <w:rPr>
          <w:rFonts w:ascii="Times New Roman" w:hAnsi="Times New Roman" w:eastAsia="微软雅黑" w:cs="Times New Roman"/>
          <w:sz w:val="15"/>
          <w:szCs w:val="15"/>
          <w:shd w:val="clear" w:color="auto" w:fill="FFFFFF"/>
          <w:lang w:eastAsia="zh-CN"/>
        </w:rPr>
        <w:t xml:space="preserve"> [PMID: 27241103]</w:t>
      </w:r>
    </w:p>
    <w:p w14:paraId="721C80AC">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Chui M H, Ryan P, Radigan J, et al. The histomorphology of Lynch syndrome–associated ovarian carcinomas: toward a subtype-specific screening strategy[J]. The American journal of surgical pathology, 2014, 38(9): 1173-1181.</w:t>
      </w:r>
      <w:r>
        <w:rPr>
          <w:rFonts w:ascii="Times New Roman" w:hAnsi="Times New Roman" w:eastAsia="微软雅黑" w:cs="Times New Roman"/>
          <w:sz w:val="15"/>
          <w:szCs w:val="15"/>
          <w:shd w:val="clear" w:color="auto" w:fill="FFFFFF"/>
          <w:lang w:eastAsia="zh-CN"/>
        </w:rPr>
        <w:t xml:space="preserve"> [PMID: 25025451]</w:t>
      </w:r>
    </w:p>
    <w:p w14:paraId="3F913419">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Lu K H, Daniels M. Endometrial and ovarian cancer in women with Lynch syndrome: update in screening and prevention[J]. Familial cancer, 2013, 12(2): 273-277.</w:t>
      </w:r>
      <w:r>
        <w:rPr>
          <w:rFonts w:ascii="Times New Roman" w:hAnsi="Times New Roman" w:eastAsia="微软雅黑" w:cs="Times New Roman"/>
          <w:sz w:val="15"/>
          <w:szCs w:val="15"/>
          <w:shd w:val="clear" w:color="auto" w:fill="FFFFFF"/>
          <w:lang w:eastAsia="zh-CN"/>
        </w:rPr>
        <w:t xml:space="preserve"> [PMID: 23765559]</w:t>
      </w:r>
    </w:p>
    <w:p w14:paraId="30DBB34E">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Lancaster J M, Powell C B, Chen L, et al. Society of Gynecologic Oncology statement on risk assessment for inherited gynecologic cancer predispositions[J]. Gynecologic oncology, 2015, 136(1): 3-7.</w:t>
      </w:r>
      <w:r>
        <w:rPr>
          <w:rFonts w:ascii="Times New Roman" w:hAnsi="Times New Roman" w:eastAsia="微软雅黑" w:cs="Times New Roman"/>
          <w:sz w:val="15"/>
          <w:szCs w:val="15"/>
          <w:shd w:val="clear" w:color="auto" w:fill="FFFFFF"/>
          <w:lang w:eastAsia="zh-CN"/>
        </w:rPr>
        <w:t xml:space="preserve"> [PMID: 25238946]</w:t>
      </w:r>
    </w:p>
    <w:p w14:paraId="2054D72C">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Tr R, Mitra N, Wan F, et al. Association of type and location of BRCA1 and BRCA2 mutations with risk of breast and ovarian cancer[J]. JAMA INTERNAL MEDICINE, 2015 (Aprile): 1347-1361.</w:t>
      </w:r>
      <w:r>
        <w:rPr>
          <w:rFonts w:ascii="Times New Roman" w:hAnsi="Times New Roman" w:eastAsia="微软雅黑" w:cs="Times New Roman"/>
          <w:sz w:val="15"/>
          <w:szCs w:val="15"/>
          <w:shd w:val="clear" w:color="auto" w:fill="FFFFFF"/>
          <w:lang w:eastAsia="zh-CN"/>
        </w:rPr>
        <w:t xml:space="preserve"> [PMID: 25849179]</w:t>
      </w:r>
    </w:p>
    <w:p w14:paraId="75279F34">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Daly M B, Axilbund J E, Buys S, et al. Genetic/familial high-risk assessment: breast and ovarian[J]. Journal of the National Comprehensive Cancer Network, 2010, 8(5): 562-594.</w:t>
      </w:r>
      <w:r>
        <w:rPr>
          <w:rFonts w:ascii="Times New Roman" w:hAnsi="Times New Roman" w:eastAsia="微软雅黑" w:cs="Times New Roman"/>
          <w:sz w:val="15"/>
          <w:szCs w:val="15"/>
          <w:shd w:val="clear" w:color="auto" w:fill="FFFFFF"/>
          <w:lang w:eastAsia="zh-CN"/>
        </w:rPr>
        <w:t xml:space="preserve"> [PMID: 20495085]</w:t>
      </w:r>
    </w:p>
    <w:p w14:paraId="74F23225">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Walsh C S, Blum A, Walts A, et al. Lynch syndrome among gynecologic oncology patients meeting Bethesda guidelines for screening[J]. Gynecologic oncology, 2010, 116(3): 516-521.</w:t>
      </w:r>
      <w:r>
        <w:rPr>
          <w:rFonts w:ascii="Times New Roman" w:hAnsi="Times New Roman" w:eastAsia="微软雅黑" w:cs="Times New Roman"/>
          <w:sz w:val="15"/>
          <w:szCs w:val="15"/>
          <w:shd w:val="clear" w:color="auto" w:fill="FFFFFF"/>
          <w:lang w:eastAsia="zh-CN"/>
        </w:rPr>
        <w:t xml:space="preserve"> [PMID: 20034658]</w:t>
      </w:r>
    </w:p>
    <w:p w14:paraId="6DBC2C21">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Shulman L P. Hereditary breast and ovarian cancer (HBOC): clinical features and counseling for BRCA1 and BRCA2, Lynch syndrome, Cowden syndrome, and Li-Fraumeni syndrome[J]. Obstetrics and Gynecology Clinics, 2010, 37(1): 109-133.</w:t>
      </w:r>
      <w:r>
        <w:rPr>
          <w:rFonts w:ascii="Times New Roman" w:hAnsi="Times New Roman" w:eastAsia="微软雅黑" w:cs="Times New Roman"/>
          <w:sz w:val="15"/>
          <w:szCs w:val="15"/>
          <w:shd w:val="clear" w:color="auto" w:fill="FFFFFF"/>
          <w:lang w:eastAsia="zh-CN"/>
        </w:rPr>
        <w:t xml:space="preserve"> [PMID: 20494261]</w:t>
      </w:r>
    </w:p>
    <w:p w14:paraId="7DBF2094">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Zhang S, Royer R, Li S, et al. Frequencies of BRCA1 and BRCA2 mutations among 1,342 unselected patients with invasive ovarian cancer[J]. Gynecologic oncology, 2011, 121(2): 353-357.</w:t>
      </w:r>
      <w:r>
        <w:rPr>
          <w:rFonts w:ascii="Times New Roman" w:hAnsi="Times New Roman" w:eastAsia="微软雅黑" w:cs="Times New Roman"/>
          <w:sz w:val="15"/>
          <w:szCs w:val="15"/>
          <w:shd w:val="clear" w:color="auto" w:fill="FFFFFF"/>
          <w:lang w:eastAsia="zh-CN"/>
        </w:rPr>
        <w:t xml:space="preserve"> [PMID: 21324516]</w:t>
      </w:r>
    </w:p>
    <w:p w14:paraId="22B83A51">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Liu G, Yang D, Sun Y, et al. Differing clinical impact of BRCA1 and BRCA2 mutations in serous ovarian cancer[J]. Pharmacogenomics, 2012, 13(13): 1523-1535.</w:t>
      </w:r>
      <w:r>
        <w:rPr>
          <w:rFonts w:ascii="Times New Roman" w:hAnsi="Times New Roman" w:eastAsia="微软雅黑" w:cs="Times New Roman"/>
          <w:sz w:val="15"/>
          <w:szCs w:val="15"/>
          <w:shd w:val="clear" w:color="auto" w:fill="FFFFFF"/>
          <w:lang w:eastAsia="zh-CN"/>
        </w:rPr>
        <w:t xml:space="preserve"> [PMID: 23057551]</w:t>
      </w:r>
    </w:p>
    <w:p w14:paraId="16CA8FBF">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Finch A, Beiner M, Lubinski J, et al. Salpingo-oophorectomy and the risk of ovarian, fallopian tube, and peritoneal cancers in women with a BRCA1 or BRCA2 Mutation[J]. Jama, 2006, 296(2): 185-192.</w:t>
      </w:r>
      <w:r>
        <w:rPr>
          <w:rFonts w:ascii="Times New Roman" w:hAnsi="Times New Roman" w:eastAsia="微软雅黑" w:cs="Times New Roman"/>
          <w:sz w:val="15"/>
          <w:szCs w:val="15"/>
          <w:shd w:val="clear" w:color="auto" w:fill="FFFFFF"/>
          <w:lang w:eastAsia="zh-CN"/>
        </w:rPr>
        <w:t xml:space="preserve"> [PMID: 16835424]</w:t>
      </w:r>
    </w:p>
    <w:p w14:paraId="0FF02F98">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Stan D L, Shuster L T, Wick M J, et al. Challenging and complex decisions in the management of the BRCA mutation carrier[J]. Journal of Women's Health, 2013, 22(10): 825-834.</w:t>
      </w:r>
      <w:r>
        <w:rPr>
          <w:rFonts w:ascii="Times New Roman" w:hAnsi="Times New Roman" w:eastAsia="微软雅黑" w:cs="Times New Roman"/>
          <w:sz w:val="15"/>
          <w:szCs w:val="15"/>
          <w:shd w:val="clear" w:color="auto" w:fill="FFFFFF"/>
          <w:lang w:eastAsia="zh-CN"/>
        </w:rPr>
        <w:t xml:space="preserve"> [PMID: 23987739]</w:t>
      </w:r>
    </w:p>
    <w:p w14:paraId="3B8EFE96">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Elit L, Hirte H. Palliative systemic therapy for women with recurrent epithelial ovarian cancer: current options[J]. OncoTargets and therapy, 2013, 6: 107.</w:t>
      </w:r>
      <w:r>
        <w:rPr>
          <w:rFonts w:ascii="Times New Roman" w:hAnsi="Times New Roman" w:eastAsia="微软雅黑" w:cs="Times New Roman"/>
          <w:sz w:val="15"/>
          <w:szCs w:val="15"/>
          <w:shd w:val="clear" w:color="auto" w:fill="FFFFFF"/>
          <w:lang w:eastAsia="zh-CN"/>
        </w:rPr>
        <w:t xml:space="preserve"> [PMID: 23459506]</w:t>
      </w:r>
    </w:p>
    <w:p w14:paraId="26FF5ED9">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Suh D H, Lee K H, Kim K, et al. Major clinical research advances in gynecologic cancer in 2014[J]. Journal of gynecologic oncology, 2015, 26(2): 156-167.</w:t>
      </w:r>
      <w:r>
        <w:rPr>
          <w:rFonts w:ascii="Times New Roman" w:hAnsi="Times New Roman" w:eastAsia="微软雅黑" w:cs="Times New Roman"/>
          <w:sz w:val="15"/>
          <w:szCs w:val="15"/>
          <w:shd w:val="clear" w:color="auto" w:fill="FFFFFF"/>
          <w:lang w:eastAsia="zh-CN"/>
        </w:rPr>
        <w:t xml:space="preserve"> [PMID: 25872896]</w:t>
      </w:r>
    </w:p>
    <w:p w14:paraId="6867AA49">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ascii="Times New Roman" w:hAnsi="Times New Roman" w:eastAsia="微软雅黑" w:cs="Times New Roman"/>
          <w:sz w:val="15"/>
          <w:szCs w:val="15"/>
          <w:shd w:val="clear" w:color="auto" w:fill="FFFFFF"/>
          <w:lang w:eastAsia="zh-CN"/>
        </w:rPr>
        <w:t>C, Angelina Tjokrowidjaja A B, et al. Prognostic nomogram for progression-free survival in patients with BRCA mutations and platinum-sensitive recurrent ovarian cancer on maintenance olaparib therapy following response to chemotherapy[J]. European Journal of Cancer, 2021, 154:190-200. [PMID: 34293664]</w:t>
      </w:r>
    </w:p>
    <w:p w14:paraId="04857475">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ascii="Times New Roman" w:hAnsi="Times New Roman" w:eastAsia="微软雅黑" w:cs="Times New Roman"/>
          <w:sz w:val="15"/>
          <w:szCs w:val="15"/>
          <w:shd w:val="clear" w:color="auto" w:fill="FFFFFF"/>
          <w:lang w:eastAsia="zh-CN"/>
        </w:rPr>
        <w:t>Andrew R Clamp, Domenica Lorusso, Amit M Oza, et al. Rucaparib maintenance treatment for recurrent ovarian carcinoma: the effects of progression-free interval and prior therapies on efficacy and safety in the randomized phase III trial ARIEL3[J]. Int J Gynecol Cancer. 2021, 31(7):949-958. [PMID: 34103386]</w:t>
      </w:r>
    </w:p>
    <w:p w14:paraId="698A909A">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ascii="Times New Roman" w:hAnsi="Times New Roman" w:eastAsia="微软雅黑" w:cs="Times New Roman"/>
          <w:sz w:val="15"/>
          <w:szCs w:val="15"/>
          <w:shd w:val="clear" w:color="auto" w:fill="FFFFFF"/>
          <w:lang w:eastAsia="zh-CN"/>
        </w:rPr>
        <w:t>Chee Khoon Lee, Michael L Friedlander, Angelina Tjokrowidjaja, et al. Molecular and clinical predictors of improvement in progression‐free survival with maintenance PARP inhibitor therapy in women with platinum‐sensitive, recurrent ovarian cancer: A meta‐analysis[J]. Cancer, 2021. 127(14):2432-2441. [PMID: 33740262]</w:t>
      </w:r>
    </w:p>
    <w:p w14:paraId="18AE171E">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ascii="Times New Roman" w:hAnsi="Times New Roman" w:eastAsia="微软雅黑" w:cs="Times New Roman"/>
          <w:sz w:val="15"/>
          <w:szCs w:val="15"/>
          <w:shd w:val="clear" w:color="auto" w:fill="FFFFFF"/>
          <w:lang w:eastAsia="zh-CN"/>
        </w:rPr>
        <w:t>Arnold Lee. Fuzuloparib: First Approval[J]. Drugs. 2021, 81(10):1221-1226. [PMID: 34118019]</w:t>
      </w:r>
    </w:p>
    <w:p w14:paraId="5802C66A">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fldChar w:fldCharType="begin"/>
      </w:r>
      <w:r>
        <w:instrText xml:space="preserve"> HYPERLINK "https://pubmed.ncbi.nlm.nih.gov/?sort=date&amp;term=Markham+A&amp;cauthor_id=34287805" </w:instrText>
      </w:r>
      <w:r>
        <w:fldChar w:fldCharType="separate"/>
      </w:r>
      <w:r>
        <w:rPr>
          <w:rFonts w:ascii="Times New Roman" w:hAnsi="Times New Roman" w:eastAsia="微软雅黑" w:cs="Times New Roman"/>
          <w:sz w:val="15"/>
          <w:szCs w:val="15"/>
          <w:shd w:val="clear" w:color="auto" w:fill="FFFFFF"/>
        </w:rPr>
        <w:t>Anthony Markham</w:t>
      </w:r>
      <w:r>
        <w:rPr>
          <w:rFonts w:ascii="Times New Roman" w:hAnsi="Times New Roman" w:eastAsia="微软雅黑" w:cs="Times New Roman"/>
          <w:sz w:val="15"/>
          <w:szCs w:val="15"/>
          <w:shd w:val="clear" w:color="auto" w:fill="FFFFFF"/>
        </w:rPr>
        <w:fldChar w:fldCharType="end"/>
      </w:r>
      <w:r>
        <w:rPr>
          <w:rFonts w:ascii="Times New Roman" w:hAnsi="Times New Roman" w:eastAsia="微软雅黑" w:cs="Times New Roman"/>
          <w:sz w:val="15"/>
          <w:szCs w:val="15"/>
          <w:shd w:val="clear" w:color="auto" w:fill="FFFFFF"/>
          <w:lang w:eastAsia="zh-CN"/>
        </w:rPr>
        <w:t xml:space="preserve">. Pamiparib: First Approval[J]. Drugs. </w:t>
      </w:r>
      <w:r>
        <w:rPr>
          <w:rFonts w:ascii="Times New Roman" w:hAnsi="Times New Roman" w:eastAsia="微软雅黑" w:cs="Times New Roman"/>
          <w:sz w:val="15"/>
          <w:szCs w:val="15"/>
          <w:shd w:val="clear" w:color="auto" w:fill="FFFFFF"/>
        </w:rPr>
        <w:t>2021</w:t>
      </w:r>
      <w:r>
        <w:rPr>
          <w:rFonts w:ascii="Times New Roman" w:hAnsi="Times New Roman" w:eastAsia="微软雅黑" w:cs="Times New Roman"/>
          <w:sz w:val="15"/>
          <w:szCs w:val="15"/>
          <w:shd w:val="clear" w:color="auto" w:fill="FFFFFF"/>
          <w:lang w:eastAsia="zh-CN"/>
        </w:rPr>
        <w:t>. [PMID: 34287805]</w:t>
      </w:r>
      <w:r>
        <w:rPr>
          <w:rFonts w:ascii="Times New Roman" w:hAnsi="Times New Roman" w:eastAsia="微软雅黑" w:cs="Times New Roman"/>
          <w:sz w:val="15"/>
          <w:szCs w:val="15"/>
          <w:shd w:val="clear" w:color="auto" w:fill="FFFFFF"/>
        </w:rPr>
        <w:t>Muthiah Bose, Juliane Sachsenweger, Niina Laurila</w:t>
      </w:r>
      <w:r>
        <w:rPr>
          <w:rFonts w:ascii="Times New Roman" w:hAnsi="Times New Roman" w:eastAsia="微软雅黑" w:cs="Times New Roman"/>
          <w:sz w:val="15"/>
          <w:szCs w:val="15"/>
          <w:shd w:val="clear" w:color="auto" w:fill="FFFFFF"/>
          <w:lang w:eastAsia="zh-CN"/>
        </w:rPr>
        <w:t>, et al. BRCA1 mislocalization leads to aberrant DNA damage response in heterozygous ABRAXAS1 mutation carrier cells</w:t>
      </w:r>
      <w:r>
        <w:rPr>
          <w:rFonts w:ascii="Times New Roman" w:hAnsi="Times New Roman" w:eastAsia="微软雅黑" w:cs="Times New Roman"/>
          <w:sz w:val="15"/>
          <w:szCs w:val="15"/>
          <w:shd w:val="clear" w:color="auto" w:fill="FFFFFF"/>
        </w:rPr>
        <w:t>[J]. Hum Mol Genet, 2019,28(24):4148-4160.</w:t>
      </w:r>
      <w:r>
        <w:rPr>
          <w:rFonts w:ascii="Times New Roman" w:hAnsi="Times New Roman" w:eastAsia="微软雅黑" w:cs="Times New Roman"/>
          <w:sz w:val="15"/>
          <w:szCs w:val="15"/>
          <w:shd w:val="clear" w:color="auto" w:fill="FFFFFF"/>
          <w:lang w:eastAsia="zh-CN"/>
        </w:rPr>
        <w:t xml:space="preserve"> [PMID: 31630195]</w:t>
      </w:r>
    </w:p>
    <w:p w14:paraId="5E7F1141">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Zdenek Kleibl, Vessela N Kristensen. Women at High Risk of Breast Cancer: Molecular Characteristics, Clinical Presentation and Management[J]. Breast, 2016, 28:136-44.</w:t>
      </w:r>
      <w:r>
        <w:rPr>
          <w:rFonts w:ascii="Times New Roman" w:hAnsi="Times New Roman" w:eastAsia="微软雅黑" w:cs="Times New Roman"/>
          <w:sz w:val="15"/>
          <w:szCs w:val="15"/>
          <w:shd w:val="clear" w:color="auto" w:fill="FFFFFF"/>
          <w:lang w:eastAsia="zh-CN"/>
        </w:rPr>
        <w:t xml:space="preserve"> [PMID: 27318168]</w:t>
      </w:r>
    </w:p>
    <w:p w14:paraId="31441A6C">
      <w:pPr>
        <w:pStyle w:val="13"/>
        <w:widowControl/>
        <w:rPr>
          <w:rFonts w:ascii="Times New Roman" w:hAnsi="Times New Roman" w:eastAsia="微软雅黑" w:cs="Times New Roman"/>
          <w:sz w:val="15"/>
          <w:szCs w:val="15"/>
          <w:shd w:val="clear" w:color="auto" w:fill="FFFFFF"/>
          <w:lang w:eastAsia="zh-CN"/>
        </w:rPr>
      </w:pPr>
      <w:r>
        <w:rPr>
          <w:rFonts w:ascii="Times New Roman" w:hAnsi="Times New Roman" w:eastAsia="微软雅黑" w:cs="Times New Roman"/>
          <w:sz w:val="15"/>
          <w:szCs w:val="15"/>
          <w:shd w:val="clear" w:color="auto" w:fill="FFFFFF"/>
        </w:rPr>
        <w:t>Clare Turnbull, Sarah Hines, Anthony Renwick. Mutation and Association Analysis of GEN1 in Breast Cancer Susceptibility[J], Breast Cancer Res Treat, 2010, 124(1):283-8.</w:t>
      </w:r>
      <w:r>
        <w:rPr>
          <w:rFonts w:ascii="Times New Roman" w:hAnsi="Times New Roman" w:eastAsia="微软雅黑" w:cs="Times New Roman"/>
          <w:sz w:val="15"/>
          <w:szCs w:val="15"/>
          <w:shd w:val="clear" w:color="auto" w:fill="FFFFFF"/>
          <w:lang w:eastAsia="zh-CN"/>
        </w:rPr>
        <w:t xml:space="preserve"> [PMID: 20512659]</w:t>
      </w:r>
    </w:p>
    <w:p w14:paraId="150C66C5">
      <w:pPr>
        <w:pStyle w:val="13"/>
        <w:widowControl/>
        <w:rPr>
          <w:rFonts w:ascii="Times New Roman" w:hAnsi="Times New Roman" w:eastAsia="微软雅黑" w:cs="Times New Roman"/>
          <w:sz w:val="15"/>
          <w:szCs w:val="15"/>
          <w:shd w:val="clear" w:color="auto" w:fill="FFFFFF"/>
          <w:lang w:eastAsia="zh-CN"/>
        </w:rPr>
        <w:sectPr>
          <w:headerReference r:id="rId7" w:type="default"/>
          <w:footerReference r:id="rId8" w:type="default"/>
          <w:pgSz w:w="11911" w:h="16838"/>
          <w:pgMar w:top="1037" w:right="1020" w:bottom="981" w:left="1020" w:header="283" w:footer="567" w:gutter="0"/>
          <w:pgNumType w:start="1"/>
          <w:cols w:space="0" w:num="1"/>
          <w:docGrid w:linePitch="312" w:charSpace="0"/>
        </w:sectPr>
      </w:pPr>
    </w:p>
    <w:p w14:paraId="02FD2E5F">
      <w:pPr>
        <w:pStyle w:val="13"/>
        <w:widowControl/>
        <w:rPr>
          <w:rFonts w:ascii="Times New Roman" w:hAnsi="Times New Roman" w:eastAsia="微软雅黑" w:cs="Times New Roman"/>
          <w:sz w:val="15"/>
          <w:szCs w:val="15"/>
          <w:shd w:val="clear" w:color="auto" w:fill="FFFFFF"/>
          <w:lang w:eastAsia="zh-CN"/>
        </w:rPr>
      </w:pPr>
    </w:p>
    <w:sectPr>
      <w:footerReference r:id="rId9" w:type="default"/>
      <w:pgSz w:w="11911" w:h="16838"/>
      <w:pgMar w:top="1037" w:right="1020" w:bottom="981" w:left="1020" w:header="283" w:footer="567" w:gutter="0"/>
      <w:pgNumType w:start="1"/>
      <w:cols w:space="0"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微软雅黑 Light">
    <w:panose1 w:val="020B0502040204020203"/>
    <w:charset w:val="86"/>
    <w:family w:val="swiss"/>
    <w:pitch w:val="default"/>
    <w:sig w:usb0="80000287" w:usb1="2ACF001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F1BE90">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AF1B42">
    <w:pPr>
      <w:pStyle w:val="9"/>
    </w:pPr>
    <w:r>
      <mc:AlternateContent>
        <mc:Choice Requires="wps">
          <w:drawing>
            <wp:anchor distT="0" distB="0" distL="114300" distR="114300" simplePos="0" relativeHeight="251659264" behindDoc="0" locked="0" layoutInCell="1" allowOverlap="1">
              <wp:simplePos x="0" y="0"/>
              <wp:positionH relativeFrom="margin">
                <wp:posOffset>1731645</wp:posOffset>
              </wp:positionH>
              <wp:positionV relativeFrom="paragraph">
                <wp:posOffset>-42545</wp:posOffset>
              </wp:positionV>
              <wp:extent cx="2770505" cy="331470"/>
              <wp:effectExtent l="0" t="0" r="0" b="0"/>
              <wp:wrapNone/>
              <wp:docPr id="5" name="文本框 5"/>
              <wp:cNvGraphicFramePr/>
              <a:graphic xmlns:a="http://schemas.openxmlformats.org/drawingml/2006/main">
                <a:graphicData uri="http://schemas.microsoft.com/office/word/2010/wordprocessingShape">
                  <wps:wsp>
                    <wps:cNvSpPr txBox="1"/>
                    <wps:spPr>
                      <a:xfrm>
                        <a:off x="0" y="0"/>
                        <a:ext cx="2770505" cy="33147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85598D6">
                          <w:pPr>
                            <w:pStyle w:val="9"/>
                            <w:jc w:val="center"/>
                            <w:rPr>
                              <w:rFonts w:ascii="Times New Roman" w:hAnsi="Times New Roman"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3</w:t>
                          </w:r>
                          <w:r>
                            <w:rPr>
                              <w:rFonts w:ascii="Times New Roman" w:hAnsi="Times New Roman" w:cs="Times New Roman"/>
                              <w:b/>
                              <w:bCs/>
                            </w:rPr>
                            <w:fldChar w:fldCharType="end"/>
                          </w:r>
                          <w:r>
                            <w:rPr>
                              <w:rFonts w:ascii="Times New Roman" w:hAnsi="Times New Roman" w:cs="Times New Roman"/>
                              <w:b/>
                              <w:bCs/>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25</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3</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23</w:t>
                          </w:r>
                          <w:r>
                            <w:rPr>
                              <w:rFonts w:ascii="Times New Roman" w:hAnsi="Times New Roman" w:eastAsia="微软雅黑" w:cs="Times New Roman"/>
                              <w:b/>
                              <w:bCs/>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136.35pt;margin-top:-3.35pt;height:26.1pt;width:218.15pt;mso-position-horizontal-relative:margin;z-index:251659264;mso-width-relative:page;mso-height-relative:page;" filled="f" stroked="f" coordsize="21600,21600" o:gfxdata="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FgJPjjYAAAACQEAAA8AAAAAAAAAAQAgAAAAIgAAAGRycy9kb3ducmV2Lnht&#10;bFBLAQIUABQAAAAIAIdO4kBcQkg8MgIAAFYEAAAOAAAAAAAAAAEAIAAAACcBAABkcnMvZTJvRG9j&#10;LnhtbFBLBQYAAAAABgAGAFkBAADLBQAAAAA=&#10;">
              <v:fill on="f" focussize="0,0"/>
              <v:stroke on="f" weight="0.5pt"/>
              <v:imagedata o:title=""/>
              <o:lock v:ext="edit" aspectratio="f"/>
              <v:textbox inset="0mm,0mm,0mm,0mm">
                <w:txbxContent>
                  <w:p w14:paraId="785598D6">
                    <w:pPr>
                      <w:pStyle w:val="9"/>
                      <w:jc w:val="center"/>
                      <w:rPr>
                        <w:rFonts w:ascii="Times New Roman" w:hAnsi="Times New Roman"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3</w:t>
                    </w:r>
                    <w:r>
                      <w:rPr>
                        <w:rFonts w:ascii="Times New Roman" w:hAnsi="Times New Roman" w:cs="Times New Roman"/>
                        <w:b/>
                        <w:bCs/>
                      </w:rPr>
                      <w:fldChar w:fldCharType="end"/>
                    </w:r>
                    <w:r>
                      <w:rPr>
                        <w:rFonts w:ascii="Times New Roman" w:hAnsi="Times New Roman" w:cs="Times New Roman"/>
                        <w:b/>
                        <w:bCs/>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25</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3</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23</w:t>
                    </w:r>
                    <w:r>
                      <w:rPr>
                        <w:rFonts w:ascii="Times New Roman" w:hAnsi="Times New Roman" w:eastAsia="微软雅黑" w:cs="Times New Roman"/>
                        <w:b/>
                        <w:bCs/>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E8F267">
    <w:pPr>
      <w:pStyle w:val="9"/>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1294F0">
    <w:pPr>
      <w:pStyle w:val="10"/>
    </w:pPr>
    <w:r>
      <w:rPr>
        <w:color w:val="7F7F7F"/>
        <w:sz w:val="20"/>
        <w:szCs w:val="20"/>
        <w:lang w:eastAsia="zh-CN"/>
      </w:rPr>
      <w:drawing>
        <wp:anchor distT="0" distB="0" distL="0" distR="0" simplePos="0" relativeHeight="251660288" behindDoc="0" locked="0" layoutInCell="1" allowOverlap="1">
          <wp:simplePos x="0" y="0"/>
          <wp:positionH relativeFrom="column">
            <wp:posOffset>4605020</wp:posOffset>
          </wp:positionH>
          <wp:positionV relativeFrom="paragraph">
            <wp:posOffset>64770</wp:posOffset>
          </wp:positionV>
          <wp:extent cx="1668145" cy="474345"/>
          <wp:effectExtent l="0" t="0" r="8255" b="13335"/>
          <wp:wrapNone/>
          <wp:docPr id="40" name="图片 40"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C:\Users\JT\Desktop\2019.3.1-诺禾致源logo-最新版\logo-透明底.pnglogo-透明底"/>
                  <pic:cNvPicPr>
                    <a:picLocks noChangeAspect="1"/>
                  </pic:cNvPicPr>
                </pic:nvPicPr>
                <pic:blipFill>
                  <a:blip r:embed="rId1"/>
                  <a:srcRect/>
                  <a:stretch>
                    <a:fillRect/>
                  </a:stretch>
                </pic:blipFill>
                <pic:spPr>
                  <a:xfrm>
                    <a:off x="0" y="0"/>
                    <a:ext cx="1668145" cy="474345"/>
                  </a:xfrm>
                  <a:prstGeom prst="rect">
                    <a:avLst/>
                  </a:prstGeom>
                </pic:spPr>
              </pic:pic>
            </a:graphicData>
          </a:graphic>
        </wp:anchor>
      </w:drawing>
    </w:r>
    <w:r>
      <w:drawing>
        <wp:inline distT="0" distB="0" distL="114300" distR="114300">
          <wp:extent cx="3177540" cy="493395"/>
          <wp:effectExtent l="0" t="0" r="7620" b="9525"/>
          <wp:docPr id="2" name="图片 1"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logo1"/>
                  <pic:cNvPicPr>
                    <a:picLocks noChangeAspect="1"/>
                  </pic:cNvPicPr>
                </pic:nvPicPr>
                <pic:blipFill>
                  <a:blip r:embed="rId2"/>
                  <a:stretch>
                    <a:fillRect/>
                  </a:stretch>
                </pic:blipFill>
                <pic:spPr>
                  <a:xfrm>
                    <a:off x="0" y="0"/>
                    <a:ext cx="3177540" cy="493395"/>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EA6214">
    <w:pPr>
      <w:pStyle w:val="10"/>
      <w:pBdr>
        <w:bottom w:val="none" w:color="auto" w:sz="0" w:space="0"/>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DAA853">
    <w:pPr>
      <w:pStyle w:val="10"/>
      <w:rPr>
        <w:lang w:eastAsia="zh-CN"/>
      </w:rPr>
    </w:pPr>
    <w:r>
      <w:rPr>
        <w:color w:val="7F7F7F"/>
        <w:sz w:val="20"/>
        <w:szCs w:val="20"/>
        <w:lang w:eastAsia="zh-CN"/>
      </w:rPr>
      <w:drawing>
        <wp:anchor distT="0" distB="0" distL="0" distR="0" simplePos="0" relativeHeight="251661312" behindDoc="0" locked="0" layoutInCell="1" allowOverlap="1">
          <wp:simplePos x="0" y="0"/>
          <wp:positionH relativeFrom="column">
            <wp:posOffset>4605020</wp:posOffset>
          </wp:positionH>
          <wp:positionV relativeFrom="paragraph">
            <wp:posOffset>56515</wp:posOffset>
          </wp:positionV>
          <wp:extent cx="1668145" cy="474345"/>
          <wp:effectExtent l="0" t="0" r="8255" b="13335"/>
          <wp:wrapNone/>
          <wp:docPr id="3" name="图片 3"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Users\JT\Desktop\2019.3.1-诺禾致源logo-最新版\logo-透明底.pnglogo-透明底"/>
                  <pic:cNvPicPr>
                    <a:picLocks noChangeAspect="1"/>
                  </pic:cNvPicPr>
                </pic:nvPicPr>
                <pic:blipFill>
                  <a:blip r:embed="rId1"/>
                  <a:srcRect/>
                  <a:stretch>
                    <a:fillRect/>
                  </a:stretch>
                </pic:blipFill>
                <pic:spPr>
                  <a:xfrm>
                    <a:off x="0" y="0"/>
                    <a:ext cx="1668145" cy="474345"/>
                  </a:xfrm>
                  <a:prstGeom prst="rect">
                    <a:avLst/>
                  </a:prstGeom>
                </pic:spPr>
              </pic:pic>
            </a:graphicData>
          </a:graphic>
        </wp:anchor>
      </w:drawing>
    </w:r>
    <w:r>
      <w:drawing>
        <wp:inline distT="0" distB="0" distL="114300" distR="114300">
          <wp:extent cx="3177540" cy="493395"/>
          <wp:effectExtent l="0" t="0" r="7620" b="9525"/>
          <wp:docPr id="1" name="图片 1"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logo1"/>
                  <pic:cNvPicPr>
                    <a:picLocks noChangeAspect="1"/>
                  </pic:cNvPicPr>
                </pic:nvPicPr>
                <pic:blipFill>
                  <a:blip r:embed="rId2"/>
                  <a:stretch>
                    <a:fillRect/>
                  </a:stretch>
                </pic:blipFill>
                <pic:spPr>
                  <a:xfrm>
                    <a:off x="0" y="0"/>
                    <a:ext cx="3177540" cy="493395"/>
                  </a:xfrm>
                  <a:prstGeom prst="rect">
                    <a:avLst/>
                  </a:prstGeom>
                </pic:spPr>
              </pic:pic>
            </a:graphicData>
          </a:graphic>
        </wp:inline>
      </w:drawing>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C2AC0D">
    <w:pPr>
      <w:pStyle w:val="10"/>
      <w:rPr>
        <w:lang w:eastAsia="zh-CN"/>
      </w:rPr>
    </w:pPr>
    <w:r>
      <w:rPr>
        <w:color w:val="7F7F7F"/>
        <w:sz w:val="20"/>
        <w:szCs w:val="20"/>
        <w:lang w:eastAsia="zh-CN"/>
      </w:rPr>
      <w:drawing>
        <wp:anchor distT="0" distB="0" distL="0" distR="0" simplePos="0" relativeHeight="251662336" behindDoc="0" locked="0" layoutInCell="1" allowOverlap="1">
          <wp:simplePos x="0" y="0"/>
          <wp:positionH relativeFrom="column">
            <wp:posOffset>4605020</wp:posOffset>
          </wp:positionH>
          <wp:positionV relativeFrom="paragraph">
            <wp:posOffset>48260</wp:posOffset>
          </wp:positionV>
          <wp:extent cx="1668145" cy="474345"/>
          <wp:effectExtent l="0" t="0" r="8255" b="13335"/>
          <wp:wrapNone/>
          <wp:docPr id="6" name="图片 6"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C:\Users\JT\Desktop\2019.3.1-诺禾致源logo-最新版\logo-透明底.pnglogo-透明底"/>
                  <pic:cNvPicPr>
                    <a:picLocks noChangeAspect="1"/>
                  </pic:cNvPicPr>
                </pic:nvPicPr>
                <pic:blipFill>
                  <a:blip r:embed="rId1"/>
                  <a:srcRect/>
                  <a:stretch>
                    <a:fillRect/>
                  </a:stretch>
                </pic:blipFill>
                <pic:spPr>
                  <a:xfrm>
                    <a:off x="0" y="0"/>
                    <a:ext cx="1668145" cy="474345"/>
                  </a:xfrm>
                  <a:prstGeom prst="rect">
                    <a:avLst/>
                  </a:prstGeom>
                </pic:spPr>
              </pic:pic>
            </a:graphicData>
          </a:graphic>
        </wp:anchor>
      </w:drawing>
    </w:r>
    <w:r>
      <w:drawing>
        <wp:inline distT="0" distB="0" distL="114300" distR="114300">
          <wp:extent cx="3177540" cy="493395"/>
          <wp:effectExtent l="0" t="0" r="7620" b="9525"/>
          <wp:docPr id="4" name="图片 1"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descr="logo1"/>
                  <pic:cNvPicPr>
                    <a:picLocks noChangeAspect="1"/>
                  </pic:cNvPicPr>
                </pic:nvPicPr>
                <pic:blipFill>
                  <a:blip r:embed="rId2"/>
                  <a:stretch>
                    <a:fillRect/>
                  </a:stretch>
                </pic:blipFill>
                <pic:spPr>
                  <a:xfrm>
                    <a:off x="0" y="0"/>
                    <a:ext cx="3177540" cy="49339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FE6C8412"/>
    <w:multiLevelType w:val="singleLevel"/>
    <w:tmpl w:val="FE6C8412"/>
    <w:lvl w:ilvl="0" w:tentative="0">
      <w:start w:val="1"/>
      <w:numFmt w:val="decimal"/>
      <w:lvlText w:val="%1."/>
      <w:lvlJc w:val="left"/>
      <w:pPr>
        <w:ind w:left="425" w:hanging="425"/>
      </w:pPr>
      <w:rPr>
        <w:rFonts w:hint="default" w:ascii="Times New Roman" w:hAnsi="Times New Roman" w:cs="Times New Roman"/>
        <w:sz w:val="18"/>
        <w:szCs w:val="18"/>
      </w:rPr>
    </w:lvl>
  </w:abstractNum>
  <w:abstractNum w:abstractNumId="1">
    <w:nsid w:val="12127B25"/>
    <w:multiLevelType w:val="multilevel"/>
    <w:tmpl w:val="12127B25"/>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12167FD4"/>
    <w:multiLevelType w:val="multilevel"/>
    <w:tmpl w:val="12167FD4"/>
    <w:lvl w:ilvl="0" w:tentative="0">
      <w:start w:val="1"/>
      <w:numFmt w:val="decimal"/>
      <w:lvlText w:val="%1."/>
      <w:lvlJc w:val="left"/>
      <w:pPr>
        <w:ind w:left="420" w:hanging="420"/>
      </w:pPr>
      <w:rPr>
        <w:rFonts w:hint="default"/>
        <w:b w:val="0"/>
        <w:bCs w:val="0"/>
        <w:color w:val="auto"/>
        <w:sz w:val="20"/>
        <w:szCs w:val="2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2CEC1C1C"/>
    <w:multiLevelType w:val="multilevel"/>
    <w:tmpl w:val="2CEC1C1C"/>
    <w:lvl w:ilvl="0" w:tentative="0">
      <w:start w:val="1"/>
      <w:numFmt w:val="bullet"/>
      <w:pStyle w:val="24"/>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4">
    <w:nsid w:val="34613CBC"/>
    <w:multiLevelType w:val="multilevel"/>
    <w:tmpl w:val="34613CBC"/>
    <w:lvl w:ilvl="0" w:tentative="0">
      <w:start w:val="1"/>
      <w:numFmt w:val="bullet"/>
      <w:pStyle w:val="26"/>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5">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6">
    <w:nsid w:val="3FE2A38E"/>
    <w:multiLevelType w:val="singleLevel"/>
    <w:tmpl w:val="3FE2A38E"/>
    <w:lvl w:ilvl="0" w:tentative="0">
      <w:start w:val="1"/>
      <w:numFmt w:val="decimal"/>
      <w:lvlText w:val="%1."/>
      <w:lvlJc w:val="left"/>
      <w:pPr>
        <w:ind w:left="425" w:hanging="425"/>
      </w:pPr>
      <w:rPr>
        <w:rFonts w:hint="default"/>
      </w:rPr>
    </w:lvl>
  </w:abstractNum>
  <w:abstractNum w:abstractNumId="7">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8">
    <w:nsid w:val="5B812BEF"/>
    <w:multiLevelType w:val="multilevel"/>
    <w:tmpl w:val="5B812BEF"/>
    <w:lvl w:ilvl="0" w:tentative="0">
      <w:start w:val="1"/>
      <w:numFmt w:val="bullet"/>
      <w:pStyle w:val="23"/>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9">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abstractNum w:abstractNumId="10">
    <w:nsid w:val="6BAC6FD5"/>
    <w:multiLevelType w:val="singleLevel"/>
    <w:tmpl w:val="6BAC6FD5"/>
    <w:lvl w:ilvl="0" w:tentative="0">
      <w:start w:val="1"/>
      <w:numFmt w:val="decimal"/>
      <w:suff w:val="space"/>
      <w:lvlText w:val="(%1)"/>
      <w:lvlJc w:val="left"/>
    </w:lvl>
  </w:abstractNum>
  <w:abstractNum w:abstractNumId="11">
    <w:nsid w:val="70C53F05"/>
    <w:multiLevelType w:val="multilevel"/>
    <w:tmpl w:val="70C53F05"/>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num w:numId="1">
    <w:abstractNumId w:val="7"/>
  </w:num>
  <w:num w:numId="2">
    <w:abstractNumId w:val="9"/>
  </w:num>
  <w:num w:numId="3">
    <w:abstractNumId w:val="8"/>
  </w:num>
  <w:num w:numId="4">
    <w:abstractNumId w:val="3"/>
  </w:num>
  <w:num w:numId="5">
    <w:abstractNumId w:val="4"/>
  </w:num>
  <w:num w:numId="6">
    <w:abstractNumId w:val="0"/>
  </w:num>
  <w:num w:numId="7">
    <w:abstractNumId w:val="5"/>
  </w:num>
  <w:num w:numId="8">
    <w:abstractNumId w:val="2"/>
  </w:num>
  <w:num w:numId="9">
    <w:abstractNumId w:val="6"/>
  </w:num>
  <w:num w:numId="10">
    <w:abstractNumId w:val="11"/>
  </w:num>
  <w:num w:numId="11">
    <w:abstractNumId w:val="1"/>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HorizontalSpacing w:val="220"/>
  <w:drawingGridVerticalSpacing w:val="-794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Y2NjU5MGIzZGFmM2M5NTIxMmI2NjdmNGQ0NDdjMDUifQ=="/>
  </w:docVars>
  <w:rsids>
    <w:rsidRoot w:val="00172A27"/>
    <w:rsid w:val="0000028D"/>
    <w:rsid w:val="00004024"/>
    <w:rsid w:val="00007D42"/>
    <w:rsid w:val="000222AA"/>
    <w:rsid w:val="000340DE"/>
    <w:rsid w:val="00047D10"/>
    <w:rsid w:val="0005033E"/>
    <w:rsid w:val="00075895"/>
    <w:rsid w:val="0008174D"/>
    <w:rsid w:val="000A5140"/>
    <w:rsid w:val="000A71A1"/>
    <w:rsid w:val="000B2CB2"/>
    <w:rsid w:val="000D6CF7"/>
    <w:rsid w:val="000F624E"/>
    <w:rsid w:val="0011186C"/>
    <w:rsid w:val="0013162D"/>
    <w:rsid w:val="00132164"/>
    <w:rsid w:val="00144C16"/>
    <w:rsid w:val="00162DDA"/>
    <w:rsid w:val="00172A27"/>
    <w:rsid w:val="00173999"/>
    <w:rsid w:val="00185484"/>
    <w:rsid w:val="0019000C"/>
    <w:rsid w:val="001B072A"/>
    <w:rsid w:val="001C0941"/>
    <w:rsid w:val="001C23FD"/>
    <w:rsid w:val="001D6D02"/>
    <w:rsid w:val="001D7C77"/>
    <w:rsid w:val="001F21E5"/>
    <w:rsid w:val="001F4ECE"/>
    <w:rsid w:val="00212BE9"/>
    <w:rsid w:val="00246151"/>
    <w:rsid w:val="00255961"/>
    <w:rsid w:val="0026054E"/>
    <w:rsid w:val="00290BD3"/>
    <w:rsid w:val="0029398A"/>
    <w:rsid w:val="002B0469"/>
    <w:rsid w:val="002B3360"/>
    <w:rsid w:val="002B3FE2"/>
    <w:rsid w:val="002C35E0"/>
    <w:rsid w:val="002C72A3"/>
    <w:rsid w:val="002E435B"/>
    <w:rsid w:val="002F2EA4"/>
    <w:rsid w:val="00303ECF"/>
    <w:rsid w:val="0030707C"/>
    <w:rsid w:val="003145C2"/>
    <w:rsid w:val="00327D49"/>
    <w:rsid w:val="003553CA"/>
    <w:rsid w:val="00364D8B"/>
    <w:rsid w:val="00367BD6"/>
    <w:rsid w:val="003A01C6"/>
    <w:rsid w:val="003A4E9A"/>
    <w:rsid w:val="003C623E"/>
    <w:rsid w:val="00414EEA"/>
    <w:rsid w:val="00420BDB"/>
    <w:rsid w:val="00421E3C"/>
    <w:rsid w:val="00437FD2"/>
    <w:rsid w:val="004634C4"/>
    <w:rsid w:val="00465383"/>
    <w:rsid w:val="004A7180"/>
    <w:rsid w:val="004C4C59"/>
    <w:rsid w:val="004D48D1"/>
    <w:rsid w:val="004E0147"/>
    <w:rsid w:val="00522403"/>
    <w:rsid w:val="00535580"/>
    <w:rsid w:val="00554850"/>
    <w:rsid w:val="00582032"/>
    <w:rsid w:val="00590902"/>
    <w:rsid w:val="005D358F"/>
    <w:rsid w:val="005D5884"/>
    <w:rsid w:val="005E4110"/>
    <w:rsid w:val="005E6C50"/>
    <w:rsid w:val="005F180D"/>
    <w:rsid w:val="006255B1"/>
    <w:rsid w:val="00633A35"/>
    <w:rsid w:val="00651B7C"/>
    <w:rsid w:val="00657A05"/>
    <w:rsid w:val="0068352F"/>
    <w:rsid w:val="0069280D"/>
    <w:rsid w:val="0069639B"/>
    <w:rsid w:val="006A189B"/>
    <w:rsid w:val="006A67AD"/>
    <w:rsid w:val="006B4E54"/>
    <w:rsid w:val="006B777A"/>
    <w:rsid w:val="006C6633"/>
    <w:rsid w:val="007037B1"/>
    <w:rsid w:val="00713361"/>
    <w:rsid w:val="00713431"/>
    <w:rsid w:val="007301DE"/>
    <w:rsid w:val="00745856"/>
    <w:rsid w:val="00753EF1"/>
    <w:rsid w:val="007664E3"/>
    <w:rsid w:val="007750F2"/>
    <w:rsid w:val="007D324F"/>
    <w:rsid w:val="00817A5D"/>
    <w:rsid w:val="008214CC"/>
    <w:rsid w:val="008338B5"/>
    <w:rsid w:val="008357DD"/>
    <w:rsid w:val="00852F55"/>
    <w:rsid w:val="00862331"/>
    <w:rsid w:val="008640B5"/>
    <w:rsid w:val="008654CA"/>
    <w:rsid w:val="008704D2"/>
    <w:rsid w:val="00874BAA"/>
    <w:rsid w:val="00881B49"/>
    <w:rsid w:val="008949BD"/>
    <w:rsid w:val="008B7162"/>
    <w:rsid w:val="008C00D1"/>
    <w:rsid w:val="008C0CB8"/>
    <w:rsid w:val="008C5BF7"/>
    <w:rsid w:val="008F0CF4"/>
    <w:rsid w:val="008F3AEE"/>
    <w:rsid w:val="00905D2C"/>
    <w:rsid w:val="00935E0F"/>
    <w:rsid w:val="0094199C"/>
    <w:rsid w:val="009A1545"/>
    <w:rsid w:val="009D020F"/>
    <w:rsid w:val="009D047C"/>
    <w:rsid w:val="009D6217"/>
    <w:rsid w:val="009E08EE"/>
    <w:rsid w:val="00A04BF4"/>
    <w:rsid w:val="00A04DFF"/>
    <w:rsid w:val="00A10BAB"/>
    <w:rsid w:val="00A150E8"/>
    <w:rsid w:val="00A25AD6"/>
    <w:rsid w:val="00A2747F"/>
    <w:rsid w:val="00A5524B"/>
    <w:rsid w:val="00A56AC1"/>
    <w:rsid w:val="00A80F92"/>
    <w:rsid w:val="00A93E97"/>
    <w:rsid w:val="00A94DEB"/>
    <w:rsid w:val="00AB335E"/>
    <w:rsid w:val="00AE5A22"/>
    <w:rsid w:val="00AE7986"/>
    <w:rsid w:val="00B01743"/>
    <w:rsid w:val="00B01C16"/>
    <w:rsid w:val="00B1136D"/>
    <w:rsid w:val="00B402FE"/>
    <w:rsid w:val="00B42BDB"/>
    <w:rsid w:val="00B50392"/>
    <w:rsid w:val="00B5346F"/>
    <w:rsid w:val="00B55EFA"/>
    <w:rsid w:val="00B81E2D"/>
    <w:rsid w:val="00B84ADF"/>
    <w:rsid w:val="00B87B20"/>
    <w:rsid w:val="00BA0BAB"/>
    <w:rsid w:val="00BA2111"/>
    <w:rsid w:val="00BC0E67"/>
    <w:rsid w:val="00BD3AC9"/>
    <w:rsid w:val="00BD6F6E"/>
    <w:rsid w:val="00BE223F"/>
    <w:rsid w:val="00BF293B"/>
    <w:rsid w:val="00C30DD0"/>
    <w:rsid w:val="00C54108"/>
    <w:rsid w:val="00C734E4"/>
    <w:rsid w:val="00C91831"/>
    <w:rsid w:val="00C9613C"/>
    <w:rsid w:val="00CA1420"/>
    <w:rsid w:val="00CA376A"/>
    <w:rsid w:val="00CA6144"/>
    <w:rsid w:val="00CB2EF1"/>
    <w:rsid w:val="00CB6181"/>
    <w:rsid w:val="00CE2B0E"/>
    <w:rsid w:val="00D0100A"/>
    <w:rsid w:val="00D03F39"/>
    <w:rsid w:val="00D12287"/>
    <w:rsid w:val="00D205D0"/>
    <w:rsid w:val="00D25658"/>
    <w:rsid w:val="00D3086D"/>
    <w:rsid w:val="00D310F9"/>
    <w:rsid w:val="00D358F5"/>
    <w:rsid w:val="00D61716"/>
    <w:rsid w:val="00D7527E"/>
    <w:rsid w:val="00D8225E"/>
    <w:rsid w:val="00D908BA"/>
    <w:rsid w:val="00DA2F2F"/>
    <w:rsid w:val="00DB18D1"/>
    <w:rsid w:val="00DB2FA6"/>
    <w:rsid w:val="00DE6F74"/>
    <w:rsid w:val="00DF6FE0"/>
    <w:rsid w:val="00E40EA8"/>
    <w:rsid w:val="00E47F4A"/>
    <w:rsid w:val="00E67DBA"/>
    <w:rsid w:val="00E75F82"/>
    <w:rsid w:val="00E84471"/>
    <w:rsid w:val="00E850A2"/>
    <w:rsid w:val="00E92E16"/>
    <w:rsid w:val="00E95B02"/>
    <w:rsid w:val="00EC70A7"/>
    <w:rsid w:val="00ED0DA3"/>
    <w:rsid w:val="00EE3454"/>
    <w:rsid w:val="00F11E4A"/>
    <w:rsid w:val="00F20B75"/>
    <w:rsid w:val="00F31855"/>
    <w:rsid w:val="00F4302E"/>
    <w:rsid w:val="00F515E4"/>
    <w:rsid w:val="00F53E77"/>
    <w:rsid w:val="00F71F9E"/>
    <w:rsid w:val="00F742EC"/>
    <w:rsid w:val="00F85C1C"/>
    <w:rsid w:val="00F94B48"/>
    <w:rsid w:val="00F94CC0"/>
    <w:rsid w:val="00FB2F29"/>
    <w:rsid w:val="00FB5144"/>
    <w:rsid w:val="00FB618D"/>
    <w:rsid w:val="00FF0FEA"/>
    <w:rsid w:val="00FF7BB1"/>
    <w:rsid w:val="011A0D8B"/>
    <w:rsid w:val="018F296E"/>
    <w:rsid w:val="01B51EE1"/>
    <w:rsid w:val="01B76DD0"/>
    <w:rsid w:val="020E54D7"/>
    <w:rsid w:val="02195EF8"/>
    <w:rsid w:val="02890465"/>
    <w:rsid w:val="02CA5230"/>
    <w:rsid w:val="032E1BA5"/>
    <w:rsid w:val="033A4CF6"/>
    <w:rsid w:val="04871837"/>
    <w:rsid w:val="04C17114"/>
    <w:rsid w:val="05085485"/>
    <w:rsid w:val="054059BE"/>
    <w:rsid w:val="056A6745"/>
    <w:rsid w:val="058508B5"/>
    <w:rsid w:val="067768A4"/>
    <w:rsid w:val="06A9271A"/>
    <w:rsid w:val="074043CC"/>
    <w:rsid w:val="07A60EF0"/>
    <w:rsid w:val="07AE4A53"/>
    <w:rsid w:val="07B349D9"/>
    <w:rsid w:val="07DB59EB"/>
    <w:rsid w:val="08043A3B"/>
    <w:rsid w:val="08080C9B"/>
    <w:rsid w:val="08C84A7A"/>
    <w:rsid w:val="08EA64AE"/>
    <w:rsid w:val="09271818"/>
    <w:rsid w:val="09422AEA"/>
    <w:rsid w:val="0A043ABA"/>
    <w:rsid w:val="0A0D5F18"/>
    <w:rsid w:val="0A24237C"/>
    <w:rsid w:val="0A693BAF"/>
    <w:rsid w:val="0AB746A3"/>
    <w:rsid w:val="0ADB075F"/>
    <w:rsid w:val="0AEB0A8D"/>
    <w:rsid w:val="0B9E3B84"/>
    <w:rsid w:val="0BBA7D6D"/>
    <w:rsid w:val="0C3A0C95"/>
    <w:rsid w:val="0C3E5385"/>
    <w:rsid w:val="0C96240B"/>
    <w:rsid w:val="0C9C7F73"/>
    <w:rsid w:val="0CFC02D6"/>
    <w:rsid w:val="0CFD585A"/>
    <w:rsid w:val="0D0B34EB"/>
    <w:rsid w:val="0DB72312"/>
    <w:rsid w:val="0DD202D8"/>
    <w:rsid w:val="0E0A4A44"/>
    <w:rsid w:val="0E11445D"/>
    <w:rsid w:val="0E1307EF"/>
    <w:rsid w:val="0E542351"/>
    <w:rsid w:val="0EBF2A43"/>
    <w:rsid w:val="0ED843CC"/>
    <w:rsid w:val="0EE7163F"/>
    <w:rsid w:val="0FB23638"/>
    <w:rsid w:val="0FB9297A"/>
    <w:rsid w:val="0FC3726A"/>
    <w:rsid w:val="10326BAC"/>
    <w:rsid w:val="103D206B"/>
    <w:rsid w:val="1143495E"/>
    <w:rsid w:val="11661D44"/>
    <w:rsid w:val="11F83267"/>
    <w:rsid w:val="121F2419"/>
    <w:rsid w:val="12596D51"/>
    <w:rsid w:val="12963DA1"/>
    <w:rsid w:val="12A54E20"/>
    <w:rsid w:val="12AE3E17"/>
    <w:rsid w:val="12CF6142"/>
    <w:rsid w:val="12EB43FD"/>
    <w:rsid w:val="136165CC"/>
    <w:rsid w:val="13897526"/>
    <w:rsid w:val="13AA502A"/>
    <w:rsid w:val="13AB527B"/>
    <w:rsid w:val="14236AE4"/>
    <w:rsid w:val="147543DC"/>
    <w:rsid w:val="148972D9"/>
    <w:rsid w:val="149B458A"/>
    <w:rsid w:val="14B92AE9"/>
    <w:rsid w:val="14BE6CAA"/>
    <w:rsid w:val="14CE76A9"/>
    <w:rsid w:val="14F51400"/>
    <w:rsid w:val="15196B67"/>
    <w:rsid w:val="152E3223"/>
    <w:rsid w:val="153F7D0D"/>
    <w:rsid w:val="15446D6F"/>
    <w:rsid w:val="154E7616"/>
    <w:rsid w:val="15A6476A"/>
    <w:rsid w:val="16D46F11"/>
    <w:rsid w:val="172E7EC2"/>
    <w:rsid w:val="17482F1B"/>
    <w:rsid w:val="1770611E"/>
    <w:rsid w:val="17BA680D"/>
    <w:rsid w:val="17EF172D"/>
    <w:rsid w:val="18662F20"/>
    <w:rsid w:val="18AD4BD2"/>
    <w:rsid w:val="18B63CA5"/>
    <w:rsid w:val="18FC0848"/>
    <w:rsid w:val="193642D4"/>
    <w:rsid w:val="19927C08"/>
    <w:rsid w:val="19EA56F0"/>
    <w:rsid w:val="19FC7A5F"/>
    <w:rsid w:val="1A022F03"/>
    <w:rsid w:val="1ABB2E82"/>
    <w:rsid w:val="1AC426DB"/>
    <w:rsid w:val="1B28649B"/>
    <w:rsid w:val="1B765088"/>
    <w:rsid w:val="1BA10C19"/>
    <w:rsid w:val="1BA36B7F"/>
    <w:rsid w:val="1C73419E"/>
    <w:rsid w:val="1C7A05D0"/>
    <w:rsid w:val="1C893267"/>
    <w:rsid w:val="1C98707F"/>
    <w:rsid w:val="1CA30E79"/>
    <w:rsid w:val="1CD226DA"/>
    <w:rsid w:val="1CFB3D7D"/>
    <w:rsid w:val="1D19178B"/>
    <w:rsid w:val="1D3A1AFC"/>
    <w:rsid w:val="1DAE6F6E"/>
    <w:rsid w:val="1E866955"/>
    <w:rsid w:val="1EAB0C6A"/>
    <w:rsid w:val="1EDC7BC1"/>
    <w:rsid w:val="1EEB2832"/>
    <w:rsid w:val="1F4875C7"/>
    <w:rsid w:val="1F4A2536"/>
    <w:rsid w:val="1F5A0E9A"/>
    <w:rsid w:val="1F953139"/>
    <w:rsid w:val="1FA24F8D"/>
    <w:rsid w:val="1FA85BDB"/>
    <w:rsid w:val="1FD3343E"/>
    <w:rsid w:val="1FD42119"/>
    <w:rsid w:val="20205A20"/>
    <w:rsid w:val="20855B55"/>
    <w:rsid w:val="209432E5"/>
    <w:rsid w:val="20A144D8"/>
    <w:rsid w:val="20BF0A40"/>
    <w:rsid w:val="20C54A84"/>
    <w:rsid w:val="20CF286A"/>
    <w:rsid w:val="216F18A9"/>
    <w:rsid w:val="21891AD9"/>
    <w:rsid w:val="21A3516C"/>
    <w:rsid w:val="22180203"/>
    <w:rsid w:val="223959EF"/>
    <w:rsid w:val="223D0F56"/>
    <w:rsid w:val="227B3413"/>
    <w:rsid w:val="22A94685"/>
    <w:rsid w:val="22F65CE9"/>
    <w:rsid w:val="22FB1D0C"/>
    <w:rsid w:val="230D0ED9"/>
    <w:rsid w:val="23306B12"/>
    <w:rsid w:val="234166A7"/>
    <w:rsid w:val="235C2C2A"/>
    <w:rsid w:val="23774A45"/>
    <w:rsid w:val="23D91FBB"/>
    <w:rsid w:val="23DC4798"/>
    <w:rsid w:val="250D12B9"/>
    <w:rsid w:val="254279B7"/>
    <w:rsid w:val="25895FB3"/>
    <w:rsid w:val="25F54CAA"/>
    <w:rsid w:val="26976104"/>
    <w:rsid w:val="26A1625C"/>
    <w:rsid w:val="26B13D03"/>
    <w:rsid w:val="26D608D1"/>
    <w:rsid w:val="26DB0DD2"/>
    <w:rsid w:val="26E8562E"/>
    <w:rsid w:val="27870460"/>
    <w:rsid w:val="27D66E1E"/>
    <w:rsid w:val="27F27066"/>
    <w:rsid w:val="28296683"/>
    <w:rsid w:val="28707737"/>
    <w:rsid w:val="28884063"/>
    <w:rsid w:val="28B74238"/>
    <w:rsid w:val="29193181"/>
    <w:rsid w:val="293B2954"/>
    <w:rsid w:val="296F5B95"/>
    <w:rsid w:val="29900BEF"/>
    <w:rsid w:val="299A2D41"/>
    <w:rsid w:val="29AF4935"/>
    <w:rsid w:val="29DE0525"/>
    <w:rsid w:val="2A105542"/>
    <w:rsid w:val="2A3716AB"/>
    <w:rsid w:val="2A7E5056"/>
    <w:rsid w:val="2A833F0F"/>
    <w:rsid w:val="2ADE2A02"/>
    <w:rsid w:val="2BBC39CE"/>
    <w:rsid w:val="2BD9617D"/>
    <w:rsid w:val="2C165FD1"/>
    <w:rsid w:val="2C427C83"/>
    <w:rsid w:val="2CCD11F0"/>
    <w:rsid w:val="2D0B14F3"/>
    <w:rsid w:val="2D110A51"/>
    <w:rsid w:val="2D281273"/>
    <w:rsid w:val="2DAC5DA3"/>
    <w:rsid w:val="2E0C0EE9"/>
    <w:rsid w:val="2EB35A8A"/>
    <w:rsid w:val="2EBE7F37"/>
    <w:rsid w:val="2F1B0E49"/>
    <w:rsid w:val="2F300935"/>
    <w:rsid w:val="2F5813F2"/>
    <w:rsid w:val="2F5C3B08"/>
    <w:rsid w:val="2FDC3431"/>
    <w:rsid w:val="2FF422B6"/>
    <w:rsid w:val="301F6C8C"/>
    <w:rsid w:val="30564A47"/>
    <w:rsid w:val="3072512F"/>
    <w:rsid w:val="30FD530B"/>
    <w:rsid w:val="3109732A"/>
    <w:rsid w:val="31B36F00"/>
    <w:rsid w:val="31B63096"/>
    <w:rsid w:val="322E3105"/>
    <w:rsid w:val="32854F89"/>
    <w:rsid w:val="32B71D27"/>
    <w:rsid w:val="32C748B9"/>
    <w:rsid w:val="32E0137F"/>
    <w:rsid w:val="330B4E2E"/>
    <w:rsid w:val="33145ED7"/>
    <w:rsid w:val="343D6BCA"/>
    <w:rsid w:val="34777EA9"/>
    <w:rsid w:val="347B6BC7"/>
    <w:rsid w:val="34AF7F00"/>
    <w:rsid w:val="35264EF8"/>
    <w:rsid w:val="357E5409"/>
    <w:rsid w:val="35B3556B"/>
    <w:rsid w:val="35F5325E"/>
    <w:rsid w:val="36251143"/>
    <w:rsid w:val="362E0676"/>
    <w:rsid w:val="36350561"/>
    <w:rsid w:val="36870375"/>
    <w:rsid w:val="36961CA4"/>
    <w:rsid w:val="36D01D61"/>
    <w:rsid w:val="36DA6BC5"/>
    <w:rsid w:val="370C757D"/>
    <w:rsid w:val="371E73E3"/>
    <w:rsid w:val="375E0130"/>
    <w:rsid w:val="37E81DE8"/>
    <w:rsid w:val="3848012E"/>
    <w:rsid w:val="3961721F"/>
    <w:rsid w:val="39902B51"/>
    <w:rsid w:val="39BC590A"/>
    <w:rsid w:val="39D8471E"/>
    <w:rsid w:val="3AE34220"/>
    <w:rsid w:val="3BB222F8"/>
    <w:rsid w:val="3C0F1769"/>
    <w:rsid w:val="3C2F0FC5"/>
    <w:rsid w:val="3D1C54C3"/>
    <w:rsid w:val="3D1E52E4"/>
    <w:rsid w:val="3D515A29"/>
    <w:rsid w:val="3D6C60E9"/>
    <w:rsid w:val="3D855C98"/>
    <w:rsid w:val="3D9A26D3"/>
    <w:rsid w:val="3DEB33A9"/>
    <w:rsid w:val="3E4B54AA"/>
    <w:rsid w:val="3EC949BD"/>
    <w:rsid w:val="3EE97DE1"/>
    <w:rsid w:val="3F48268A"/>
    <w:rsid w:val="3F983C5F"/>
    <w:rsid w:val="3FBF2339"/>
    <w:rsid w:val="3FC60306"/>
    <w:rsid w:val="3FFC1C67"/>
    <w:rsid w:val="400426B3"/>
    <w:rsid w:val="405979F4"/>
    <w:rsid w:val="40B26194"/>
    <w:rsid w:val="40BA2B58"/>
    <w:rsid w:val="41012D40"/>
    <w:rsid w:val="41260724"/>
    <w:rsid w:val="419D3258"/>
    <w:rsid w:val="41C73588"/>
    <w:rsid w:val="42050384"/>
    <w:rsid w:val="422E5764"/>
    <w:rsid w:val="42E96B02"/>
    <w:rsid w:val="43386A55"/>
    <w:rsid w:val="443F7550"/>
    <w:rsid w:val="44466D39"/>
    <w:rsid w:val="445407E5"/>
    <w:rsid w:val="44D44046"/>
    <w:rsid w:val="45065839"/>
    <w:rsid w:val="454A2BAB"/>
    <w:rsid w:val="456766E7"/>
    <w:rsid w:val="459A2719"/>
    <w:rsid w:val="45AE54E3"/>
    <w:rsid w:val="45D4644E"/>
    <w:rsid w:val="45ED32A5"/>
    <w:rsid w:val="461A4F2E"/>
    <w:rsid w:val="46643822"/>
    <w:rsid w:val="466C7B9B"/>
    <w:rsid w:val="4727135C"/>
    <w:rsid w:val="47737835"/>
    <w:rsid w:val="478438CC"/>
    <w:rsid w:val="47C42235"/>
    <w:rsid w:val="47D30B42"/>
    <w:rsid w:val="48391460"/>
    <w:rsid w:val="488C57CA"/>
    <w:rsid w:val="49004F61"/>
    <w:rsid w:val="49073B20"/>
    <w:rsid w:val="494210AF"/>
    <w:rsid w:val="49940535"/>
    <w:rsid w:val="49AD106E"/>
    <w:rsid w:val="4A30398B"/>
    <w:rsid w:val="4A4A7D68"/>
    <w:rsid w:val="4ADF1CFC"/>
    <w:rsid w:val="4AE037E4"/>
    <w:rsid w:val="4B1E1298"/>
    <w:rsid w:val="4B240BDE"/>
    <w:rsid w:val="4B2A5D69"/>
    <w:rsid w:val="4B315A79"/>
    <w:rsid w:val="4BF03C69"/>
    <w:rsid w:val="4C571AC7"/>
    <w:rsid w:val="4C653F54"/>
    <w:rsid w:val="4CDA15BF"/>
    <w:rsid w:val="4D0134F9"/>
    <w:rsid w:val="4D396096"/>
    <w:rsid w:val="4DB00142"/>
    <w:rsid w:val="4DC108F4"/>
    <w:rsid w:val="4DD83BC7"/>
    <w:rsid w:val="4E135FA8"/>
    <w:rsid w:val="4ED24E8A"/>
    <w:rsid w:val="4F374D1B"/>
    <w:rsid w:val="503A0EF6"/>
    <w:rsid w:val="50AB59C1"/>
    <w:rsid w:val="511416C5"/>
    <w:rsid w:val="51184C27"/>
    <w:rsid w:val="51521F59"/>
    <w:rsid w:val="51F9288A"/>
    <w:rsid w:val="520B5239"/>
    <w:rsid w:val="52546332"/>
    <w:rsid w:val="5312550A"/>
    <w:rsid w:val="537E0CD3"/>
    <w:rsid w:val="53A11B2C"/>
    <w:rsid w:val="53DE69BF"/>
    <w:rsid w:val="54C41417"/>
    <w:rsid w:val="54D723E8"/>
    <w:rsid w:val="54ED46BB"/>
    <w:rsid w:val="55911EF9"/>
    <w:rsid w:val="55C15CC7"/>
    <w:rsid w:val="56BE67A9"/>
    <w:rsid w:val="573568BB"/>
    <w:rsid w:val="57445109"/>
    <w:rsid w:val="57AE4059"/>
    <w:rsid w:val="57B51456"/>
    <w:rsid w:val="57BB7D3A"/>
    <w:rsid w:val="57C733D2"/>
    <w:rsid w:val="57C96345"/>
    <w:rsid w:val="58021F7A"/>
    <w:rsid w:val="582735C7"/>
    <w:rsid w:val="5842572D"/>
    <w:rsid w:val="587A6546"/>
    <w:rsid w:val="58A44110"/>
    <w:rsid w:val="58E972C7"/>
    <w:rsid w:val="5927169E"/>
    <w:rsid w:val="59395D0B"/>
    <w:rsid w:val="595448AF"/>
    <w:rsid w:val="59B24395"/>
    <w:rsid w:val="5A286A49"/>
    <w:rsid w:val="5A57708D"/>
    <w:rsid w:val="5B2B6B6E"/>
    <w:rsid w:val="5B2F358E"/>
    <w:rsid w:val="5BE40118"/>
    <w:rsid w:val="5C1D56F3"/>
    <w:rsid w:val="5C28702B"/>
    <w:rsid w:val="5C8C6A8B"/>
    <w:rsid w:val="5CCE20CE"/>
    <w:rsid w:val="5CD00CBD"/>
    <w:rsid w:val="5D090FC9"/>
    <w:rsid w:val="5D215D35"/>
    <w:rsid w:val="5D472C3A"/>
    <w:rsid w:val="5D5B3BC3"/>
    <w:rsid w:val="5D7F3641"/>
    <w:rsid w:val="5DE923B9"/>
    <w:rsid w:val="5EE43933"/>
    <w:rsid w:val="5F884FFD"/>
    <w:rsid w:val="5FA2526B"/>
    <w:rsid w:val="5FF61953"/>
    <w:rsid w:val="600E54F4"/>
    <w:rsid w:val="6012155C"/>
    <w:rsid w:val="6014152D"/>
    <w:rsid w:val="607B75C7"/>
    <w:rsid w:val="60D51A59"/>
    <w:rsid w:val="60E465DF"/>
    <w:rsid w:val="60E82224"/>
    <w:rsid w:val="61772146"/>
    <w:rsid w:val="61B17DFE"/>
    <w:rsid w:val="61E8124E"/>
    <w:rsid w:val="620463D6"/>
    <w:rsid w:val="62592E0F"/>
    <w:rsid w:val="62DB637F"/>
    <w:rsid w:val="63453140"/>
    <w:rsid w:val="63D57455"/>
    <w:rsid w:val="63EC6B7E"/>
    <w:rsid w:val="640B7333"/>
    <w:rsid w:val="6469117D"/>
    <w:rsid w:val="64AC5747"/>
    <w:rsid w:val="64EC6C5A"/>
    <w:rsid w:val="6517290F"/>
    <w:rsid w:val="6584207D"/>
    <w:rsid w:val="65B119A5"/>
    <w:rsid w:val="65B14162"/>
    <w:rsid w:val="65C9041E"/>
    <w:rsid w:val="65FB0593"/>
    <w:rsid w:val="66286770"/>
    <w:rsid w:val="670E76D1"/>
    <w:rsid w:val="67620161"/>
    <w:rsid w:val="679C3EC4"/>
    <w:rsid w:val="67D77C44"/>
    <w:rsid w:val="67F15F78"/>
    <w:rsid w:val="68F37625"/>
    <w:rsid w:val="69572814"/>
    <w:rsid w:val="6A0600C8"/>
    <w:rsid w:val="6A653AC8"/>
    <w:rsid w:val="6A741A7E"/>
    <w:rsid w:val="6A90444F"/>
    <w:rsid w:val="6A9C6540"/>
    <w:rsid w:val="6B2031BA"/>
    <w:rsid w:val="6B250C53"/>
    <w:rsid w:val="6B6721F6"/>
    <w:rsid w:val="6BD43E82"/>
    <w:rsid w:val="6C385BB0"/>
    <w:rsid w:val="6C555A3F"/>
    <w:rsid w:val="6CE35108"/>
    <w:rsid w:val="6D5F2A16"/>
    <w:rsid w:val="6DA325EB"/>
    <w:rsid w:val="6DF52F94"/>
    <w:rsid w:val="6E01770E"/>
    <w:rsid w:val="6ECA61E9"/>
    <w:rsid w:val="6F73769F"/>
    <w:rsid w:val="6F8037B0"/>
    <w:rsid w:val="70184EA3"/>
    <w:rsid w:val="70CB53E1"/>
    <w:rsid w:val="712745A5"/>
    <w:rsid w:val="713722FE"/>
    <w:rsid w:val="715C0DAD"/>
    <w:rsid w:val="71B01D04"/>
    <w:rsid w:val="722C0501"/>
    <w:rsid w:val="724D2459"/>
    <w:rsid w:val="7259341C"/>
    <w:rsid w:val="72624781"/>
    <w:rsid w:val="727D0697"/>
    <w:rsid w:val="72EA5C36"/>
    <w:rsid w:val="734521A8"/>
    <w:rsid w:val="73707E67"/>
    <w:rsid w:val="73970283"/>
    <w:rsid w:val="73E30F79"/>
    <w:rsid w:val="741F0C23"/>
    <w:rsid w:val="7458797A"/>
    <w:rsid w:val="74590A9F"/>
    <w:rsid w:val="74BC7F66"/>
    <w:rsid w:val="74DF0CAA"/>
    <w:rsid w:val="7500507A"/>
    <w:rsid w:val="750632F9"/>
    <w:rsid w:val="75686B98"/>
    <w:rsid w:val="76657C67"/>
    <w:rsid w:val="76A021B3"/>
    <w:rsid w:val="76AE12DA"/>
    <w:rsid w:val="76B664D7"/>
    <w:rsid w:val="76B83EF2"/>
    <w:rsid w:val="76EB2B73"/>
    <w:rsid w:val="77672662"/>
    <w:rsid w:val="777F1624"/>
    <w:rsid w:val="77D16924"/>
    <w:rsid w:val="780562F7"/>
    <w:rsid w:val="781253EF"/>
    <w:rsid w:val="78326601"/>
    <w:rsid w:val="784B3661"/>
    <w:rsid w:val="78D557D5"/>
    <w:rsid w:val="78F1506D"/>
    <w:rsid w:val="78FE0C78"/>
    <w:rsid w:val="79125F75"/>
    <w:rsid w:val="7A266F03"/>
    <w:rsid w:val="7A724D96"/>
    <w:rsid w:val="7A7B64EF"/>
    <w:rsid w:val="7ABA3AA8"/>
    <w:rsid w:val="7B3A50B0"/>
    <w:rsid w:val="7BAD6BCB"/>
    <w:rsid w:val="7BCA3B47"/>
    <w:rsid w:val="7C01614C"/>
    <w:rsid w:val="7C7B71BF"/>
    <w:rsid w:val="7CB06819"/>
    <w:rsid w:val="7D365449"/>
    <w:rsid w:val="7D793C28"/>
    <w:rsid w:val="7D795A89"/>
    <w:rsid w:val="7D8C0E93"/>
    <w:rsid w:val="7DAA0961"/>
    <w:rsid w:val="7E0E55E6"/>
    <w:rsid w:val="7E8F2203"/>
    <w:rsid w:val="7ECA7756"/>
    <w:rsid w:val="7F1274B0"/>
    <w:rsid w:val="7F6A54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iPriority="39" w:semiHidden="0" w:name="toc 1"/>
    <w:lsdException w:qFormat="1" w:uiPriority="39" w:semiHidden="0" w:name="toc 2"/>
    <w:lsdException w:qFormat="1" w:unhideWhenUsed="0" w:uiPriority="0" w:semiHidden="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qFormat="1" w:unhideWhenUsed="0" w:uiPriority="0" w:semiHidden="0" w:name="annotation text"/>
    <w:lsdException w:qFormat="1" w:unhideWhenUsed="0" w:uiPriority="0" w:semiHidden="0" w:name="header"/>
    <w:lsdException w:qFormat="1" w:uiPriority="99"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qFormat="1" w:unhideWhenUsed="0" w:uiPriority="0" w:semiHidden="0" w:name="annotation reference"/>
    <w:lsdException w:uiPriority="0" w:name="line number"/>
    <w:lsdException w:uiPriority="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1" w:semiHidden="0" w:name="Body Text"/>
    <w:lsdException w:uiPriority="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iPriority="99" w:semiHidden="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qFormat="1" w:unhideWhenUsed="0"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41"/>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link w:val="36"/>
    <w:autoRedefine/>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6">
    <w:name w:val="Default Paragraph Font"/>
    <w:autoRedefine/>
    <w:semiHidden/>
    <w:unhideWhenUsed/>
    <w:qFormat/>
    <w:uiPriority w:val="1"/>
  </w:style>
  <w:style w:type="table" w:default="1" w:styleId="14">
    <w:name w:val="Normal Table"/>
    <w:autoRedefine/>
    <w:semiHidden/>
    <w:unhideWhenUsed/>
    <w:qFormat/>
    <w:uiPriority w:val="99"/>
    <w:tblPr>
      <w:tblCellMar>
        <w:top w:w="0" w:type="dxa"/>
        <w:left w:w="108" w:type="dxa"/>
        <w:bottom w:w="0" w:type="dxa"/>
        <w:right w:w="108" w:type="dxa"/>
      </w:tblCellMar>
    </w:tblPr>
  </w:style>
  <w:style w:type="paragraph" w:styleId="5">
    <w:name w:val="annotation text"/>
    <w:basedOn w:val="1"/>
    <w:link w:val="37"/>
    <w:autoRedefine/>
    <w:qFormat/>
    <w:uiPriority w:val="0"/>
  </w:style>
  <w:style w:type="paragraph" w:styleId="6">
    <w:name w:val="Body Text"/>
    <w:basedOn w:val="1"/>
    <w:link w:val="38"/>
    <w:autoRedefine/>
    <w:qFormat/>
    <w:uiPriority w:val="1"/>
    <w:rPr>
      <w:sz w:val="18"/>
      <w:szCs w:val="18"/>
    </w:rPr>
  </w:style>
  <w:style w:type="paragraph" w:styleId="7">
    <w:name w:val="toc 3"/>
    <w:basedOn w:val="1"/>
    <w:next w:val="1"/>
    <w:autoRedefine/>
    <w:qFormat/>
    <w:uiPriority w:val="0"/>
    <w:pPr>
      <w:ind w:left="840" w:leftChars="400"/>
    </w:pPr>
  </w:style>
  <w:style w:type="paragraph" w:styleId="8">
    <w:name w:val="Balloon Text"/>
    <w:basedOn w:val="1"/>
    <w:link w:val="35"/>
    <w:autoRedefine/>
    <w:qFormat/>
    <w:uiPriority w:val="0"/>
    <w:rPr>
      <w:sz w:val="18"/>
      <w:szCs w:val="18"/>
    </w:rPr>
  </w:style>
  <w:style w:type="paragraph" w:styleId="9">
    <w:name w:val="footer"/>
    <w:basedOn w:val="1"/>
    <w:autoRedefine/>
    <w:unhideWhenUsed/>
    <w:qFormat/>
    <w:uiPriority w:val="99"/>
    <w:pPr>
      <w:tabs>
        <w:tab w:val="center" w:pos="4153"/>
        <w:tab w:val="right" w:pos="8306"/>
      </w:tabs>
      <w:snapToGrid w:val="0"/>
    </w:pPr>
    <w:rPr>
      <w:sz w:val="18"/>
      <w:szCs w:val="18"/>
    </w:rPr>
  </w:style>
  <w:style w:type="paragraph" w:styleId="10">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style>
  <w:style w:type="paragraph" w:styleId="12">
    <w:name w:val="toc 2"/>
    <w:basedOn w:val="1"/>
    <w:next w:val="1"/>
    <w:autoRedefine/>
    <w:unhideWhenUsed/>
    <w:qFormat/>
    <w:uiPriority w:val="39"/>
    <w:pPr>
      <w:ind w:left="420" w:leftChars="200"/>
    </w:pPr>
  </w:style>
  <w:style w:type="paragraph" w:styleId="13">
    <w:name w:val="Normal (Web)"/>
    <w:basedOn w:val="1"/>
    <w:autoRedefine/>
    <w:qFormat/>
    <w:uiPriority w:val="0"/>
    <w:rPr>
      <w:sz w:val="24"/>
    </w:rPr>
  </w:style>
  <w:style w:type="table" w:styleId="15">
    <w:name w:val="Table Grid"/>
    <w:basedOn w:val="14"/>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autoRedefine/>
    <w:qFormat/>
    <w:uiPriority w:val="0"/>
    <w:rPr>
      <w:b/>
    </w:rPr>
  </w:style>
  <w:style w:type="character" w:styleId="18">
    <w:name w:val="Hyperlink"/>
    <w:basedOn w:val="16"/>
    <w:autoRedefine/>
    <w:unhideWhenUsed/>
    <w:qFormat/>
    <w:uiPriority w:val="99"/>
    <w:rPr>
      <w:color w:val="0563C1" w:themeColor="hyperlink"/>
      <w:u w:val="single"/>
      <w14:textFill>
        <w14:solidFill>
          <w14:schemeClr w14:val="hlink"/>
        </w14:solidFill>
      </w14:textFill>
    </w:rPr>
  </w:style>
  <w:style w:type="character" w:styleId="19">
    <w:name w:val="annotation reference"/>
    <w:basedOn w:val="16"/>
    <w:autoRedefine/>
    <w:qFormat/>
    <w:uiPriority w:val="0"/>
    <w:rPr>
      <w:sz w:val="21"/>
      <w:szCs w:val="21"/>
    </w:rPr>
  </w:style>
  <w:style w:type="paragraph" w:customStyle="1" w:styleId="20">
    <w:name w:val="Table Paragraph"/>
    <w:basedOn w:val="1"/>
    <w:autoRedefine/>
    <w:qFormat/>
    <w:uiPriority w:val="0"/>
  </w:style>
  <w:style w:type="table" w:customStyle="1" w:styleId="21">
    <w:name w:val="Table Normal1"/>
    <w:autoRedefine/>
    <w:unhideWhenUsed/>
    <w:qFormat/>
    <w:uiPriority w:val="2"/>
    <w:tblPr>
      <w:tblCellMar>
        <w:top w:w="0" w:type="dxa"/>
        <w:left w:w="0" w:type="dxa"/>
        <w:bottom w:w="0" w:type="dxa"/>
        <w:right w:w="0" w:type="dxa"/>
      </w:tblCellMar>
    </w:tblPr>
  </w:style>
  <w:style w:type="paragraph" w:customStyle="1" w:styleId="22">
    <w:name w:val="List Paragraph1"/>
    <w:basedOn w:val="1"/>
    <w:autoRedefine/>
    <w:qFormat/>
    <w:uiPriority w:val="34"/>
    <w:rPr>
      <w:rFonts w:asciiTheme="minorHAnsi" w:hAnsiTheme="minorHAnsi" w:eastAsiaTheme="minorEastAsia" w:cstheme="minorBidi"/>
    </w:rPr>
  </w:style>
  <w:style w:type="paragraph" w:customStyle="1" w:styleId="23">
    <w:name w:val="标题1-1"/>
    <w:basedOn w:val="2"/>
    <w:next w:val="1"/>
    <w:autoRedefine/>
    <w:qFormat/>
    <w:uiPriority w:val="1"/>
    <w:pPr>
      <w:numPr>
        <w:numId w:val="3"/>
      </w:numPr>
    </w:pPr>
    <w:rPr>
      <w:rFonts w:cs="Times New Roman"/>
      <w:bCs w:val="0"/>
      <w:color w:val="45A3A7"/>
    </w:rPr>
  </w:style>
  <w:style w:type="paragraph" w:customStyle="1" w:styleId="24">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5">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6">
    <w:name w:val="标题1-3"/>
    <w:basedOn w:val="2"/>
    <w:next w:val="1"/>
    <w:autoRedefine/>
    <w:qFormat/>
    <w:uiPriority w:val="1"/>
    <w:pPr>
      <w:numPr>
        <w:numId w:val="5"/>
      </w:numPr>
    </w:pPr>
    <w:rPr>
      <w:rFonts w:cs="Times New Roman"/>
      <w:color w:val="416AAB"/>
      <w:szCs w:val="32"/>
    </w:rPr>
  </w:style>
  <w:style w:type="paragraph" w:customStyle="1" w:styleId="27">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28">
    <w:name w:val="WPSOffice手动目录 1"/>
    <w:autoRedefine/>
    <w:qFormat/>
    <w:uiPriority w:val="0"/>
    <w:rPr>
      <w:rFonts w:asciiTheme="minorHAnsi" w:hAnsiTheme="minorHAnsi" w:eastAsiaTheme="minorHAnsi" w:cstheme="minorBidi"/>
      <w:lang w:val="en-US" w:eastAsia="zh-CN" w:bidi="ar-SA"/>
    </w:rPr>
  </w:style>
  <w:style w:type="paragraph" w:customStyle="1" w:styleId="29">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0">
    <w:name w:val="列出段落1"/>
    <w:basedOn w:val="1"/>
    <w:autoRedefine/>
    <w:unhideWhenUsed/>
    <w:qFormat/>
    <w:uiPriority w:val="34"/>
    <w:pPr>
      <w:spacing w:before="42"/>
      <w:ind w:left="1699" w:hanging="380"/>
    </w:pPr>
    <w:rPr>
      <w:sz w:val="24"/>
    </w:rPr>
  </w:style>
  <w:style w:type="table" w:customStyle="1" w:styleId="31">
    <w:name w:val="ffzstable0"/>
    <w:basedOn w:val="15"/>
    <w:autoRedefine/>
    <w:qFormat/>
    <w:uiPriority w:val="0"/>
    <w:pPr>
      <w:jc w:val="center"/>
    </w:pPr>
    <w:tcPr>
      <w:tcBorders>
        <w:top w:val="single" w:color="auto" w:sz="4" w:space="0"/>
        <w:left w:val="single" w:color="auto" w:sz="4" w:space="0"/>
        <w:bottom w:val="single" w:color="auto" w:sz="4" w:space="0"/>
        <w:right w:val="single" w:color="auto" w:sz="4" w:space="0"/>
      </w:tcBorders>
      <w:vAlign w:val="center"/>
    </w:tcPr>
  </w:style>
  <w:style w:type="table" w:customStyle="1" w:styleId="32">
    <w:name w:val="ffzstable1"/>
    <w:basedOn w:val="15"/>
    <w:autoRedefine/>
    <w:qFormat/>
    <w:uiPriority w:val="0"/>
    <w:pPr>
      <w:jc w:val="center"/>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styleId="33">
    <w:name w:val="List Paragraph"/>
    <w:basedOn w:val="1"/>
    <w:autoRedefine/>
    <w:qFormat/>
    <w:uiPriority w:val="99"/>
    <w:pPr>
      <w:ind w:firstLine="420" w:firstLineChars="200"/>
    </w:pPr>
  </w:style>
  <w:style w:type="table" w:customStyle="1" w:styleId="34">
    <w:name w:val="Table Normal"/>
    <w:autoRedefine/>
    <w:qFormat/>
    <w:uiPriority w:val="0"/>
    <w:tblPr>
      <w:tblCellMar>
        <w:top w:w="0" w:type="dxa"/>
        <w:left w:w="0" w:type="dxa"/>
        <w:bottom w:w="0" w:type="dxa"/>
        <w:right w:w="0" w:type="dxa"/>
      </w:tblCellMar>
    </w:tblPr>
  </w:style>
  <w:style w:type="character" w:customStyle="1" w:styleId="35">
    <w:name w:val="批注框文本 字符"/>
    <w:basedOn w:val="16"/>
    <w:link w:val="8"/>
    <w:autoRedefine/>
    <w:qFormat/>
    <w:uiPriority w:val="0"/>
    <w:rPr>
      <w:rFonts w:ascii="宋体" w:hAnsi="宋体" w:cs="宋体"/>
      <w:sz w:val="18"/>
      <w:szCs w:val="18"/>
      <w:lang w:eastAsia="en-US"/>
    </w:rPr>
  </w:style>
  <w:style w:type="character" w:customStyle="1" w:styleId="36">
    <w:name w:val="标题 2 字符"/>
    <w:basedOn w:val="16"/>
    <w:link w:val="3"/>
    <w:autoRedefine/>
    <w:qFormat/>
    <w:uiPriority w:val="1"/>
    <w:rPr>
      <w:rFonts w:eastAsia="微软雅黑" w:cs="黑体"/>
      <w:b/>
      <w:bCs/>
      <w:color w:val="00B050"/>
      <w:sz w:val="24"/>
      <w:szCs w:val="30"/>
      <w:lang w:eastAsia="en-US"/>
    </w:rPr>
  </w:style>
  <w:style w:type="character" w:customStyle="1" w:styleId="37">
    <w:name w:val="批注文字 字符"/>
    <w:basedOn w:val="16"/>
    <w:link w:val="5"/>
    <w:autoRedefine/>
    <w:qFormat/>
    <w:uiPriority w:val="0"/>
    <w:rPr>
      <w:rFonts w:ascii="宋体" w:hAnsi="宋体" w:cs="宋体"/>
      <w:sz w:val="22"/>
      <w:szCs w:val="22"/>
      <w:lang w:eastAsia="en-US"/>
    </w:rPr>
  </w:style>
  <w:style w:type="character" w:customStyle="1" w:styleId="38">
    <w:name w:val="正文文本 字符"/>
    <w:basedOn w:val="16"/>
    <w:link w:val="6"/>
    <w:autoRedefine/>
    <w:qFormat/>
    <w:uiPriority w:val="1"/>
    <w:rPr>
      <w:rFonts w:ascii="宋体" w:hAnsi="宋体" w:cs="宋体"/>
      <w:sz w:val="18"/>
      <w:szCs w:val="18"/>
      <w:lang w:eastAsia="en-US"/>
    </w:rPr>
  </w:style>
  <w:style w:type="paragraph" w:customStyle="1" w:styleId="39">
    <w:name w:val="列表段落2"/>
    <w:basedOn w:val="1"/>
    <w:autoRedefine/>
    <w:qFormat/>
    <w:uiPriority w:val="0"/>
    <w:pPr>
      <w:ind w:firstLine="420" w:firstLineChars="200"/>
    </w:pPr>
    <w:rPr>
      <w:rFonts w:ascii="Calibri" w:hAnsi="Calibri" w:cs="Times New Roman"/>
    </w:rPr>
  </w:style>
  <w:style w:type="paragraph" w:customStyle="1" w:styleId="40">
    <w:name w:val="正文1"/>
    <w:autoRedefine/>
    <w:qFormat/>
    <w:uiPriority w:val="0"/>
    <w:rPr>
      <w:rFonts w:ascii="Times New Roman" w:hAnsi="Times New Roman" w:eastAsia="宋体" w:cs="Times New Roman"/>
      <w:sz w:val="24"/>
      <w:szCs w:val="24"/>
      <w:lang w:val="en-US" w:eastAsia="zh-CN" w:bidi="ar-SA"/>
    </w:rPr>
  </w:style>
  <w:style w:type="character" w:customStyle="1" w:styleId="41">
    <w:name w:val="标题 1 字符"/>
    <w:link w:val="2"/>
    <w:autoRedefine/>
    <w:qFormat/>
    <w:uiPriority w:val="1"/>
    <w:rPr>
      <w:rFonts w:ascii="Times New Roman" w:hAnsi="Times New Roman" w:eastAsia="微软雅黑" w:cs="黑体"/>
      <w:b/>
      <w:bCs/>
      <w:color w:val="00B050"/>
      <w:sz w:val="28"/>
      <w:szCs w:val="36"/>
      <w:lang w:eastAsia="zh-CN"/>
    </w:rPr>
  </w:style>
  <w:style w:type="paragraph" w:customStyle="1" w:styleId="42">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43">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4">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header" Target="header4.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3.png"/><Relationship Id="rId10" Type="http://schemas.openxmlformats.org/officeDocument/2006/relationships/theme" Target="theme/theme1.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3" Type="http://schemas.openxmlformats.org/officeDocument/2006/relationships/image" Target="media/image6.jpeg"/><Relationship Id="rId2" Type="http://schemas.openxmlformats.org/officeDocument/2006/relationships/image" Target="media/image5.jpeg"/><Relationship Id="rId1" Type="http://schemas.openxmlformats.org/officeDocument/2006/relationships/image" Target="media/image4.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23</Pages>
  <Words>1312</Words>
  <Characters>3511</Characters>
  <Lines>195</Lines>
  <Paragraphs>54</Paragraphs>
  <TotalTime>0</TotalTime>
  <ScaleCrop>false</ScaleCrop>
  <LinksUpToDate>false</LinksUpToDate>
  <CharactersWithSpaces>3798</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2020-06-30T08:37:00Z</dcterms:created>
  <dc:creator>86131</dc:creator>
  <cp:lastModifiedBy>tassles-L</cp:lastModifiedBy>
  <dcterms:modified xsi:type="dcterms:W3CDTF">2026-05-29T03:08:25Z</dcterms:modified>
  <cp:revision>130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CCD5FEFFE7D2476A849AA27515B512D6_13</vt:lpwstr>
  </property>
  <property fmtid="{D5CDD505-2E9C-101B-9397-08002B2CF9AE}" pid="4" name="KSOTemplateDocerSaveRecord">
    <vt:lpwstr>eyJoZGlkIjoiY2Y2NjU5MGIzZGFmM2M5NTIxMmI2NjdmNGQ0NDdjMDUiLCJ1c2VySWQiOiI2MjE3NDUxNTQifQ==</vt:lpwstr>
  </property>
</Properties>
</file>