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4683125</wp:posOffset>
            </wp:positionH>
            <wp:positionV relativeFrom="paragraph">
              <wp:posOffset>-107950</wp:posOffset>
            </wp:positionV>
            <wp:extent cx="1369060" cy="389255"/>
            <wp:effectExtent l="0" t="0" r="2540" b="6985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4178_WPSOffice_Level1"/>
      <w:bookmarkStart w:id="1" w:name="_Toc21009_WPSOffice_Level1"/>
      <w:bookmarkStart w:id="2" w:name="_Toc13806"/>
      <w:bookmarkStart w:id="3" w:name="_Toc21669"/>
      <w:bookmarkStart w:id="4" w:name="_Toc30143_WPSOffice_Level1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47D8FA6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799F6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2C2AD3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EB22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E6BDE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D073F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</w:p>
        </w:tc>
      </w:tr>
      <w:tr w14:paraId="454685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77D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A21EB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1303F2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62CFB6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03E4A17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D2632C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715E6A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738D943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29727B3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5B6C3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0F62D5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</w:tbl>
    <w:p w14:paraId="3D0523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9085"/>
      <w:bookmarkStart w:id="7" w:name="_Toc17451"/>
      <w:bookmarkStart w:id="8" w:name="_Toc18062_WPSOffice_Level1"/>
      <w:bookmarkStart w:id="9" w:name="_Toc11015_WPSOffice_Level1"/>
      <w:bookmarkStart w:id="10" w:name="_Toc7021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23369_WPSOffice_Level1"/>
      <w:bookmarkStart w:id="13" w:name="_Toc18058"/>
      <w:bookmarkStart w:id="14" w:name="_Toc6221_WPSOffice_Level1"/>
      <w:bookmarkStart w:id="15" w:name="_Toc25920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49837254"/>
      <w:bookmarkStart w:id="19" w:name="_Toc1962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B3ACD5A">
      <w:pPr>
        <w:rPr>
          <w:lang w:eastAsia="zh-CN"/>
        </w:rPr>
      </w:pPr>
    </w:p>
    <w:p w14:paraId="1314EC9A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3210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61E5EE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CFF30B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1C8D414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5B11BE1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</w:p>
        </w:tc>
      </w:tr>
      <w:tr w14:paraId="51FC09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914C04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97DD00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A52795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0D99B5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73ECBC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F36AC50">
      <w:pPr>
        <w:rPr>
          <w:rFonts w:hint="default"/>
          <w:sz w:val="24"/>
          <w:lang w:val="en-US" w:eastAsia="zh-CN"/>
        </w:rPr>
      </w:pPr>
    </w:p>
    <w:p w14:paraId="78C6EBE2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FD10DB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254FAC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039A24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74ED1A0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095C7E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</w:p>
        </w:tc>
      </w:tr>
      <w:tr w14:paraId="41D21D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3AA952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A10F38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576A00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B96684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8496"/>
      <w:bookmarkStart w:id="21" w:name="_Toc19898_WPSOffice_Level1"/>
      <w:bookmarkStart w:id="22" w:name="_Toc22132"/>
      <w:bookmarkStart w:id="23" w:name="_Toc20136_WPSOffice_Level1"/>
      <w:bookmarkStart w:id="24" w:name="_Toc2781"/>
      <w:bookmarkStart w:id="25" w:name="_Toc31696"/>
      <w:bookmarkStart w:id="26" w:name="_Toc25727"/>
      <w:bookmarkStart w:id="27" w:name="_Toc4331_WPSOffice_Level1"/>
      <w:bookmarkStart w:id="28" w:name="_Toc23903"/>
      <w:bookmarkStart w:id="29" w:name="_Toc23846_WPSOffice_Level1"/>
      <w:bookmarkStart w:id="30" w:name="_Toc32443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8159"/>
      <w:bookmarkStart w:id="32" w:name="_Toc4979"/>
      <w:bookmarkStart w:id="33" w:name="_Toc1498372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检测基因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检测基因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20034"/>
      <w:bookmarkStart w:id="35" w:name="_Toc29769"/>
      <w:bookmarkStart w:id="36" w:name="_Toc106719764"/>
      <w:bookmarkStart w:id="37" w:name="_Toc10223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6931_WPSOffice_Level3"/>
      <w:bookmarkStart w:id="40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30134"/>
      <w:bookmarkStart w:id="42" w:name="_Toc1566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149837265"/>
      <w:bookmarkStart w:id="45" w:name="_Toc5547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8240"/>
      <w:bookmarkStart w:id="47" w:name="_Toc21764_WPSOffice_Level1"/>
      <w:bookmarkStart w:id="48" w:name="_Toc27302"/>
      <w:bookmarkStart w:id="49" w:name="_Toc13196_WPSOffice_Level1"/>
      <w:bookmarkStart w:id="50" w:name="_Toc1707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24085_WPSOffice_Level1"/>
      <w:bookmarkStart w:id="53" w:name="_Toc3767"/>
      <w:bookmarkStart w:id="54" w:name="_Toc15840_WPSOffice_Level1"/>
      <w:bookmarkStart w:id="55" w:name="_Toc9066"/>
      <w:bookmarkStart w:id="56" w:name="_Toc14255_WPSOffice_Level1"/>
      <w:bookmarkStart w:id="57" w:name="_Toc3674"/>
      <w:bookmarkStart w:id="58" w:name="_Hlk33190413"/>
      <w:bookmarkStart w:id="59" w:name="_Toc18699"/>
      <w:bookmarkStart w:id="60" w:name="_Toc28810_WPSOffice_Level1"/>
      <w:bookmarkStart w:id="61" w:name="_Toc11193_WPSOffice_Level1"/>
      <w:bookmarkStart w:id="62" w:name="_Toc11896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bookmarkStart w:id="84" w:name="_GoBack"/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  <w:bookmarkEnd w:id="84"/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67EEED51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肿瘤细胞含量：送检样本经HE染色评估的肿瘤细胞含量。如送检样本不满足病理评估所需条件，则不进行此项评估。{% if summaryOfRresults.type == “blood” %}血浆cfDNA样本不做此项评估。{% endif %}</w:t>
      </w:r>
    </w:p>
    <w:p w14:paraId="0AB5C5BE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DNA总量：送检样本的DNA提取总量。</w:t>
      </w:r>
    </w:p>
    <w:p w14:paraId="3674D51C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04B3F936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预文库总量：核酸片段经过接头连接和扩增纯化后中间产物的总量。</w:t>
      </w:r>
    </w:p>
    <w:p w14:paraId="05E974CF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平均测序深度：目标区域每个碱基被测到的平均次数。</w:t>
      </w:r>
    </w:p>
    <w:p w14:paraId="5E831D9F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覆盖均一性：测序深度达到平均测序深度20%的碱基占比。</w:t>
      </w:r>
    </w:p>
    <w:p w14:paraId="6B23B425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基因组比对率：比对到参考基因组上的reads数目占比。</w:t>
      </w:r>
    </w:p>
    <w:p w14:paraId="6EDBA599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碱基质量Q30占比：测序数据中碱基质量在Q30以上（即碱基识别错误率在千分之一以下）的占比。</w:t>
      </w:r>
    </w:p>
    <w:p w14:paraId="75EAAF5F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总体质量评估：根据 DNA 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26220"/>
      <w:bookmarkStart w:id="66" w:name="_Toc7697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0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3846"/>
      <w:bookmarkStart w:id="68" w:name="_Toc5400"/>
      <w:bookmarkStart w:id="69" w:name="_Toc30922"/>
      <w:bookmarkStart w:id="70" w:name="_Toc32060"/>
      <w:bookmarkStart w:id="71" w:name="_Toc23769"/>
      <w:bookmarkStart w:id="72" w:name="_Toc8993"/>
      <w:bookmarkStart w:id="73" w:name="_Toc17547"/>
      <w:bookmarkStart w:id="74" w:name="_Toc907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30105"/>
      <w:bookmarkStart w:id="76" w:name="_Toc22915"/>
      <w:bookmarkStart w:id="77" w:name="_Toc10299"/>
      <w:bookmarkStart w:id="78" w:name="_Toc24939"/>
      <w:bookmarkStart w:id="79" w:name="_Toc126"/>
      <w:bookmarkStart w:id="80" w:name="_Toc15385"/>
      <w:bookmarkStart w:id="81" w:name="_Toc3389"/>
      <w:bookmarkStart w:id="82" w:name="_Toc22196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81A48C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/>
          <w:color w:val="0070C0"/>
          <w:sz w:val="30"/>
          <w:lang w:val="en-US" w:eastAsia="zh-CN"/>
        </w:rPr>
      </w:pPr>
      <w:bookmarkStart w:id="83" w:name="_Toc20962"/>
      <w:r>
        <w:rPr>
          <w:rFonts w:hint="default"/>
          <w:color w:val="0070C0"/>
          <w:sz w:val="30"/>
          <w:lang w:val="en-US" w:eastAsia="zh-CN"/>
        </w:rPr>
        <w:t>检测方法与局限性</w:t>
      </w:r>
      <w:bookmarkEnd w:id="83"/>
    </w:p>
    <w:p w14:paraId="791CA28B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E23BF11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AD557E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FB50A68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广州诺禾医学检验实验室</w:t>
      </w:r>
    </w:p>
    <w:p w14:paraId="2579469A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广州市黄埔区开源大道11号C6栋702室</w:t>
      </w:r>
    </w:p>
    <w:p w14:paraId="46C1BFB3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上海诺禾医学检验实验室</w:t>
      </w:r>
    </w:p>
    <w:p w14:paraId="58AE7D04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上海市闵行区绿洲环路396弄9号201室</w:t>
      </w:r>
    </w:p>
    <w:p w14:paraId="1DD35AFE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天津诺禾医学检验实验室</w:t>
      </w:r>
    </w:p>
    <w:p w14:paraId="76172A0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天津市武清区创业总部基地B07</w:t>
      </w:r>
    </w:p>
    <w:p w14:paraId="45D77BD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3EF7F29">
      <w:pPr>
        <w:rPr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90F1DA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</w:trPr>
        <w:tc>
          <w:tcPr>
            <w:tcW w:w="1272" w:type="dxa"/>
            <w:vAlign w:val="center"/>
          </w:tcPr>
          <w:p w14:paraId="08006C5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1A36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0718013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C1384A9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24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-426720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342AD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6A9C049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83F6F2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4AE04FD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5FD2A8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5A9790D">
      <w:pPr>
        <w:rPr>
          <w:rFonts w:hint="default"/>
          <w:sz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7B28B9">
      <w:pPr>
        <w:rPr>
          <w:sz w:val="24"/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-283845</wp:posOffset>
                  </wp:positionH>
                  <wp:positionV relativeFrom="paragraph">
                    <wp:posOffset>-415290</wp:posOffset>
                  </wp:positionV>
                  <wp:extent cx="1443355" cy="1443355"/>
                  <wp:effectExtent l="0" t="0" r="4445" b="4445"/>
                  <wp:wrapNone/>
                  <wp:docPr id="2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E780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D517D8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15EEF7AB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65D9010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2C588574">
      <w:pPr>
        <w:widowControl/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  <w:t>诺禾医学   诺禾在线</w:t>
      </w:r>
    </w:p>
    <w:p w14:paraId="5DEC0D88">
      <w:pPr>
        <w:widowControl/>
        <w:rPr>
          <w:rFonts w:ascii="Times New Roman" w:hAnsi="Times New Roman" w:eastAsia="等线" w:cs="宋体"/>
          <w:color w:val="0070C0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0070C0"/>
          <w:sz w:val="28"/>
          <w:szCs w:val="28"/>
          <w:lang w:val="en-US" w:eastAsia="en-US" w:bidi="ar-SA"/>
        </w:rPr>
        <w:t>www.novogene.com</w:t>
      </w:r>
    </w:p>
    <w:p w14:paraId="0CB0F833">
      <w:pPr>
        <w:widowControl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4F78A9C6">
      <w:pPr>
        <w:rPr>
          <w:lang w:eastAsia="zh-CN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  <w:r>
        <w:rPr>
          <w:lang w:eastAsia="zh-CN"/>
        </w:rPr>
        <w:br w:type="page"/>
      </w:r>
    </w:p>
    <w:p w14:paraId="2191C4C1">
      <w:pPr>
        <w:rPr>
          <w:lang w:eastAsia="zh-CN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-725805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8DC9">
      <w:pPr>
        <w:rPr>
          <w:rFonts w:ascii="Times New Roman" w:hAnsi="Times New Roman" w:eastAsia="等线"/>
          <w:sz w:val="22"/>
          <w:highlight w:val="none"/>
        </w:rPr>
      </w:pP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abstractNum w:abstractNumId="9">
    <w:nsid w:val="70C53F05"/>
    <w:multiLevelType w:val="multilevel"/>
    <w:tmpl w:val="70C53F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0A2A42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A00C3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84B34"/>
    <w:rsid w:val="1D3A1AFC"/>
    <w:rsid w:val="1DAB1CCD"/>
    <w:rsid w:val="1DAE6F6E"/>
    <w:rsid w:val="1DE03A12"/>
    <w:rsid w:val="1E517E32"/>
    <w:rsid w:val="1EAB0C6A"/>
    <w:rsid w:val="1EDC7BC1"/>
    <w:rsid w:val="1EE114F6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506741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1A6A10"/>
    <w:rsid w:val="343D6BCA"/>
    <w:rsid w:val="34777EA9"/>
    <w:rsid w:val="34DB140D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4C7328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2FB4C31"/>
    <w:rsid w:val="5312550A"/>
    <w:rsid w:val="537E0CD3"/>
    <w:rsid w:val="53A11B2C"/>
    <w:rsid w:val="53DE69BF"/>
    <w:rsid w:val="548D30A6"/>
    <w:rsid w:val="54D723E8"/>
    <w:rsid w:val="55220A8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0A544C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EDA1DC4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12130A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2455</Words>
  <Characters>6522</Characters>
  <Lines>131</Lines>
  <Paragraphs>37</Paragraphs>
  <TotalTime>0</TotalTime>
  <ScaleCrop>false</ScaleCrop>
  <LinksUpToDate>false</LinksUpToDate>
  <CharactersWithSpaces>7177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2026-05-27T09:26:43Z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