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4716FB1A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EED942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21009_WPSOffice_Level1"/>
      <w:bookmarkStart w:id="1" w:name="_Toc30143_WPSOffice_Level1"/>
      <w:bookmarkStart w:id="2" w:name="_Toc24178_WPSOffice_Level1"/>
      <w:bookmarkStart w:id="3" w:name="_Toc13806"/>
      <w:bookmarkStart w:id="4" w:name="_Toc21669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7451"/>
      <w:bookmarkStart w:id="7" w:name="_Toc17542"/>
      <w:bookmarkStart w:id="8" w:name="_Toc7021_WPSOffice_Level1"/>
      <w:bookmarkStart w:id="9" w:name="_Toc18062_WPSOffice_Level1"/>
      <w:bookmarkStart w:id="10" w:name="_Toc11015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3369_WPSOffice_Level1"/>
      <w:bookmarkStart w:id="13" w:name="_Toc6221_WPSOffice_Level1"/>
      <w:bookmarkStart w:id="14" w:name="_Toc18058"/>
      <w:bookmarkStart w:id="15" w:name="_Toc25920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1C6ED27">
      <w:pPr>
        <w:numPr>
          <w:ilvl w:val="0"/>
          <w:numId w:val="6"/>
        </w:numPr>
        <w:ind w:left="425" w:leftChars="0" w:hanging="425" w:firstLineChars="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6336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6438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8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4EC29C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2781"/>
      <w:bookmarkStart w:id="21" w:name="_Toc31696"/>
      <w:bookmarkStart w:id="22" w:name="_Toc20136_WPSOffice_Level1"/>
      <w:bookmarkStart w:id="23" w:name="_Toc32184"/>
      <w:bookmarkStart w:id="24" w:name="_Toc22132"/>
      <w:bookmarkStart w:id="25" w:name="_Toc19898_WPSOffice_Level1"/>
      <w:bookmarkStart w:id="26" w:name="_Toc23846_WPSOffice_Level1"/>
      <w:bookmarkStart w:id="27" w:name="_Toc4331_WPSOffice_Level1"/>
      <w:bookmarkStart w:id="28" w:name="_Toc32443_WPSOffice_Level1"/>
      <w:bookmarkStart w:id="29" w:name="_Toc25727"/>
      <w:bookmarkStart w:id="30" w:name="_Toc23903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1C052CB9">
      <w:pPr>
        <w:pStyle w:val="3"/>
        <w:numPr>
          <w:ilvl w:val="255"/>
          <w:numId w:val="0"/>
        </w:numPr>
        <w:jc w:val="left"/>
      </w:pPr>
      <w:bookmarkStart w:id="31" w:name="_Toc149837259"/>
      <w:bookmarkStart w:id="32" w:name="_Toc4979"/>
      <w:bookmarkStart w:id="33" w:name="_Toc1802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20034"/>
      <w:bookmarkStart w:id="35" w:name="_Toc106719764"/>
      <w:bookmarkStart w:id="36" w:name="_Toc10223"/>
      <w:bookmarkStart w:id="37" w:name="_Toc302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6931_WPSOffice_Level3"/>
      <w:bookmarkStart w:id="39" w:name="_Toc26395"/>
      <w:bookmarkStart w:id="40" w:name="_Toc15289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566"/>
      <w:bookmarkStart w:id="42" w:name="_Toc1126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5547"/>
      <w:bookmarkStart w:id="45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 w14:paraId="23A79902">
      <w:pPr>
        <w:bidi w:val="0"/>
        <w:rPr>
          <w:rFonts w:hint="eastAsia"/>
        </w:rPr>
      </w:pPr>
      <w:bookmarkStart w:id="46" w:name="_Toc27302"/>
      <w:bookmarkStart w:id="47" w:name="_Toc13196_WPSOffice_Level1"/>
      <w:bookmarkStart w:id="48" w:name="_Toc21764_WPSOffice_Level1"/>
      <w:bookmarkStart w:id="49" w:name="_Toc28240"/>
      <w:bookmarkStart w:id="50" w:name="_Toc1707_WPSOffice_Level1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4476"/>
      <w:bookmarkStart w:id="53" w:name="_Toc15840_WPSOffice_Level1"/>
      <w:bookmarkStart w:id="54" w:name="_Toc9066"/>
      <w:bookmarkStart w:id="55" w:name="_Toc14255_WPSOffice_Level1"/>
      <w:bookmarkStart w:id="56" w:name="_Toc24085_WPSOffice_Level1"/>
      <w:bookmarkStart w:id="57" w:name="_Toc3674"/>
      <w:bookmarkStart w:id="58" w:name="_Hlk33190413"/>
      <w:bookmarkStart w:id="59" w:name="_Toc18699"/>
      <w:bookmarkStart w:id="60" w:name="_Toc11896_WPSOffice_Level1"/>
      <w:bookmarkStart w:id="61" w:name="_Toc11193_WPSOffice_Level1"/>
      <w:bookmarkStart w:id="62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0ED08F51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肿瘤细胞含量：送检样本经HE染色评估的肿瘤细胞含量。如送检样本不满足病理评估所需条件，则不进行此项评估。{% if summaryOfRresults.type == “blood” %}血浆cfDNA样本不做此项评估。{% endif %}</w:t>
      </w:r>
    </w:p>
    <w:p w14:paraId="6E29A911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DNA总量：送检样本的DNA提取总量。</w:t>
      </w:r>
    </w:p>
    <w:p w14:paraId="277536BF">
      <w:pPr>
        <w:numPr>
          <w:ilvl w:val="0"/>
          <w:numId w:val="8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DNA降解程度：1-2级别样本质量较好，3级不能满足检测要求{% if summaryOfRresults.type == “blood” %}；cfDNA样本不适用于此项评估{% endif %}。</w:t>
      </w:r>
    </w:p>
    <w:p w14:paraId="37D05719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预文库总量：核酸片段经过接头连接和扩增纯化后中间产物的总量。</w:t>
      </w:r>
    </w:p>
    <w:p w14:paraId="66F2B3FA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平均测序深度：目标区域每个碱基被测到的平均次数。</w:t>
      </w:r>
    </w:p>
    <w:p w14:paraId="72036DF7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覆盖均一性：测序深度达到平均测序深度20%的碱基占比。</w:t>
      </w:r>
    </w:p>
    <w:p w14:paraId="2582B610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基因组比对率：比对到参考基因组上的reads数目占比。</w:t>
      </w:r>
    </w:p>
    <w:p w14:paraId="31AE7D6D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碱基质量Q30占比：测序数据中碱基质量在Q30以上（即碱基识别错误率在千分之一以下）的占比。</w:t>
      </w:r>
    </w:p>
    <w:p w14:paraId="4EBEB61F">
      <w:pPr>
        <w:numPr>
          <w:ilvl w:val="0"/>
          <w:numId w:val="8"/>
        </w:numPr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总体质量评估：根据 DNA 平均测序深度进行评估，分为“合格”、“警戒“、”不合格”三个等级。总体质量评估为“警戒“或者“不合格”时，均会影响检测的准确性和敏感性。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bookmarkStart w:id="95" w:name="_GoBack"/>
      <w:bookmarkEnd w:id="95"/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9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5846"/>
      <w:bookmarkStart w:id="66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0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30922"/>
      <w:bookmarkStart w:id="68" w:name="_Toc32060"/>
      <w:bookmarkStart w:id="69" w:name="_Toc3846"/>
      <w:bookmarkStart w:id="70" w:name="_Toc9076"/>
      <w:bookmarkStart w:id="71" w:name="_Toc5400"/>
      <w:bookmarkStart w:id="72" w:name="_Toc8993"/>
      <w:bookmarkStart w:id="73" w:name="_Toc17547"/>
      <w:bookmarkStart w:id="74" w:name="_Toc23769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10299"/>
      <w:bookmarkStart w:id="76" w:name="_Toc126"/>
      <w:bookmarkStart w:id="77" w:name="_Toc3389"/>
      <w:bookmarkStart w:id="78" w:name="_Toc15385"/>
      <w:bookmarkStart w:id="79" w:name="_Toc22915"/>
      <w:bookmarkStart w:id="80" w:name="_Toc30105"/>
      <w:bookmarkStart w:id="81" w:name="_Toc22196"/>
      <w:bookmarkStart w:id="82" w:name="_Toc24939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21441"/>
      <w:bookmarkStart w:id="84" w:name="_Toc15114"/>
      <w:bookmarkStart w:id="85" w:name="_Toc3409"/>
      <w:bookmarkStart w:id="86" w:name="_Toc20170_WPSOffice_Level1"/>
      <w:bookmarkStart w:id="87" w:name="_Toc28454_WPSOffice_Level1"/>
      <w:bookmarkStart w:id="88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19584_WPSOffice_Level1"/>
      <w:bookmarkStart w:id="90" w:name="_Toc22162_WPSOffice_Level1"/>
      <w:bookmarkStart w:id="91" w:name="_Toc13275"/>
      <w:bookmarkStart w:id="92" w:name="_Toc4517"/>
      <w:bookmarkStart w:id="93" w:name="_Toc22623"/>
      <w:bookmarkStart w:id="94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 w14:paraId="3C5976D3">
      <w:pPr>
        <w:rPr>
          <w:lang w:eastAsia="zh-CN"/>
        </w:rPr>
      </w:pPr>
    </w:p>
    <w:bookmarkEnd w:id="93"/>
    <w:bookmarkEnd w:id="94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2CBDB21A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1312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abstractNum w:abstractNumId="9">
    <w:nsid w:val="70C53F05"/>
    <w:multiLevelType w:val="multilevel"/>
    <w:tmpl w:val="70C53F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7EA1BC2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3863ECA"/>
    <w:rsid w:val="343D6BCA"/>
    <w:rsid w:val="34777EA9"/>
    <w:rsid w:val="34FC29E0"/>
    <w:rsid w:val="35264EF8"/>
    <w:rsid w:val="357E5409"/>
    <w:rsid w:val="35B3556B"/>
    <w:rsid w:val="35E31D8E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812B17"/>
    <w:rsid w:val="4DB00142"/>
    <w:rsid w:val="4DC108F4"/>
    <w:rsid w:val="4DD83BC7"/>
    <w:rsid w:val="4E135FA8"/>
    <w:rsid w:val="4E2D1120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6FAB5A2F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F2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1186</Words>
  <Characters>2551</Characters>
  <Lines>131</Lines>
  <Paragraphs>37</Paragraphs>
  <TotalTime>0</TotalTime>
  <ScaleCrop>false</ScaleCrop>
  <LinksUpToDate>false</LinksUpToDate>
  <CharactersWithSpaces>2765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2026-05-29T03:08:12Z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