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2A9A4176">
      <w:pPr>
        <w:rPr>
          <w:sz w:val="20"/>
          <w:szCs w:val="20"/>
        </w:rPr>
      </w:pPr>
    </w:p>
    <w:p w14:paraId="0AF4DAE4">
      <w:pPr>
        <w:rPr>
          <w:sz w:val="20"/>
          <w:szCs w:val="20"/>
        </w:rPr>
      </w:pPr>
    </w:p>
    <w:p w14:paraId="3A8C70F1">
      <w:pPr>
        <w:rPr>
          <w:sz w:val="20"/>
          <w:szCs w:val="20"/>
        </w:rPr>
      </w:pPr>
    </w:p>
    <w:p w14:paraId="1A581489">
      <w:pPr>
        <w:rPr>
          <w:sz w:val="20"/>
          <w:szCs w:val="20"/>
        </w:rPr>
      </w:pPr>
    </w:p>
    <w:p w14:paraId="08A0CE38">
      <w:pPr>
        <w:rPr>
          <w:sz w:val="20"/>
          <w:szCs w:val="20"/>
        </w:rPr>
      </w:pPr>
    </w:p>
    <w:p w14:paraId="065546FA">
      <w:pPr>
        <w:rPr>
          <w:sz w:val="20"/>
          <w:szCs w:val="20"/>
        </w:rPr>
      </w:pPr>
    </w:p>
    <w:p w14:paraId="706CF735">
      <w:pPr>
        <w:rPr>
          <w:sz w:val="20"/>
          <w:szCs w:val="20"/>
        </w:rPr>
      </w:pPr>
    </w:p>
    <w:p w14:paraId="0278DD00">
      <w:pPr>
        <w:rPr>
          <w:sz w:val="20"/>
          <w:szCs w:val="20"/>
        </w:rPr>
      </w:pPr>
    </w:p>
    <w:p w14:paraId="68538212">
      <w:pPr>
        <w:rPr>
          <w:sz w:val="20"/>
          <w:szCs w:val="20"/>
        </w:rPr>
      </w:pPr>
    </w:p>
    <w:p w14:paraId="03C195C5">
      <w:pPr>
        <w:rPr>
          <w:sz w:val="20"/>
          <w:szCs w:val="20"/>
        </w:rPr>
      </w:pPr>
    </w:p>
    <w:p w14:paraId="11B7892F">
      <w:pPr>
        <w:rPr>
          <w:sz w:val="20"/>
          <w:szCs w:val="20"/>
        </w:rPr>
      </w:pPr>
    </w:p>
    <w:p w14:paraId="4FE98489">
      <w:pPr>
        <w:rPr>
          <w:sz w:val="20"/>
          <w:szCs w:val="20"/>
        </w:rPr>
      </w:pPr>
    </w:p>
    <w:p w14:paraId="38E0C1BF">
      <w:pPr>
        <w:jc w:val="center"/>
      </w:pPr>
      <w:r>
        <w:rPr>
          <w:rFonts w:hint="eastAsia" w:ascii="黑体" w:hAnsi="黑体" w:eastAsia="黑体" w:cs="黑体"/>
          <w:color w:val="548235" w:themeColor="accent6" w:themeShade="BF"/>
          <w:sz w:val="72"/>
          <w:szCs w:val="72"/>
          <w:lang w:eastAsia="zh-CN"/>
        </w:rPr>
        <w:t>实体瘤</w:t>
      </w:r>
      <w:r>
        <w:rPr>
          <w:rFonts w:hint="eastAsia" w:ascii="黑体" w:hAnsi="黑体" w:eastAsia="黑体" w:cs="黑体"/>
          <w:color w:val="548235" w:themeColor="accent6" w:themeShade="BF"/>
          <w:sz w:val="72"/>
          <w:szCs w:val="72"/>
          <w:lang w:val="en-US" w:eastAsia="zh-CN"/>
        </w:rPr>
        <w:t>分子残留病灶（MRD）组织1238基因</w:t>
      </w:r>
      <w:r>
        <w:rPr>
          <w:rFonts w:hint="eastAsia" w:ascii="黑体" w:hAnsi="黑体" w:eastAsia="黑体" w:cs="黑体"/>
          <w:color w:val="548235" w:themeColor="accent6" w:themeShade="BF"/>
          <w:sz w:val="72"/>
          <w:szCs w:val="72"/>
          <w:lang w:eastAsia="zh-CN"/>
        </w:rPr>
        <w:t>{% if PDInfo</w:t>
      </w:r>
      <w:r>
        <w:rPr>
          <w:rFonts w:hint="eastAsia" w:ascii="黑体" w:hAnsi="黑体" w:eastAsia="黑体" w:cs="黑体"/>
          <w:color w:val="548235" w:themeColor="accent6" w:themeShade="BF"/>
          <w:sz w:val="72"/>
          <w:szCs w:val="72"/>
          <w:lang w:val="en-US" w:eastAsia="zh-CN"/>
        </w:rPr>
        <w:t xml:space="preserve"> </w:t>
      </w:r>
      <w:r>
        <w:rPr>
          <w:rFonts w:hint="eastAsia" w:ascii="黑体" w:hAnsi="黑体" w:eastAsia="黑体" w:cs="黑体"/>
          <w:color w:val="548235" w:themeColor="accent6" w:themeShade="BF"/>
          <w:sz w:val="72"/>
          <w:szCs w:val="72"/>
          <w:lang w:eastAsia="zh-CN"/>
        </w:rPr>
        <w:t>%}</w:t>
      </w:r>
      <w:r>
        <w:rPr>
          <w:rFonts w:hint="eastAsia" w:ascii="黑体" w:hAnsi="黑体" w:eastAsia="黑体" w:cs="黑体"/>
          <w:color w:val="548235" w:themeColor="accent6" w:themeShade="BF"/>
          <w:sz w:val="72"/>
          <w:szCs w:val="72"/>
          <w:lang w:val="en-US" w:eastAsia="zh-CN"/>
        </w:rPr>
        <w:t>+PD-L1{% endif %}检测报告</w:t>
      </w:r>
    </w:p>
    <w:p w14:paraId="1246C8B6"/>
    <w:p w14:paraId="3D629945"/>
    <w:p w14:paraId="67881E59"/>
    <w:p w14:paraId="766F574C"/>
    <w:p w14:paraId="503D79D8"/>
    <w:p w14:paraId="06F860D8"/>
    <w:p w14:paraId="0CDAA44A"/>
    <w:tbl>
      <w:tblPr>
        <w:tblStyle w:val="15"/>
        <w:tblpPr w:leftFromText="181" w:rightFromText="181" w:vertAnchor="page" w:horzAnchor="page" w:tblpXSpec="center" w:tblpY="9072"/>
        <w:tblOverlap w:val="never"/>
        <w:tblW w:w="659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124"/>
        <w:gridCol w:w="4471"/>
      </w:tblGrid>
      <w:tr w14:paraId="7C7053D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54D031B4">
            <w:pPr>
              <w:pStyle w:val="6"/>
              <w:jc w:val="right"/>
              <w:rPr>
                <w:rFonts w:ascii="黑体"/>
                <w:sz w:val="48"/>
                <w:lang w:eastAsia="zh-CN"/>
              </w:rPr>
            </w:pPr>
            <w:r>
              <w:rPr>
                <w:rFonts w:hint="eastAsia" w:ascii="微软雅黑" w:eastAsia="微软雅黑"/>
                <w:sz w:val="30"/>
                <w:lang w:eastAsia="zh-CN"/>
              </w:rPr>
              <w:t>委 托 人：</w:t>
            </w:r>
          </w:p>
        </w:tc>
        <w:tc>
          <w:tcPr>
            <w:tcW w:w="4471" w:type="dxa"/>
            <w:tcBorders>
              <w:top w:val="nil"/>
              <w:left w:val="nil"/>
              <w:bottom w:val="single" w:color="auto" w:sz="4" w:space="0"/>
              <w:right w:val="nil"/>
            </w:tcBorders>
            <w:vAlign w:val="bottom"/>
          </w:tcPr>
          <w:p w14:paraId="32C4C1B8">
            <w:pPr>
              <w:pStyle w:val="6"/>
              <w:jc w:val="center"/>
              <w:rPr>
                <w:rFonts w:ascii="黑体"/>
                <w:sz w:val="48"/>
                <w:lang w:eastAsia="zh-CN"/>
              </w:rPr>
            </w:pPr>
            <w:r>
              <w:rPr>
                <w:rFonts w:hint="eastAsia" w:ascii="微软雅黑" w:eastAsia="微软雅黑"/>
                <w:sz w:val="30"/>
                <w:lang w:eastAsia="zh-CN"/>
              </w:rPr>
              <w:t>{{ client }}</w:t>
            </w:r>
          </w:p>
        </w:tc>
      </w:tr>
      <w:tr w14:paraId="0026516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09541215">
            <w:pPr>
              <w:pStyle w:val="6"/>
              <w:jc w:val="right"/>
              <w:rPr>
                <w:rFonts w:ascii="黑体"/>
                <w:sz w:val="48"/>
                <w:lang w:eastAsia="zh-CN"/>
              </w:rPr>
            </w:pPr>
            <w:r>
              <w:rPr>
                <w:rFonts w:hint="eastAsia" w:ascii="微软雅黑" w:eastAsia="微软雅黑"/>
                <w:sz w:val="30"/>
                <w:lang w:eastAsia="zh-CN"/>
              </w:rPr>
              <w:t>委托日期：</w:t>
            </w:r>
          </w:p>
        </w:tc>
        <w:tc>
          <w:tcPr>
            <w:tcW w:w="4471" w:type="dxa"/>
            <w:tcBorders>
              <w:top w:val="single" w:color="auto" w:sz="4" w:space="0"/>
              <w:left w:val="nil"/>
              <w:bottom w:val="single" w:color="auto" w:sz="4" w:space="0"/>
              <w:right w:val="nil"/>
            </w:tcBorders>
            <w:vAlign w:val="bottom"/>
          </w:tcPr>
          <w:p w14:paraId="27D20CC7">
            <w:pPr>
              <w:pStyle w:val="6"/>
              <w:jc w:val="center"/>
              <w:rPr>
                <w:rFonts w:ascii="Times New Roman" w:hAnsi="Times New Roman" w:cs="Times New Roman"/>
                <w:sz w:val="48"/>
                <w:lang w:eastAsia="zh-CN"/>
              </w:rPr>
            </w:pPr>
            <w:r>
              <w:rPr>
                <w:rFonts w:ascii="Times New Roman" w:hAnsi="Times New Roman" w:eastAsia="微软雅黑" w:cs="Times New Roman"/>
                <w:sz w:val="30"/>
                <w:lang w:eastAsia="zh-CN"/>
              </w:rPr>
              <w:t>{{ commission_date }}</w:t>
            </w:r>
          </w:p>
        </w:tc>
      </w:tr>
      <w:tr w14:paraId="685318C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04E86BDE">
            <w:pPr>
              <w:pStyle w:val="6"/>
              <w:jc w:val="right"/>
              <w:rPr>
                <w:rFonts w:ascii="黑体"/>
                <w:sz w:val="48"/>
                <w:lang w:eastAsia="zh-CN"/>
              </w:rPr>
            </w:pPr>
            <w:r>
              <w:rPr>
                <w:rFonts w:hint="eastAsia" w:ascii="微软雅黑" w:eastAsia="微软雅黑"/>
                <w:sz w:val="30"/>
                <w:lang w:eastAsia="zh-CN"/>
              </w:rPr>
              <w:t>样本编号：</w:t>
            </w:r>
          </w:p>
        </w:tc>
        <w:tc>
          <w:tcPr>
            <w:tcW w:w="4471" w:type="dxa"/>
            <w:tcBorders>
              <w:top w:val="single" w:color="auto" w:sz="4" w:space="0"/>
              <w:left w:val="nil"/>
              <w:bottom w:val="single" w:color="auto" w:sz="4" w:space="0"/>
              <w:right w:val="nil"/>
            </w:tcBorders>
            <w:vAlign w:val="bottom"/>
          </w:tcPr>
          <w:p w14:paraId="2FE7995B">
            <w:pPr>
              <w:pStyle w:val="6"/>
              <w:jc w:val="center"/>
              <w:rPr>
                <w:rFonts w:ascii="Times New Roman" w:hAnsi="Times New Roman" w:cs="Times New Roman"/>
                <w:sz w:val="48"/>
                <w:lang w:eastAsia="zh-CN"/>
              </w:rPr>
            </w:pPr>
            <w:r>
              <w:rPr>
                <w:rFonts w:ascii="Times New Roman" w:hAnsi="Times New Roman" w:eastAsia="微软雅黑" w:cs="Times New Roman"/>
                <w:sz w:val="30"/>
                <w:lang w:eastAsia="zh-CN"/>
              </w:rPr>
              <w:t>{{ subbarcode }}</w:t>
            </w:r>
          </w:p>
        </w:tc>
      </w:tr>
      <w:tr w14:paraId="5DBDF6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78" w:hRule="atLeast"/>
          <w:jc w:val="center"/>
        </w:trPr>
        <w:tc>
          <w:tcPr>
            <w:tcW w:w="2124" w:type="dxa"/>
            <w:tcBorders>
              <w:top w:val="nil"/>
              <w:left w:val="nil"/>
              <w:bottom w:val="nil"/>
              <w:right w:val="nil"/>
            </w:tcBorders>
            <w:vAlign w:val="bottom"/>
          </w:tcPr>
          <w:p w14:paraId="33F49668">
            <w:pPr>
              <w:pStyle w:val="6"/>
              <w:jc w:val="right"/>
              <w:rPr>
                <w:rFonts w:ascii="黑体"/>
                <w:sz w:val="48"/>
                <w:lang w:eastAsia="zh-CN"/>
              </w:rPr>
            </w:pPr>
            <w:r>
              <w:rPr>
                <w:rFonts w:hint="eastAsia" w:ascii="微软雅黑" w:eastAsia="微软雅黑"/>
                <w:sz w:val="30"/>
                <w:lang w:eastAsia="zh-CN"/>
              </w:rPr>
              <w:t>报告日期：</w:t>
            </w:r>
          </w:p>
        </w:tc>
        <w:tc>
          <w:tcPr>
            <w:tcW w:w="4471" w:type="dxa"/>
            <w:tcBorders>
              <w:top w:val="single" w:color="auto" w:sz="4" w:space="0"/>
              <w:left w:val="nil"/>
              <w:bottom w:val="single" w:color="auto" w:sz="4" w:space="0"/>
              <w:right w:val="nil"/>
            </w:tcBorders>
            <w:vAlign w:val="bottom"/>
          </w:tcPr>
          <w:p w14:paraId="26AD98A2">
            <w:pPr>
              <w:pStyle w:val="6"/>
              <w:jc w:val="center"/>
              <w:rPr>
                <w:rFonts w:ascii="Times New Roman" w:hAnsi="Times New Roman" w:cs="Times New Roman"/>
                <w:sz w:val="48"/>
                <w:lang w:eastAsia="zh-CN"/>
              </w:rPr>
            </w:pPr>
            <w:r>
              <w:rPr>
                <w:rFonts w:ascii="Times New Roman" w:hAnsi="Times New Roman" w:eastAsia="微软雅黑" w:cs="Times New Roman"/>
                <w:sz w:val="30"/>
                <w:lang w:eastAsia="zh-CN"/>
              </w:rPr>
              <w:t>{{ reportdate }}</w:t>
            </w:r>
          </w:p>
        </w:tc>
      </w:tr>
    </w:tbl>
    <w:p w14:paraId="67107465"/>
    <w:p w14:paraId="45499792">
      <w:pPr>
        <w:rPr>
          <w:sz w:val="20"/>
          <w:lang w:eastAsia="zh-CN"/>
        </w:rPr>
        <w:sectPr>
          <w:headerReference r:id="rId3" w:type="default"/>
          <w:pgSz w:w="11911" w:h="16838"/>
          <w:pgMar w:top="1037" w:right="1020" w:bottom="981" w:left="1020" w:header="567" w:footer="567" w:gutter="0"/>
          <w:pgNumType w:start="1"/>
          <w:cols w:space="0" w:num="1"/>
        </w:sectPr>
      </w:pPr>
      <w:r>
        <w:rPr>
          <w:lang w:eastAsia="zh-CN"/>
        </w:rPr>
        <mc:AlternateContent>
          <mc:Choice Requires="wps">
            <w:drawing>
              <wp:anchor distT="0" distB="0" distL="114300" distR="114300" simplePos="0" relativeHeight="251660288" behindDoc="0" locked="0" layoutInCell="1" allowOverlap="1">
                <wp:simplePos x="0" y="0"/>
                <wp:positionH relativeFrom="column">
                  <wp:posOffset>383540</wp:posOffset>
                </wp:positionH>
                <wp:positionV relativeFrom="paragraph">
                  <wp:posOffset>7943850</wp:posOffset>
                </wp:positionV>
                <wp:extent cx="6962140" cy="1919605"/>
                <wp:effectExtent l="0" t="0" r="0" b="0"/>
                <wp:wrapNone/>
                <wp:docPr id="2" name="文本框 2"/>
                <wp:cNvGraphicFramePr/>
                <a:graphic xmlns:a="http://schemas.openxmlformats.org/drawingml/2006/main">
                  <a:graphicData uri="http://schemas.microsoft.com/office/word/2010/wordprocessingShape">
                    <wps:wsp>
                      <wps:cNvSpPr txBox="1"/>
                      <wps:spPr>
                        <a:xfrm>
                          <a:off x="0" y="0"/>
                          <a:ext cx="6962140" cy="191960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2DFB063C">
                            <w:pPr>
                              <w:rPr>
                                <w:lang w:eastAsia="zh-CN"/>
                              </w:rPr>
                            </w:pP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30.2pt;margin-top:625.5pt;height:151.15pt;width:548.2pt;z-index:251660288;mso-width-relative:page;mso-height-relative:page;" filled="f" stroked="f" coordsize="21600,21600" o:gfxdata="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">
                <v:fill on="f" focussize="0,0"/>
                <v:stroke on="f" weight="0.5pt"/>
                <v:imagedata o:title=""/>
                <o:lock v:ext="edit" aspectratio="f"/>
                <v:textbox>
                  <w:txbxContent>
                    <w:p w14:paraId="2DFB063C">
                      <w:pPr>
                        <w:rPr>
                          <w:lang w:eastAsia="zh-CN"/>
                        </w:rPr>
                      </w:pPr>
                    </w:p>
                  </w:txbxContent>
                </v:textbox>
              </v:shape>
            </w:pict>
          </mc:Fallback>
        </mc:AlternateContent>
      </w:r>
    </w:p>
    <w:p w14:paraId="48213D27">
      <w:pPr>
        <w:keepNext w:val="0"/>
        <w:keepLines w:val="0"/>
        <w:pageBreakBefore w:val="0"/>
        <w:widowControl w:val="0"/>
        <w:kinsoku/>
        <w:wordWrap/>
        <w:overflowPunct/>
        <w:topLinePunct w:val="0"/>
        <w:autoSpaceDE/>
        <w:autoSpaceDN/>
        <w:bidi w:val="0"/>
        <w:adjustRightInd/>
        <w:snapToGrid/>
        <w:ind w:firstLine="0" w:firstLineChars="0"/>
        <w:jc w:val="center"/>
        <w:textAlignment w:val="auto"/>
        <w:rPr>
          <w:rFonts w:ascii="Times New Roman" w:hAnsi="Times New Roman" w:eastAsia="微软雅黑" w:cs="Times New Roman"/>
          <w:b/>
          <w:color w:val="5B9BD5" w:themeColor="accent1"/>
          <w:sz w:val="52"/>
          <w:szCs w:val="52"/>
          <w:lang w:eastAsia="zh-CN"/>
          <w14:shadow w14:blurRad="38100" w14:dist="19050" w14:dir="2700000" w14:sx="100000" w14:sy="100000" w14:kx="0" w14:ky="0" w14:algn="tl">
            <w14:schemeClr w14:val="dk1">
              <w14:alpha w14:val="60000"/>
            </w14:schemeClr>
          </w14:shadow>
          <w14:textFill>
            <w14:solidFill>
              <w14:schemeClr w14:val="accent1"/>
            </w14:solidFill>
          </w14:textFill>
          <w14:props3d w14:extrusionH="0" w14:contourW="0" w14:prstMaterial="clear"/>
        </w:rPr>
      </w:pPr>
      <w:r>
        <w:rPr>
          <w:rFonts w:hint="eastAsia" w:ascii="Times New Roman" w:hAnsi="Times New Roman" w:eastAsia="微软雅黑" w:cs="Times New Roman"/>
          <w:b/>
          <w:color w:val="62B541"/>
          <w:sz w:val="56"/>
          <w:szCs w:val="56"/>
          <w:lang w:eastAsia="zh-CN"/>
          <w14:shadow w14:blurRad="38100" w14:dist="19050" w14:dir="2700000" w14:sx="100000" w14:sy="100000" w14:kx="0" w14:ky="0" w14:algn="tl">
            <w14:schemeClr w14:val="dk1">
              <w14:alpha w14:val="60000"/>
            </w14:schemeClr>
          </w14:shadow>
          <w14:props3d w14:extrusionH="0" w14:contourW="0" w14:prstMaterial="clear"/>
        </w:rPr>
        <w:t>目录</w:t>
      </w:r>
    </w:p>
    <w:p w14:paraId="012A185E">
      <w:pPr>
        <w:keepNext w:val="0"/>
        <w:keepLines w:val="0"/>
        <w:pageBreakBefore w:val="0"/>
        <w:widowControl w:val="0"/>
        <w:kinsoku/>
        <w:wordWrap/>
        <w:overflowPunct/>
        <w:topLinePunct w:val="0"/>
        <w:autoSpaceDE/>
        <w:autoSpaceDN/>
        <w:bidi w:val="0"/>
        <w:adjustRightInd/>
        <w:snapToGrid/>
        <w:ind w:firstLine="0" w:firstLineChars="0"/>
        <w:jc w:val="center"/>
        <w:textAlignment w:val="auto"/>
        <w:rPr>
          <w:sz w:val="24"/>
          <w:szCs w:val="24"/>
          <w:lang w:eastAsia="zh-CN"/>
        </w:rPr>
      </w:pPr>
      <w:r>
        <w:rPr>
          <w:rFonts w:hint="eastAsia" w:ascii="Times New Roman" w:hAnsi="Times New Roman" w:eastAsia="微软雅黑"/>
          <w:sz w:val="36"/>
          <w:szCs w:val="36"/>
          <w:lang w:eastAsia="zh-CN"/>
        </w:rPr>
        <w:t>Content</w:t>
      </w:r>
    </w:p>
    <w:p w14:paraId="1B112976">
      <w:pPr>
        <w:pStyle w:val="11"/>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rPr>
          <w:rFonts w:hint="eastAsia" w:ascii="Times New Roman" w:hAnsi="Times New Roman" w:eastAsia="微软雅黑" w:cs="Times New Roman"/>
          <w:b/>
          <w:color w:val="62B541"/>
          <w:sz w:val="32"/>
          <w:lang w:eastAsia="zh-CN"/>
        </w:rPr>
      </w:pPr>
      <w:r>
        <w:rPr>
          <w:rFonts w:hint="default" w:ascii="Times New Roman" w:hAnsi="Times New Roman" w:eastAsia="微软雅黑" w:cs="Times New Roman"/>
          <w:lang w:eastAsia="zh-CN"/>
        </w:rPr>
        <w:fldChar w:fldCharType="begin"/>
      </w:r>
      <w:r>
        <w:rPr>
          <w:rFonts w:hint="default" w:ascii="Times New Roman" w:hAnsi="Times New Roman" w:eastAsia="微软雅黑" w:cs="Times New Roman"/>
          <w:lang w:eastAsia="zh-CN"/>
        </w:rPr>
        <w:instrText xml:space="preserve">TOC \o "1-3" \h \u </w:instrText>
      </w:r>
      <w:r>
        <w:rPr>
          <w:rFonts w:hint="default" w:ascii="Times New Roman" w:hAnsi="Times New Roman" w:eastAsia="微软雅黑" w:cs="Times New Roman"/>
          <w:lang w:eastAsia="zh-CN"/>
        </w:rPr>
        <w:fldChar w:fldCharType="separate"/>
      </w:r>
      <w:r>
        <w:rPr>
          <w:rFonts w:hint="default" w:ascii="Times New Roman" w:hAnsi="Times New Roman" w:eastAsia="微软雅黑" w:cs="Times New Roman"/>
          <w:b/>
          <w:color w:val="62B541"/>
          <w:sz w:val="32"/>
          <w:lang w:eastAsia="zh-CN"/>
        </w:rPr>
        <w:fldChar w:fldCharType="begin"/>
      </w:r>
      <w:r>
        <w:rPr>
          <w:rFonts w:hint="default" w:ascii="Times New Roman" w:hAnsi="Times New Roman" w:eastAsia="微软雅黑" w:cs="Times New Roman"/>
          <w:b/>
          <w:color w:val="62B541"/>
          <w:sz w:val="32"/>
          <w:lang w:eastAsia="zh-CN"/>
        </w:rPr>
        <w:instrText xml:space="preserve"> HYPERLINK \l _Toc24770 </w:instrText>
      </w:r>
      <w:r>
        <w:rPr>
          <w:rFonts w:hint="default" w:ascii="Times New Roman" w:hAnsi="Times New Roman" w:eastAsia="微软雅黑" w:cs="Times New Roman"/>
          <w:b/>
          <w:color w:val="62B541"/>
          <w:sz w:val="32"/>
          <w:lang w:eastAsia="zh-CN"/>
        </w:rPr>
        <w:fldChar w:fldCharType="separate"/>
      </w:r>
      <w:r>
        <w:rPr>
          <w:rFonts w:hint="eastAsia" w:ascii="Times New Roman" w:hAnsi="Times New Roman" w:eastAsia="微软雅黑" w:cs="Times New Roman"/>
          <w:b/>
          <w:color w:val="62B541"/>
          <w:sz w:val="32"/>
          <w:lang w:eastAsia="zh-CN"/>
        </w:rPr>
        <w:t>样本信息</w:t>
      </w:r>
      <w:r>
        <w:rPr>
          <w:rFonts w:hint="eastAsia" w:ascii="Times New Roman" w:hAnsi="Times New Roman" w:eastAsia="微软雅黑" w:cs="Times New Roman"/>
          <w:b/>
          <w:color w:val="62B541"/>
          <w:sz w:val="32"/>
          <w:lang w:eastAsia="zh-CN"/>
        </w:rPr>
        <w:tab/>
      </w:r>
      <w:r>
        <w:rPr>
          <w:rFonts w:hint="eastAsia" w:ascii="Times New Roman" w:hAnsi="Times New Roman" w:eastAsia="微软雅黑" w:cs="Times New Roman"/>
          <w:b/>
          <w:color w:val="62B541"/>
          <w:sz w:val="32"/>
          <w:lang w:eastAsia="zh-CN"/>
        </w:rPr>
        <w:fldChar w:fldCharType="begin"/>
      </w:r>
      <w:r>
        <w:rPr>
          <w:rFonts w:hint="eastAsia" w:ascii="Times New Roman" w:hAnsi="Times New Roman" w:eastAsia="微软雅黑" w:cs="Times New Roman"/>
          <w:b/>
          <w:color w:val="62B541"/>
          <w:sz w:val="32"/>
          <w:lang w:eastAsia="zh-CN"/>
        </w:rPr>
        <w:instrText xml:space="preserve"> PAGEREF _Toc24770 \h </w:instrText>
      </w:r>
      <w:r>
        <w:rPr>
          <w:rFonts w:hint="eastAsia" w:ascii="Times New Roman" w:hAnsi="Times New Roman" w:eastAsia="微软雅黑" w:cs="Times New Roman"/>
          <w:b/>
          <w:color w:val="62B541"/>
          <w:sz w:val="32"/>
          <w:lang w:eastAsia="zh-CN"/>
        </w:rPr>
        <w:fldChar w:fldCharType="separate"/>
      </w:r>
      <w:r>
        <w:rPr>
          <w:rFonts w:hint="eastAsia" w:ascii="Times New Roman" w:hAnsi="Times New Roman" w:eastAsia="微软雅黑" w:cs="Times New Roman"/>
          <w:b/>
          <w:color w:val="62B541"/>
          <w:sz w:val="32"/>
          <w:lang w:eastAsia="zh-CN"/>
        </w:rPr>
        <w:t>1</w:t>
      </w:r>
      <w:r>
        <w:rPr>
          <w:rFonts w:hint="eastAsia" w:ascii="Times New Roman" w:hAnsi="Times New Roman" w:eastAsia="微软雅黑" w:cs="Times New Roman"/>
          <w:b/>
          <w:color w:val="62B541"/>
          <w:sz w:val="32"/>
          <w:lang w:eastAsia="zh-CN"/>
        </w:rPr>
        <w:fldChar w:fldCharType="end"/>
      </w:r>
      <w:r>
        <w:rPr>
          <w:rFonts w:hint="default" w:ascii="Times New Roman" w:hAnsi="Times New Roman" w:eastAsia="微软雅黑" w:cs="Times New Roman"/>
          <w:b/>
          <w:color w:val="62B541"/>
          <w:sz w:val="32"/>
          <w:lang w:eastAsia="zh-CN"/>
        </w:rPr>
        <w:fldChar w:fldCharType="end"/>
      </w:r>
    </w:p>
    <w:p w14:paraId="38770544">
      <w:pPr>
        <w:pStyle w:val="11"/>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rPr>
          <w:rFonts w:hint="eastAsia" w:ascii="Times New Roman" w:hAnsi="Times New Roman" w:eastAsia="微软雅黑" w:cs="Times New Roman"/>
          <w:b/>
          <w:color w:val="62B541"/>
          <w:sz w:val="32"/>
          <w:lang w:eastAsia="zh-CN"/>
        </w:rPr>
      </w:pPr>
      <w:r>
        <w:rPr>
          <w:rFonts w:hint="default" w:ascii="Times New Roman" w:hAnsi="Times New Roman" w:eastAsia="微软雅黑" w:cs="Times New Roman"/>
          <w:b/>
          <w:color w:val="62B541"/>
          <w:sz w:val="32"/>
          <w:lang w:eastAsia="zh-CN"/>
        </w:rPr>
        <w:fldChar w:fldCharType="begin"/>
      </w:r>
      <w:r>
        <w:rPr>
          <w:rFonts w:hint="default" w:ascii="Times New Roman" w:hAnsi="Times New Roman" w:eastAsia="微软雅黑" w:cs="Times New Roman"/>
          <w:b/>
          <w:color w:val="62B541"/>
          <w:sz w:val="32"/>
          <w:lang w:eastAsia="zh-CN"/>
        </w:rPr>
        <w:instrText xml:space="preserve"> HYPERLINK \l _Toc29866 </w:instrText>
      </w:r>
      <w:r>
        <w:rPr>
          <w:rFonts w:hint="default" w:ascii="Times New Roman" w:hAnsi="Times New Roman" w:eastAsia="微软雅黑" w:cs="Times New Roman"/>
          <w:b/>
          <w:color w:val="62B541"/>
          <w:sz w:val="32"/>
          <w:lang w:eastAsia="zh-CN"/>
        </w:rPr>
        <w:fldChar w:fldCharType="separate"/>
      </w:r>
      <w:r>
        <w:rPr>
          <w:rFonts w:hint="eastAsia" w:ascii="Times New Roman" w:hAnsi="Times New Roman" w:eastAsia="微软雅黑" w:cs="Times New Roman"/>
          <w:b/>
          <w:color w:val="62B541"/>
          <w:sz w:val="32"/>
          <w:lang w:eastAsia="zh-CN"/>
        </w:rPr>
        <w:t>检测项目</w:t>
      </w:r>
      <w:r>
        <w:rPr>
          <w:rFonts w:hint="eastAsia" w:ascii="Times New Roman" w:hAnsi="Times New Roman" w:eastAsia="微软雅黑" w:cs="Times New Roman"/>
          <w:b/>
          <w:color w:val="62B541"/>
          <w:sz w:val="32"/>
          <w:lang w:eastAsia="zh-CN"/>
        </w:rPr>
        <w:tab/>
      </w:r>
      <w:r>
        <w:rPr>
          <w:rFonts w:hint="eastAsia" w:ascii="Times New Roman" w:hAnsi="Times New Roman" w:eastAsia="微软雅黑" w:cs="Times New Roman"/>
          <w:b/>
          <w:color w:val="62B541"/>
          <w:sz w:val="32"/>
          <w:lang w:eastAsia="zh-CN"/>
        </w:rPr>
        <w:fldChar w:fldCharType="begin"/>
      </w:r>
      <w:r>
        <w:rPr>
          <w:rFonts w:hint="eastAsia" w:ascii="Times New Roman" w:hAnsi="Times New Roman" w:eastAsia="微软雅黑" w:cs="Times New Roman"/>
          <w:b/>
          <w:color w:val="62B541"/>
          <w:sz w:val="32"/>
          <w:lang w:eastAsia="zh-CN"/>
        </w:rPr>
        <w:instrText xml:space="preserve"> PAGEREF _Toc29866 \h </w:instrText>
      </w:r>
      <w:r>
        <w:rPr>
          <w:rFonts w:hint="eastAsia" w:ascii="Times New Roman" w:hAnsi="Times New Roman" w:eastAsia="微软雅黑" w:cs="Times New Roman"/>
          <w:b/>
          <w:color w:val="62B541"/>
          <w:sz w:val="32"/>
          <w:lang w:eastAsia="zh-CN"/>
        </w:rPr>
        <w:fldChar w:fldCharType="separate"/>
      </w:r>
      <w:r>
        <w:rPr>
          <w:rFonts w:hint="eastAsia" w:ascii="Times New Roman" w:hAnsi="Times New Roman" w:eastAsia="微软雅黑" w:cs="Times New Roman"/>
          <w:b/>
          <w:color w:val="62B541"/>
          <w:sz w:val="32"/>
          <w:lang w:eastAsia="zh-CN"/>
        </w:rPr>
        <w:t>1</w:t>
      </w:r>
      <w:r>
        <w:rPr>
          <w:rFonts w:hint="eastAsia" w:ascii="Times New Roman" w:hAnsi="Times New Roman" w:eastAsia="微软雅黑" w:cs="Times New Roman"/>
          <w:b/>
          <w:color w:val="62B541"/>
          <w:sz w:val="32"/>
          <w:lang w:eastAsia="zh-CN"/>
        </w:rPr>
        <w:fldChar w:fldCharType="end"/>
      </w:r>
      <w:r>
        <w:rPr>
          <w:rFonts w:hint="default" w:ascii="Times New Roman" w:hAnsi="Times New Roman" w:eastAsia="微软雅黑" w:cs="Times New Roman"/>
          <w:b/>
          <w:color w:val="62B541"/>
          <w:sz w:val="32"/>
          <w:lang w:eastAsia="zh-CN"/>
        </w:rPr>
        <w:fldChar w:fldCharType="end"/>
      </w:r>
    </w:p>
    <w:p w14:paraId="0DA1A6D5">
      <w:pPr>
        <w:pStyle w:val="11"/>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pPr>
      <w:r>
        <w:rPr>
          <w:rFonts w:hint="default" w:ascii="Times New Roman" w:hAnsi="Times New Roman" w:eastAsia="微软雅黑" w:cs="Times New Roman"/>
          <w:b/>
          <w:color w:val="62B541"/>
          <w:sz w:val="32"/>
          <w:lang w:eastAsia="zh-CN"/>
        </w:rPr>
        <w:fldChar w:fldCharType="begin"/>
      </w:r>
      <w:r>
        <w:rPr>
          <w:rFonts w:hint="default" w:ascii="Times New Roman" w:hAnsi="Times New Roman" w:eastAsia="微软雅黑" w:cs="Times New Roman"/>
          <w:b/>
          <w:color w:val="62B541"/>
          <w:sz w:val="32"/>
          <w:lang w:eastAsia="zh-CN"/>
        </w:rPr>
        <w:instrText xml:space="preserve"> HYPERLINK \l _Toc25340 </w:instrText>
      </w:r>
      <w:r>
        <w:rPr>
          <w:rFonts w:hint="default" w:ascii="Times New Roman" w:hAnsi="Times New Roman" w:eastAsia="微软雅黑" w:cs="Times New Roman"/>
          <w:b/>
          <w:color w:val="62B541"/>
          <w:sz w:val="32"/>
          <w:lang w:eastAsia="zh-CN"/>
        </w:rPr>
        <w:fldChar w:fldCharType="separate"/>
      </w:r>
      <w:r>
        <w:rPr>
          <w:rFonts w:hint="eastAsia" w:ascii="Times New Roman" w:hAnsi="Times New Roman" w:eastAsia="微软雅黑" w:cs="Times New Roman"/>
          <w:b/>
          <w:color w:val="62B541"/>
          <w:sz w:val="32"/>
          <w:lang w:eastAsia="zh-CN"/>
        </w:rPr>
        <w:t>检测结果总览</w:t>
      </w:r>
      <w:r>
        <w:rPr>
          <w:rFonts w:hint="eastAsia" w:ascii="Times New Roman" w:hAnsi="Times New Roman" w:eastAsia="微软雅黑" w:cs="Times New Roman"/>
          <w:b/>
          <w:color w:val="62B541"/>
          <w:sz w:val="32"/>
          <w:lang w:eastAsia="zh-CN"/>
        </w:rPr>
        <w:tab/>
      </w:r>
      <w:r>
        <w:rPr>
          <w:rFonts w:hint="eastAsia" w:ascii="Times New Roman" w:hAnsi="Times New Roman" w:eastAsia="微软雅黑" w:cs="Times New Roman"/>
          <w:b/>
          <w:color w:val="62B541"/>
          <w:sz w:val="32"/>
          <w:lang w:eastAsia="zh-CN"/>
        </w:rPr>
        <w:fldChar w:fldCharType="begin"/>
      </w:r>
      <w:r>
        <w:rPr>
          <w:rFonts w:hint="eastAsia" w:ascii="Times New Roman" w:hAnsi="Times New Roman" w:eastAsia="微软雅黑" w:cs="Times New Roman"/>
          <w:b/>
          <w:color w:val="62B541"/>
          <w:sz w:val="32"/>
          <w:lang w:eastAsia="zh-CN"/>
        </w:rPr>
        <w:instrText xml:space="preserve"> PAGEREF _Toc25340 \h </w:instrText>
      </w:r>
      <w:r>
        <w:rPr>
          <w:rFonts w:hint="eastAsia" w:ascii="Times New Roman" w:hAnsi="Times New Roman" w:eastAsia="微软雅黑" w:cs="Times New Roman"/>
          <w:b/>
          <w:color w:val="62B541"/>
          <w:sz w:val="32"/>
          <w:lang w:eastAsia="zh-CN"/>
        </w:rPr>
        <w:fldChar w:fldCharType="separate"/>
      </w:r>
      <w:r>
        <w:rPr>
          <w:rFonts w:hint="eastAsia" w:ascii="Times New Roman" w:hAnsi="Times New Roman" w:eastAsia="微软雅黑" w:cs="Times New Roman"/>
          <w:b/>
          <w:color w:val="62B541"/>
          <w:sz w:val="32"/>
          <w:lang w:eastAsia="zh-CN"/>
        </w:rPr>
        <w:t>2</w:t>
      </w:r>
      <w:r>
        <w:rPr>
          <w:rFonts w:hint="eastAsia" w:ascii="Times New Roman" w:hAnsi="Times New Roman" w:eastAsia="微软雅黑" w:cs="Times New Roman"/>
          <w:b/>
          <w:color w:val="62B541"/>
          <w:sz w:val="32"/>
          <w:lang w:eastAsia="zh-CN"/>
        </w:rPr>
        <w:fldChar w:fldCharType="end"/>
      </w:r>
      <w:r>
        <w:rPr>
          <w:rFonts w:hint="default" w:ascii="Times New Roman" w:hAnsi="Times New Roman" w:eastAsia="微软雅黑" w:cs="Times New Roman"/>
          <w:b/>
          <w:color w:val="62B541"/>
          <w:sz w:val="32"/>
          <w:lang w:eastAsia="zh-CN"/>
        </w:rPr>
        <w:fldChar w:fldCharType="end"/>
      </w:r>
    </w:p>
    <w:p w14:paraId="09CDCCD2">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9"/>
          <w:rFonts w:hint="eastAsia" w:ascii="Times New Roman" w:hAnsi="Times New Roman" w:eastAsia="微软雅黑" w:cs="Times New Roman"/>
          <w:sz w:val="28"/>
          <w:lang w:eastAsia="zh-CN"/>
        </w:rPr>
      </w:pP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HYPERLINK \l _Toc26904 </w:instrText>
      </w:r>
      <w:r>
        <w:rPr>
          <w:rStyle w:val="19"/>
          <w:rFonts w:hint="default"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eastAsia="zh-CN"/>
        </w:rPr>
        <w:t>检测结果小结</w:t>
      </w:r>
      <w:r>
        <w:rPr>
          <w:rStyle w:val="19"/>
          <w:rFonts w:hint="eastAsia" w:ascii="Times New Roman" w:hAnsi="Times New Roman" w:eastAsia="微软雅黑" w:cs="Times New Roman"/>
          <w:sz w:val="28"/>
          <w:lang w:eastAsia="zh-CN"/>
        </w:rPr>
        <w:tab/>
      </w:r>
      <w:r>
        <w:rPr>
          <w:rStyle w:val="19"/>
          <w:rFonts w:hint="eastAsia" w:ascii="Times New Roman" w:hAnsi="Times New Roman" w:eastAsia="微软雅黑" w:cs="Times New Roman"/>
          <w:sz w:val="28"/>
          <w:lang w:eastAsia="zh-CN"/>
        </w:rPr>
        <w:fldChar w:fldCharType="begin"/>
      </w:r>
      <w:r>
        <w:rPr>
          <w:rStyle w:val="19"/>
          <w:rFonts w:hint="eastAsia" w:ascii="Times New Roman" w:hAnsi="Times New Roman" w:eastAsia="微软雅黑" w:cs="Times New Roman"/>
          <w:sz w:val="28"/>
          <w:lang w:eastAsia="zh-CN"/>
        </w:rPr>
        <w:instrText xml:space="preserve"> PAGEREF _Toc26904 \h </w:instrText>
      </w:r>
      <w:r>
        <w:rPr>
          <w:rStyle w:val="19"/>
          <w:rFonts w:hint="eastAsia"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eastAsia="zh-CN"/>
        </w:rPr>
        <w:t>2</w:t>
      </w:r>
      <w:r>
        <w:rPr>
          <w:rStyle w:val="19"/>
          <w:rFonts w:hint="eastAsia" w:ascii="Times New Roman" w:hAnsi="Times New Roman" w:eastAsia="微软雅黑" w:cs="Times New Roman"/>
          <w:sz w:val="28"/>
          <w:lang w:eastAsia="zh-CN"/>
        </w:rPr>
        <w:fldChar w:fldCharType="end"/>
      </w:r>
      <w:r>
        <w:rPr>
          <w:rStyle w:val="19"/>
          <w:rFonts w:hint="default" w:ascii="Times New Roman" w:hAnsi="Times New Roman" w:eastAsia="微软雅黑" w:cs="Times New Roman"/>
          <w:sz w:val="28"/>
          <w:lang w:eastAsia="zh-CN"/>
        </w:rPr>
        <w:fldChar w:fldCharType="end"/>
      </w:r>
    </w:p>
    <w:p w14:paraId="53A1419C">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pP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HYPERLINK \l _Toc13823 </w:instrText>
      </w:r>
      <w:r>
        <w:rPr>
          <w:rStyle w:val="19"/>
          <w:rFonts w:hint="default" w:ascii="Times New Roman" w:hAnsi="Times New Roman" w:eastAsia="微软雅黑" w:cs="Times New Roman"/>
          <w:sz w:val="28"/>
          <w:lang w:eastAsia="zh-CN"/>
        </w:rPr>
        <w:fldChar w:fldCharType="separate"/>
      </w:r>
      <w:r>
        <w:rPr>
          <w:rStyle w:val="19"/>
          <w:rFonts w:hint="default" w:ascii="Times New Roman" w:hAnsi="Times New Roman" w:eastAsia="微软雅黑" w:cs="Times New Roman"/>
          <w:sz w:val="28"/>
          <w:lang w:eastAsia="zh-CN"/>
        </w:rPr>
        <w:t>{% if importantTargetedDiseaseName == ‘泌尿系统癌症’%}泌尿系统肿瘤重要靶向用药{%else%}{% if importantTargetedDiseaseName == ‘泛癌种’%}重要靶向用药{%else%}{% if importantTargetedDiseaseName == ‘肺癌’%}肺癌{% elif importantTargetedDiseaseName == ‘结直肠癌’ %}结直肠癌{% elif importantTargetedDiseaseName == ‘乳腺癌’ %}乳腺癌{% endif %}精准诊疗{% endif %}{% endif %}相关基因结果汇总</w:t>
      </w:r>
      <w:r>
        <w:rPr>
          <w:rStyle w:val="19"/>
          <w:rFonts w:hint="eastAsia" w:ascii="Times New Roman" w:hAnsi="Times New Roman" w:eastAsia="微软雅黑" w:cs="Times New Roman"/>
          <w:sz w:val="28"/>
          <w:lang w:eastAsia="zh-CN"/>
        </w:rPr>
        <w:tab/>
      </w:r>
      <w:r>
        <w:rPr>
          <w:rStyle w:val="19"/>
          <w:rFonts w:hint="eastAsia" w:ascii="Times New Roman" w:hAnsi="Times New Roman" w:eastAsia="微软雅黑" w:cs="Times New Roman"/>
          <w:sz w:val="28"/>
          <w:lang w:eastAsia="zh-CN"/>
        </w:rPr>
        <w:fldChar w:fldCharType="begin"/>
      </w:r>
      <w:r>
        <w:rPr>
          <w:rStyle w:val="19"/>
          <w:rFonts w:hint="eastAsia" w:ascii="Times New Roman" w:hAnsi="Times New Roman" w:eastAsia="微软雅黑" w:cs="Times New Roman"/>
          <w:sz w:val="28"/>
          <w:lang w:eastAsia="zh-CN"/>
        </w:rPr>
        <w:instrText xml:space="preserve"> PAGEREF _Toc13823 \h </w:instrText>
      </w:r>
      <w:r>
        <w:rPr>
          <w:rStyle w:val="19"/>
          <w:rFonts w:hint="eastAsia"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eastAsia="zh-CN"/>
        </w:rPr>
        <w:t>4</w:t>
      </w:r>
      <w:r>
        <w:rPr>
          <w:rStyle w:val="19"/>
          <w:rFonts w:hint="eastAsia" w:ascii="Times New Roman" w:hAnsi="Times New Roman" w:eastAsia="微软雅黑" w:cs="Times New Roman"/>
          <w:sz w:val="28"/>
          <w:lang w:eastAsia="zh-CN"/>
        </w:rPr>
        <w:fldChar w:fldCharType="end"/>
      </w:r>
      <w:r>
        <w:rPr>
          <w:rStyle w:val="19"/>
          <w:rFonts w:hint="default" w:ascii="Times New Roman" w:hAnsi="Times New Roman" w:eastAsia="微软雅黑" w:cs="Times New Roman"/>
          <w:sz w:val="28"/>
          <w:lang w:eastAsia="zh-CN"/>
        </w:rPr>
        <w:fldChar w:fldCharType="end"/>
      </w:r>
    </w:p>
    <w:p w14:paraId="7C7A42BB">
      <w:pPr>
        <w:pStyle w:val="11"/>
        <w:tabs>
          <w:tab w:val="right" w:leader="dot" w:pos="9871"/>
        </w:tabs>
      </w:pPr>
      <w:r>
        <w:rPr>
          <w:rFonts w:hint="default" w:ascii="Times New Roman" w:hAnsi="Times New Roman" w:eastAsia="微软雅黑" w:cs="Times New Roman"/>
          <w:b/>
          <w:color w:val="62B541"/>
          <w:sz w:val="32"/>
          <w:lang w:eastAsia="zh-CN"/>
        </w:rPr>
        <w:fldChar w:fldCharType="begin"/>
      </w:r>
      <w:r>
        <w:rPr>
          <w:rFonts w:hint="default" w:ascii="Times New Roman" w:hAnsi="Times New Roman" w:eastAsia="微软雅黑" w:cs="Times New Roman"/>
          <w:b/>
          <w:color w:val="62B541"/>
          <w:sz w:val="32"/>
          <w:lang w:eastAsia="zh-CN"/>
        </w:rPr>
        <w:instrText xml:space="preserve"> HYPERLINK \l _Toc31307 </w:instrText>
      </w:r>
      <w:r>
        <w:rPr>
          <w:rFonts w:hint="default" w:ascii="Times New Roman" w:hAnsi="Times New Roman" w:eastAsia="微软雅黑" w:cs="Times New Roman"/>
          <w:b/>
          <w:color w:val="62B541"/>
          <w:sz w:val="32"/>
          <w:lang w:eastAsia="zh-CN"/>
        </w:rPr>
        <w:fldChar w:fldCharType="separate"/>
      </w:r>
      <w:r>
        <w:rPr>
          <w:rFonts w:hint="eastAsia" w:ascii="Times New Roman" w:hAnsi="Times New Roman" w:eastAsia="微软雅黑" w:cs="Times New Roman"/>
          <w:b/>
          <w:color w:val="62B541"/>
          <w:sz w:val="32"/>
          <w:lang w:eastAsia="zh-CN"/>
        </w:rPr>
        <w:t>检测结果及用药提示</w:t>
      </w:r>
      <w:r>
        <w:rPr>
          <w:rFonts w:hint="eastAsia" w:ascii="Times New Roman" w:hAnsi="Times New Roman" w:eastAsia="微软雅黑" w:cs="Times New Roman"/>
          <w:b/>
          <w:color w:val="62B541"/>
          <w:sz w:val="32"/>
          <w:lang w:eastAsia="zh-CN"/>
        </w:rPr>
        <w:tab/>
      </w:r>
      <w:r>
        <w:rPr>
          <w:rFonts w:hint="eastAsia" w:ascii="Times New Roman" w:hAnsi="Times New Roman" w:eastAsia="微软雅黑" w:cs="Times New Roman"/>
          <w:b/>
          <w:color w:val="62B541"/>
          <w:sz w:val="32"/>
          <w:lang w:eastAsia="zh-CN"/>
        </w:rPr>
        <w:fldChar w:fldCharType="begin"/>
      </w:r>
      <w:r>
        <w:rPr>
          <w:rFonts w:hint="eastAsia" w:ascii="Times New Roman" w:hAnsi="Times New Roman" w:eastAsia="微软雅黑" w:cs="Times New Roman"/>
          <w:b/>
          <w:color w:val="62B541"/>
          <w:sz w:val="32"/>
          <w:lang w:eastAsia="zh-CN"/>
        </w:rPr>
        <w:instrText xml:space="preserve"> PAGEREF _Toc31307 \h </w:instrText>
      </w:r>
      <w:r>
        <w:rPr>
          <w:rFonts w:hint="eastAsia" w:ascii="Times New Roman" w:hAnsi="Times New Roman" w:eastAsia="微软雅黑" w:cs="Times New Roman"/>
          <w:b/>
          <w:color w:val="62B541"/>
          <w:sz w:val="32"/>
          <w:lang w:eastAsia="zh-CN"/>
        </w:rPr>
        <w:fldChar w:fldCharType="separate"/>
      </w:r>
      <w:r>
        <w:rPr>
          <w:rFonts w:hint="eastAsia" w:ascii="Times New Roman" w:hAnsi="Times New Roman" w:eastAsia="微软雅黑" w:cs="Times New Roman"/>
          <w:b/>
          <w:color w:val="62B541"/>
          <w:sz w:val="32"/>
          <w:lang w:eastAsia="zh-CN"/>
        </w:rPr>
        <w:t>5</w:t>
      </w:r>
      <w:r>
        <w:rPr>
          <w:rFonts w:hint="eastAsia" w:ascii="Times New Roman" w:hAnsi="Times New Roman" w:eastAsia="微软雅黑" w:cs="Times New Roman"/>
          <w:b/>
          <w:color w:val="62B541"/>
          <w:sz w:val="32"/>
          <w:lang w:eastAsia="zh-CN"/>
        </w:rPr>
        <w:fldChar w:fldCharType="end"/>
      </w:r>
      <w:r>
        <w:rPr>
          <w:rFonts w:hint="default" w:ascii="Times New Roman" w:hAnsi="Times New Roman" w:eastAsia="微软雅黑" w:cs="Times New Roman"/>
          <w:b/>
          <w:color w:val="62B541"/>
          <w:sz w:val="32"/>
          <w:lang w:eastAsia="zh-CN"/>
        </w:rPr>
        <w:fldChar w:fldCharType="end"/>
      </w:r>
      <w:r>
        <w:rPr>
          <w:rFonts w:hint="default" w:ascii="Times New Roman" w:hAnsi="Times New Roman" w:eastAsia="微软雅黑" w:cs="Times New Roman"/>
          <w:sz w:val="24"/>
          <w:szCs w:val="24"/>
          <w:lang w:eastAsia="zh-CN"/>
        </w:rPr>
        <w:t>{% if endometrialCarcinoma == True %}</w:t>
      </w:r>
    </w:p>
    <w:p w14:paraId="21F49CCE">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9"/>
          <w:rFonts w:hint="eastAsia" w:ascii="Times New Roman" w:hAnsi="Times New Roman" w:eastAsia="微软雅黑" w:cs="Times New Roman"/>
          <w:sz w:val="28"/>
          <w:lang w:eastAsia="zh-CN"/>
        </w:rPr>
      </w:pP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HYPERLINK \l _Toc4693 </w:instrText>
      </w:r>
      <w:r>
        <w:rPr>
          <w:rStyle w:val="19"/>
          <w:rFonts w:hint="default"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eastAsia="zh-CN"/>
        </w:rPr>
        <w:t>子宫内膜癌TCGA分子分型检测结果</w:t>
      </w:r>
      <w:r>
        <w:rPr>
          <w:rStyle w:val="19"/>
          <w:rFonts w:hint="eastAsia" w:ascii="Times New Roman" w:hAnsi="Times New Roman" w:eastAsia="微软雅黑" w:cs="Times New Roman"/>
          <w:sz w:val="28"/>
          <w:lang w:eastAsia="zh-CN"/>
        </w:rPr>
        <w:tab/>
      </w:r>
      <w:r>
        <w:rPr>
          <w:rStyle w:val="19"/>
          <w:rFonts w:hint="eastAsia" w:ascii="Times New Roman" w:hAnsi="Times New Roman" w:eastAsia="微软雅黑" w:cs="Times New Roman"/>
          <w:sz w:val="28"/>
          <w:lang w:eastAsia="zh-CN"/>
        </w:rPr>
        <w:fldChar w:fldCharType="begin"/>
      </w:r>
      <w:r>
        <w:rPr>
          <w:rStyle w:val="19"/>
          <w:rFonts w:hint="eastAsia" w:ascii="Times New Roman" w:hAnsi="Times New Roman" w:eastAsia="微软雅黑" w:cs="Times New Roman"/>
          <w:sz w:val="28"/>
          <w:lang w:eastAsia="zh-CN"/>
        </w:rPr>
        <w:instrText xml:space="preserve"> PAGEREF _Toc4693 \h </w:instrText>
      </w:r>
      <w:r>
        <w:rPr>
          <w:rStyle w:val="19"/>
          <w:rFonts w:hint="eastAsia"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eastAsia="zh-CN"/>
        </w:rPr>
        <w:t>5</w:t>
      </w:r>
      <w:r>
        <w:rPr>
          <w:rStyle w:val="19"/>
          <w:rFonts w:hint="eastAsia" w:ascii="Times New Roman" w:hAnsi="Times New Roman" w:eastAsia="微软雅黑" w:cs="Times New Roman"/>
          <w:sz w:val="28"/>
          <w:lang w:eastAsia="zh-CN"/>
        </w:rPr>
        <w:fldChar w:fldCharType="end"/>
      </w:r>
      <w:r>
        <w:rPr>
          <w:rStyle w:val="19"/>
          <w:rFonts w:hint="default" w:ascii="Times New Roman" w:hAnsi="Times New Roman" w:eastAsia="微软雅黑" w:cs="Times New Roman"/>
          <w:sz w:val="28"/>
          <w:lang w:eastAsia="zh-CN"/>
        </w:rPr>
        <w:fldChar w:fldCharType="end"/>
      </w:r>
      <w:r>
        <w:rPr>
          <w:rFonts w:hint="default" w:ascii="Times New Roman" w:hAnsi="Times New Roman" w:eastAsia="微软雅黑" w:cs="Times New Roman"/>
          <w:sz w:val="24"/>
          <w:szCs w:val="24"/>
          <w:lang w:eastAsia="zh-CN"/>
        </w:rPr>
        <w:t>{% endif %}</w:t>
      </w:r>
    </w:p>
    <w:p w14:paraId="17FB9752">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9"/>
          <w:rFonts w:hint="eastAsia" w:ascii="Times New Roman" w:hAnsi="Times New Roman" w:eastAsia="微软雅黑" w:cs="Times New Roman"/>
          <w:sz w:val="28"/>
          <w:lang w:eastAsia="zh-CN"/>
        </w:rPr>
      </w:pP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HYPERLINK \l _Toc10653 </w:instrText>
      </w:r>
      <w:r>
        <w:rPr>
          <w:rStyle w:val="19"/>
          <w:rFonts w:hint="default"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eastAsia="zh-CN"/>
        </w:rPr>
        <w:t>体细胞变异分级提示</w:t>
      </w:r>
      <w:r>
        <w:rPr>
          <w:rStyle w:val="19"/>
          <w:rFonts w:hint="eastAsia" w:ascii="Times New Roman" w:hAnsi="Times New Roman" w:eastAsia="微软雅黑" w:cs="Times New Roman"/>
          <w:sz w:val="28"/>
          <w:lang w:eastAsia="zh-CN"/>
        </w:rPr>
        <w:tab/>
      </w:r>
      <w:r>
        <w:rPr>
          <w:rStyle w:val="19"/>
          <w:rFonts w:hint="eastAsia" w:ascii="Times New Roman" w:hAnsi="Times New Roman" w:eastAsia="微软雅黑" w:cs="Times New Roman"/>
          <w:sz w:val="28"/>
          <w:lang w:eastAsia="zh-CN"/>
        </w:rPr>
        <w:fldChar w:fldCharType="begin"/>
      </w:r>
      <w:r>
        <w:rPr>
          <w:rStyle w:val="19"/>
          <w:rFonts w:hint="eastAsia" w:ascii="Times New Roman" w:hAnsi="Times New Roman" w:eastAsia="微软雅黑" w:cs="Times New Roman"/>
          <w:sz w:val="28"/>
          <w:lang w:eastAsia="zh-CN"/>
        </w:rPr>
        <w:instrText xml:space="preserve"> PAGEREF _Toc10653 \h </w:instrText>
      </w:r>
      <w:r>
        <w:rPr>
          <w:rStyle w:val="19"/>
          <w:rFonts w:hint="eastAsia"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eastAsia="zh-CN"/>
        </w:rPr>
        <w:t>6</w:t>
      </w:r>
      <w:r>
        <w:rPr>
          <w:rStyle w:val="19"/>
          <w:rFonts w:hint="eastAsia" w:ascii="Times New Roman" w:hAnsi="Times New Roman" w:eastAsia="微软雅黑" w:cs="Times New Roman"/>
          <w:sz w:val="28"/>
          <w:lang w:eastAsia="zh-CN"/>
        </w:rPr>
        <w:fldChar w:fldCharType="end"/>
      </w:r>
      <w:r>
        <w:rPr>
          <w:rStyle w:val="19"/>
          <w:rFonts w:hint="default" w:ascii="Times New Roman" w:hAnsi="Times New Roman" w:eastAsia="微软雅黑" w:cs="Times New Roman"/>
          <w:sz w:val="28"/>
          <w:lang w:eastAsia="zh-CN"/>
        </w:rPr>
        <w:fldChar w:fldCharType="end"/>
      </w:r>
    </w:p>
    <w:p w14:paraId="2C1BC56B">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9"/>
          <w:rFonts w:hint="eastAsia" w:ascii="Times New Roman" w:hAnsi="Times New Roman" w:eastAsia="微软雅黑" w:cs="Times New Roman"/>
          <w:sz w:val="28"/>
          <w:lang w:eastAsia="zh-CN"/>
        </w:rPr>
      </w:pP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HYPERLINK \l _Toc23296 </w:instrText>
      </w:r>
      <w:r>
        <w:rPr>
          <w:rStyle w:val="19"/>
          <w:rFonts w:hint="default"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eastAsia="zh-CN"/>
        </w:rPr>
        <w:t>胚系变异结果提示</w:t>
      </w:r>
      <w:r>
        <w:rPr>
          <w:rStyle w:val="19"/>
          <w:rFonts w:hint="eastAsia" w:ascii="Times New Roman" w:hAnsi="Times New Roman" w:eastAsia="微软雅黑" w:cs="Times New Roman"/>
          <w:sz w:val="28"/>
          <w:lang w:eastAsia="zh-CN"/>
        </w:rPr>
        <w:tab/>
      </w:r>
      <w:r>
        <w:rPr>
          <w:rStyle w:val="19"/>
          <w:rFonts w:hint="eastAsia" w:ascii="Times New Roman" w:hAnsi="Times New Roman" w:eastAsia="微软雅黑" w:cs="Times New Roman"/>
          <w:sz w:val="28"/>
          <w:lang w:eastAsia="zh-CN"/>
        </w:rPr>
        <w:fldChar w:fldCharType="begin"/>
      </w:r>
      <w:r>
        <w:rPr>
          <w:rStyle w:val="19"/>
          <w:rFonts w:hint="eastAsia" w:ascii="Times New Roman" w:hAnsi="Times New Roman" w:eastAsia="微软雅黑" w:cs="Times New Roman"/>
          <w:sz w:val="28"/>
          <w:lang w:eastAsia="zh-CN"/>
        </w:rPr>
        <w:instrText xml:space="preserve"> PAGEREF _Toc23296 \h </w:instrText>
      </w:r>
      <w:r>
        <w:rPr>
          <w:rStyle w:val="19"/>
          <w:rFonts w:hint="eastAsia"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eastAsia="zh-CN"/>
        </w:rPr>
        <w:t>9</w:t>
      </w:r>
      <w:r>
        <w:rPr>
          <w:rStyle w:val="19"/>
          <w:rFonts w:hint="eastAsia" w:ascii="Times New Roman" w:hAnsi="Times New Roman" w:eastAsia="微软雅黑" w:cs="Times New Roman"/>
          <w:sz w:val="28"/>
          <w:lang w:eastAsia="zh-CN"/>
        </w:rPr>
        <w:fldChar w:fldCharType="end"/>
      </w:r>
      <w:r>
        <w:rPr>
          <w:rStyle w:val="19"/>
          <w:rFonts w:hint="default" w:ascii="Times New Roman" w:hAnsi="Times New Roman" w:eastAsia="微软雅黑" w:cs="Times New Roman"/>
          <w:sz w:val="28"/>
          <w:lang w:eastAsia="zh-CN"/>
        </w:rPr>
        <w:fldChar w:fldCharType="end"/>
      </w:r>
      <w:r>
        <w:rPr>
          <w:rFonts w:hint="eastAsia" w:ascii="Times New Roman" w:hAnsi="Times New Roman" w:eastAsia="微软雅黑" w:cs="Times New Roman"/>
          <w:sz w:val="24"/>
          <w:szCs w:val="24"/>
          <w:lang w:eastAsia="zh-CN"/>
        </w:rPr>
        <w:t xml:space="preserve">{%if </w:t>
      </w:r>
      <w:r>
        <w:rPr>
          <w:rFonts w:hint="default" w:ascii="Times New Roman" w:hAnsi="Times New Roman" w:eastAsia="微软雅黑" w:cs="Times New Roman"/>
          <w:sz w:val="24"/>
          <w:szCs w:val="24"/>
          <w:lang w:val="en-US" w:eastAsia="zh-CN"/>
        </w:rPr>
        <w:t>2531</w:t>
      </w:r>
      <w:r>
        <w:rPr>
          <w:rFonts w:hint="eastAsia" w:ascii="Times New Roman" w:hAnsi="Times New Roman" w:eastAsia="微软雅黑" w:cs="Times New Roman"/>
          <w:sz w:val="24"/>
          <w:szCs w:val="24"/>
          <w:lang w:val="en-US" w:eastAsia="zh-CN"/>
        </w:rPr>
        <w:t xml:space="preserve"> not in </w:t>
      </w:r>
      <w:r>
        <w:rPr>
          <w:rFonts w:hint="eastAsia" w:ascii="Times New Roman" w:hAnsi="Times New Roman" w:eastAsia="微软雅黑" w:cs="Times New Roman"/>
          <w:sz w:val="24"/>
          <w:szCs w:val="24"/>
          <w:lang w:eastAsia="zh-CN"/>
        </w:rPr>
        <w:t>diseaseIdList %}</w:t>
      </w:r>
    </w:p>
    <w:p w14:paraId="43202701">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9"/>
          <w:rFonts w:hint="eastAsia" w:ascii="Times New Roman" w:hAnsi="Times New Roman" w:eastAsia="微软雅黑" w:cs="Times New Roman"/>
          <w:sz w:val="24"/>
          <w:szCs w:val="24"/>
          <w:lang w:eastAsia="zh-CN"/>
        </w:rPr>
      </w:pP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HYPERLINK \l _Toc24787 </w:instrText>
      </w:r>
      <w:r>
        <w:rPr>
          <w:rStyle w:val="19"/>
          <w:rFonts w:hint="default"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eastAsia="zh-CN"/>
        </w:rPr>
        <w:t>本癌种FDA/NMPA获批的其他可选靶向药物</w:t>
      </w:r>
      <w:r>
        <w:rPr>
          <w:rStyle w:val="19"/>
          <w:rFonts w:hint="eastAsia" w:ascii="Times New Roman" w:hAnsi="Times New Roman" w:eastAsia="微软雅黑" w:cs="Times New Roman"/>
          <w:sz w:val="28"/>
          <w:lang w:eastAsia="zh-CN"/>
        </w:rPr>
        <w:tab/>
      </w:r>
      <w:r>
        <w:rPr>
          <w:rStyle w:val="19"/>
          <w:rFonts w:hint="eastAsia" w:ascii="Times New Roman" w:hAnsi="Times New Roman" w:eastAsia="微软雅黑" w:cs="Times New Roman"/>
          <w:sz w:val="28"/>
          <w:lang w:eastAsia="zh-CN"/>
        </w:rPr>
        <w:fldChar w:fldCharType="begin"/>
      </w:r>
      <w:r>
        <w:rPr>
          <w:rStyle w:val="19"/>
          <w:rFonts w:hint="eastAsia" w:ascii="Times New Roman" w:hAnsi="Times New Roman" w:eastAsia="微软雅黑" w:cs="Times New Roman"/>
          <w:sz w:val="28"/>
          <w:lang w:eastAsia="zh-CN"/>
        </w:rPr>
        <w:instrText xml:space="preserve"> PAGEREF _Toc24787 \h </w:instrText>
      </w:r>
      <w:r>
        <w:rPr>
          <w:rStyle w:val="19"/>
          <w:rFonts w:hint="eastAsia"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eastAsia="zh-CN"/>
        </w:rPr>
        <w:t>11</w:t>
      </w:r>
      <w:r>
        <w:rPr>
          <w:rStyle w:val="19"/>
          <w:rFonts w:hint="eastAsia" w:ascii="Times New Roman" w:hAnsi="Times New Roman" w:eastAsia="微软雅黑" w:cs="Times New Roman"/>
          <w:sz w:val="28"/>
          <w:lang w:eastAsia="zh-CN"/>
        </w:rPr>
        <w:fldChar w:fldCharType="end"/>
      </w:r>
      <w:r>
        <w:rPr>
          <w:rStyle w:val="19"/>
          <w:rFonts w:hint="default" w:ascii="Times New Roman" w:hAnsi="Times New Roman" w:eastAsia="微软雅黑" w:cs="Times New Roman"/>
          <w:sz w:val="28"/>
          <w:lang w:eastAsia="zh-CN"/>
        </w:rPr>
        <w:fldChar w:fldCharType="end"/>
      </w:r>
      <w:r>
        <w:rPr>
          <w:rFonts w:hint="default" w:ascii="Times New Roman" w:hAnsi="Times New Roman" w:eastAsia="微软雅黑" w:cs="Times New Roman"/>
          <w:sz w:val="24"/>
          <w:szCs w:val="24"/>
          <w:lang w:eastAsia="zh-CN"/>
        </w:rPr>
        <w:t>{</w:t>
      </w:r>
      <w:r>
        <w:rPr>
          <w:rStyle w:val="19"/>
          <w:rFonts w:hint="default" w:ascii="Times New Roman" w:hAnsi="Times New Roman" w:eastAsia="微软雅黑" w:cs="Times New Roman"/>
          <w:sz w:val="24"/>
          <w:szCs w:val="24"/>
          <w:lang w:eastAsia="zh-CN"/>
        </w:rPr>
        <w:t>% endif %}{%if prostateCancerFlag == True %}</w:t>
      </w:r>
    </w:p>
    <w:p w14:paraId="7064D677">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9"/>
          <w:rFonts w:hint="eastAsia" w:ascii="Times New Roman" w:hAnsi="Times New Roman" w:eastAsia="微软雅黑" w:cs="Times New Roman"/>
          <w:sz w:val="28"/>
          <w:lang w:eastAsia="zh-CN"/>
        </w:rPr>
      </w:pP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HYPERLINK \l _Toc16984 </w:instrText>
      </w:r>
      <w:r>
        <w:rPr>
          <w:rStyle w:val="19"/>
          <w:rFonts w:hint="default"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eastAsia="zh-CN"/>
        </w:rPr>
        <w:t>内分泌相关</w:t>
      </w:r>
      <w:r>
        <w:rPr>
          <w:rStyle w:val="19"/>
          <w:rFonts w:hint="eastAsia" w:ascii="Times New Roman" w:hAnsi="Times New Roman" w:eastAsia="微软雅黑" w:cs="Times New Roman"/>
          <w:sz w:val="28"/>
          <w:lang w:eastAsia="zh-CN"/>
        </w:rPr>
        <w:tab/>
      </w:r>
      <w:r>
        <w:rPr>
          <w:rStyle w:val="19"/>
          <w:rFonts w:hint="eastAsia" w:ascii="Times New Roman" w:hAnsi="Times New Roman" w:eastAsia="微软雅黑" w:cs="Times New Roman"/>
          <w:sz w:val="28"/>
          <w:lang w:eastAsia="zh-CN"/>
        </w:rPr>
        <w:fldChar w:fldCharType="begin"/>
      </w:r>
      <w:r>
        <w:rPr>
          <w:rStyle w:val="19"/>
          <w:rFonts w:hint="eastAsia" w:ascii="Times New Roman" w:hAnsi="Times New Roman" w:eastAsia="微软雅黑" w:cs="Times New Roman"/>
          <w:sz w:val="28"/>
          <w:lang w:eastAsia="zh-CN"/>
        </w:rPr>
        <w:instrText xml:space="preserve"> PAGEREF _Toc16984 \h </w:instrText>
      </w:r>
      <w:r>
        <w:rPr>
          <w:rStyle w:val="19"/>
          <w:rFonts w:hint="eastAsia"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eastAsia="zh-CN"/>
        </w:rPr>
        <w:t>12</w:t>
      </w:r>
      <w:r>
        <w:rPr>
          <w:rStyle w:val="19"/>
          <w:rFonts w:hint="eastAsia" w:ascii="Times New Roman" w:hAnsi="Times New Roman" w:eastAsia="微软雅黑" w:cs="Times New Roman"/>
          <w:sz w:val="28"/>
          <w:lang w:eastAsia="zh-CN"/>
        </w:rPr>
        <w:fldChar w:fldCharType="end"/>
      </w:r>
      <w:r>
        <w:rPr>
          <w:rStyle w:val="19"/>
          <w:rFonts w:hint="default" w:ascii="Times New Roman" w:hAnsi="Times New Roman" w:eastAsia="微软雅黑" w:cs="Times New Roman"/>
          <w:sz w:val="28"/>
          <w:lang w:eastAsia="zh-CN"/>
        </w:rPr>
        <w:fldChar w:fldCharType="end"/>
      </w:r>
      <w:r>
        <w:rPr>
          <w:rFonts w:hint="default" w:ascii="Times New Roman" w:hAnsi="Times New Roman" w:eastAsia="微软雅黑" w:cs="Times New Roman"/>
          <w:sz w:val="24"/>
          <w:szCs w:val="24"/>
          <w:lang w:eastAsia="zh-CN"/>
        </w:rPr>
        <w:t>{% endif %}</w:t>
      </w:r>
    </w:p>
    <w:p w14:paraId="011E6623">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9"/>
          <w:rFonts w:hint="eastAsia" w:ascii="Times New Roman" w:hAnsi="Times New Roman" w:eastAsia="微软雅黑" w:cs="Times New Roman"/>
          <w:sz w:val="28"/>
          <w:lang w:eastAsia="zh-CN"/>
        </w:rPr>
      </w:pP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HYPERLINK \l _Toc16895 </w:instrText>
      </w:r>
      <w:r>
        <w:rPr>
          <w:rStyle w:val="19"/>
          <w:rFonts w:hint="default"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eastAsia="zh-CN"/>
        </w:rPr>
        <w:t>免疫药物用药提示</w:t>
      </w:r>
      <w:r>
        <w:rPr>
          <w:rStyle w:val="19"/>
          <w:rFonts w:hint="eastAsia" w:ascii="Times New Roman" w:hAnsi="Times New Roman" w:eastAsia="微软雅黑" w:cs="Times New Roman"/>
          <w:sz w:val="28"/>
          <w:lang w:eastAsia="zh-CN"/>
        </w:rPr>
        <w:tab/>
      </w:r>
      <w:r>
        <w:rPr>
          <w:rStyle w:val="19"/>
          <w:rFonts w:hint="eastAsia" w:ascii="Times New Roman" w:hAnsi="Times New Roman" w:eastAsia="微软雅黑" w:cs="Times New Roman"/>
          <w:sz w:val="28"/>
          <w:lang w:eastAsia="zh-CN"/>
        </w:rPr>
        <w:fldChar w:fldCharType="begin"/>
      </w:r>
      <w:r>
        <w:rPr>
          <w:rStyle w:val="19"/>
          <w:rFonts w:hint="eastAsia" w:ascii="Times New Roman" w:hAnsi="Times New Roman" w:eastAsia="微软雅黑" w:cs="Times New Roman"/>
          <w:sz w:val="28"/>
          <w:lang w:eastAsia="zh-CN"/>
        </w:rPr>
        <w:instrText xml:space="preserve"> PAGEREF _Toc16895 \h </w:instrText>
      </w:r>
      <w:r>
        <w:rPr>
          <w:rStyle w:val="19"/>
          <w:rFonts w:hint="eastAsia"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eastAsia="zh-CN"/>
        </w:rPr>
        <w:t>14</w:t>
      </w:r>
      <w:r>
        <w:rPr>
          <w:rStyle w:val="19"/>
          <w:rFonts w:hint="eastAsia" w:ascii="Times New Roman" w:hAnsi="Times New Roman" w:eastAsia="微软雅黑" w:cs="Times New Roman"/>
          <w:sz w:val="28"/>
          <w:lang w:eastAsia="zh-CN"/>
        </w:rPr>
        <w:fldChar w:fldCharType="end"/>
      </w:r>
      <w:r>
        <w:rPr>
          <w:rStyle w:val="19"/>
          <w:rFonts w:hint="default" w:ascii="Times New Roman" w:hAnsi="Times New Roman" w:eastAsia="微软雅黑" w:cs="Times New Roman"/>
          <w:sz w:val="28"/>
          <w:lang w:eastAsia="zh-CN"/>
        </w:rPr>
        <w:fldChar w:fldCharType="end"/>
      </w:r>
      <w:r>
        <w:rPr>
          <w:rFonts w:hint="default" w:ascii="Times New Roman" w:hAnsi="Times New Roman" w:eastAsia="微软雅黑" w:cs="Times New Roman"/>
          <w:sz w:val="24"/>
          <w:szCs w:val="24"/>
          <w:lang w:eastAsia="zh-CN"/>
        </w:rPr>
        <w:t>{%if PDInfo != undefined %}</w:t>
      </w:r>
    </w:p>
    <w:p w14:paraId="740E4EB7">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pP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HYPERLINK \l _Toc7893 </w:instrText>
      </w:r>
      <w:r>
        <w:rPr>
          <w:rStyle w:val="19"/>
          <w:rFonts w:hint="default"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eastAsia="zh-CN"/>
        </w:rPr>
        <w:t>PD-L1检测结果</w:t>
      </w:r>
      <w:r>
        <w:rPr>
          <w:rStyle w:val="19"/>
          <w:rFonts w:hint="eastAsia" w:ascii="Times New Roman" w:hAnsi="Times New Roman" w:eastAsia="微软雅黑" w:cs="Times New Roman"/>
          <w:sz w:val="28"/>
          <w:lang w:eastAsia="zh-CN"/>
        </w:rPr>
        <w:tab/>
      </w:r>
      <w:r>
        <w:rPr>
          <w:rStyle w:val="19"/>
          <w:rFonts w:hint="eastAsia" w:ascii="Times New Roman" w:hAnsi="Times New Roman" w:eastAsia="微软雅黑" w:cs="Times New Roman"/>
          <w:sz w:val="28"/>
          <w:lang w:eastAsia="zh-CN"/>
        </w:rPr>
        <w:fldChar w:fldCharType="begin"/>
      </w:r>
      <w:r>
        <w:rPr>
          <w:rStyle w:val="19"/>
          <w:rFonts w:hint="eastAsia" w:ascii="Times New Roman" w:hAnsi="Times New Roman" w:eastAsia="微软雅黑" w:cs="Times New Roman"/>
          <w:sz w:val="28"/>
          <w:lang w:eastAsia="zh-CN"/>
        </w:rPr>
        <w:instrText xml:space="preserve"> PAGEREF _Toc7893 \h </w:instrText>
      </w:r>
      <w:r>
        <w:rPr>
          <w:rStyle w:val="19"/>
          <w:rFonts w:hint="eastAsia"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eastAsia="zh-CN"/>
        </w:rPr>
        <w:t>20</w:t>
      </w:r>
      <w:r>
        <w:rPr>
          <w:rStyle w:val="19"/>
          <w:rFonts w:hint="eastAsia" w:ascii="Times New Roman" w:hAnsi="Times New Roman" w:eastAsia="微软雅黑" w:cs="Times New Roman"/>
          <w:sz w:val="28"/>
          <w:lang w:eastAsia="zh-CN"/>
        </w:rPr>
        <w:fldChar w:fldCharType="end"/>
      </w:r>
      <w:r>
        <w:rPr>
          <w:rStyle w:val="19"/>
          <w:rFonts w:hint="default" w:ascii="Times New Roman" w:hAnsi="Times New Roman" w:eastAsia="微软雅黑" w:cs="Times New Roman"/>
          <w:sz w:val="28"/>
          <w:lang w:eastAsia="zh-CN"/>
        </w:rPr>
        <w:fldChar w:fldCharType="end"/>
      </w:r>
      <w:r>
        <w:rPr>
          <w:rFonts w:hint="default" w:ascii="Times New Roman" w:hAnsi="Times New Roman" w:eastAsia="微软雅黑" w:cs="Times New Roman"/>
          <w:sz w:val="24"/>
          <w:szCs w:val="24"/>
          <w:lang w:eastAsia="zh-CN"/>
        </w:rPr>
        <w:t>{% endif %}</w:t>
      </w:r>
    </w:p>
    <w:p w14:paraId="2DC55F0D">
      <w:pPr>
        <w:pStyle w:val="11"/>
        <w:tabs>
          <w:tab w:val="right" w:leader="dot" w:pos="9871"/>
        </w:tabs>
      </w:pPr>
      <w:r>
        <w:rPr>
          <w:rFonts w:hint="default" w:ascii="Times New Roman" w:hAnsi="Times New Roman" w:eastAsia="微软雅黑" w:cs="Times New Roman"/>
          <w:b/>
          <w:color w:val="62B541"/>
          <w:sz w:val="32"/>
          <w:lang w:eastAsia="zh-CN"/>
        </w:rPr>
        <w:fldChar w:fldCharType="begin"/>
      </w:r>
      <w:r>
        <w:rPr>
          <w:rFonts w:hint="default" w:ascii="Times New Roman" w:hAnsi="Times New Roman" w:eastAsia="微软雅黑" w:cs="Times New Roman"/>
          <w:b/>
          <w:color w:val="62B541"/>
          <w:sz w:val="32"/>
          <w:lang w:eastAsia="zh-CN"/>
        </w:rPr>
        <w:instrText xml:space="preserve"> HYPERLINK \l _Toc23461 </w:instrText>
      </w:r>
      <w:r>
        <w:rPr>
          <w:rFonts w:hint="default" w:ascii="Times New Roman" w:hAnsi="Times New Roman" w:eastAsia="微软雅黑" w:cs="Times New Roman"/>
          <w:b/>
          <w:color w:val="62B541"/>
          <w:sz w:val="32"/>
          <w:lang w:eastAsia="zh-CN"/>
        </w:rPr>
        <w:fldChar w:fldCharType="separate"/>
      </w:r>
      <w:r>
        <w:rPr>
          <w:rFonts w:hint="eastAsia" w:ascii="Times New Roman" w:hAnsi="Times New Roman" w:eastAsia="微软雅黑" w:cs="Times New Roman"/>
          <w:b/>
          <w:color w:val="62B541"/>
          <w:sz w:val="32"/>
          <w:lang w:eastAsia="zh-CN"/>
        </w:rPr>
        <w:t>基因检测结果解析</w:t>
      </w:r>
      <w:r>
        <w:rPr>
          <w:rFonts w:hint="eastAsia" w:ascii="Times New Roman" w:hAnsi="Times New Roman" w:eastAsia="微软雅黑" w:cs="Times New Roman"/>
          <w:b/>
          <w:color w:val="62B541"/>
          <w:sz w:val="32"/>
          <w:lang w:eastAsia="zh-CN"/>
        </w:rPr>
        <w:tab/>
      </w:r>
      <w:r>
        <w:rPr>
          <w:rFonts w:hint="eastAsia" w:ascii="Times New Roman" w:hAnsi="Times New Roman" w:eastAsia="微软雅黑" w:cs="Times New Roman"/>
          <w:b/>
          <w:color w:val="62B541"/>
          <w:sz w:val="32"/>
          <w:lang w:eastAsia="zh-CN"/>
        </w:rPr>
        <w:fldChar w:fldCharType="begin"/>
      </w:r>
      <w:r>
        <w:rPr>
          <w:rFonts w:hint="eastAsia" w:ascii="Times New Roman" w:hAnsi="Times New Roman" w:eastAsia="微软雅黑" w:cs="Times New Roman"/>
          <w:b/>
          <w:color w:val="62B541"/>
          <w:sz w:val="32"/>
          <w:lang w:eastAsia="zh-CN"/>
        </w:rPr>
        <w:instrText xml:space="preserve"> PAGEREF _Toc23461 \h </w:instrText>
      </w:r>
      <w:r>
        <w:rPr>
          <w:rFonts w:hint="eastAsia" w:ascii="Times New Roman" w:hAnsi="Times New Roman" w:eastAsia="微软雅黑" w:cs="Times New Roman"/>
          <w:b/>
          <w:color w:val="62B541"/>
          <w:sz w:val="32"/>
          <w:lang w:eastAsia="zh-CN"/>
        </w:rPr>
        <w:fldChar w:fldCharType="separate"/>
      </w:r>
      <w:r>
        <w:rPr>
          <w:rFonts w:hint="eastAsia" w:ascii="Times New Roman" w:hAnsi="Times New Roman" w:eastAsia="微软雅黑" w:cs="Times New Roman"/>
          <w:b/>
          <w:color w:val="62B541"/>
          <w:sz w:val="32"/>
          <w:lang w:eastAsia="zh-CN"/>
        </w:rPr>
        <w:t>23</w:t>
      </w:r>
      <w:r>
        <w:rPr>
          <w:rFonts w:hint="eastAsia" w:ascii="Times New Roman" w:hAnsi="Times New Roman" w:eastAsia="微软雅黑" w:cs="Times New Roman"/>
          <w:b/>
          <w:color w:val="62B541"/>
          <w:sz w:val="32"/>
          <w:lang w:eastAsia="zh-CN"/>
        </w:rPr>
        <w:fldChar w:fldCharType="end"/>
      </w:r>
      <w:r>
        <w:rPr>
          <w:rFonts w:hint="default" w:ascii="Times New Roman" w:hAnsi="Times New Roman" w:eastAsia="微软雅黑" w:cs="Times New Roman"/>
          <w:b/>
          <w:color w:val="62B541"/>
          <w:sz w:val="32"/>
          <w:lang w:eastAsia="zh-CN"/>
        </w:rPr>
        <w:fldChar w:fldCharType="end"/>
      </w:r>
      <w:r>
        <w:rPr>
          <w:rFonts w:hint="default" w:ascii="Times New Roman" w:hAnsi="Times New Roman" w:eastAsia="微软雅黑" w:cs="Times New Roman"/>
          <w:sz w:val="24"/>
          <w:szCs w:val="24"/>
          <w:lang w:eastAsia="zh-CN"/>
        </w:rPr>
        <w:t>{%if BodyDrugDrugDetectionStr or unknownVarAnalysisStr %}</w:t>
      </w:r>
    </w:p>
    <w:p w14:paraId="60E1DD7D">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9"/>
          <w:rFonts w:hint="eastAsia" w:ascii="Times New Roman" w:hAnsi="Times New Roman" w:eastAsia="微软雅黑" w:cs="Times New Roman"/>
          <w:sz w:val="28"/>
          <w:lang w:eastAsia="zh-CN"/>
        </w:rPr>
      </w:pP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HYPERLINK \l _Toc14125 </w:instrText>
      </w:r>
      <w:r>
        <w:rPr>
          <w:rStyle w:val="19"/>
          <w:rFonts w:hint="default"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eastAsia="zh-CN"/>
        </w:rPr>
        <w:t>体细胞变异结果解析</w:t>
      </w:r>
      <w:r>
        <w:rPr>
          <w:rStyle w:val="19"/>
          <w:rFonts w:hint="eastAsia" w:ascii="Times New Roman" w:hAnsi="Times New Roman" w:eastAsia="微软雅黑" w:cs="Times New Roman"/>
          <w:sz w:val="28"/>
          <w:lang w:eastAsia="zh-CN"/>
        </w:rPr>
        <w:tab/>
      </w:r>
      <w:r>
        <w:rPr>
          <w:rStyle w:val="19"/>
          <w:rFonts w:hint="eastAsia" w:ascii="Times New Roman" w:hAnsi="Times New Roman" w:eastAsia="微软雅黑" w:cs="Times New Roman"/>
          <w:sz w:val="28"/>
          <w:lang w:eastAsia="zh-CN"/>
        </w:rPr>
        <w:fldChar w:fldCharType="begin"/>
      </w:r>
      <w:r>
        <w:rPr>
          <w:rStyle w:val="19"/>
          <w:rFonts w:hint="eastAsia" w:ascii="Times New Roman" w:hAnsi="Times New Roman" w:eastAsia="微软雅黑" w:cs="Times New Roman"/>
          <w:sz w:val="28"/>
          <w:lang w:eastAsia="zh-CN"/>
        </w:rPr>
        <w:instrText xml:space="preserve"> PAGEREF _Toc14125 \h </w:instrText>
      </w:r>
      <w:r>
        <w:rPr>
          <w:rStyle w:val="19"/>
          <w:rFonts w:hint="eastAsia"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eastAsia="zh-CN"/>
        </w:rPr>
        <w:t>23</w:t>
      </w:r>
      <w:r>
        <w:rPr>
          <w:rStyle w:val="19"/>
          <w:rFonts w:hint="eastAsia" w:ascii="Times New Roman" w:hAnsi="Times New Roman" w:eastAsia="微软雅黑" w:cs="Times New Roman"/>
          <w:sz w:val="28"/>
          <w:lang w:eastAsia="zh-CN"/>
        </w:rPr>
        <w:fldChar w:fldCharType="end"/>
      </w:r>
      <w:r>
        <w:rPr>
          <w:rStyle w:val="19"/>
          <w:rFonts w:hint="default" w:ascii="Times New Roman" w:hAnsi="Times New Roman" w:eastAsia="微软雅黑" w:cs="Times New Roman"/>
          <w:sz w:val="28"/>
          <w:lang w:eastAsia="zh-CN"/>
        </w:rPr>
        <w:fldChar w:fldCharType="end"/>
      </w:r>
      <w:r>
        <w:rPr>
          <w:rFonts w:hint="default" w:ascii="Times New Roman" w:hAnsi="Times New Roman" w:eastAsia="微软雅黑" w:cs="Times New Roman"/>
          <w:sz w:val="24"/>
          <w:szCs w:val="24"/>
          <w:lang w:eastAsia="zh-CN"/>
        </w:rPr>
        <w:t>{% endif %}{%if geneticCancerRiskInfo %}</w:t>
      </w:r>
    </w:p>
    <w:p w14:paraId="6BEE7625">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9"/>
          <w:rFonts w:hint="eastAsia" w:ascii="Times New Roman" w:hAnsi="Times New Roman" w:eastAsia="微软雅黑" w:cs="Times New Roman"/>
          <w:sz w:val="28"/>
          <w:lang w:eastAsia="zh-CN"/>
        </w:rPr>
      </w:pP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HYPERLINK \l _Toc2779 </w:instrText>
      </w:r>
      <w:r>
        <w:rPr>
          <w:rStyle w:val="19"/>
          <w:rFonts w:hint="default"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eastAsia="zh-CN"/>
        </w:rPr>
        <w:t>胚系变异结果解析</w:t>
      </w:r>
      <w:r>
        <w:rPr>
          <w:rStyle w:val="19"/>
          <w:rFonts w:hint="eastAsia" w:ascii="Times New Roman" w:hAnsi="Times New Roman" w:eastAsia="微软雅黑" w:cs="Times New Roman"/>
          <w:sz w:val="28"/>
          <w:lang w:eastAsia="zh-CN"/>
        </w:rPr>
        <w:tab/>
      </w:r>
      <w:r>
        <w:rPr>
          <w:rStyle w:val="19"/>
          <w:rFonts w:hint="eastAsia" w:ascii="Times New Roman" w:hAnsi="Times New Roman" w:eastAsia="微软雅黑" w:cs="Times New Roman"/>
          <w:sz w:val="28"/>
          <w:lang w:eastAsia="zh-CN"/>
        </w:rPr>
        <w:fldChar w:fldCharType="begin"/>
      </w:r>
      <w:r>
        <w:rPr>
          <w:rStyle w:val="19"/>
          <w:rFonts w:hint="eastAsia" w:ascii="Times New Roman" w:hAnsi="Times New Roman" w:eastAsia="微软雅黑" w:cs="Times New Roman"/>
          <w:sz w:val="28"/>
          <w:lang w:eastAsia="zh-CN"/>
        </w:rPr>
        <w:instrText xml:space="preserve"> PAGEREF _Toc2779 \h </w:instrText>
      </w:r>
      <w:r>
        <w:rPr>
          <w:rStyle w:val="19"/>
          <w:rFonts w:hint="eastAsia"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eastAsia="zh-CN"/>
        </w:rPr>
        <w:t>26</w:t>
      </w:r>
      <w:r>
        <w:rPr>
          <w:rStyle w:val="19"/>
          <w:rFonts w:hint="eastAsia" w:ascii="Times New Roman" w:hAnsi="Times New Roman" w:eastAsia="微软雅黑" w:cs="Times New Roman"/>
          <w:sz w:val="28"/>
          <w:lang w:eastAsia="zh-CN"/>
        </w:rPr>
        <w:fldChar w:fldCharType="end"/>
      </w:r>
      <w:r>
        <w:rPr>
          <w:rStyle w:val="19"/>
          <w:rFonts w:hint="default" w:ascii="Times New Roman" w:hAnsi="Times New Roman" w:eastAsia="微软雅黑" w:cs="Times New Roman"/>
          <w:sz w:val="28"/>
          <w:lang w:eastAsia="zh-CN"/>
        </w:rPr>
        <w:fldChar w:fldCharType="end"/>
      </w:r>
      <w:r>
        <w:rPr>
          <w:rFonts w:hint="default" w:ascii="Times New Roman" w:hAnsi="Times New Roman" w:eastAsia="微软雅黑" w:cs="Times New Roman"/>
          <w:sz w:val="24"/>
          <w:szCs w:val="24"/>
          <w:lang w:eastAsia="zh-CN"/>
        </w:rPr>
        <w:t>{% endif %}</w:t>
      </w:r>
    </w:p>
    <w:p w14:paraId="0A2ED836">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9"/>
          <w:rFonts w:hint="eastAsia" w:ascii="Times New Roman" w:hAnsi="Times New Roman" w:eastAsia="微软雅黑" w:cs="Times New Roman"/>
          <w:sz w:val="28"/>
          <w:lang w:eastAsia="zh-CN"/>
        </w:rPr>
      </w:pP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HYPERLINK \l _Toc18547 </w:instrText>
      </w:r>
      <w:r>
        <w:rPr>
          <w:rStyle w:val="19"/>
          <w:rFonts w:hint="default"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eastAsia="zh-CN"/>
        </w:rPr>
        <w:t>免疫检测结果解析</w:t>
      </w:r>
      <w:r>
        <w:rPr>
          <w:rStyle w:val="19"/>
          <w:rFonts w:hint="eastAsia" w:ascii="Times New Roman" w:hAnsi="Times New Roman" w:eastAsia="微软雅黑" w:cs="Times New Roman"/>
          <w:sz w:val="28"/>
          <w:lang w:eastAsia="zh-CN"/>
        </w:rPr>
        <w:tab/>
      </w:r>
      <w:r>
        <w:rPr>
          <w:rStyle w:val="19"/>
          <w:rFonts w:hint="eastAsia" w:ascii="Times New Roman" w:hAnsi="Times New Roman" w:eastAsia="微软雅黑" w:cs="Times New Roman"/>
          <w:sz w:val="28"/>
          <w:lang w:eastAsia="zh-CN"/>
        </w:rPr>
        <w:fldChar w:fldCharType="begin"/>
      </w:r>
      <w:r>
        <w:rPr>
          <w:rStyle w:val="19"/>
          <w:rFonts w:hint="eastAsia" w:ascii="Times New Roman" w:hAnsi="Times New Roman" w:eastAsia="微软雅黑" w:cs="Times New Roman"/>
          <w:sz w:val="28"/>
          <w:lang w:eastAsia="zh-CN"/>
        </w:rPr>
        <w:instrText xml:space="preserve"> PAGEREF _Toc18547 \h </w:instrText>
      </w:r>
      <w:r>
        <w:rPr>
          <w:rStyle w:val="19"/>
          <w:rFonts w:hint="eastAsia"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eastAsia="zh-CN"/>
        </w:rPr>
        <w:t>28</w:t>
      </w:r>
      <w:r>
        <w:rPr>
          <w:rStyle w:val="19"/>
          <w:rFonts w:hint="eastAsia" w:ascii="Times New Roman" w:hAnsi="Times New Roman" w:eastAsia="微软雅黑" w:cs="Times New Roman"/>
          <w:sz w:val="28"/>
          <w:lang w:eastAsia="zh-CN"/>
        </w:rPr>
        <w:fldChar w:fldCharType="end"/>
      </w:r>
      <w:r>
        <w:rPr>
          <w:rStyle w:val="19"/>
          <w:rFonts w:hint="default" w:ascii="Times New Roman" w:hAnsi="Times New Roman" w:eastAsia="微软雅黑" w:cs="Times New Roman"/>
          <w:sz w:val="28"/>
          <w:lang w:eastAsia="zh-CN"/>
        </w:rPr>
        <w:fldChar w:fldCharType="end"/>
      </w:r>
      <w:r>
        <w:rPr>
          <w:rStyle w:val="19"/>
          <w:rFonts w:hint="default" w:ascii="Times New Roman" w:hAnsi="Times New Roman" w:eastAsia="微软雅黑" w:cs="Times New Roman"/>
          <w:sz w:val="24"/>
          <w:szCs w:val="24"/>
          <w:lang w:eastAsia="zh-CN"/>
        </w:rPr>
        <w:t>{%if urinaryProstateDisease != ‘’%}</w:t>
      </w:r>
    </w:p>
    <w:p w14:paraId="02AA2B7C">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9"/>
          <w:rFonts w:hint="eastAsia" w:ascii="Times New Roman" w:hAnsi="Times New Roman" w:eastAsia="微软雅黑" w:cs="Times New Roman"/>
          <w:sz w:val="24"/>
          <w:szCs w:val="24"/>
          <w:lang w:eastAsia="zh-CN"/>
        </w:rPr>
      </w:pP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HYPERLINK \l _Toc25457 </w:instrText>
      </w:r>
      <w:r>
        <w:rPr>
          <w:rStyle w:val="19"/>
          <w:rFonts w:hint="default"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eastAsia="zh-CN"/>
        </w:rPr>
        <w:t>预后相关基因检测结果及解析</w:t>
      </w:r>
      <w:r>
        <w:rPr>
          <w:rStyle w:val="19"/>
          <w:rFonts w:hint="eastAsia" w:ascii="Times New Roman" w:hAnsi="Times New Roman" w:eastAsia="微软雅黑" w:cs="Times New Roman"/>
          <w:sz w:val="28"/>
          <w:lang w:eastAsia="zh-CN"/>
        </w:rPr>
        <w:tab/>
      </w:r>
      <w:r>
        <w:rPr>
          <w:rStyle w:val="19"/>
          <w:rFonts w:hint="eastAsia" w:ascii="Times New Roman" w:hAnsi="Times New Roman" w:eastAsia="微软雅黑" w:cs="Times New Roman"/>
          <w:sz w:val="28"/>
          <w:lang w:eastAsia="zh-CN"/>
        </w:rPr>
        <w:fldChar w:fldCharType="begin"/>
      </w:r>
      <w:r>
        <w:rPr>
          <w:rStyle w:val="19"/>
          <w:rFonts w:hint="eastAsia" w:ascii="Times New Roman" w:hAnsi="Times New Roman" w:eastAsia="微软雅黑" w:cs="Times New Roman"/>
          <w:sz w:val="28"/>
          <w:lang w:eastAsia="zh-CN"/>
        </w:rPr>
        <w:instrText xml:space="preserve"> PAGEREF _Toc25457 \h </w:instrText>
      </w:r>
      <w:r>
        <w:rPr>
          <w:rStyle w:val="19"/>
          <w:rFonts w:hint="eastAsia"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eastAsia="zh-CN"/>
        </w:rPr>
        <w:t>34</w:t>
      </w:r>
      <w:r>
        <w:rPr>
          <w:rStyle w:val="19"/>
          <w:rFonts w:hint="eastAsia" w:ascii="Times New Roman" w:hAnsi="Times New Roman" w:eastAsia="微软雅黑" w:cs="Times New Roman"/>
          <w:sz w:val="28"/>
          <w:lang w:eastAsia="zh-CN"/>
        </w:rPr>
        <w:fldChar w:fldCharType="end"/>
      </w:r>
      <w:r>
        <w:rPr>
          <w:rStyle w:val="19"/>
          <w:rFonts w:hint="default" w:ascii="Times New Roman" w:hAnsi="Times New Roman" w:eastAsia="微软雅黑" w:cs="Times New Roman"/>
          <w:sz w:val="28"/>
          <w:lang w:eastAsia="zh-CN"/>
        </w:rPr>
        <w:fldChar w:fldCharType="end"/>
      </w:r>
      <w:r>
        <w:rPr>
          <w:rStyle w:val="19"/>
          <w:rFonts w:hint="default" w:ascii="Times New Roman" w:hAnsi="Times New Roman" w:eastAsia="微软雅黑" w:cs="Times New Roman"/>
          <w:sz w:val="24"/>
          <w:szCs w:val="24"/>
          <w:lang w:eastAsia="zh-CN"/>
        </w:rPr>
        <w:t>{% endif %}{% if gastrointestinalStromalTumor == True %}</w:t>
      </w:r>
    </w:p>
    <w:p w14:paraId="7FAA1361">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pP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HYPERLINK \l _Toc24089 </w:instrText>
      </w:r>
      <w:r>
        <w:rPr>
          <w:rStyle w:val="19"/>
          <w:rFonts w:hint="default"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eastAsia="zh-CN"/>
        </w:rPr>
        <w:t>化疗药物检测解析</w:t>
      </w:r>
      <w:r>
        <w:rPr>
          <w:rStyle w:val="19"/>
          <w:rFonts w:hint="eastAsia" w:ascii="Times New Roman" w:hAnsi="Times New Roman" w:eastAsia="微软雅黑" w:cs="Times New Roman"/>
          <w:sz w:val="28"/>
          <w:lang w:eastAsia="zh-CN"/>
        </w:rPr>
        <w:tab/>
      </w:r>
      <w:r>
        <w:rPr>
          <w:rStyle w:val="19"/>
          <w:rFonts w:hint="eastAsia" w:ascii="Times New Roman" w:hAnsi="Times New Roman" w:eastAsia="微软雅黑" w:cs="Times New Roman"/>
          <w:sz w:val="28"/>
          <w:lang w:eastAsia="zh-CN"/>
        </w:rPr>
        <w:fldChar w:fldCharType="begin"/>
      </w:r>
      <w:r>
        <w:rPr>
          <w:rStyle w:val="19"/>
          <w:rFonts w:hint="eastAsia" w:ascii="Times New Roman" w:hAnsi="Times New Roman" w:eastAsia="微软雅黑" w:cs="Times New Roman"/>
          <w:sz w:val="28"/>
          <w:lang w:eastAsia="zh-CN"/>
        </w:rPr>
        <w:instrText xml:space="preserve"> PAGEREF _Toc24089 \h </w:instrText>
      </w:r>
      <w:r>
        <w:rPr>
          <w:rStyle w:val="19"/>
          <w:rFonts w:hint="eastAsia"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eastAsia="zh-CN"/>
        </w:rPr>
        <w:t>37</w:t>
      </w:r>
      <w:r>
        <w:rPr>
          <w:rStyle w:val="19"/>
          <w:rFonts w:hint="eastAsia" w:ascii="Times New Roman" w:hAnsi="Times New Roman" w:eastAsia="微软雅黑" w:cs="Times New Roman"/>
          <w:sz w:val="28"/>
          <w:lang w:eastAsia="zh-CN"/>
        </w:rPr>
        <w:fldChar w:fldCharType="end"/>
      </w:r>
      <w:r>
        <w:rPr>
          <w:rStyle w:val="19"/>
          <w:rFonts w:hint="default" w:ascii="Times New Roman" w:hAnsi="Times New Roman" w:eastAsia="微软雅黑" w:cs="Times New Roman"/>
          <w:sz w:val="28"/>
          <w:lang w:eastAsia="zh-CN"/>
        </w:rPr>
        <w:fldChar w:fldCharType="end"/>
      </w:r>
      <w:r>
        <w:rPr>
          <w:rFonts w:hint="default" w:ascii="Times New Roman" w:hAnsi="Times New Roman" w:eastAsia="微软雅黑" w:cs="Times New Roman"/>
          <w:sz w:val="24"/>
          <w:szCs w:val="24"/>
          <w:lang w:eastAsia="zh-CN"/>
        </w:rPr>
        <w:t>{% endif %}</w:t>
      </w:r>
    </w:p>
    <w:p w14:paraId="6F57B920">
      <w:pPr>
        <w:pStyle w:val="11"/>
        <w:tabs>
          <w:tab w:val="right" w:leader="dot" w:pos="9871"/>
        </w:tabs>
      </w:pPr>
      <w:r>
        <w:rPr>
          <w:rFonts w:hint="default" w:ascii="Times New Roman" w:hAnsi="Times New Roman" w:eastAsia="微软雅黑" w:cs="Times New Roman"/>
          <w:b/>
          <w:color w:val="62B541"/>
          <w:sz w:val="32"/>
          <w:lang w:eastAsia="zh-CN"/>
        </w:rPr>
        <w:fldChar w:fldCharType="begin"/>
      </w:r>
      <w:r>
        <w:rPr>
          <w:rFonts w:hint="default" w:ascii="Times New Roman" w:hAnsi="Times New Roman" w:eastAsia="微软雅黑" w:cs="Times New Roman"/>
          <w:b/>
          <w:color w:val="62B541"/>
          <w:sz w:val="32"/>
          <w:lang w:eastAsia="zh-CN"/>
        </w:rPr>
        <w:instrText xml:space="preserve"> HYPERLINK \l _Toc30316 </w:instrText>
      </w:r>
      <w:r>
        <w:rPr>
          <w:rFonts w:hint="default" w:ascii="Times New Roman" w:hAnsi="Times New Roman" w:eastAsia="微软雅黑" w:cs="Times New Roman"/>
          <w:b/>
          <w:color w:val="62B541"/>
          <w:sz w:val="32"/>
          <w:lang w:eastAsia="zh-CN"/>
        </w:rPr>
        <w:fldChar w:fldCharType="separate"/>
      </w:r>
      <w:r>
        <w:rPr>
          <w:rFonts w:hint="eastAsia" w:ascii="Times New Roman" w:hAnsi="Times New Roman" w:eastAsia="微软雅黑" w:cs="Times New Roman"/>
          <w:b/>
          <w:color w:val="62B541"/>
          <w:sz w:val="32"/>
          <w:lang w:eastAsia="zh-CN"/>
        </w:rPr>
        <w:t>附录</w:t>
      </w:r>
      <w:r>
        <w:rPr>
          <w:rFonts w:hint="eastAsia" w:ascii="Times New Roman" w:hAnsi="Times New Roman" w:eastAsia="微软雅黑" w:cs="Times New Roman"/>
          <w:b/>
          <w:color w:val="62B541"/>
          <w:sz w:val="32"/>
          <w:lang w:eastAsia="zh-CN"/>
        </w:rPr>
        <w:tab/>
      </w:r>
      <w:r>
        <w:rPr>
          <w:rFonts w:hint="eastAsia" w:ascii="Times New Roman" w:hAnsi="Times New Roman" w:eastAsia="微软雅黑" w:cs="Times New Roman"/>
          <w:b/>
          <w:color w:val="62B541"/>
          <w:sz w:val="32"/>
          <w:lang w:eastAsia="zh-CN"/>
        </w:rPr>
        <w:fldChar w:fldCharType="begin"/>
      </w:r>
      <w:r>
        <w:rPr>
          <w:rFonts w:hint="eastAsia" w:ascii="Times New Roman" w:hAnsi="Times New Roman" w:eastAsia="微软雅黑" w:cs="Times New Roman"/>
          <w:b/>
          <w:color w:val="62B541"/>
          <w:sz w:val="32"/>
          <w:lang w:eastAsia="zh-CN"/>
        </w:rPr>
        <w:instrText xml:space="preserve"> PAGEREF _Toc30316 \h </w:instrText>
      </w:r>
      <w:r>
        <w:rPr>
          <w:rFonts w:hint="eastAsia" w:ascii="Times New Roman" w:hAnsi="Times New Roman" w:eastAsia="微软雅黑" w:cs="Times New Roman"/>
          <w:b/>
          <w:color w:val="62B541"/>
          <w:sz w:val="32"/>
          <w:lang w:eastAsia="zh-CN"/>
        </w:rPr>
        <w:fldChar w:fldCharType="separate"/>
      </w:r>
      <w:r>
        <w:rPr>
          <w:rFonts w:hint="eastAsia" w:ascii="Times New Roman" w:hAnsi="Times New Roman" w:eastAsia="微软雅黑" w:cs="Times New Roman"/>
          <w:b/>
          <w:color w:val="62B541"/>
          <w:sz w:val="32"/>
          <w:lang w:eastAsia="zh-CN"/>
        </w:rPr>
        <w:t>39</w:t>
      </w:r>
      <w:r>
        <w:rPr>
          <w:rFonts w:hint="eastAsia" w:ascii="Times New Roman" w:hAnsi="Times New Roman" w:eastAsia="微软雅黑" w:cs="Times New Roman"/>
          <w:b/>
          <w:color w:val="62B541"/>
          <w:sz w:val="32"/>
          <w:lang w:eastAsia="zh-CN"/>
        </w:rPr>
        <w:fldChar w:fldCharType="end"/>
      </w:r>
      <w:r>
        <w:rPr>
          <w:rFonts w:hint="default" w:ascii="Times New Roman" w:hAnsi="Times New Roman" w:eastAsia="微软雅黑" w:cs="Times New Roman"/>
          <w:b/>
          <w:color w:val="62B541"/>
          <w:sz w:val="32"/>
          <w:lang w:eastAsia="zh-CN"/>
        </w:rPr>
        <w:fldChar w:fldCharType="end"/>
      </w:r>
    </w:p>
    <w:p w14:paraId="1A132C28">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9"/>
          <w:rFonts w:hint="eastAsia" w:ascii="Times New Roman" w:hAnsi="Times New Roman" w:eastAsia="微软雅黑" w:cs="Times New Roman"/>
          <w:sz w:val="28"/>
          <w:lang w:eastAsia="zh-CN"/>
        </w:rPr>
      </w:pP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HYPERLINK \l _Toc4860 </w:instrText>
      </w:r>
      <w:r>
        <w:rPr>
          <w:rStyle w:val="19"/>
          <w:rFonts w:hint="default"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eastAsia="zh-CN"/>
        </w:rPr>
        <w:t>样本质控情况</w:t>
      </w:r>
      <w:r>
        <w:rPr>
          <w:rStyle w:val="19"/>
          <w:rFonts w:hint="eastAsia" w:ascii="Times New Roman" w:hAnsi="Times New Roman" w:eastAsia="微软雅黑" w:cs="Times New Roman"/>
          <w:sz w:val="28"/>
          <w:lang w:eastAsia="zh-CN"/>
        </w:rPr>
        <w:tab/>
      </w:r>
      <w:r>
        <w:rPr>
          <w:rStyle w:val="19"/>
          <w:rFonts w:hint="eastAsia" w:ascii="Times New Roman" w:hAnsi="Times New Roman" w:eastAsia="微软雅黑" w:cs="Times New Roman"/>
          <w:sz w:val="28"/>
          <w:lang w:eastAsia="zh-CN"/>
        </w:rPr>
        <w:fldChar w:fldCharType="begin"/>
      </w:r>
      <w:r>
        <w:rPr>
          <w:rStyle w:val="19"/>
          <w:rFonts w:hint="eastAsia" w:ascii="Times New Roman" w:hAnsi="Times New Roman" w:eastAsia="微软雅黑" w:cs="Times New Roman"/>
          <w:sz w:val="28"/>
          <w:lang w:eastAsia="zh-CN"/>
        </w:rPr>
        <w:instrText xml:space="preserve"> PAGEREF _Toc4860 \h </w:instrText>
      </w:r>
      <w:r>
        <w:rPr>
          <w:rStyle w:val="19"/>
          <w:rFonts w:hint="eastAsia"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eastAsia="zh-CN"/>
        </w:rPr>
        <w:t>39</w:t>
      </w:r>
      <w:r>
        <w:rPr>
          <w:rStyle w:val="19"/>
          <w:rFonts w:hint="eastAsia" w:ascii="Times New Roman" w:hAnsi="Times New Roman" w:eastAsia="微软雅黑" w:cs="Times New Roman"/>
          <w:sz w:val="28"/>
          <w:lang w:eastAsia="zh-CN"/>
        </w:rPr>
        <w:fldChar w:fldCharType="end"/>
      </w:r>
      <w:r>
        <w:rPr>
          <w:rStyle w:val="19"/>
          <w:rFonts w:hint="default" w:ascii="Times New Roman" w:hAnsi="Times New Roman" w:eastAsia="微软雅黑" w:cs="Times New Roman"/>
          <w:sz w:val="28"/>
          <w:lang w:eastAsia="zh-CN"/>
        </w:rPr>
        <w:fldChar w:fldCharType="end"/>
      </w:r>
      <w:r>
        <w:rPr>
          <w:rFonts w:hint="default" w:ascii="Times New Roman" w:hAnsi="Times New Roman" w:eastAsia="微软雅黑" w:cs="Times New Roman"/>
          <w:sz w:val="24"/>
          <w:szCs w:val="24"/>
          <w:lang w:eastAsia="zh-CN"/>
        </w:rPr>
        <w:t>{% if endometrialCarcinoma == True %}</w:t>
      </w:r>
    </w:p>
    <w:p w14:paraId="4B93D6A2">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9"/>
          <w:rFonts w:hint="eastAsia" w:ascii="Times New Roman" w:hAnsi="Times New Roman" w:eastAsia="微软雅黑" w:cs="Times New Roman"/>
          <w:sz w:val="28"/>
          <w:lang w:eastAsia="zh-CN"/>
        </w:rPr>
      </w:pP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HYPERLINK \l _Toc20832 </w:instrText>
      </w:r>
      <w:r>
        <w:rPr>
          <w:rStyle w:val="19"/>
          <w:rFonts w:hint="default"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eastAsia="zh-CN"/>
        </w:rPr>
        <w:t>子宫内膜癌分子分型与预后的相关性</w:t>
      </w:r>
      <w:r>
        <w:rPr>
          <w:rStyle w:val="19"/>
          <w:rFonts w:hint="eastAsia" w:ascii="Times New Roman" w:hAnsi="Times New Roman" w:eastAsia="微软雅黑" w:cs="Times New Roman"/>
          <w:sz w:val="28"/>
          <w:lang w:eastAsia="zh-CN"/>
        </w:rPr>
        <w:tab/>
      </w:r>
      <w:r>
        <w:rPr>
          <w:rStyle w:val="19"/>
          <w:rFonts w:hint="eastAsia" w:ascii="Times New Roman" w:hAnsi="Times New Roman" w:eastAsia="微软雅黑" w:cs="Times New Roman"/>
          <w:sz w:val="28"/>
          <w:lang w:eastAsia="zh-CN"/>
        </w:rPr>
        <w:fldChar w:fldCharType="begin"/>
      </w:r>
      <w:r>
        <w:rPr>
          <w:rStyle w:val="19"/>
          <w:rFonts w:hint="eastAsia" w:ascii="Times New Roman" w:hAnsi="Times New Roman" w:eastAsia="微软雅黑" w:cs="Times New Roman"/>
          <w:sz w:val="28"/>
          <w:lang w:eastAsia="zh-CN"/>
        </w:rPr>
        <w:instrText xml:space="preserve"> PAGEREF _Toc20832 \h </w:instrText>
      </w:r>
      <w:r>
        <w:rPr>
          <w:rStyle w:val="19"/>
          <w:rFonts w:hint="eastAsia"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eastAsia="zh-CN"/>
        </w:rPr>
        <w:t>40</w:t>
      </w:r>
      <w:r>
        <w:rPr>
          <w:rStyle w:val="19"/>
          <w:rFonts w:hint="eastAsia" w:ascii="Times New Roman" w:hAnsi="Times New Roman" w:eastAsia="微软雅黑" w:cs="Times New Roman"/>
          <w:sz w:val="28"/>
          <w:lang w:eastAsia="zh-CN"/>
        </w:rPr>
        <w:fldChar w:fldCharType="end"/>
      </w:r>
      <w:r>
        <w:rPr>
          <w:rStyle w:val="19"/>
          <w:rFonts w:hint="default" w:ascii="Times New Roman" w:hAnsi="Times New Roman" w:eastAsia="微软雅黑" w:cs="Times New Roman"/>
          <w:sz w:val="28"/>
          <w:lang w:eastAsia="zh-CN"/>
        </w:rPr>
        <w:fldChar w:fldCharType="end"/>
      </w:r>
      <w:r>
        <w:rPr>
          <w:rFonts w:hint="default" w:ascii="Times New Roman" w:hAnsi="Times New Roman" w:eastAsia="微软雅黑" w:cs="Times New Roman"/>
          <w:sz w:val="24"/>
          <w:szCs w:val="24"/>
          <w:lang w:eastAsia="zh-CN"/>
        </w:rPr>
        <w:t>{% endif %}</w:t>
      </w:r>
    </w:p>
    <w:p w14:paraId="690834F7">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9"/>
          <w:rFonts w:hint="eastAsia" w:ascii="Times New Roman" w:hAnsi="Times New Roman" w:eastAsia="微软雅黑" w:cs="Times New Roman"/>
          <w:sz w:val="28"/>
          <w:lang w:eastAsia="zh-CN"/>
        </w:rPr>
      </w:pP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HYPERLINK \l _Toc19434 </w:instrText>
      </w:r>
      <w:r>
        <w:rPr>
          <w:rStyle w:val="19"/>
          <w:rFonts w:hint="default"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eastAsia="zh-CN"/>
        </w:rPr>
        <w:t>常见靶向药物相关基因检测列表</w:t>
      </w:r>
      <w:r>
        <w:rPr>
          <w:rStyle w:val="19"/>
          <w:rFonts w:hint="eastAsia" w:ascii="Times New Roman" w:hAnsi="Times New Roman" w:eastAsia="微软雅黑" w:cs="Times New Roman"/>
          <w:sz w:val="28"/>
          <w:lang w:eastAsia="zh-CN"/>
        </w:rPr>
        <w:tab/>
      </w:r>
      <w:r>
        <w:rPr>
          <w:rStyle w:val="19"/>
          <w:rFonts w:hint="eastAsia" w:ascii="Times New Roman" w:hAnsi="Times New Roman" w:eastAsia="微软雅黑" w:cs="Times New Roman"/>
          <w:sz w:val="28"/>
          <w:lang w:eastAsia="zh-CN"/>
        </w:rPr>
        <w:fldChar w:fldCharType="begin"/>
      </w:r>
      <w:r>
        <w:rPr>
          <w:rStyle w:val="19"/>
          <w:rFonts w:hint="eastAsia" w:ascii="Times New Roman" w:hAnsi="Times New Roman" w:eastAsia="微软雅黑" w:cs="Times New Roman"/>
          <w:sz w:val="28"/>
          <w:lang w:eastAsia="zh-CN"/>
        </w:rPr>
        <w:instrText xml:space="preserve"> PAGEREF _Toc19434 \h </w:instrText>
      </w:r>
      <w:r>
        <w:rPr>
          <w:rStyle w:val="19"/>
          <w:rFonts w:hint="eastAsia"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eastAsia="zh-CN"/>
        </w:rPr>
        <w:t>42</w:t>
      </w:r>
      <w:r>
        <w:rPr>
          <w:rStyle w:val="19"/>
          <w:rFonts w:hint="eastAsia" w:ascii="Times New Roman" w:hAnsi="Times New Roman" w:eastAsia="微软雅黑" w:cs="Times New Roman"/>
          <w:sz w:val="28"/>
          <w:lang w:eastAsia="zh-CN"/>
        </w:rPr>
        <w:fldChar w:fldCharType="end"/>
      </w:r>
      <w:r>
        <w:rPr>
          <w:rStyle w:val="19"/>
          <w:rFonts w:hint="default" w:ascii="Times New Roman" w:hAnsi="Times New Roman" w:eastAsia="微软雅黑" w:cs="Times New Roman"/>
          <w:sz w:val="28"/>
          <w:lang w:eastAsia="zh-CN"/>
        </w:rPr>
        <w:fldChar w:fldCharType="end"/>
      </w:r>
    </w:p>
    <w:p w14:paraId="0ED4243F">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9"/>
          <w:rFonts w:hint="eastAsia" w:ascii="Times New Roman" w:hAnsi="Times New Roman" w:eastAsia="微软雅黑" w:cs="Times New Roman"/>
          <w:sz w:val="28"/>
          <w:lang w:eastAsia="zh-CN"/>
        </w:rPr>
      </w:pP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HYPERLINK \l _Toc9564 </w:instrText>
      </w:r>
      <w:r>
        <w:rPr>
          <w:rStyle w:val="19"/>
          <w:rFonts w:hint="default"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eastAsia="zh-CN"/>
        </w:rPr>
        <w:t>检测基因列表</w:t>
      </w:r>
      <w:r>
        <w:rPr>
          <w:rStyle w:val="19"/>
          <w:rFonts w:hint="eastAsia" w:ascii="Times New Roman" w:hAnsi="Times New Roman" w:eastAsia="微软雅黑" w:cs="Times New Roman"/>
          <w:sz w:val="28"/>
          <w:lang w:eastAsia="zh-CN"/>
        </w:rPr>
        <w:tab/>
      </w:r>
      <w:r>
        <w:rPr>
          <w:rStyle w:val="19"/>
          <w:rFonts w:hint="eastAsia" w:ascii="Times New Roman" w:hAnsi="Times New Roman" w:eastAsia="微软雅黑" w:cs="Times New Roman"/>
          <w:sz w:val="28"/>
          <w:lang w:eastAsia="zh-CN"/>
        </w:rPr>
        <w:fldChar w:fldCharType="begin"/>
      </w:r>
      <w:r>
        <w:rPr>
          <w:rStyle w:val="19"/>
          <w:rFonts w:hint="eastAsia" w:ascii="Times New Roman" w:hAnsi="Times New Roman" w:eastAsia="微软雅黑" w:cs="Times New Roman"/>
          <w:sz w:val="28"/>
          <w:lang w:eastAsia="zh-CN"/>
        </w:rPr>
        <w:instrText xml:space="preserve"> PAGEREF _Toc9564 \h </w:instrText>
      </w:r>
      <w:r>
        <w:rPr>
          <w:rStyle w:val="19"/>
          <w:rFonts w:hint="eastAsia"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eastAsia="zh-CN"/>
        </w:rPr>
        <w:t>43</w:t>
      </w:r>
      <w:r>
        <w:rPr>
          <w:rStyle w:val="19"/>
          <w:rFonts w:hint="eastAsia" w:ascii="Times New Roman" w:hAnsi="Times New Roman" w:eastAsia="微软雅黑" w:cs="Times New Roman"/>
          <w:sz w:val="28"/>
          <w:lang w:eastAsia="zh-CN"/>
        </w:rPr>
        <w:fldChar w:fldCharType="end"/>
      </w:r>
      <w:r>
        <w:rPr>
          <w:rStyle w:val="19"/>
          <w:rFonts w:hint="default" w:ascii="Times New Roman" w:hAnsi="Times New Roman" w:eastAsia="微软雅黑" w:cs="Times New Roman"/>
          <w:sz w:val="28"/>
          <w:lang w:eastAsia="zh-CN"/>
        </w:rPr>
        <w:fldChar w:fldCharType="end"/>
      </w:r>
    </w:p>
    <w:p w14:paraId="5B97DC4F">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9"/>
          <w:rFonts w:hint="eastAsia" w:ascii="Times New Roman" w:hAnsi="Times New Roman" w:eastAsia="微软雅黑" w:cs="Times New Roman"/>
          <w:sz w:val="28"/>
          <w:lang w:eastAsia="zh-CN"/>
        </w:rPr>
      </w:pP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HYPERLINK \l _Toc16193 </w:instrText>
      </w:r>
      <w:r>
        <w:rPr>
          <w:rStyle w:val="19"/>
          <w:rFonts w:hint="default"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eastAsia="zh-CN"/>
        </w:rPr>
        <w:t>检测方法与局限性</w:t>
      </w:r>
      <w:r>
        <w:rPr>
          <w:rStyle w:val="19"/>
          <w:rFonts w:hint="eastAsia" w:ascii="Times New Roman" w:hAnsi="Times New Roman" w:eastAsia="微软雅黑" w:cs="Times New Roman"/>
          <w:sz w:val="28"/>
          <w:lang w:eastAsia="zh-CN"/>
        </w:rPr>
        <w:tab/>
      </w:r>
      <w:r>
        <w:rPr>
          <w:rStyle w:val="19"/>
          <w:rFonts w:hint="eastAsia" w:ascii="Times New Roman" w:hAnsi="Times New Roman" w:eastAsia="微软雅黑" w:cs="Times New Roman"/>
          <w:sz w:val="28"/>
          <w:lang w:eastAsia="zh-CN"/>
        </w:rPr>
        <w:fldChar w:fldCharType="begin"/>
      </w:r>
      <w:r>
        <w:rPr>
          <w:rStyle w:val="19"/>
          <w:rFonts w:hint="eastAsia" w:ascii="Times New Roman" w:hAnsi="Times New Roman" w:eastAsia="微软雅黑" w:cs="Times New Roman"/>
          <w:sz w:val="28"/>
          <w:lang w:eastAsia="zh-CN"/>
        </w:rPr>
        <w:instrText xml:space="preserve"> PAGEREF _Toc16193 \h </w:instrText>
      </w:r>
      <w:r>
        <w:rPr>
          <w:rStyle w:val="19"/>
          <w:rFonts w:hint="eastAsia"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eastAsia="zh-CN"/>
        </w:rPr>
        <w:t>45</w:t>
      </w:r>
      <w:r>
        <w:rPr>
          <w:rStyle w:val="19"/>
          <w:rFonts w:hint="eastAsia" w:ascii="Times New Roman" w:hAnsi="Times New Roman" w:eastAsia="微软雅黑" w:cs="Times New Roman"/>
          <w:sz w:val="28"/>
          <w:lang w:eastAsia="zh-CN"/>
        </w:rPr>
        <w:fldChar w:fldCharType="end"/>
      </w:r>
      <w:r>
        <w:rPr>
          <w:rStyle w:val="19"/>
          <w:rFonts w:hint="default" w:ascii="Times New Roman" w:hAnsi="Times New Roman" w:eastAsia="微软雅黑" w:cs="Times New Roman"/>
          <w:sz w:val="28"/>
          <w:lang w:eastAsia="zh-CN"/>
        </w:rPr>
        <w:fldChar w:fldCharType="end"/>
      </w:r>
    </w:p>
    <w:p w14:paraId="3CA2AD92">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9"/>
          <w:rFonts w:hint="eastAsia" w:ascii="Times New Roman" w:hAnsi="Times New Roman" w:eastAsia="微软雅黑" w:cs="Times New Roman"/>
          <w:sz w:val="28"/>
          <w:lang w:eastAsia="zh-CN"/>
        </w:rPr>
      </w:pP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HYPERLINK \l _Toc14993 </w:instrText>
      </w:r>
      <w:r>
        <w:rPr>
          <w:rStyle w:val="19"/>
          <w:rFonts w:hint="default"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eastAsia="zh-CN"/>
        </w:rPr>
        <w:t>参考文献</w:t>
      </w:r>
      <w:r>
        <w:rPr>
          <w:rStyle w:val="19"/>
          <w:rFonts w:hint="eastAsia" w:ascii="Times New Roman" w:hAnsi="Times New Roman" w:eastAsia="微软雅黑" w:cs="Times New Roman"/>
          <w:sz w:val="28"/>
          <w:lang w:eastAsia="zh-CN"/>
        </w:rPr>
        <w:tab/>
      </w:r>
      <w:r>
        <w:rPr>
          <w:rStyle w:val="19"/>
          <w:rFonts w:hint="eastAsia" w:ascii="Times New Roman" w:hAnsi="Times New Roman" w:eastAsia="微软雅黑" w:cs="Times New Roman"/>
          <w:sz w:val="28"/>
          <w:lang w:eastAsia="zh-CN"/>
        </w:rPr>
        <w:fldChar w:fldCharType="begin"/>
      </w:r>
      <w:r>
        <w:rPr>
          <w:rStyle w:val="19"/>
          <w:rFonts w:hint="eastAsia" w:ascii="Times New Roman" w:hAnsi="Times New Roman" w:eastAsia="微软雅黑" w:cs="Times New Roman"/>
          <w:sz w:val="28"/>
          <w:lang w:eastAsia="zh-CN"/>
        </w:rPr>
        <w:instrText xml:space="preserve"> PAGEREF _Toc14993 \h </w:instrText>
      </w:r>
      <w:r>
        <w:rPr>
          <w:rStyle w:val="19"/>
          <w:rFonts w:hint="eastAsia"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eastAsia="zh-CN"/>
        </w:rPr>
        <w:t>46</w:t>
      </w:r>
      <w:r>
        <w:rPr>
          <w:rStyle w:val="19"/>
          <w:rFonts w:hint="eastAsia" w:ascii="Times New Roman" w:hAnsi="Times New Roman" w:eastAsia="微软雅黑" w:cs="Times New Roman"/>
          <w:sz w:val="28"/>
          <w:lang w:eastAsia="zh-CN"/>
        </w:rPr>
        <w:fldChar w:fldCharType="end"/>
      </w:r>
      <w:r>
        <w:rPr>
          <w:rStyle w:val="19"/>
          <w:rFonts w:hint="default" w:ascii="Times New Roman" w:hAnsi="Times New Roman" w:eastAsia="微软雅黑" w:cs="Times New Roman"/>
          <w:sz w:val="28"/>
          <w:lang w:eastAsia="zh-CN"/>
        </w:rPr>
        <w:fldChar w:fldCharType="end"/>
      </w:r>
    </w:p>
    <w:p w14:paraId="73F6D05A">
      <w:pPr>
        <w:keepNext w:val="0"/>
        <w:keepLines w:val="0"/>
        <w:pageBreakBefore w:val="0"/>
        <w:widowControl w:val="0"/>
        <w:kinsoku/>
        <w:wordWrap/>
        <w:overflowPunct/>
        <w:topLinePunct w:val="0"/>
        <w:autoSpaceDE/>
        <w:autoSpaceDN/>
        <w:bidi w:val="0"/>
        <w:adjustRightInd/>
        <w:snapToGrid/>
        <w:textAlignment w:val="auto"/>
        <w:rPr>
          <w:color w:val="62B541"/>
          <w:sz w:val="32"/>
          <w14:shadow w14:blurRad="50800" w14:dist="38100" w14:dir="10800000" w14:sx="100000" w14:sy="100000" w14:kx="0" w14:ky="0" w14:algn="r">
            <w14:srgbClr w14:val="62B541">
              <w14:alpha w14:val="60000"/>
            </w14:srgbClr>
          </w14:shadow>
        </w:rPr>
      </w:pPr>
      <w:r>
        <w:rPr>
          <w:rFonts w:hint="default" w:ascii="Times New Roman" w:hAnsi="Times New Roman" w:eastAsia="微软雅黑" w:cs="Times New Roman"/>
          <w:lang w:eastAsia="zh-CN"/>
        </w:rPr>
        <w:fldChar w:fldCharType="end"/>
      </w:r>
      <w:bookmarkStart w:id="0" w:name="_Toc8125"/>
    </w:p>
    <w:p w14:paraId="365243B3">
      <w:pPr>
        <w:sectPr>
          <w:headerReference r:id="rId4" w:type="default"/>
          <w:footerReference r:id="rId5" w:type="default"/>
          <w:pgSz w:w="11911" w:h="16838"/>
          <w:pgMar w:top="1037" w:right="1020" w:bottom="981" w:left="1020" w:header="283" w:footer="567" w:gutter="0"/>
          <w:pgNumType w:start="1"/>
          <w:cols w:space="0" w:num="1"/>
          <w:docGrid w:linePitch="312" w:charSpace="0"/>
        </w:sectPr>
      </w:pPr>
    </w:p>
    <w:p w14:paraId="1DD09EDC">
      <w:pPr>
        <w:pStyle w:val="2"/>
        <w:numPr>
          <w:ilvl w:val="255"/>
          <w:numId w:val="0"/>
        </w:numPr>
        <w:jc w:val="left"/>
        <w:rPr>
          <w:color w:val="62B541"/>
          <w:sz w:val="32"/>
          <w14:shadow w14:blurRad="50800" w14:dist="38100" w14:dir="10800000" w14:sx="100000" w14:sy="100000" w14:kx="0" w14:ky="0" w14:algn="r">
            <w14:srgbClr w14:val="62B541">
              <w14:alpha w14:val="60000"/>
            </w14:srgbClr>
          </w14:shadow>
        </w:rPr>
      </w:pPr>
      <w:bookmarkStart w:id="1" w:name="_Toc24770"/>
      <w:r>
        <w:rPr>
          <w:color w:val="62B541"/>
          <w:sz w:val="32"/>
          <w14:shadow w14:blurRad="50800" w14:dist="38100" w14:dir="10800000" w14:sx="100000" w14:sy="100000" w14:kx="0" w14:ky="0" w14:algn="r">
            <w14:srgbClr w14:val="62B541">
              <w14:alpha w14:val="60000"/>
            </w14:srgbClr>
          </w14:shadow>
        </w:rPr>
        <w:t>样本信息</w:t>
      </w:r>
      <w:bookmarkEnd w:id="0"/>
      <w:bookmarkEnd w:id="1"/>
    </w:p>
    <w:p w14:paraId="1B0CBE0A">
      <w:pPr>
        <w:pStyle w:val="6"/>
        <w:rPr>
          <w:rFonts w:ascii="Times New Roman" w:hAnsi="Times New Roman" w:eastAsia="微软雅黑" w:cs="Times New Roman"/>
          <w:b/>
          <w:sz w:val="20"/>
          <w:lang w:eastAsia="zh-CN"/>
        </w:rPr>
      </w:pPr>
    </w:p>
    <w:tbl>
      <w:tblPr>
        <w:tblStyle w:val="14"/>
        <w:tblpPr w:leftFromText="180" w:rightFromText="180" w:vertAnchor="text" w:horzAnchor="margin" w:tblpXSpec="center" w:tblpY="11"/>
        <w:tblW w:w="9870" w:type="dxa"/>
        <w:jc w:val="center"/>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3231"/>
        <w:gridCol w:w="3323"/>
        <w:gridCol w:w="3316"/>
      </w:tblGrid>
      <w:tr w14:paraId="365E1FCE">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op w:val="single" w:color="62BC41" w:sz="24" w:space="0"/>
              <w:tl2br w:val="nil"/>
              <w:tr2bl w:val="nil"/>
            </w:tcBorders>
            <w:shd w:val="clear" w:color="auto" w:fill="auto"/>
            <w:vAlign w:val="center"/>
          </w:tcPr>
          <w:p w14:paraId="7FC58C7E">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姓名：</w:t>
            </w:r>
            <w:r>
              <w:rPr>
                <w:rFonts w:hint="eastAsia" w:ascii="Times New Roman" w:hAnsi="Times New Roman" w:eastAsia="微软雅黑" w:cs="Times New Roman"/>
                <w:bCs/>
                <w:color w:val="000000"/>
                <w:sz w:val="21"/>
                <w:szCs w:val="21"/>
                <w:lang w:eastAsia="zh-CN"/>
              </w:rPr>
              <w:t>{{ client }}</w:t>
            </w:r>
          </w:p>
        </w:tc>
        <w:tc>
          <w:tcPr>
            <w:tcW w:w="3323" w:type="dxa"/>
            <w:tcBorders>
              <w:top w:val="single" w:color="62BC41" w:sz="24" w:space="0"/>
              <w:tl2br w:val="nil"/>
              <w:tr2bl w:val="nil"/>
            </w:tcBorders>
            <w:shd w:val="clear" w:color="auto" w:fill="auto"/>
            <w:vAlign w:val="center"/>
          </w:tcPr>
          <w:p w14:paraId="3F98432F">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送检医院：</w:t>
            </w:r>
            <w:r>
              <w:rPr>
                <w:rFonts w:hint="eastAsia" w:ascii="Times New Roman" w:hAnsi="Times New Roman" w:eastAsia="微软雅黑" w:cs="Times New Roman"/>
                <w:bCs/>
                <w:color w:val="000000"/>
                <w:sz w:val="21"/>
                <w:szCs w:val="21"/>
                <w:lang w:eastAsia="zh-CN"/>
              </w:rPr>
              <w:t>{{ hospital }}</w:t>
            </w:r>
          </w:p>
        </w:tc>
        <w:tc>
          <w:tcPr>
            <w:tcW w:w="3316" w:type="dxa"/>
            <w:tcBorders>
              <w:top w:val="single" w:color="62BC41" w:sz="24" w:space="0"/>
              <w:tl2br w:val="nil"/>
              <w:tr2bl w:val="nil"/>
            </w:tcBorders>
            <w:shd w:val="clear" w:color="auto" w:fill="auto"/>
            <w:vAlign w:val="center"/>
          </w:tcPr>
          <w:p w14:paraId="498CC67D">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样本条码：</w:t>
            </w:r>
            <w:r>
              <w:rPr>
                <w:rFonts w:hint="eastAsia" w:ascii="Times New Roman" w:hAnsi="Times New Roman" w:eastAsia="微软雅黑" w:cs="Times New Roman"/>
                <w:bCs/>
                <w:color w:val="000000"/>
                <w:sz w:val="21"/>
                <w:szCs w:val="21"/>
                <w:lang w:eastAsia="zh-CN"/>
              </w:rPr>
              <w:t>{{ subbarcode }}</w:t>
            </w:r>
          </w:p>
        </w:tc>
      </w:tr>
      <w:tr w14:paraId="7108C32F">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7429C5FF">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性别：</w:t>
            </w:r>
            <w:r>
              <w:rPr>
                <w:rFonts w:hint="eastAsia" w:ascii="Times New Roman" w:hAnsi="Times New Roman" w:eastAsia="微软雅黑" w:cs="Times New Roman"/>
                <w:bCs/>
                <w:color w:val="000000"/>
                <w:sz w:val="21"/>
                <w:szCs w:val="21"/>
                <w:lang w:eastAsia="zh-CN"/>
              </w:rPr>
              <w:t>{{ sex }}</w:t>
            </w:r>
          </w:p>
        </w:tc>
        <w:tc>
          <w:tcPr>
            <w:tcW w:w="3323" w:type="dxa"/>
            <w:tcBorders>
              <w:tl2br w:val="nil"/>
              <w:tr2bl w:val="nil"/>
            </w:tcBorders>
            <w:shd w:val="clear" w:color="auto" w:fill="auto"/>
            <w:vAlign w:val="center"/>
          </w:tcPr>
          <w:p w14:paraId="3005CA86">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送检科室：</w:t>
            </w:r>
            <w:r>
              <w:rPr>
                <w:rFonts w:hint="eastAsia" w:ascii="Times New Roman" w:hAnsi="Times New Roman" w:eastAsia="微软雅黑" w:cs="Times New Roman"/>
                <w:color w:val="000000"/>
                <w:sz w:val="21"/>
                <w:szCs w:val="21"/>
                <w:lang w:eastAsia="zh-CN"/>
              </w:rPr>
              <w:t>{{ locationname }}</w:t>
            </w:r>
          </w:p>
        </w:tc>
        <w:tc>
          <w:tcPr>
            <w:tcW w:w="3316" w:type="dxa"/>
            <w:tcBorders>
              <w:tl2br w:val="nil"/>
              <w:tr2bl w:val="nil"/>
            </w:tcBorders>
            <w:shd w:val="clear" w:color="auto" w:fill="auto"/>
            <w:vAlign w:val="center"/>
          </w:tcPr>
          <w:p w14:paraId="32BFB7F7">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样本编号：</w:t>
            </w:r>
            <w:r>
              <w:rPr>
                <w:rFonts w:hint="eastAsia" w:ascii="Times New Roman" w:hAnsi="Times New Roman" w:eastAsia="微软雅黑" w:cs="Times New Roman"/>
                <w:bCs/>
                <w:color w:val="000000"/>
                <w:sz w:val="21"/>
                <w:szCs w:val="21"/>
                <w:lang w:eastAsia="zh-CN"/>
              </w:rPr>
              <w:t>{{ subbarcode }}</w:t>
            </w:r>
          </w:p>
        </w:tc>
      </w:tr>
      <w:tr w14:paraId="0294F053">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50D915CF">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年龄：</w:t>
            </w:r>
            <w:r>
              <w:rPr>
                <w:rFonts w:hint="eastAsia" w:ascii="Times New Roman" w:hAnsi="Times New Roman" w:eastAsia="微软雅黑" w:cs="Times New Roman"/>
                <w:bCs/>
                <w:color w:val="000000"/>
                <w:sz w:val="21"/>
                <w:szCs w:val="21"/>
                <w:lang w:eastAsia="zh-CN"/>
              </w:rPr>
              <w:t>{{ age }}</w:t>
            </w:r>
          </w:p>
        </w:tc>
        <w:tc>
          <w:tcPr>
            <w:tcW w:w="3323" w:type="dxa"/>
            <w:tcBorders>
              <w:tl2br w:val="nil"/>
              <w:tr2bl w:val="nil"/>
            </w:tcBorders>
            <w:shd w:val="clear" w:color="auto" w:fill="auto"/>
            <w:vAlign w:val="center"/>
          </w:tcPr>
          <w:p w14:paraId="06E4B0C0">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送检医生：</w:t>
            </w:r>
            <w:r>
              <w:rPr>
                <w:rFonts w:hint="eastAsia" w:ascii="Times New Roman" w:hAnsi="Times New Roman" w:eastAsia="微软雅黑" w:cs="Times New Roman"/>
                <w:color w:val="000000"/>
                <w:sz w:val="21"/>
                <w:szCs w:val="21"/>
                <w:lang w:eastAsia="zh-CN"/>
              </w:rPr>
              <w:t>{{ doctorname }}</w:t>
            </w:r>
          </w:p>
        </w:tc>
        <w:tc>
          <w:tcPr>
            <w:tcW w:w="3316" w:type="dxa"/>
            <w:tcBorders>
              <w:tl2br w:val="nil"/>
              <w:tr2bl w:val="nil"/>
            </w:tcBorders>
            <w:shd w:val="clear" w:color="auto" w:fill="auto"/>
            <w:vAlign w:val="center"/>
          </w:tcPr>
          <w:p w14:paraId="120340FE">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门诊/住院号：</w:t>
            </w:r>
            <w:r>
              <w:rPr>
                <w:rFonts w:hint="eastAsia" w:ascii="Times New Roman" w:hAnsi="Times New Roman" w:eastAsia="微软雅黑" w:cs="Times New Roman"/>
                <w:bCs/>
                <w:color w:val="000000"/>
                <w:sz w:val="21"/>
                <w:szCs w:val="21"/>
                <w:lang w:eastAsia="zh-CN"/>
              </w:rPr>
              <w:t>{{ room }}</w:t>
            </w:r>
          </w:p>
        </w:tc>
      </w:tr>
      <w:tr w14:paraId="19AD39E1">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204201BA">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联系电话：</w:t>
            </w:r>
            <w:r>
              <w:rPr>
                <w:rFonts w:hint="eastAsia" w:ascii="Times New Roman" w:hAnsi="Times New Roman" w:eastAsia="微软雅黑" w:cs="Times New Roman"/>
                <w:bCs/>
                <w:color w:val="000000"/>
                <w:sz w:val="21"/>
                <w:szCs w:val="21"/>
                <w:lang w:eastAsia="zh-CN"/>
              </w:rPr>
              <w:t>{{ patient_phone }}</w:t>
            </w:r>
          </w:p>
        </w:tc>
        <w:tc>
          <w:tcPr>
            <w:tcW w:w="3323" w:type="dxa"/>
            <w:tcBorders>
              <w:tl2br w:val="nil"/>
              <w:tr2bl w:val="nil"/>
            </w:tcBorders>
            <w:shd w:val="clear" w:color="auto" w:fill="auto"/>
            <w:vAlign w:val="center"/>
          </w:tcPr>
          <w:p w14:paraId="1595B664">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标本类型：</w:t>
            </w:r>
            <w:r>
              <w:rPr>
                <w:rFonts w:hint="eastAsia" w:ascii="Times New Roman" w:hAnsi="Times New Roman" w:eastAsia="微软雅黑" w:cs="Times New Roman"/>
                <w:color w:val="000000"/>
                <w:sz w:val="21"/>
                <w:szCs w:val="21"/>
                <w:lang w:eastAsia="zh-CN"/>
              </w:rPr>
              <w:t>{{ specimentype }}</w:t>
            </w:r>
          </w:p>
        </w:tc>
        <w:tc>
          <w:tcPr>
            <w:tcW w:w="3316" w:type="dxa"/>
            <w:tcBorders>
              <w:tl2br w:val="nil"/>
              <w:tr2bl w:val="nil"/>
            </w:tcBorders>
            <w:shd w:val="clear" w:color="auto" w:fill="auto"/>
            <w:vAlign w:val="center"/>
          </w:tcPr>
          <w:p w14:paraId="6B3263D8">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送检时间：</w:t>
            </w:r>
            <w:r>
              <w:rPr>
                <w:rFonts w:hint="eastAsia" w:ascii="Times New Roman" w:hAnsi="Times New Roman" w:eastAsia="微软雅黑" w:cs="Times New Roman"/>
                <w:bCs/>
                <w:color w:val="000000"/>
                <w:sz w:val="21"/>
                <w:szCs w:val="21"/>
                <w:lang w:eastAsia="zh-CN"/>
              </w:rPr>
              <w:t>{{ commission_date }}</w:t>
            </w:r>
          </w:p>
        </w:tc>
      </w:tr>
      <w:tr w14:paraId="214CDB86">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1B0D22A8">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临床诊断：</w:t>
            </w:r>
            <w:r>
              <w:rPr>
                <w:rFonts w:hint="eastAsia" w:ascii="Times New Roman" w:hAnsi="Times New Roman" w:eastAsia="微软雅黑" w:cs="Times New Roman"/>
                <w:bCs/>
                <w:color w:val="000000"/>
                <w:sz w:val="21"/>
                <w:szCs w:val="21"/>
                <w:lang w:eastAsia="zh-CN"/>
              </w:rPr>
              <w:t>{{ diseaseName }}</w:t>
            </w:r>
          </w:p>
        </w:tc>
        <w:tc>
          <w:tcPr>
            <w:tcW w:w="3323" w:type="dxa"/>
            <w:tcBorders>
              <w:tl2br w:val="nil"/>
              <w:tr2bl w:val="nil"/>
            </w:tcBorders>
            <w:shd w:val="clear" w:color="auto" w:fill="auto"/>
            <w:vAlign w:val="center"/>
          </w:tcPr>
          <w:p w14:paraId="0008DF20">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订单编号：</w:t>
            </w:r>
            <w:r>
              <w:rPr>
                <w:rFonts w:ascii="Times New Roman" w:hAnsi="Times New Roman" w:eastAsia="微软雅黑" w:cs="Times New Roman"/>
                <w:bCs/>
                <w:color w:val="000000"/>
                <w:sz w:val="21"/>
                <w:szCs w:val="21"/>
                <w:lang w:eastAsia="zh-CN"/>
              </w:rPr>
              <w:t>-</w:t>
            </w:r>
          </w:p>
        </w:tc>
        <w:tc>
          <w:tcPr>
            <w:tcW w:w="3316" w:type="dxa"/>
            <w:tcBorders>
              <w:tl2br w:val="nil"/>
              <w:tr2bl w:val="nil"/>
            </w:tcBorders>
            <w:shd w:val="clear" w:color="auto" w:fill="auto"/>
            <w:vAlign w:val="center"/>
          </w:tcPr>
          <w:p w14:paraId="5C43AA88">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接收时间：</w:t>
            </w:r>
            <w:r>
              <w:rPr>
                <w:rFonts w:hint="eastAsia" w:ascii="Times New Roman" w:hAnsi="Times New Roman" w:eastAsia="微软雅黑" w:cs="Times New Roman"/>
                <w:bCs/>
                <w:color w:val="000000"/>
                <w:sz w:val="21"/>
                <w:szCs w:val="21"/>
                <w:lang w:eastAsia="zh-CN"/>
              </w:rPr>
              <w:t>{{ receiveddate }}</w:t>
            </w:r>
          </w:p>
        </w:tc>
      </w:tr>
    </w:tbl>
    <w:p w14:paraId="2072E9DA">
      <w:pPr>
        <w:rPr>
          <w:rFonts w:ascii="Times New Roman" w:hAnsi="Times New Roman" w:eastAsia="微软雅黑" w:cs="Times New Roman"/>
          <w:b/>
          <w:color w:val="00B050"/>
          <w:sz w:val="28"/>
          <w:szCs w:val="28"/>
          <w:lang w:eastAsia="zh-CN"/>
        </w:rPr>
      </w:pPr>
    </w:p>
    <w:p w14:paraId="6048B31B">
      <w:pPr>
        <w:rPr>
          <w:rFonts w:ascii="Times New Roman" w:hAnsi="Times New Roman" w:eastAsia="微软雅黑" w:cs="Times New Roman"/>
          <w:b/>
          <w:color w:val="00B050"/>
          <w:sz w:val="28"/>
          <w:szCs w:val="28"/>
          <w:lang w:eastAsia="zh-CN"/>
        </w:rPr>
      </w:pPr>
    </w:p>
    <w:p w14:paraId="0225B190">
      <w:pPr>
        <w:rPr>
          <w:rFonts w:ascii="Times New Roman" w:hAnsi="Times New Roman" w:eastAsia="微软雅黑" w:cs="Times New Roman"/>
          <w:b/>
          <w:color w:val="00B050"/>
          <w:sz w:val="28"/>
          <w:szCs w:val="28"/>
          <w:lang w:eastAsia="zh-CN"/>
        </w:rPr>
      </w:pPr>
    </w:p>
    <w:p w14:paraId="6C0A9313">
      <w:pPr>
        <w:rPr>
          <w:rFonts w:ascii="Times New Roman" w:hAnsi="Times New Roman" w:eastAsia="微软雅黑" w:cs="Times New Roman"/>
          <w:b/>
          <w:color w:val="00B050"/>
          <w:sz w:val="28"/>
          <w:szCs w:val="28"/>
          <w:lang w:eastAsia="zh-CN"/>
        </w:rPr>
      </w:pPr>
    </w:p>
    <w:p w14:paraId="58F31A7E">
      <w:pPr>
        <w:rPr>
          <w:rFonts w:ascii="Times New Roman" w:hAnsi="Times New Roman" w:eastAsia="微软雅黑" w:cs="Times New Roman"/>
          <w:b/>
          <w:color w:val="00B050"/>
          <w:sz w:val="28"/>
          <w:szCs w:val="28"/>
          <w:lang w:eastAsia="zh-CN"/>
        </w:rPr>
      </w:pPr>
    </w:p>
    <w:p w14:paraId="48998B5C">
      <w:pPr>
        <w:pStyle w:val="2"/>
        <w:numPr>
          <w:ilvl w:val="255"/>
          <w:numId w:val="0"/>
        </w:numPr>
        <w:jc w:val="left"/>
        <w:rPr>
          <w:color w:val="62B541"/>
          <w:sz w:val="32"/>
          <w14:shadow w14:blurRad="50800" w14:dist="38100" w14:dir="10800000" w14:sx="100000" w14:sy="100000" w14:kx="0" w14:ky="0" w14:algn="r">
            <w14:srgbClr w14:val="62B541">
              <w14:alpha w14:val="60000"/>
            </w14:srgbClr>
          </w14:shadow>
        </w:rPr>
      </w:pPr>
      <w:bookmarkStart w:id="2" w:name="_Toc7021_WPSOffice_Level1"/>
      <w:bookmarkStart w:id="3" w:name="_Toc3366"/>
      <w:bookmarkStart w:id="4" w:name="_Toc17451"/>
      <w:bookmarkStart w:id="5" w:name="_Toc11015_WPSOffice_Level1"/>
      <w:bookmarkStart w:id="6" w:name="_Toc29866"/>
      <w:bookmarkStart w:id="7" w:name="_Toc26731"/>
      <w:bookmarkStart w:id="8" w:name="_Toc18062_WPSOffice_Level1"/>
      <w:bookmarkStart w:id="9" w:name="_Toc3823"/>
      <w:r>
        <w:rPr>
          <w:color w:val="62B541"/>
          <w:sz w:val="32"/>
          <w14:shadow w14:blurRad="50800" w14:dist="38100" w14:dir="10800000" w14:sx="100000" w14:sy="100000" w14:kx="0" w14:ky="0" w14:algn="r">
            <w14:srgbClr w14:val="62B541">
              <w14:alpha w14:val="60000"/>
            </w14:srgbClr>
          </w14:shadow>
        </w:rPr>
        <w:t>检测项目</w:t>
      </w:r>
      <w:bookmarkEnd w:id="2"/>
      <w:bookmarkEnd w:id="3"/>
      <w:bookmarkEnd w:id="4"/>
      <w:bookmarkEnd w:id="5"/>
      <w:bookmarkEnd w:id="6"/>
      <w:bookmarkEnd w:id="7"/>
      <w:bookmarkEnd w:id="8"/>
    </w:p>
    <w:p w14:paraId="373405DB">
      <w:pPr>
        <w:ind w:firstLine="280" w:firstLineChars="100"/>
        <w:rPr>
          <w:rFonts w:ascii="Times New Roman" w:hAnsi="Times New Roman" w:eastAsia="微软雅黑" w:cs="Times New Roman"/>
          <w:b/>
          <w:color w:val="00B050"/>
          <w:sz w:val="28"/>
          <w:szCs w:val="28"/>
          <w:lang w:eastAsia="zh-CN"/>
        </w:rPr>
      </w:pPr>
    </w:p>
    <w:p w14:paraId="55FB3572">
      <w:pPr>
        <w:spacing w:line="276" w:lineRule="auto"/>
        <w:ind w:firstLine="420" w:firstLineChars="200"/>
        <w:jc w:val="both"/>
        <w:rPr>
          <w:rFonts w:ascii="Times New Roman" w:hAnsi="Times New Roman" w:eastAsia="微软雅黑" w:cs="Times New Roman"/>
          <w:bCs/>
          <w:sz w:val="21"/>
          <w:szCs w:val="21"/>
          <w:lang w:eastAsia="zh-CN"/>
        </w:rPr>
      </w:pPr>
      <w:bookmarkStart w:id="10" w:name="_Toc534807930"/>
      <w:r>
        <w:rPr>
          <w:rFonts w:hint="eastAsia" w:ascii="Times New Roman" w:hAnsi="Times New Roman" w:eastAsia="微软雅黑" w:cs="Times New Roman"/>
          <w:bCs/>
          <w:sz w:val="21"/>
          <w:szCs w:val="21"/>
          <w:highlight w:val="none"/>
          <w:lang w:eastAsia="zh-CN"/>
        </w:rPr>
        <w:t>本</w:t>
      </w:r>
      <w:r>
        <w:rPr>
          <w:rFonts w:hint="eastAsia" w:ascii="Times New Roman" w:hAnsi="Times New Roman" w:eastAsia="微软雅黑" w:cs="Times New Roman"/>
          <w:bCs/>
          <w:sz w:val="21"/>
          <w:szCs w:val="21"/>
          <w:highlight w:val="none"/>
          <w:lang w:val="en-US" w:eastAsia="zh-CN"/>
        </w:rPr>
        <w:t>产品</w:t>
      </w:r>
      <w:r>
        <w:rPr>
          <w:rFonts w:hint="eastAsia" w:ascii="Times New Roman" w:hAnsi="Times New Roman" w:eastAsia="微软雅黑" w:cs="Times New Roman"/>
          <w:bCs/>
          <w:sz w:val="21"/>
          <w:szCs w:val="21"/>
          <w:highlight w:val="none"/>
          <w:lang w:eastAsia="zh-CN"/>
        </w:rPr>
        <w:t>基于实体瘤MRD肿瘤组织先验（tumor-informed）策略检测患者</w:t>
      </w:r>
      <w:r>
        <w:rPr>
          <w:rFonts w:hint="eastAsia" w:ascii="Times New Roman" w:hAnsi="Times New Roman" w:eastAsia="微软雅黑" w:cs="Times New Roman"/>
          <w:bCs/>
          <w:sz w:val="21"/>
          <w:szCs w:val="21"/>
          <w:highlight w:val="none"/>
          <w:lang w:val="en-US" w:eastAsia="zh-CN"/>
        </w:rPr>
        <w:t>肿瘤</w:t>
      </w:r>
      <w:r>
        <w:rPr>
          <w:rFonts w:hint="eastAsia" w:ascii="Times New Roman" w:hAnsi="Times New Roman" w:eastAsia="微软雅黑" w:cs="Times New Roman"/>
          <w:bCs/>
          <w:sz w:val="21"/>
          <w:szCs w:val="21"/>
          <w:highlight w:val="none"/>
          <w:lang w:eastAsia="zh-CN"/>
        </w:rPr>
        <w:t>组织中的突变信息（肿瘤组织基线突变检测），依托目标区域高通量测序技术，对肿瘤组织进行全面基因检测。</w:t>
      </w:r>
      <w:r>
        <w:rPr>
          <w:rFonts w:hint="eastAsia" w:ascii="Times New Roman" w:hAnsi="Times New Roman" w:eastAsia="微软雅黑" w:cs="Times New Roman"/>
          <w:bCs/>
          <w:strike w:val="0"/>
          <w:dstrike w:val="0"/>
          <w:sz w:val="21"/>
          <w:szCs w:val="21"/>
          <w:highlight w:val="none"/>
          <w:lang w:val="en-US" w:eastAsia="zh-CN"/>
        </w:rPr>
        <w:t>检测内容为</w:t>
      </w:r>
      <w:r>
        <w:rPr>
          <w:rFonts w:ascii="Times New Roman" w:hAnsi="Times New Roman" w:eastAsia="微软雅黑" w:cs="Times New Roman"/>
          <w:bCs/>
          <w:strike w:val="0"/>
          <w:dstrike w:val="0"/>
          <w:sz w:val="21"/>
          <w:szCs w:val="21"/>
          <w:highlight w:val="none"/>
          <w:lang w:eastAsia="zh-CN"/>
        </w:rPr>
        <w:t>与肿瘤密切相关的12</w:t>
      </w:r>
      <w:r>
        <w:rPr>
          <w:rFonts w:hint="eastAsia" w:ascii="Times New Roman" w:hAnsi="Times New Roman" w:eastAsia="微软雅黑" w:cs="Times New Roman"/>
          <w:bCs/>
          <w:strike w:val="0"/>
          <w:dstrike w:val="0"/>
          <w:sz w:val="21"/>
          <w:szCs w:val="21"/>
          <w:highlight w:val="none"/>
          <w:lang w:eastAsia="zh-CN"/>
        </w:rPr>
        <w:t>38</w:t>
      </w:r>
      <w:r>
        <w:rPr>
          <w:rFonts w:ascii="Times New Roman" w:hAnsi="Times New Roman" w:eastAsia="微软雅黑" w:cs="Times New Roman"/>
          <w:bCs/>
          <w:strike w:val="0"/>
          <w:dstrike w:val="0"/>
          <w:sz w:val="21"/>
          <w:szCs w:val="21"/>
          <w:highlight w:val="none"/>
          <w:lang w:eastAsia="zh-CN"/>
        </w:rPr>
        <w:t>个基因</w:t>
      </w:r>
      <w:r>
        <w:rPr>
          <w:rFonts w:hint="eastAsia" w:ascii="Times New Roman" w:hAnsi="Times New Roman" w:eastAsia="微软雅黑" w:cs="Times New Roman"/>
          <w:bCs/>
          <w:strike w:val="0"/>
          <w:dstrike w:val="0"/>
          <w:sz w:val="21"/>
          <w:szCs w:val="21"/>
          <w:highlight w:val="none"/>
          <w:lang w:eastAsia="zh-CN"/>
        </w:rPr>
        <w:t>，检测突变形式为点突变（SNV）、小片段插入缺失（INDEL）、</w:t>
      </w:r>
      <w:r>
        <w:rPr>
          <w:rFonts w:hint="eastAsia" w:ascii="Times New Roman" w:hAnsi="Times New Roman" w:eastAsia="微软雅黑" w:cs="Times New Roman"/>
          <w:bCs/>
          <w:sz w:val="21"/>
          <w:szCs w:val="21"/>
          <w:highlight w:val="none"/>
          <w:lang w:eastAsia="zh-CN"/>
        </w:rPr>
        <w:t>拷贝数变异（CNV）以及融合（FUSION）</w:t>
      </w:r>
      <w:r>
        <w:rPr>
          <w:rFonts w:ascii="Times New Roman" w:hAnsi="Times New Roman" w:eastAsia="微软雅黑" w:cs="Times New Roman"/>
          <w:bCs/>
          <w:sz w:val="21"/>
          <w:szCs w:val="21"/>
          <w:highlight w:val="none"/>
          <w:lang w:eastAsia="zh-CN"/>
        </w:rPr>
        <w:t>。</w:t>
      </w:r>
      <w:r>
        <w:rPr>
          <w:rFonts w:hint="eastAsia" w:ascii="Times New Roman" w:hAnsi="Times New Roman" w:eastAsia="微软雅黑" w:cs="Times New Roman"/>
          <w:sz w:val="21"/>
          <w:szCs w:val="21"/>
          <w:lang w:eastAsia="zh-CN"/>
        </w:rPr>
        <w:t xml:space="preserve">{% if </w:t>
      </w:r>
      <w:r>
        <w:rPr>
          <w:rFonts w:ascii="Times New Roman" w:hAnsi="Times New Roman" w:eastAsia="微软雅黑" w:cs="Times New Roman"/>
          <w:sz w:val="21"/>
          <w:szCs w:val="21"/>
          <w:lang w:eastAsia="zh-CN"/>
        </w:rPr>
        <w:t>PDInfo</w:t>
      </w:r>
      <w:r>
        <w:rPr>
          <w:rFonts w:hint="eastAsia" w:ascii="Times New Roman" w:hAnsi="Times New Roman" w:eastAsia="微软雅黑" w:cs="Times New Roman"/>
          <w:sz w:val="21"/>
          <w:szCs w:val="21"/>
          <w:lang w:eastAsia="zh-CN"/>
        </w:rPr>
        <w:t xml:space="preserve"> != </w:t>
      </w:r>
      <w:r>
        <w:rPr>
          <w:rFonts w:ascii="Times New Roman" w:hAnsi="Times New Roman" w:eastAsia="微软雅黑" w:cs="Times New Roman"/>
          <w:sz w:val="21"/>
          <w:szCs w:val="21"/>
          <w:lang w:eastAsia="zh-CN"/>
        </w:rPr>
        <w:t>undefined</w:t>
      </w: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bCs/>
          <w:sz w:val="21"/>
          <w:szCs w:val="21"/>
          <w:lang w:eastAsia="zh-CN"/>
        </w:rPr>
        <w:t>通过免疫组化检测PD-L1表达。</w:t>
      </w:r>
      <w:r>
        <w:rPr>
          <w:rFonts w:hint="eastAsia" w:ascii="Times New Roman" w:hAnsi="Times New Roman" w:eastAsia="微软雅黑" w:cs="Times New Roman"/>
          <w:sz w:val="21"/>
          <w:szCs w:val="21"/>
          <w:lang w:eastAsia="zh-CN"/>
        </w:rPr>
        <w:t>{% endif %}</w:t>
      </w:r>
    </w:p>
    <w:p w14:paraId="4821DF09">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 xml:space="preserve">{% if urinaryProstateDisease == </w:t>
      </w:r>
      <w:r>
        <w:rPr>
          <w:rFonts w:ascii="Times New Roman" w:hAnsi="Times New Roman" w:eastAsia="微软雅黑" w:cs="Times New Roman"/>
          <w:bCs/>
          <w:sz w:val="21"/>
          <w:szCs w:val="21"/>
          <w:lang w:eastAsia="zh-CN"/>
        </w:rPr>
        <w:t>‘’</w:t>
      </w:r>
      <w:r>
        <w:rPr>
          <w:rFonts w:hint="eastAsia" w:ascii="Times New Roman" w:hAnsi="Times New Roman" w:eastAsia="微软雅黑" w:cs="Times New Roman"/>
          <w:bCs/>
          <w:sz w:val="21"/>
          <w:szCs w:val="21"/>
          <w:lang w:eastAsia="zh-CN"/>
        </w:rPr>
        <w:t xml:space="preserve"> %}</w:t>
      </w:r>
      <w:r>
        <w:rPr>
          <w:rFonts w:ascii="Times New Roman" w:hAnsi="Times New Roman" w:eastAsia="微软雅黑" w:cs="Times New Roman"/>
          <w:bCs/>
          <w:sz w:val="21"/>
          <w:szCs w:val="21"/>
          <w:lang w:eastAsia="zh-CN"/>
        </w:rPr>
        <w:t>本报告分析基因变异与</w:t>
      </w:r>
      <w:r>
        <w:rPr>
          <w:rFonts w:hint="eastAsia" w:ascii="Times New Roman" w:hAnsi="Times New Roman" w:eastAsia="微软雅黑" w:cs="Times New Roman"/>
          <w:bCs/>
          <w:sz w:val="21"/>
          <w:szCs w:val="21"/>
          <w:lang w:eastAsia="zh-CN"/>
        </w:rPr>
        <w:t>{% if endometrialCarcinoma == True %}子宫内膜癌TCGA分子分型、{% endif %}</w:t>
      </w:r>
      <w:r>
        <w:rPr>
          <w:rFonts w:ascii="Times New Roman" w:hAnsi="Times New Roman" w:eastAsia="微软雅黑" w:cs="Times New Roman"/>
          <w:bCs/>
          <w:sz w:val="21"/>
          <w:szCs w:val="21"/>
          <w:lang w:eastAsia="zh-CN"/>
        </w:rPr>
        <w:t>靶向药物、免疫药物（TMB等）</w:t>
      </w:r>
      <w:r>
        <w:rPr>
          <w:rFonts w:hint="eastAsia" w:ascii="Times New Roman" w:hAnsi="Times New Roman" w:eastAsia="微软雅黑" w:cs="Times New Roman"/>
          <w:bCs/>
          <w:sz w:val="21"/>
          <w:szCs w:val="21"/>
          <w:lang w:eastAsia="zh-CN"/>
        </w:rPr>
        <w:t>{% if gastrointestinalStromalTumor == True %}</w:t>
      </w:r>
      <w:r>
        <w:rPr>
          <w:rFonts w:ascii="Times New Roman" w:hAnsi="Times New Roman" w:eastAsia="微软雅黑" w:cs="Times New Roman"/>
          <w:bCs/>
          <w:sz w:val="21"/>
          <w:szCs w:val="21"/>
          <w:lang w:eastAsia="zh-CN"/>
        </w:rPr>
        <w:t>、化疗药物</w:t>
      </w:r>
      <w:r>
        <w:rPr>
          <w:rFonts w:hint="eastAsia" w:ascii="Times New Roman" w:hAnsi="Times New Roman" w:eastAsia="微软雅黑" w:cs="Times New Roman"/>
          <w:bCs/>
          <w:sz w:val="21"/>
          <w:szCs w:val="21"/>
          <w:lang w:eastAsia="zh-CN"/>
        </w:rPr>
        <w:t>{% endif %}</w:t>
      </w:r>
      <w:r>
        <w:rPr>
          <w:rFonts w:ascii="Times New Roman" w:hAnsi="Times New Roman" w:eastAsia="微软雅黑" w:cs="Times New Roman"/>
          <w:bCs/>
          <w:sz w:val="21"/>
          <w:szCs w:val="21"/>
          <w:lang w:eastAsia="zh-CN"/>
        </w:rPr>
        <w:t>和遗传风险的相关性，给出靶向药物（FDA/NMPA批准药物、临床试验药物等）</w:t>
      </w:r>
      <w:r>
        <w:rPr>
          <w:rFonts w:hint="eastAsia" w:ascii="Times New Roman" w:hAnsi="Times New Roman" w:eastAsia="微软雅黑" w:cs="Times New Roman"/>
          <w:bCs/>
          <w:sz w:val="21"/>
          <w:szCs w:val="21"/>
          <w:lang w:eastAsia="zh-CN"/>
        </w:rPr>
        <w:t>{% if gastrointestinalStromalTumor == True %}</w:t>
      </w:r>
      <w:r>
        <w:rPr>
          <w:rFonts w:ascii="Times New Roman" w:hAnsi="Times New Roman" w:eastAsia="微软雅黑" w:cs="Times New Roman"/>
          <w:bCs/>
          <w:sz w:val="21"/>
          <w:szCs w:val="21"/>
          <w:lang w:eastAsia="zh-CN"/>
        </w:rPr>
        <w:t>、化疗药物</w:t>
      </w:r>
      <w:r>
        <w:rPr>
          <w:rFonts w:hint="eastAsia" w:ascii="Times New Roman" w:hAnsi="Times New Roman" w:eastAsia="微软雅黑" w:cs="Times New Roman"/>
          <w:bCs/>
          <w:sz w:val="21"/>
          <w:szCs w:val="21"/>
          <w:lang w:eastAsia="zh-CN"/>
        </w:rPr>
        <w:t>{% endif %}</w:t>
      </w:r>
      <w:r>
        <w:rPr>
          <w:rFonts w:ascii="Times New Roman" w:hAnsi="Times New Roman" w:eastAsia="微软雅黑" w:cs="Times New Roman"/>
          <w:bCs/>
          <w:sz w:val="21"/>
          <w:szCs w:val="21"/>
          <w:lang w:eastAsia="zh-CN"/>
        </w:rPr>
        <w:t>的用药提示信息，从而为临床制定治疗方案</w:t>
      </w:r>
      <w:r>
        <w:rPr>
          <w:rFonts w:hint="eastAsia" w:ascii="Times New Roman" w:hAnsi="Times New Roman" w:eastAsia="微软雅黑" w:cs="Times New Roman"/>
          <w:bCs/>
          <w:sz w:val="21"/>
          <w:szCs w:val="21"/>
          <w:lang w:val="en-US" w:eastAsia="zh-CN"/>
        </w:rPr>
        <w:t>和</w:t>
      </w:r>
      <w:r>
        <w:rPr>
          <w:rFonts w:hint="eastAsia" w:ascii="Times New Roman" w:hAnsi="Times New Roman" w:eastAsia="微软雅黑" w:cs="Times New Roman"/>
          <w:bCs/>
          <w:sz w:val="21"/>
          <w:szCs w:val="21"/>
          <w:lang w:eastAsia="zh-CN"/>
        </w:rPr>
        <w:t>患者</w:t>
      </w:r>
      <w:r>
        <w:rPr>
          <w:rFonts w:hint="eastAsia" w:ascii="Times New Roman" w:hAnsi="Times New Roman" w:eastAsia="微软雅黑" w:cs="Times New Roman"/>
          <w:bCs/>
          <w:sz w:val="21"/>
          <w:szCs w:val="21"/>
          <w:lang w:val="en-US" w:eastAsia="zh-CN"/>
        </w:rPr>
        <w:t>MRD</w:t>
      </w:r>
      <w:r>
        <w:rPr>
          <w:rFonts w:hint="eastAsia" w:ascii="Times New Roman" w:hAnsi="Times New Roman" w:eastAsia="微软雅黑" w:cs="Times New Roman"/>
          <w:bCs/>
          <w:sz w:val="21"/>
          <w:szCs w:val="21"/>
          <w:lang w:eastAsia="zh-CN"/>
        </w:rPr>
        <w:t>动态监测</w:t>
      </w:r>
      <w:r>
        <w:rPr>
          <w:rFonts w:ascii="Times New Roman" w:hAnsi="Times New Roman" w:eastAsia="微软雅黑" w:cs="Times New Roman"/>
          <w:bCs/>
          <w:sz w:val="21"/>
          <w:szCs w:val="21"/>
          <w:lang w:eastAsia="zh-CN"/>
        </w:rPr>
        <w:t>提供参考信息。</w:t>
      </w:r>
      <w:r>
        <w:rPr>
          <w:rFonts w:hint="eastAsia" w:ascii="Times New Roman" w:hAnsi="Times New Roman" w:eastAsia="微软雅黑" w:cs="Times New Roman"/>
          <w:bCs/>
          <w:sz w:val="21"/>
          <w:szCs w:val="21"/>
          <w:lang w:eastAsia="zh-CN"/>
        </w:rPr>
        <w:t>{% else %}</w:t>
      </w:r>
      <w:r>
        <w:rPr>
          <w:rFonts w:ascii="Times New Roman" w:hAnsi="Times New Roman" w:eastAsia="微软雅黑" w:cs="Times New Roman"/>
          <w:bCs/>
          <w:sz w:val="21"/>
          <w:szCs w:val="21"/>
          <w:lang w:eastAsia="zh-CN"/>
        </w:rPr>
        <w:t>本报告分析基因变异与靶向药物、免疫药物</w:t>
      </w:r>
      <w:r>
        <w:rPr>
          <w:rFonts w:hint="eastAsia" w:ascii="Times New Roman" w:hAnsi="Times New Roman" w:eastAsia="微软雅黑" w:cs="Times New Roman"/>
          <w:bCs/>
          <w:sz w:val="21"/>
          <w:szCs w:val="21"/>
          <w:lang w:eastAsia="zh-CN"/>
        </w:rPr>
        <w:t>{% if gastrointestinalStromalTumor == True %}</w:t>
      </w:r>
      <w:r>
        <w:rPr>
          <w:rFonts w:ascii="Times New Roman" w:hAnsi="Times New Roman" w:eastAsia="微软雅黑" w:cs="Times New Roman"/>
          <w:bCs/>
          <w:sz w:val="21"/>
          <w:szCs w:val="21"/>
          <w:lang w:eastAsia="zh-CN"/>
        </w:rPr>
        <w:t>、化疗药物</w:t>
      </w:r>
      <w:r>
        <w:rPr>
          <w:rFonts w:hint="eastAsia" w:ascii="Times New Roman" w:hAnsi="Times New Roman" w:eastAsia="微软雅黑" w:cs="Times New Roman"/>
          <w:bCs/>
          <w:sz w:val="21"/>
          <w:szCs w:val="21"/>
          <w:lang w:eastAsia="zh-CN"/>
        </w:rPr>
        <w:t xml:space="preserve">{% endif %}、{% if urinaryProstateDisease == </w:t>
      </w:r>
      <w:r>
        <w:rPr>
          <w:rFonts w:ascii="Times New Roman" w:hAnsi="Times New Roman" w:eastAsia="微软雅黑" w:cs="Times New Roman"/>
          <w:bCs/>
          <w:sz w:val="21"/>
          <w:szCs w:val="21"/>
          <w:lang w:eastAsia="zh-CN"/>
        </w:rPr>
        <w:t>‘</w:t>
      </w:r>
      <w:r>
        <w:rPr>
          <w:rFonts w:hint="eastAsia" w:ascii="Times New Roman" w:hAnsi="Times New Roman" w:eastAsia="微软雅黑" w:cs="Times New Roman"/>
          <w:bCs/>
          <w:sz w:val="21"/>
          <w:szCs w:val="21"/>
          <w:lang w:eastAsia="zh-CN"/>
        </w:rPr>
        <w:t>前列腺癌</w:t>
      </w:r>
      <w:r>
        <w:rPr>
          <w:rFonts w:ascii="Times New Roman" w:hAnsi="Times New Roman" w:eastAsia="微软雅黑" w:cs="Times New Roman"/>
          <w:bCs/>
          <w:sz w:val="21"/>
          <w:szCs w:val="21"/>
          <w:lang w:eastAsia="zh-CN"/>
        </w:rPr>
        <w:t>’</w:t>
      </w:r>
      <w:r>
        <w:rPr>
          <w:rFonts w:hint="eastAsia" w:ascii="Times New Roman" w:hAnsi="Times New Roman" w:eastAsia="微软雅黑" w:cs="Times New Roman"/>
          <w:bCs/>
          <w:sz w:val="21"/>
          <w:szCs w:val="21"/>
          <w:lang w:eastAsia="zh-CN"/>
        </w:rPr>
        <w:t xml:space="preserve"> %}内分泌治疗和神经内分泌分化分型、{% endif %}</w:t>
      </w:r>
      <w:r>
        <w:rPr>
          <w:rFonts w:ascii="Times New Roman" w:hAnsi="Times New Roman" w:eastAsia="微软雅黑" w:cs="Times New Roman"/>
          <w:bCs/>
          <w:sz w:val="21"/>
          <w:szCs w:val="21"/>
          <w:lang w:eastAsia="zh-CN"/>
        </w:rPr>
        <w:t>遗传风险</w:t>
      </w:r>
      <w:r>
        <w:rPr>
          <w:rFonts w:hint="eastAsia" w:ascii="Times New Roman" w:hAnsi="Times New Roman" w:eastAsia="微软雅黑" w:cs="Times New Roman"/>
          <w:bCs/>
          <w:sz w:val="21"/>
          <w:szCs w:val="21"/>
          <w:lang w:eastAsia="zh-CN"/>
        </w:rPr>
        <w:t xml:space="preserve">{% if urinaryProstateDisease != </w:t>
      </w:r>
      <w:r>
        <w:rPr>
          <w:rFonts w:ascii="Times New Roman" w:hAnsi="Times New Roman" w:eastAsia="微软雅黑" w:cs="Times New Roman"/>
          <w:bCs/>
          <w:sz w:val="21"/>
          <w:szCs w:val="21"/>
          <w:lang w:eastAsia="zh-CN"/>
        </w:rPr>
        <w:t>‘’</w:t>
      </w:r>
      <w:r>
        <w:rPr>
          <w:rFonts w:hint="eastAsia" w:ascii="Times New Roman" w:hAnsi="Times New Roman" w:eastAsia="微软雅黑" w:cs="Times New Roman"/>
          <w:bCs/>
          <w:sz w:val="21"/>
          <w:szCs w:val="21"/>
          <w:lang w:eastAsia="zh-CN"/>
        </w:rPr>
        <w:t xml:space="preserve"> %}以及疾病预后{% endif %}</w:t>
      </w:r>
      <w:r>
        <w:rPr>
          <w:rFonts w:ascii="Times New Roman" w:hAnsi="Times New Roman" w:eastAsia="微软雅黑" w:cs="Times New Roman"/>
          <w:bCs/>
          <w:sz w:val="21"/>
          <w:szCs w:val="21"/>
          <w:lang w:eastAsia="zh-CN"/>
        </w:rPr>
        <w:t>的相关性，给出用药提示信息，</w:t>
      </w:r>
      <w:r>
        <w:rPr>
          <w:rFonts w:hint="eastAsia" w:ascii="Times New Roman" w:hAnsi="Times New Roman" w:eastAsia="微软雅黑" w:cs="Times New Roman"/>
          <w:bCs/>
          <w:sz w:val="21"/>
          <w:szCs w:val="21"/>
          <w:lang w:eastAsia="zh-CN"/>
        </w:rPr>
        <w:t xml:space="preserve">遗传风险评估信息{% if urinaryProstateDisease != </w:t>
      </w:r>
      <w:r>
        <w:rPr>
          <w:rFonts w:ascii="Times New Roman" w:hAnsi="Times New Roman" w:eastAsia="微软雅黑" w:cs="Times New Roman"/>
          <w:bCs/>
          <w:sz w:val="21"/>
          <w:szCs w:val="21"/>
          <w:lang w:eastAsia="zh-CN"/>
        </w:rPr>
        <w:t>‘’</w:t>
      </w:r>
      <w:r>
        <w:rPr>
          <w:rFonts w:hint="eastAsia" w:ascii="Times New Roman" w:hAnsi="Times New Roman" w:eastAsia="微软雅黑" w:cs="Times New Roman"/>
          <w:bCs/>
          <w:sz w:val="21"/>
          <w:szCs w:val="21"/>
          <w:lang w:eastAsia="zh-CN"/>
        </w:rPr>
        <w:t xml:space="preserve"> %}和疾病预后提示信息{% endif %}，</w:t>
      </w:r>
      <w:r>
        <w:rPr>
          <w:rFonts w:ascii="Times New Roman" w:hAnsi="Times New Roman" w:eastAsia="微软雅黑" w:cs="Times New Roman"/>
          <w:bCs/>
          <w:sz w:val="21"/>
          <w:szCs w:val="21"/>
          <w:lang w:eastAsia="zh-CN"/>
        </w:rPr>
        <w:t>从而为临床制定治疗方案</w:t>
      </w:r>
      <w:r>
        <w:rPr>
          <w:rFonts w:hint="eastAsia" w:ascii="Times New Roman" w:hAnsi="Times New Roman" w:eastAsia="微软雅黑" w:cs="Times New Roman"/>
          <w:bCs/>
          <w:sz w:val="21"/>
          <w:szCs w:val="21"/>
          <w:lang w:val="en-US" w:eastAsia="zh-CN"/>
        </w:rPr>
        <w:t>和</w:t>
      </w:r>
      <w:r>
        <w:rPr>
          <w:rFonts w:hint="eastAsia" w:ascii="Times New Roman" w:hAnsi="Times New Roman" w:eastAsia="微软雅黑" w:cs="Times New Roman"/>
          <w:bCs/>
          <w:sz w:val="21"/>
          <w:szCs w:val="21"/>
          <w:lang w:eastAsia="zh-CN"/>
        </w:rPr>
        <w:t>患者</w:t>
      </w:r>
      <w:r>
        <w:rPr>
          <w:rFonts w:hint="eastAsia" w:ascii="Times New Roman" w:hAnsi="Times New Roman" w:eastAsia="微软雅黑" w:cs="Times New Roman"/>
          <w:bCs/>
          <w:sz w:val="21"/>
          <w:szCs w:val="21"/>
          <w:lang w:val="en-US" w:eastAsia="zh-CN"/>
        </w:rPr>
        <w:t>MRD</w:t>
      </w:r>
      <w:r>
        <w:rPr>
          <w:rFonts w:hint="eastAsia" w:ascii="Times New Roman" w:hAnsi="Times New Roman" w:eastAsia="微软雅黑" w:cs="Times New Roman"/>
          <w:bCs/>
          <w:sz w:val="21"/>
          <w:szCs w:val="21"/>
          <w:lang w:eastAsia="zh-CN"/>
        </w:rPr>
        <w:t>动态监测</w:t>
      </w:r>
      <w:r>
        <w:rPr>
          <w:rFonts w:ascii="Times New Roman" w:hAnsi="Times New Roman" w:eastAsia="微软雅黑" w:cs="Times New Roman"/>
          <w:bCs/>
          <w:sz w:val="21"/>
          <w:szCs w:val="21"/>
          <w:lang w:eastAsia="zh-CN"/>
        </w:rPr>
        <w:t>提供参考。</w:t>
      </w:r>
      <w:r>
        <w:rPr>
          <w:rFonts w:hint="eastAsia" w:ascii="Times New Roman" w:hAnsi="Times New Roman" w:eastAsia="微软雅黑" w:cs="Times New Roman"/>
          <w:bCs/>
          <w:sz w:val="21"/>
          <w:szCs w:val="21"/>
          <w:lang w:eastAsia="zh-CN"/>
        </w:rPr>
        <w:t>{% endif %}</w:t>
      </w:r>
    </w:p>
    <w:p w14:paraId="231A9AF4">
      <w:pPr>
        <w:spacing w:line="276" w:lineRule="auto"/>
        <w:ind w:firstLine="420" w:firstLineChars="200"/>
        <w:jc w:val="both"/>
        <w:rPr>
          <w:rFonts w:ascii="Times New Roman" w:hAnsi="Times New Roman" w:eastAsia="微软雅黑" w:cs="Times New Roman"/>
          <w:b/>
          <w:color w:val="00B050"/>
          <w:sz w:val="28"/>
          <w:szCs w:val="28"/>
          <w:lang w:eastAsia="zh-CN"/>
        </w:rPr>
      </w:pPr>
      <w:r>
        <w:rPr>
          <w:rFonts w:hint="eastAsia" w:ascii="Times New Roman" w:hAnsi="Times New Roman" w:eastAsia="微软雅黑" w:cs="Times New Roman"/>
          <w:bCs/>
          <w:sz w:val="21"/>
          <w:szCs w:val="21"/>
          <w:lang w:eastAsia="zh-CN"/>
        </w:rPr>
        <w:t>注：检测基因列表见附录。</w:t>
      </w:r>
    </w:p>
    <w:p w14:paraId="6EE66212">
      <w:pPr>
        <w:spacing w:line="276" w:lineRule="auto"/>
        <w:ind w:firstLine="420" w:firstLineChars="200"/>
        <w:jc w:val="both"/>
        <w:rPr>
          <w:rFonts w:ascii="Times New Roman" w:hAnsi="Times New Roman" w:eastAsia="微软雅黑" w:cs="Times New Roman"/>
          <w:bCs/>
          <w:sz w:val="21"/>
          <w:szCs w:val="21"/>
          <w:lang w:eastAsia="zh-CN"/>
        </w:rPr>
      </w:pPr>
    </w:p>
    <w:p w14:paraId="5DD87C32">
      <w:pPr>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br w:type="page"/>
      </w:r>
    </w:p>
    <w:p w14:paraId="4CBB01C4">
      <w:pPr>
        <w:numPr>
          <w:ilvl w:val="255"/>
          <w:numId w:val="0"/>
        </w:numPr>
        <w:jc w:val="both"/>
        <w:outlineLvl w:val="0"/>
        <w:rPr>
          <w:rStyle w:val="36"/>
          <w:rFonts w:ascii="微软雅黑" w:hAnsi="微软雅黑" w:cs="微软雅黑"/>
          <w:color w:val="62B541"/>
          <w:sz w:val="32"/>
          <w:szCs w:val="40"/>
          <w14:shadow w14:blurRad="50800" w14:dist="38100" w14:dir="10800000" w14:sx="100000" w14:sy="100000" w14:kx="0" w14:ky="0" w14:algn="r">
            <w14:srgbClr w14:val="62B541">
              <w14:alpha w14:val="60000"/>
            </w14:srgbClr>
          </w14:shadow>
        </w:rPr>
      </w:pPr>
      <w:bookmarkStart w:id="11" w:name="_Toc6221_WPSOffice_Level1"/>
      <w:bookmarkStart w:id="12" w:name="_Toc16576"/>
      <w:bookmarkStart w:id="13" w:name="_Toc23369_WPSOffice_Level1"/>
      <w:bookmarkStart w:id="14" w:name="_Toc25920"/>
      <w:bookmarkStart w:id="15" w:name="_Toc18058"/>
      <w:bookmarkStart w:id="16" w:name="_Toc25340"/>
      <w:bookmarkStart w:id="17" w:name="_Toc2762"/>
      <w:r>
        <w:rPr>
          <w:rStyle w:val="36"/>
          <w:rFonts w:hint="eastAsia" w:ascii="微软雅黑" w:hAnsi="微软雅黑" w:cs="微软雅黑"/>
          <w:color w:val="62B541"/>
          <w:sz w:val="32"/>
          <w:szCs w:val="40"/>
          <w14:shadow w14:blurRad="50800" w14:dist="38100" w14:dir="10800000" w14:sx="100000" w14:sy="100000" w14:kx="0" w14:ky="0" w14:algn="r">
            <w14:srgbClr w14:val="62B541">
              <w14:alpha w14:val="60000"/>
            </w14:srgbClr>
          </w14:shadow>
        </w:rPr>
        <w:t>检测结果</w:t>
      </w:r>
      <w:bookmarkEnd w:id="11"/>
      <w:bookmarkEnd w:id="12"/>
      <w:bookmarkEnd w:id="13"/>
      <w:bookmarkEnd w:id="14"/>
      <w:bookmarkEnd w:id="15"/>
      <w:r>
        <w:rPr>
          <w:rStyle w:val="36"/>
          <w:rFonts w:hint="eastAsia" w:ascii="微软雅黑" w:hAnsi="微软雅黑" w:cs="微软雅黑"/>
          <w:color w:val="62B541"/>
          <w:sz w:val="32"/>
          <w:szCs w:val="40"/>
          <w14:shadow w14:blurRad="50800" w14:dist="38100" w14:dir="10800000" w14:sx="100000" w14:sy="100000" w14:kx="0" w14:ky="0" w14:algn="r">
            <w14:srgbClr w14:val="62B541">
              <w14:alpha w14:val="60000"/>
            </w14:srgbClr>
          </w14:shadow>
        </w:rPr>
        <w:t>总览</w:t>
      </w:r>
      <w:bookmarkEnd w:id="16"/>
      <w:bookmarkEnd w:id="17"/>
    </w:p>
    <w:p w14:paraId="354079D5">
      <w:pPr>
        <w:pStyle w:val="3"/>
        <w:keepNext w:val="0"/>
        <w:keepLines w:val="0"/>
        <w:pageBreakBefore w:val="0"/>
        <w:widowControl w:val="0"/>
        <w:numPr>
          <w:ilvl w:val="255"/>
          <w:numId w:val="0"/>
        </w:numPr>
        <w:kinsoku/>
        <w:wordWrap/>
        <w:overflowPunct/>
        <w:topLinePunct w:val="0"/>
        <w:autoSpaceDE/>
        <w:autoSpaceDN/>
        <w:bidi w:val="0"/>
        <w:adjustRightInd/>
        <w:snapToGrid/>
        <w:spacing w:afterAutospacing="0"/>
        <w:jc w:val="left"/>
        <w:textAlignment w:val="auto"/>
        <w:rPr>
          <w:lang w:eastAsia="zh-CN"/>
        </w:rPr>
      </w:pPr>
      <w:bookmarkStart w:id="18" w:name="_Toc26904"/>
      <w:bookmarkStart w:id="19" w:name="_Toc2358"/>
      <w:r>
        <w:rPr>
          <w:rFonts w:hint="eastAsia"/>
          <w:color w:val="auto"/>
          <w:sz w:val="30"/>
          <w:lang w:eastAsia="zh-CN"/>
        </w:rPr>
        <w:t>检测结果小结</w:t>
      </w:r>
      <w:bookmarkEnd w:id="18"/>
      <w:bookmarkEnd w:id="19"/>
    </w:p>
    <w:tbl>
      <w:tblPr>
        <w:tblStyle w:val="14"/>
        <w:tblpPr w:leftFromText="181" w:rightFromText="181" w:vertAnchor="text" w:horzAnchor="page" w:tblpX="1033" w:tblpY="114"/>
        <w:tblOverlap w:val="never"/>
        <w:tblW w:w="9852" w:type="dxa"/>
        <w:tblInd w:w="0"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712"/>
        <w:gridCol w:w="2829"/>
        <w:gridCol w:w="5311"/>
      </w:tblGrid>
      <w:tr w14:paraId="2652993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90" w:hRule="atLeast"/>
        </w:trPr>
        <w:tc>
          <w:tcPr>
            <w:tcW w:w="4541" w:type="dxa"/>
            <w:gridSpan w:val="2"/>
            <w:tcBorders>
              <w:top w:val="nil"/>
              <w:bottom w:val="nil"/>
              <w:right w:val="single" w:color="FFFFFF" w:sz="18" w:space="0"/>
            </w:tcBorders>
            <w:shd w:val="clear" w:color="auto" w:fill="62BC41"/>
            <w:vAlign w:val="center"/>
          </w:tcPr>
          <w:p w14:paraId="5DCDAB84">
            <w:pPr>
              <w:jc w:val="center"/>
              <w:rPr>
                <w:rFonts w:ascii="微软雅黑" w:eastAsia="微软雅黑"/>
                <w:b/>
                <w:color w:val="FFFFFF" w:themeColor="background1"/>
                <w:sz w:val="21"/>
                <w14:textFill>
                  <w14:solidFill>
                    <w14:schemeClr w14:val="bg1"/>
                  </w14:solidFill>
                </w14:textFill>
              </w:rPr>
            </w:pPr>
            <w:r>
              <w:rPr>
                <w:rFonts w:hint="eastAsia" w:cs="黑体"/>
                <w:b/>
                <w:bCs/>
                <w:color w:val="FFFFFF" w:themeColor="background1"/>
                <w:sz w:val="28"/>
                <w:szCs w:val="36"/>
                <w:lang w:eastAsia="zh-CN"/>
                <w14:textFill>
                  <w14:solidFill>
                    <w14:schemeClr w14:val="bg1"/>
                  </w14:solidFill>
                </w14:textFill>
              </w:rPr>
              <w:br w:type="page"/>
            </w:r>
            <w:r>
              <w:rPr>
                <w:rFonts w:hint="eastAsia" w:ascii="微软雅黑" w:eastAsia="微软雅黑"/>
                <w:b/>
                <w:color w:val="FFFFFF" w:themeColor="background1"/>
                <w:sz w:val="21"/>
                <w14:textFill>
                  <w14:solidFill>
                    <w14:schemeClr w14:val="bg1"/>
                  </w14:solidFill>
                </w14:textFill>
              </w:rPr>
              <w:t>检测类型</w:t>
            </w:r>
          </w:p>
        </w:tc>
        <w:tc>
          <w:tcPr>
            <w:tcW w:w="5311" w:type="dxa"/>
            <w:tcBorders>
              <w:top w:val="nil"/>
              <w:left w:val="single" w:color="FFFFFF" w:sz="18" w:space="0"/>
              <w:bottom w:val="nil"/>
            </w:tcBorders>
            <w:shd w:val="clear" w:color="auto" w:fill="62BC41"/>
            <w:vAlign w:val="center"/>
          </w:tcPr>
          <w:p w14:paraId="40687B20">
            <w:pPr>
              <w:jc w:val="center"/>
              <w:rPr>
                <w:rFonts w:ascii="微软雅黑" w:eastAsia="微软雅黑"/>
                <w:b/>
                <w:color w:val="FFFFFF" w:themeColor="background1"/>
                <w14:textFill>
                  <w14:solidFill>
                    <w14:schemeClr w14:val="bg1"/>
                  </w14:solidFill>
                </w14:textFill>
              </w:rPr>
            </w:pPr>
            <w:r>
              <w:rPr>
                <w:rFonts w:ascii="Times New Roman" w:hAnsi="Times New Roman" w:eastAsia="微软雅黑" w:cs="黑体"/>
                <w:b/>
                <w:color w:val="FFFFFF" w:themeColor="background1"/>
                <w:sz w:val="21"/>
                <w14:textFill>
                  <w14:solidFill>
                    <w14:schemeClr w14:val="bg1"/>
                  </w14:solidFill>
                </w14:textFill>
              </w:rPr>
              <w:t>检测结果</w:t>
            </w:r>
          </w:p>
        </w:tc>
      </w:tr>
      <w:tr w14:paraId="2E4BD1D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9852" w:type="dxa"/>
            <w:gridSpan w:val="3"/>
            <w:tcBorders>
              <w:top w:val="nil"/>
              <w:tl2br w:val="nil"/>
              <w:tr2bl w:val="nil"/>
            </w:tcBorders>
            <w:shd w:val="clear" w:color="auto" w:fill="auto"/>
            <w:vAlign w:val="center"/>
          </w:tcPr>
          <w:p w14:paraId="1C4D0124">
            <w:pPr>
              <w:pStyle w:val="21"/>
              <w:ind w:left="119"/>
              <w:rPr>
                <w:rFonts w:ascii="Times New Roman" w:hAnsi="Times New Roman" w:eastAsia="微软雅黑" w:cs="黑体"/>
                <w:sz w:val="21"/>
                <w:lang w:eastAsia="zh-CN"/>
              </w:rPr>
            </w:pPr>
            <w:r>
              <w:rPr>
                <w:rFonts w:hint="eastAsia" w:ascii="Times New Roman" w:hAnsi="Times New Roman" w:eastAsia="微软雅黑" w:cs="Times New Roman"/>
                <w:b/>
                <w:bCs/>
                <w:sz w:val="21"/>
                <w:szCs w:val="21"/>
                <w:lang w:eastAsia="zh-CN"/>
              </w:rPr>
              <w:t>{%tr if endometrialCarcinoma == True %}</w:t>
            </w:r>
          </w:p>
        </w:tc>
      </w:tr>
      <w:tr w14:paraId="1E81FBF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4541" w:type="dxa"/>
            <w:gridSpan w:val="2"/>
            <w:tcBorders>
              <w:tl2br w:val="nil"/>
              <w:tr2bl w:val="nil"/>
            </w:tcBorders>
            <w:shd w:val="clear" w:color="auto" w:fill="auto"/>
            <w:vAlign w:val="center"/>
          </w:tcPr>
          <w:p w14:paraId="118974EE">
            <w:pPr>
              <w:pStyle w:val="21"/>
              <w:ind w:left="119"/>
              <w:rPr>
                <w:rFonts w:ascii="Times New Roman" w:hAnsi="Times New Roman" w:eastAsia="微软雅黑" w:cs="黑体"/>
                <w:sz w:val="21"/>
                <w:lang w:eastAsia="zh-CN"/>
              </w:rPr>
            </w:pPr>
            <w:r>
              <w:rPr>
                <w:rFonts w:hint="eastAsia" w:ascii="Times New Roman" w:hAnsi="Times New Roman" w:eastAsia="微软雅黑" w:cs="Times New Roman"/>
                <w:b/>
                <w:bCs/>
                <w:sz w:val="21"/>
                <w:szCs w:val="21"/>
                <w:lang w:eastAsia="zh-CN"/>
              </w:rPr>
              <w:t>子宫内膜癌TCGA分子分型</w:t>
            </w:r>
          </w:p>
        </w:tc>
        <w:tc>
          <w:tcPr>
            <w:tcW w:w="5311" w:type="dxa"/>
            <w:tcBorders>
              <w:tl2br w:val="nil"/>
              <w:tr2bl w:val="nil"/>
            </w:tcBorders>
            <w:shd w:val="clear" w:color="auto" w:fill="auto"/>
            <w:vAlign w:val="center"/>
          </w:tcPr>
          <w:p w14:paraId="33A7437F">
            <w:pPr>
              <w:pStyle w:val="21"/>
              <w:ind w:left="119"/>
              <w:rPr>
                <w:rFonts w:ascii="Times New Roman" w:hAnsi="Times New Roman" w:eastAsia="微软雅黑" w:cs="Times New Roman"/>
                <w:sz w:val="21"/>
                <w:szCs w:val="21"/>
                <w:lang w:eastAsia="zh-CN"/>
              </w:rPr>
            </w:pPr>
            <w:r>
              <w:rPr>
                <w:rFonts w:hint="eastAsia" w:ascii="Times New Roman" w:hAnsi="Times New Roman" w:eastAsia="微软雅黑" w:cs="黑体"/>
                <w:sz w:val="21"/>
                <w:lang w:eastAsia="zh-CN"/>
              </w:rPr>
              <w:t>{{ summaryOfRresults.</w:t>
            </w:r>
            <w:r>
              <w:rPr>
                <w:rFonts w:ascii="Times New Roman" w:hAnsi="Times New Roman" w:eastAsia="微软雅黑" w:cs="黑体"/>
                <w:sz w:val="21"/>
                <w:lang w:eastAsia="zh-CN"/>
              </w:rPr>
              <w:t>tcga</w:t>
            </w:r>
            <w:r>
              <w:rPr>
                <w:rFonts w:hint="eastAsia" w:ascii="Times New Roman" w:hAnsi="Times New Roman" w:eastAsia="微软雅黑" w:cs="黑体"/>
                <w:sz w:val="21"/>
                <w:lang w:eastAsia="zh-CN"/>
              </w:rPr>
              <w:t xml:space="preserve"> }}</w:t>
            </w:r>
          </w:p>
        </w:tc>
      </w:tr>
      <w:tr w14:paraId="39E1F31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9852" w:type="dxa"/>
            <w:gridSpan w:val="3"/>
            <w:tcBorders>
              <w:tl2br w:val="nil"/>
              <w:tr2bl w:val="nil"/>
            </w:tcBorders>
            <w:shd w:val="clear" w:color="auto" w:fill="auto"/>
            <w:vAlign w:val="center"/>
          </w:tcPr>
          <w:p w14:paraId="147384BB">
            <w:pPr>
              <w:pStyle w:val="21"/>
              <w:ind w:left="119"/>
              <w:rPr>
                <w:rFonts w:ascii="Times New Roman" w:hAnsi="Times New Roman" w:eastAsia="微软雅黑" w:cs="黑体"/>
                <w:sz w:val="21"/>
                <w:lang w:eastAsia="zh-CN"/>
              </w:rPr>
            </w:pPr>
            <w:r>
              <w:rPr>
                <w:rFonts w:hint="eastAsia" w:ascii="Times New Roman" w:hAnsi="Times New Roman" w:eastAsia="微软雅黑" w:cs="黑体"/>
                <w:b/>
                <w:bCs/>
                <w:sz w:val="21"/>
                <w:lang w:eastAsia="zh-CN"/>
              </w:rPr>
              <w:t>{%tr endif %}</w:t>
            </w:r>
          </w:p>
        </w:tc>
      </w:tr>
      <w:tr w14:paraId="7BACE00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4541" w:type="dxa"/>
            <w:gridSpan w:val="2"/>
            <w:tcBorders>
              <w:tl2br w:val="nil"/>
              <w:tr2bl w:val="nil"/>
            </w:tcBorders>
            <w:shd w:val="clear" w:color="auto" w:fill="auto"/>
            <w:vAlign w:val="center"/>
          </w:tcPr>
          <w:p w14:paraId="512DF8A0">
            <w:pPr>
              <w:pStyle w:val="21"/>
              <w:ind w:left="119"/>
              <w:rPr>
                <w:rFonts w:ascii="Times New Roman" w:hAnsi="Times New Roman" w:eastAsia="微软雅黑" w:cs="Times New Roman"/>
                <w:b/>
                <w:bCs/>
                <w:sz w:val="21"/>
                <w:szCs w:val="21"/>
              </w:rPr>
            </w:pPr>
            <w:r>
              <w:rPr>
                <w:rFonts w:ascii="Times New Roman" w:hAnsi="Times New Roman" w:eastAsia="微软雅黑" w:cs="Times New Roman"/>
                <w:b/>
                <w:bCs/>
                <w:sz w:val="21"/>
                <w:szCs w:val="21"/>
              </w:rPr>
              <w:t>靶向用药指导</w:t>
            </w:r>
          </w:p>
        </w:tc>
        <w:tc>
          <w:tcPr>
            <w:tcW w:w="5311" w:type="dxa"/>
            <w:tcBorders>
              <w:tl2br w:val="nil"/>
              <w:tr2bl w:val="nil"/>
            </w:tcBorders>
            <w:shd w:val="clear" w:color="auto" w:fill="auto"/>
            <w:vAlign w:val="center"/>
          </w:tcPr>
          <w:p w14:paraId="5B99A2D5">
            <w:pPr>
              <w:pStyle w:val="21"/>
              <w:spacing w:before="100" w:line="187" w:lineRule="auto"/>
              <w:ind w:left="119" w:righ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summaryOfRresults.thisGeneticmarkerVwListSize }}</w:t>
            </w:r>
            <w:r>
              <w:rPr>
                <w:rFonts w:ascii="Times New Roman" w:hAnsi="Times New Roman" w:eastAsia="微软雅黑" w:cs="Times New Roman"/>
                <w:sz w:val="21"/>
                <w:szCs w:val="21"/>
                <w:lang w:eastAsia="zh-CN"/>
              </w:rPr>
              <w:t>个体细胞突变，其中</w:t>
            </w:r>
            <w:r>
              <w:rPr>
                <w:rFonts w:hint="eastAsia" w:ascii="Times New Roman" w:hAnsi="Times New Roman" w:eastAsia="微软雅黑" w:cs="黑体"/>
                <w:sz w:val="21"/>
                <w:lang w:eastAsia="zh-CN"/>
              </w:rPr>
              <w:t>{{ summaryOfRresults.somaticCellMedicationNum}}</w:t>
            </w:r>
            <w:r>
              <w:rPr>
                <w:rFonts w:ascii="Times New Roman" w:hAnsi="Times New Roman" w:eastAsia="微软雅黑" w:cs="Times New Roman"/>
                <w:sz w:val="21"/>
                <w:szCs w:val="21"/>
                <w:lang w:eastAsia="zh-CN"/>
              </w:rPr>
              <w:t>个与靶向药物相关</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bodyDrugStr</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rPr>
              <w:t>；</w:t>
            </w:r>
          </w:p>
          <w:p w14:paraId="73A20A62">
            <w:pPr>
              <w:pStyle w:val="21"/>
              <w:spacing w:before="100" w:line="187" w:lineRule="auto"/>
              <w:ind w:left="119" w:righ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summaryOfRresults.crCheckLineStrYF1280Size }}</w:t>
            </w:r>
            <w:r>
              <w:rPr>
                <w:rFonts w:ascii="Times New Roman" w:hAnsi="Times New Roman" w:eastAsia="微软雅黑" w:cs="Times New Roman"/>
                <w:sz w:val="21"/>
                <w:szCs w:val="21"/>
                <w:lang w:eastAsia="zh-CN"/>
              </w:rPr>
              <w:t>个胚系突变，其中</w:t>
            </w:r>
            <w:r>
              <w:rPr>
                <w:rFonts w:hint="eastAsia" w:ascii="Times New Roman" w:hAnsi="Times New Roman" w:eastAsia="微软雅黑" w:cs="黑体"/>
                <w:sz w:val="21"/>
                <w:lang w:eastAsia="zh-CN"/>
              </w:rPr>
              <w:t>{{summaryOfRresults.crDrugList}}</w:t>
            </w:r>
            <w:r>
              <w:rPr>
                <w:rFonts w:ascii="Times New Roman" w:hAnsi="Times New Roman" w:eastAsia="微软雅黑" w:cs="Times New Roman"/>
                <w:sz w:val="21"/>
                <w:szCs w:val="21"/>
                <w:lang w:eastAsia="zh-CN"/>
              </w:rPr>
              <w:t>个与靶向药物相关</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embryonalDrugStr</w:t>
            </w:r>
            <w:r>
              <w:rPr>
                <w:rFonts w:hint="eastAsia" w:ascii="Times New Roman" w:hAnsi="Times New Roman" w:eastAsia="微软雅黑" w:cs="Times New Roman"/>
                <w:sz w:val="21"/>
                <w:szCs w:val="21"/>
                <w:lang w:eastAsia="zh-CN" w:bidi="ar"/>
              </w:rPr>
              <w:t>}}</w:t>
            </w:r>
          </w:p>
        </w:tc>
      </w:tr>
      <w:tr w14:paraId="1DF9E7F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9852" w:type="dxa"/>
            <w:gridSpan w:val="3"/>
            <w:tcBorders>
              <w:tl2br w:val="nil"/>
              <w:tr2bl w:val="nil"/>
            </w:tcBorders>
            <w:shd w:val="clear" w:color="auto" w:fill="auto"/>
            <w:vAlign w:val="center"/>
          </w:tcPr>
          <w:p w14:paraId="22163606">
            <w:pPr>
              <w:pStyle w:val="21"/>
              <w:spacing w:before="100" w:line="187" w:lineRule="auto"/>
              <w:ind w:left="119" w:leftChars="0" w:right="119" w:rightChars="0"/>
              <w:rPr>
                <w:rFonts w:ascii="Times New Roman" w:hAnsi="Times New Roman" w:eastAsia="微软雅黑" w:cs="Times New Roman"/>
                <w:sz w:val="21"/>
                <w:szCs w:val="21"/>
                <w:lang w:eastAsia="zh-CN"/>
              </w:rPr>
            </w:pPr>
            <w:r>
              <w:rPr>
                <w:rFonts w:ascii="Times New Roman" w:hAnsi="Times New Roman" w:eastAsia="微软雅黑" w:cs="黑体"/>
                <w:b/>
                <w:bCs/>
                <w:sz w:val="21"/>
                <w:lang w:eastAsia="zh-CN"/>
              </w:rPr>
              <w:t>{%</w:t>
            </w:r>
            <w:r>
              <w:rPr>
                <w:rFonts w:hint="eastAsia" w:ascii="Times New Roman" w:hAnsi="Times New Roman" w:eastAsia="微软雅黑" w:cs="黑体"/>
                <w:b/>
                <w:bCs/>
                <w:sz w:val="21"/>
                <w:lang w:eastAsia="zh-CN"/>
              </w:rPr>
              <w:t xml:space="preserve">tr </w:t>
            </w:r>
            <w:r>
              <w:rPr>
                <w:rFonts w:ascii="Times New Roman" w:hAnsi="Times New Roman" w:eastAsia="微软雅黑" w:cs="黑体"/>
                <w:b/>
                <w:bCs/>
                <w:sz w:val="21"/>
                <w:lang w:eastAsia="zh-CN"/>
              </w:rPr>
              <w:t xml:space="preserve">if </w:t>
            </w:r>
            <w:r>
              <w:rPr>
                <w:rFonts w:hint="eastAsia" w:ascii="Times New Roman" w:hAnsi="Times New Roman" w:eastAsia="微软雅黑" w:cs="黑体"/>
                <w:b/>
                <w:bCs/>
                <w:sz w:val="21"/>
                <w:lang w:eastAsia="zh-CN"/>
              </w:rPr>
              <w:t>prostateCancerFlag == True</w:t>
            </w:r>
            <w:r>
              <w:rPr>
                <w:rFonts w:ascii="Times New Roman" w:hAnsi="Times New Roman" w:eastAsia="微软雅黑" w:cs="黑体"/>
                <w:b/>
                <w:bCs/>
                <w:sz w:val="21"/>
                <w:lang w:eastAsia="zh-CN"/>
              </w:rPr>
              <w:t xml:space="preserve"> %</w:t>
            </w:r>
            <w:r>
              <w:rPr>
                <w:rFonts w:hint="eastAsia" w:ascii="Times New Roman" w:hAnsi="Times New Roman" w:eastAsia="微软雅黑" w:cs="黑体"/>
                <w:b/>
                <w:bCs/>
                <w:sz w:val="21"/>
                <w:lang w:eastAsia="zh-CN"/>
              </w:rPr>
              <w:t>}</w:t>
            </w:r>
          </w:p>
        </w:tc>
      </w:tr>
      <w:tr w14:paraId="3C3AEDD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712" w:type="dxa"/>
            <w:vMerge w:val="restart"/>
            <w:tcBorders>
              <w:tl2br w:val="nil"/>
              <w:tr2bl w:val="nil"/>
            </w:tcBorders>
            <w:shd w:val="clear" w:color="auto" w:fill="auto"/>
            <w:vAlign w:val="center"/>
          </w:tcPr>
          <w:p w14:paraId="4EA392AB">
            <w:pPr>
              <w:pStyle w:val="21"/>
              <w:ind w:left="119" w:leftChars="0"/>
              <w:rPr>
                <w:rFonts w:ascii="Times New Roman" w:hAnsi="Times New Roman" w:eastAsia="微软雅黑" w:cs="Times New Roman"/>
                <w:b/>
                <w:bCs/>
                <w:sz w:val="21"/>
                <w:szCs w:val="21"/>
              </w:rPr>
            </w:pPr>
            <w:r>
              <w:rPr>
                <w:rFonts w:hint="eastAsia" w:ascii="Times New Roman" w:hAnsi="Times New Roman" w:eastAsia="微软雅黑" w:cs="Times New Roman"/>
                <w:b/>
                <w:bCs/>
                <w:sz w:val="21"/>
                <w:szCs w:val="21"/>
                <w:lang w:eastAsia="zh-CN"/>
              </w:rPr>
              <w:t>内分泌相关</w:t>
            </w:r>
          </w:p>
        </w:tc>
        <w:tc>
          <w:tcPr>
            <w:tcW w:w="2829" w:type="dxa"/>
            <w:tcBorders>
              <w:tl2br w:val="nil"/>
              <w:tr2bl w:val="nil"/>
            </w:tcBorders>
            <w:shd w:val="clear" w:color="auto" w:fill="auto"/>
            <w:vAlign w:val="center"/>
          </w:tcPr>
          <w:p w14:paraId="1391060F">
            <w:pPr>
              <w:pStyle w:val="21"/>
              <w:ind w:left="119" w:leftChars="0"/>
            </w:pPr>
            <w:r>
              <w:rPr>
                <w:rFonts w:hint="eastAsia" w:ascii="Times New Roman" w:hAnsi="Times New Roman" w:eastAsia="微软雅黑" w:cs="Times New Roman"/>
                <w:b/>
                <w:bCs/>
                <w:sz w:val="21"/>
                <w:szCs w:val="21"/>
                <w:lang w:eastAsia="zh-CN"/>
              </w:rPr>
              <w:t>内分泌治疗相关</w:t>
            </w:r>
          </w:p>
        </w:tc>
        <w:tc>
          <w:tcPr>
            <w:tcW w:w="5311" w:type="dxa"/>
            <w:tcBorders>
              <w:tl2br w:val="nil"/>
              <w:tr2bl w:val="nil"/>
            </w:tcBorders>
            <w:shd w:val="clear" w:color="auto" w:fill="auto"/>
            <w:vAlign w:val="top"/>
          </w:tcPr>
          <w:p w14:paraId="7E409E74">
            <w:pPr>
              <w:pStyle w:val="21"/>
              <w:spacing w:before="100" w:line="187" w:lineRule="auto"/>
              <w:ind w:left="119" w:leftChars="0" w:right="119" w:rightChars="0"/>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summaryOfRresults.</w:t>
            </w:r>
            <w:r>
              <w:rPr>
                <w:rFonts w:hint="eastAsia" w:ascii="Times New Roman" w:hAnsi="Times New Roman" w:eastAsia="微软雅黑" w:cs="Times New Roman"/>
                <w:sz w:val="21"/>
                <w:szCs w:val="21"/>
                <w:lang w:eastAsia="zh-CN"/>
              </w:rPr>
              <w:t>endocrineTherapySize}}个内分泌治疗相关突变</w:t>
            </w:r>
          </w:p>
        </w:tc>
      </w:tr>
      <w:tr w14:paraId="2D49D81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712" w:type="dxa"/>
            <w:vMerge w:val="continue"/>
            <w:tcBorders>
              <w:tl2br w:val="nil"/>
              <w:tr2bl w:val="nil"/>
            </w:tcBorders>
            <w:shd w:val="clear" w:color="auto" w:fill="auto"/>
            <w:vAlign w:val="center"/>
          </w:tcPr>
          <w:p w14:paraId="451C1FDA">
            <w:pPr>
              <w:pStyle w:val="21"/>
              <w:ind w:left="119" w:leftChars="0"/>
              <w:rPr>
                <w:rFonts w:ascii="Times New Roman" w:hAnsi="Times New Roman" w:eastAsia="微软雅黑" w:cs="Times New Roman"/>
                <w:b/>
                <w:bCs/>
                <w:sz w:val="21"/>
                <w:szCs w:val="21"/>
              </w:rPr>
            </w:pPr>
          </w:p>
        </w:tc>
        <w:tc>
          <w:tcPr>
            <w:tcW w:w="2829" w:type="dxa"/>
            <w:tcBorders>
              <w:tl2br w:val="nil"/>
              <w:tr2bl w:val="nil"/>
            </w:tcBorders>
            <w:shd w:val="clear" w:color="auto" w:fill="auto"/>
            <w:vAlign w:val="center"/>
          </w:tcPr>
          <w:p w14:paraId="3D50E30E">
            <w:pPr>
              <w:pStyle w:val="21"/>
              <w:ind w:left="119" w:leftChars="0"/>
            </w:pPr>
            <w:r>
              <w:rPr>
                <w:rFonts w:hint="eastAsia" w:ascii="Times New Roman" w:hAnsi="Times New Roman" w:eastAsia="微软雅黑" w:cs="Times New Roman"/>
                <w:b/>
                <w:bCs/>
                <w:sz w:val="21"/>
                <w:szCs w:val="21"/>
              </w:rPr>
              <w:t>神经内分泌分化相关</w:t>
            </w:r>
          </w:p>
        </w:tc>
        <w:tc>
          <w:tcPr>
            <w:tcW w:w="5311" w:type="dxa"/>
            <w:tcBorders>
              <w:tl2br w:val="nil"/>
              <w:tr2bl w:val="nil"/>
            </w:tcBorders>
            <w:shd w:val="clear" w:color="auto" w:fill="auto"/>
            <w:vAlign w:val="top"/>
          </w:tcPr>
          <w:p w14:paraId="5C444C28">
            <w:pPr>
              <w:pStyle w:val="21"/>
              <w:spacing w:before="100" w:line="187" w:lineRule="auto"/>
              <w:ind w:left="119" w:leftChars="0" w:right="119" w:rightChars="0"/>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summaryOfRresults.</w:t>
            </w:r>
            <w:r>
              <w:rPr>
                <w:rFonts w:hint="eastAsia" w:ascii="Times New Roman" w:hAnsi="Times New Roman" w:eastAsia="微软雅黑" w:cs="Times New Roman"/>
                <w:sz w:val="21"/>
                <w:szCs w:val="21"/>
                <w:lang w:eastAsia="zh-CN"/>
              </w:rPr>
              <w:t>endocrineDifferentiationSize}}个神经内分泌分化相关突变</w:t>
            </w:r>
          </w:p>
        </w:tc>
      </w:tr>
      <w:tr w14:paraId="627979C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9852" w:type="dxa"/>
            <w:gridSpan w:val="3"/>
            <w:tcBorders>
              <w:tl2br w:val="nil"/>
              <w:tr2bl w:val="nil"/>
            </w:tcBorders>
            <w:shd w:val="clear" w:color="auto" w:fill="auto"/>
            <w:vAlign w:val="center"/>
          </w:tcPr>
          <w:p w14:paraId="755E108D">
            <w:pPr>
              <w:pStyle w:val="21"/>
              <w:spacing w:before="100" w:line="187" w:lineRule="auto"/>
              <w:ind w:left="119" w:leftChars="0" w:right="119" w:rightChars="0"/>
              <w:rPr>
                <w:rFonts w:ascii="Times New Roman" w:hAnsi="Times New Roman" w:eastAsia="微软雅黑" w:cs="Times New Roman"/>
                <w:sz w:val="21"/>
                <w:szCs w:val="21"/>
                <w:lang w:eastAsia="zh-CN"/>
              </w:rPr>
            </w:pPr>
            <w:r>
              <w:rPr>
                <w:rFonts w:hint="eastAsia" w:ascii="Times New Roman" w:hAnsi="Times New Roman" w:eastAsia="微软雅黑" w:cs="黑体"/>
                <w:b/>
                <w:bCs/>
                <w:sz w:val="21"/>
                <w:lang w:eastAsia="zh-CN"/>
              </w:rPr>
              <w:t>{%tr endif %}</w:t>
            </w:r>
          </w:p>
        </w:tc>
      </w:tr>
      <w:tr w14:paraId="40E031A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712" w:type="dxa"/>
            <w:vMerge w:val="restart"/>
            <w:tcBorders>
              <w:tl2br w:val="nil"/>
              <w:tr2bl w:val="nil"/>
            </w:tcBorders>
            <w:shd w:val="clear" w:color="auto" w:fill="auto"/>
            <w:vAlign w:val="center"/>
          </w:tcPr>
          <w:p w14:paraId="59435E56">
            <w:pPr>
              <w:pStyle w:val="21"/>
              <w:ind w:left="119"/>
              <w:rPr>
                <w:rFonts w:ascii="Times New Roman" w:hAnsi="Times New Roman" w:eastAsia="微软雅黑" w:cs="Times New Roman"/>
                <w:b/>
                <w:bCs/>
                <w:sz w:val="21"/>
                <w:szCs w:val="21"/>
                <w:lang w:eastAsia="zh-CN"/>
              </w:rPr>
            </w:pPr>
            <w:r>
              <w:rPr>
                <w:rFonts w:ascii="Times New Roman" w:hAnsi="Times New Roman" w:eastAsia="微软雅黑" w:cs="Times New Roman"/>
                <w:b/>
                <w:bCs/>
                <w:sz w:val="21"/>
                <w:szCs w:val="21"/>
                <w:lang w:eastAsia="zh-CN"/>
              </w:rPr>
              <w:t>免疫治疗相关标志物检测</w:t>
            </w:r>
          </w:p>
        </w:tc>
        <w:tc>
          <w:tcPr>
            <w:tcW w:w="2829" w:type="dxa"/>
            <w:tcBorders>
              <w:tl2br w:val="nil"/>
              <w:tr2bl w:val="nil"/>
            </w:tcBorders>
            <w:shd w:val="clear" w:color="auto" w:fill="auto"/>
            <w:vAlign w:val="center"/>
          </w:tcPr>
          <w:p w14:paraId="6D6AD8A1">
            <w:pPr>
              <w:spacing w:before="77"/>
              <w:ind w:left="119"/>
              <w:rPr>
                <w:rFonts w:ascii="Times New Roman" w:hAnsi="Times New Roman" w:eastAsia="微软雅黑" w:cs="Times New Roman"/>
                <w:b/>
                <w:bCs/>
                <w:sz w:val="21"/>
                <w:szCs w:val="21"/>
                <w:lang w:eastAsia="zh-CN"/>
              </w:rPr>
            </w:pPr>
            <w:r>
              <w:rPr>
                <w:rFonts w:ascii="Times New Roman" w:hAnsi="Times New Roman" w:eastAsia="微软雅黑" w:cs="黑体"/>
                <w:b/>
                <w:bCs/>
                <w:sz w:val="21"/>
                <w:lang w:eastAsia="zh-CN"/>
              </w:rPr>
              <w:t>肿瘤突变负荷（TMB）</w:t>
            </w:r>
          </w:p>
        </w:tc>
        <w:tc>
          <w:tcPr>
            <w:tcW w:w="5311" w:type="dxa"/>
            <w:tcBorders>
              <w:tl2br w:val="nil"/>
              <w:tr2bl w:val="nil"/>
            </w:tcBorders>
            <w:shd w:val="clear" w:color="auto" w:fill="auto"/>
            <w:vAlign w:val="center"/>
          </w:tcPr>
          <w:p w14:paraId="35EEE4B2">
            <w:pPr>
              <w:pStyle w:val="21"/>
              <w:spacing w:before="100" w:line="187" w:lineRule="auto"/>
              <w:ind w:left="119" w:right="119"/>
              <w:rPr>
                <w:rFonts w:ascii="Times New Roman" w:hAnsi="Times New Roman" w:eastAsia="微软雅黑" w:cs="黑体"/>
                <w:sz w:val="21"/>
                <w:lang w:eastAsia="zh-CN"/>
              </w:rPr>
            </w:pPr>
            <w:r>
              <w:rPr>
                <w:rFonts w:hint="eastAsia" w:ascii="Times New Roman" w:hAnsi="Times New Roman" w:eastAsia="微软雅黑" w:cs="Times New Roman"/>
                <w:sz w:val="21"/>
                <w:szCs w:val="21"/>
                <w:lang w:eastAsia="zh-CN"/>
              </w:rPr>
              <w:t xml:space="preserve">{% if summaryOfRresults.tmb_status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TMB-H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Fonts w:ascii="Times New Roman" w:hAnsi="Times New Roman" w:eastAsia="微软雅黑" w:cs="Times New Roman"/>
                <w:sz w:val="21"/>
                <w:szCs w:val="21"/>
                <w:lang w:eastAsia="zh-CN"/>
              </w:rPr>
              <w:t>肿瘤</w:t>
            </w:r>
            <w:r>
              <w:rPr>
                <w:rFonts w:hint="eastAsia" w:ascii="Times New Roman" w:hAnsi="Times New Roman" w:eastAsia="微软雅黑" w:cs="Times New Roman"/>
                <w:sz w:val="21"/>
                <w:szCs w:val="21"/>
                <w:lang w:eastAsia="zh-CN"/>
              </w:rPr>
              <w:t>突变</w:t>
            </w:r>
            <w:r>
              <w:rPr>
                <w:rFonts w:ascii="Times New Roman" w:hAnsi="Times New Roman" w:eastAsia="微软雅黑" w:cs="Times New Roman"/>
                <w:sz w:val="21"/>
                <w:szCs w:val="21"/>
                <w:lang w:eastAsia="zh-CN"/>
              </w:rPr>
              <w:t>负荷高</w:t>
            </w:r>
            <w:r>
              <w:rPr>
                <w:rFonts w:hint="eastAsia" w:ascii="Times New Roman" w:hAnsi="Times New Roman" w:eastAsia="微软雅黑" w:cs="Times New Roman"/>
                <w:sz w:val="21"/>
                <w:szCs w:val="21"/>
                <w:lang w:eastAsia="zh-CN"/>
              </w:rPr>
              <w:t>{% else %}</w:t>
            </w:r>
            <w:r>
              <w:rPr>
                <w:rFonts w:ascii="Times New Roman" w:hAnsi="Times New Roman" w:eastAsia="微软雅黑" w:cs="Times New Roman"/>
                <w:sz w:val="21"/>
                <w:szCs w:val="21"/>
                <w:lang w:eastAsia="zh-CN"/>
              </w:rPr>
              <w:t>肿瘤突变负荷低</w:t>
            </w:r>
            <w:r>
              <w:rPr>
                <w:rFonts w:hint="eastAsia" w:ascii="Times New Roman" w:hAnsi="Times New Roman" w:eastAsia="微软雅黑" w:cs="Times New Roman"/>
                <w:sz w:val="21"/>
                <w:szCs w:val="21"/>
                <w:lang w:eastAsia="zh-CN"/>
              </w:rPr>
              <w:t>{% endif %}（{{ summaryOfRresults.tmb_status}}，{{ summaryOfRresults.tmb }}Muts/Mb）</w:t>
            </w:r>
          </w:p>
        </w:tc>
      </w:tr>
      <w:tr w14:paraId="0DD4152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712" w:type="dxa"/>
            <w:vMerge w:val="continue"/>
            <w:tcBorders>
              <w:tl2br w:val="nil"/>
              <w:tr2bl w:val="nil"/>
            </w:tcBorders>
            <w:shd w:val="clear" w:color="auto" w:fill="auto"/>
            <w:vAlign w:val="center"/>
          </w:tcPr>
          <w:p w14:paraId="5E4D2D7B">
            <w:pPr>
              <w:pStyle w:val="21"/>
              <w:ind w:left="119"/>
              <w:rPr>
                <w:rFonts w:ascii="Times New Roman" w:hAnsi="Times New Roman" w:eastAsia="微软雅黑" w:cs="Times New Roman"/>
                <w:b/>
                <w:bCs/>
                <w:sz w:val="21"/>
                <w:szCs w:val="21"/>
                <w:lang w:eastAsia="zh-CN"/>
              </w:rPr>
            </w:pPr>
          </w:p>
        </w:tc>
        <w:tc>
          <w:tcPr>
            <w:tcW w:w="2829" w:type="dxa"/>
            <w:tcBorders>
              <w:tl2br w:val="nil"/>
              <w:tr2bl w:val="nil"/>
            </w:tcBorders>
            <w:shd w:val="clear" w:color="auto" w:fill="auto"/>
            <w:vAlign w:val="center"/>
          </w:tcPr>
          <w:p w14:paraId="13609B64">
            <w:pPr>
              <w:spacing w:before="77"/>
              <w:ind w:left="119"/>
              <w:rPr>
                <w:rFonts w:ascii="Times New Roman" w:hAnsi="Times New Roman" w:eastAsia="微软雅黑" w:cs="Times New Roman"/>
                <w:b/>
                <w:bCs/>
                <w:sz w:val="21"/>
                <w:szCs w:val="21"/>
                <w:lang w:eastAsia="zh-CN"/>
              </w:rPr>
            </w:pPr>
            <w:r>
              <w:rPr>
                <w:rFonts w:ascii="Times New Roman" w:hAnsi="Times New Roman" w:eastAsia="微软雅黑" w:cs="黑体"/>
                <w:b/>
                <w:bCs/>
                <w:sz w:val="21"/>
                <w:lang w:eastAsia="zh-CN"/>
              </w:rPr>
              <w:t>微卫星不稳定性（MSI）</w:t>
            </w:r>
          </w:p>
        </w:tc>
        <w:tc>
          <w:tcPr>
            <w:tcW w:w="5311" w:type="dxa"/>
            <w:tcBorders>
              <w:tl2br w:val="nil"/>
              <w:tr2bl w:val="nil"/>
            </w:tcBorders>
            <w:shd w:val="clear" w:color="auto" w:fill="auto"/>
            <w:vAlign w:val="center"/>
          </w:tcPr>
          <w:p w14:paraId="424D5A05">
            <w:pPr>
              <w:pStyle w:val="21"/>
              <w:spacing w:before="100" w:line="187" w:lineRule="auto"/>
              <w:ind w:left="119" w:right="119"/>
              <w:rPr>
                <w:rFonts w:ascii="Times New Roman" w:hAnsi="Times New Roman" w:eastAsia="微软雅黑" w:cs="黑体"/>
                <w:sz w:val="21"/>
                <w:lang w:eastAsia="zh-CN"/>
              </w:rPr>
            </w:pPr>
            <w:r>
              <w:rPr>
                <w:rFonts w:hint="eastAsia" w:ascii="Times New Roman" w:hAnsi="Times New Roman" w:eastAsia="微软雅黑" w:cs="Times New Roman"/>
                <w:sz w:val="21"/>
                <w:szCs w:val="21"/>
                <w:lang w:eastAsia="zh-CN"/>
              </w:rPr>
              <w:t>{{summaryOfRresults.msi_status_state}}</w:t>
            </w:r>
          </w:p>
        </w:tc>
      </w:tr>
      <w:tr w14:paraId="6C7ACEE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712" w:type="dxa"/>
            <w:vMerge w:val="continue"/>
            <w:tcBorders>
              <w:tl2br w:val="nil"/>
              <w:tr2bl w:val="nil"/>
            </w:tcBorders>
            <w:shd w:val="clear" w:color="auto" w:fill="auto"/>
            <w:vAlign w:val="center"/>
          </w:tcPr>
          <w:p w14:paraId="6FBDB803">
            <w:pPr>
              <w:ind w:left="119"/>
              <w:rPr>
                <w:rFonts w:ascii="Times New Roman" w:hAnsi="Times New Roman" w:eastAsia="微软雅黑" w:cs="Times New Roman"/>
                <w:b/>
                <w:bCs/>
                <w:sz w:val="21"/>
                <w:szCs w:val="21"/>
                <w:lang w:eastAsia="zh-CN"/>
              </w:rPr>
            </w:pPr>
          </w:p>
        </w:tc>
        <w:tc>
          <w:tcPr>
            <w:tcW w:w="2829" w:type="dxa"/>
            <w:tcBorders>
              <w:tl2br w:val="nil"/>
              <w:tr2bl w:val="nil"/>
            </w:tcBorders>
            <w:shd w:val="clear" w:color="auto" w:fill="auto"/>
            <w:vAlign w:val="center"/>
          </w:tcPr>
          <w:p w14:paraId="0DC50C96">
            <w:pPr>
              <w:ind w:left="119"/>
              <w:rPr>
                <w:rFonts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lang w:eastAsia="zh-CN"/>
              </w:rPr>
              <w:t>错配修复（MMR）基因</w:t>
            </w:r>
          </w:p>
        </w:tc>
        <w:tc>
          <w:tcPr>
            <w:tcW w:w="5311" w:type="dxa"/>
            <w:tcBorders>
              <w:tl2br w:val="nil"/>
              <w:tr2bl w:val="nil"/>
            </w:tcBorders>
            <w:shd w:val="clear" w:color="auto" w:fill="auto"/>
            <w:vAlign w:val="center"/>
          </w:tcPr>
          <w:p w14:paraId="092D5287">
            <w:pPr>
              <w:pStyle w:val="21"/>
              <w:spacing w:before="100" w:line="187" w:lineRule="auto"/>
              <w:ind w:left="119" w:righ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Times New Roman"/>
                <w:sz w:val="21"/>
                <w:szCs w:val="21"/>
                <w:lang w:eastAsia="zh-CN"/>
              </w:rPr>
              <w:t>{{</w:t>
            </w:r>
            <w:r>
              <w:rPr>
                <w:rFonts w:hint="eastAsia" w:ascii="Times New Roman" w:hAnsi="Times New Roman" w:eastAsia="微软雅黑" w:cs="黑体"/>
                <w:sz w:val="21"/>
                <w:lang w:eastAsia="zh-CN"/>
              </w:rPr>
              <w:t>summaryOfRresults.</w:t>
            </w:r>
            <w:r>
              <w:rPr>
                <w:rFonts w:hint="eastAsia" w:ascii="Times New Roman" w:hAnsi="Times New Roman" w:eastAsia="微软雅黑" w:cs="Times New Roman"/>
                <w:sz w:val="21"/>
                <w:szCs w:val="21"/>
                <w:lang w:eastAsia="zh-CN"/>
              </w:rPr>
              <w:t>dMMRinfoSize}}</w:t>
            </w:r>
            <w:r>
              <w:rPr>
                <w:rFonts w:ascii="Times New Roman" w:hAnsi="Times New Roman" w:eastAsia="微软雅黑" w:cs="Times New Roman"/>
                <w:sz w:val="21"/>
                <w:szCs w:val="21"/>
                <w:lang w:eastAsia="zh-CN"/>
              </w:rPr>
              <w:t>个MMR</w:t>
            </w:r>
            <w:r>
              <w:rPr>
                <w:rFonts w:hint="eastAsia" w:ascii="Times New Roman" w:hAnsi="Times New Roman" w:eastAsia="微软雅黑" w:cs="Times New Roman"/>
                <w:sz w:val="21"/>
                <w:szCs w:val="21"/>
                <w:lang w:eastAsia="zh-CN"/>
              </w:rPr>
              <w:t>基因失活</w:t>
            </w:r>
            <w:r>
              <w:rPr>
                <w:rFonts w:ascii="Times New Roman" w:hAnsi="Times New Roman" w:eastAsia="微软雅黑" w:cs="Times New Roman"/>
                <w:sz w:val="21"/>
                <w:szCs w:val="21"/>
                <w:lang w:eastAsia="zh-CN"/>
              </w:rPr>
              <w:t>突变</w:t>
            </w:r>
          </w:p>
        </w:tc>
      </w:tr>
      <w:tr w14:paraId="7B68DC5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712" w:type="dxa"/>
            <w:vMerge w:val="continue"/>
            <w:tcBorders>
              <w:tl2br w:val="nil"/>
              <w:tr2bl w:val="nil"/>
            </w:tcBorders>
            <w:shd w:val="clear" w:color="auto" w:fill="auto"/>
            <w:vAlign w:val="center"/>
          </w:tcPr>
          <w:p w14:paraId="3D47669C">
            <w:pPr>
              <w:ind w:left="119"/>
              <w:rPr>
                <w:rFonts w:ascii="Times New Roman" w:hAnsi="Times New Roman" w:eastAsia="微软雅黑" w:cs="Times New Roman"/>
                <w:b/>
                <w:bCs/>
                <w:sz w:val="21"/>
                <w:szCs w:val="21"/>
                <w:lang w:eastAsia="zh-CN"/>
              </w:rPr>
            </w:pPr>
          </w:p>
        </w:tc>
        <w:tc>
          <w:tcPr>
            <w:tcW w:w="2829" w:type="dxa"/>
            <w:tcBorders>
              <w:tl2br w:val="nil"/>
              <w:tr2bl w:val="nil"/>
            </w:tcBorders>
            <w:shd w:val="clear" w:color="auto" w:fill="auto"/>
            <w:vAlign w:val="center"/>
          </w:tcPr>
          <w:p w14:paraId="0577866D">
            <w:pPr>
              <w:pStyle w:val="21"/>
              <w:snapToGrid w:val="0"/>
              <w:ind w:left="119"/>
              <w:rPr>
                <w:rFonts w:ascii="Times New Roman" w:hAnsi="Times New Roman" w:eastAsia="微软雅黑" w:cs="Times New Roman"/>
                <w:b/>
                <w:bCs/>
                <w:sz w:val="21"/>
                <w:szCs w:val="21"/>
                <w:highlight w:val="yellow"/>
                <w:lang w:eastAsia="zh-CN"/>
              </w:rPr>
            </w:pPr>
            <w:r>
              <w:rPr>
                <w:rFonts w:hint="eastAsia" w:ascii="Times New Roman" w:hAnsi="Times New Roman" w:eastAsia="微软雅黑" w:cs="Times New Roman"/>
                <w:b/>
                <w:bCs/>
                <w:sz w:val="21"/>
                <w:szCs w:val="21"/>
                <w:lang w:eastAsia="zh-CN"/>
              </w:rPr>
              <w:t>免疫</w:t>
            </w:r>
            <w:r>
              <w:rPr>
                <w:rFonts w:ascii="Times New Roman" w:hAnsi="Times New Roman" w:eastAsia="微软雅黑" w:cs="Times New Roman"/>
                <w:b/>
                <w:bCs/>
                <w:sz w:val="21"/>
                <w:szCs w:val="21"/>
                <w:lang w:eastAsia="zh-CN"/>
              </w:rPr>
              <w:t>正相关基因</w:t>
            </w:r>
          </w:p>
        </w:tc>
        <w:tc>
          <w:tcPr>
            <w:tcW w:w="5311" w:type="dxa"/>
            <w:tcBorders>
              <w:tl2br w:val="nil"/>
              <w:tr2bl w:val="nil"/>
            </w:tcBorders>
            <w:shd w:val="clear" w:color="auto" w:fill="auto"/>
            <w:vAlign w:val="center"/>
          </w:tcPr>
          <w:p w14:paraId="01C3A27B">
            <w:pPr>
              <w:pStyle w:val="21"/>
              <w:snapToGrid w:val="0"/>
              <w:spacing w:before="100" w:line="187" w:lineRule="auto"/>
              <w:ind w:left="119" w:right="119"/>
              <w:jc w:val="both"/>
              <w:rPr>
                <w:rFonts w:ascii="Times New Roman" w:hAnsi="Times New Roman" w:eastAsia="微软雅黑" w:cs="Times New Roman"/>
                <w:color w:val="FF0000"/>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Times New Roman"/>
                <w:sz w:val="21"/>
                <w:szCs w:val="21"/>
                <w:lang w:eastAsia="zh-CN"/>
              </w:rPr>
              <w:t>{{</w:t>
            </w:r>
            <w:r>
              <w:rPr>
                <w:rFonts w:hint="eastAsia" w:ascii="Times New Roman" w:hAnsi="Times New Roman" w:eastAsia="微软雅黑" w:cs="黑体"/>
                <w:sz w:val="21"/>
                <w:lang w:eastAsia="zh-CN"/>
              </w:rPr>
              <w:t>summaryOfRresults.</w:t>
            </w:r>
            <w:r>
              <w:rPr>
                <w:rFonts w:hint="eastAsia" w:ascii="Times New Roman" w:hAnsi="Times New Roman" w:eastAsia="微软雅黑" w:cs="Times New Roman"/>
                <w:sz w:val="21"/>
                <w:szCs w:val="21"/>
                <w:lang w:eastAsia="zh-CN"/>
              </w:rPr>
              <w:t>positiveImmnueNum}}</w:t>
            </w:r>
            <w:r>
              <w:rPr>
                <w:rFonts w:ascii="Times New Roman" w:hAnsi="Times New Roman" w:eastAsia="微软雅黑" w:cs="Times New Roman"/>
                <w:sz w:val="21"/>
                <w:szCs w:val="21"/>
                <w:lang w:eastAsia="zh-CN"/>
              </w:rPr>
              <w:t>个正相关突变</w:t>
            </w:r>
          </w:p>
        </w:tc>
      </w:tr>
      <w:tr w14:paraId="5A48362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712" w:type="dxa"/>
            <w:vMerge w:val="continue"/>
            <w:tcBorders>
              <w:tl2br w:val="nil"/>
              <w:tr2bl w:val="nil"/>
            </w:tcBorders>
            <w:shd w:val="clear" w:color="auto" w:fill="auto"/>
            <w:vAlign w:val="center"/>
          </w:tcPr>
          <w:p w14:paraId="4372E854">
            <w:pPr>
              <w:ind w:left="119"/>
              <w:rPr>
                <w:rFonts w:ascii="Times New Roman" w:hAnsi="Times New Roman" w:eastAsia="微软雅黑" w:cs="Times New Roman"/>
                <w:b/>
                <w:bCs/>
                <w:sz w:val="21"/>
                <w:szCs w:val="21"/>
                <w:lang w:eastAsia="zh-CN"/>
              </w:rPr>
            </w:pPr>
          </w:p>
        </w:tc>
        <w:tc>
          <w:tcPr>
            <w:tcW w:w="2829" w:type="dxa"/>
            <w:tcBorders>
              <w:tl2br w:val="nil"/>
              <w:tr2bl w:val="nil"/>
            </w:tcBorders>
            <w:shd w:val="clear" w:color="auto" w:fill="auto"/>
            <w:vAlign w:val="center"/>
          </w:tcPr>
          <w:p w14:paraId="7B9E1776">
            <w:pPr>
              <w:pStyle w:val="21"/>
              <w:snapToGrid w:val="0"/>
              <w:ind w:left="119"/>
              <w:rPr>
                <w:rFonts w:ascii="Times New Roman" w:hAnsi="Times New Roman" w:eastAsia="微软雅黑" w:cs="Times New Roman"/>
                <w:b/>
                <w:bCs/>
                <w:sz w:val="21"/>
                <w:szCs w:val="21"/>
                <w:highlight w:val="yellow"/>
                <w:lang w:eastAsia="zh-CN"/>
              </w:rPr>
            </w:pPr>
            <w:r>
              <w:rPr>
                <w:rFonts w:hint="eastAsia" w:ascii="Times New Roman" w:hAnsi="Times New Roman" w:eastAsia="微软雅黑" w:cs="Times New Roman"/>
                <w:b/>
                <w:bCs/>
                <w:sz w:val="21"/>
                <w:szCs w:val="21"/>
                <w:lang w:eastAsia="zh-CN"/>
              </w:rPr>
              <w:t>免疫负</w:t>
            </w:r>
            <w:r>
              <w:rPr>
                <w:rFonts w:ascii="Times New Roman" w:hAnsi="Times New Roman" w:eastAsia="微软雅黑" w:cs="Times New Roman"/>
                <w:b/>
                <w:bCs/>
                <w:sz w:val="21"/>
                <w:szCs w:val="21"/>
                <w:lang w:eastAsia="zh-CN"/>
              </w:rPr>
              <w:t>相关基因</w:t>
            </w:r>
          </w:p>
        </w:tc>
        <w:tc>
          <w:tcPr>
            <w:tcW w:w="5311" w:type="dxa"/>
            <w:tcBorders>
              <w:tl2br w:val="nil"/>
              <w:tr2bl w:val="nil"/>
            </w:tcBorders>
            <w:shd w:val="clear" w:color="auto" w:fill="auto"/>
            <w:vAlign w:val="center"/>
          </w:tcPr>
          <w:p w14:paraId="4938659C">
            <w:pPr>
              <w:pStyle w:val="21"/>
              <w:snapToGrid w:val="0"/>
              <w:spacing w:before="100" w:line="187" w:lineRule="auto"/>
              <w:ind w:left="119" w:right="119"/>
              <w:jc w:val="both"/>
              <w:rPr>
                <w:rFonts w:ascii="Times New Roman" w:hAnsi="Times New Roman" w:eastAsia="微软雅黑" w:cs="Times New Roman"/>
                <w:color w:val="FF0000"/>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Times New Roman"/>
                <w:sz w:val="21"/>
                <w:szCs w:val="21"/>
                <w:lang w:eastAsia="zh-CN"/>
              </w:rPr>
              <w:t>{{</w:t>
            </w:r>
            <w:r>
              <w:rPr>
                <w:rFonts w:hint="eastAsia" w:ascii="Times New Roman" w:hAnsi="Times New Roman" w:eastAsia="微软雅黑" w:cs="黑体"/>
                <w:sz w:val="21"/>
                <w:lang w:eastAsia="zh-CN"/>
              </w:rPr>
              <w:t>summaryOfRresults.</w:t>
            </w:r>
            <w:r>
              <w:rPr>
                <w:rFonts w:hint="eastAsia" w:ascii="Times New Roman" w:hAnsi="Times New Roman" w:eastAsia="微软雅黑" w:cs="Times New Roman"/>
                <w:sz w:val="21"/>
                <w:szCs w:val="21"/>
                <w:lang w:eastAsia="zh-CN"/>
              </w:rPr>
              <w:t>negativeImmnueNum}}</w:t>
            </w:r>
            <w:r>
              <w:rPr>
                <w:rFonts w:ascii="Times New Roman" w:hAnsi="Times New Roman" w:eastAsia="微软雅黑" w:cs="Times New Roman"/>
                <w:sz w:val="21"/>
                <w:szCs w:val="21"/>
                <w:lang w:eastAsia="zh-CN"/>
              </w:rPr>
              <w:t>个负相关突变</w:t>
            </w:r>
          </w:p>
        </w:tc>
      </w:tr>
      <w:tr w14:paraId="7311545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712" w:type="dxa"/>
            <w:vMerge w:val="continue"/>
            <w:tcBorders>
              <w:tl2br w:val="nil"/>
              <w:tr2bl w:val="nil"/>
            </w:tcBorders>
            <w:shd w:val="clear" w:color="auto" w:fill="auto"/>
            <w:vAlign w:val="center"/>
          </w:tcPr>
          <w:p w14:paraId="01F86D2C">
            <w:pPr>
              <w:ind w:left="119"/>
              <w:rPr>
                <w:rFonts w:ascii="Times New Roman" w:hAnsi="Times New Roman" w:eastAsia="微软雅黑" w:cs="Times New Roman"/>
                <w:b/>
                <w:bCs/>
                <w:sz w:val="21"/>
                <w:szCs w:val="21"/>
                <w:lang w:eastAsia="zh-CN"/>
              </w:rPr>
            </w:pPr>
          </w:p>
        </w:tc>
        <w:tc>
          <w:tcPr>
            <w:tcW w:w="2829" w:type="dxa"/>
            <w:tcBorders>
              <w:tl2br w:val="nil"/>
              <w:tr2bl w:val="nil"/>
            </w:tcBorders>
            <w:shd w:val="clear" w:color="auto" w:fill="auto"/>
            <w:vAlign w:val="center"/>
          </w:tcPr>
          <w:p w14:paraId="24220274">
            <w:pPr>
              <w:ind w:left="119"/>
              <w:rPr>
                <w:rFonts w:ascii="Times New Roman" w:hAnsi="Times New Roman" w:eastAsia="微软雅黑" w:cs="Times New Roman"/>
                <w:b/>
                <w:bCs/>
                <w:sz w:val="21"/>
                <w:szCs w:val="21"/>
                <w:highlight w:val="yellow"/>
                <w:lang w:eastAsia="zh-CN"/>
              </w:rPr>
            </w:pPr>
            <w:r>
              <w:rPr>
                <w:rFonts w:hint="eastAsia" w:ascii="Times New Roman" w:hAnsi="Times New Roman" w:eastAsia="微软雅黑" w:cs="Times New Roman"/>
                <w:b/>
                <w:bCs/>
                <w:sz w:val="21"/>
                <w:szCs w:val="21"/>
                <w:lang w:eastAsia="zh-CN"/>
              </w:rPr>
              <w:t>免疫超进展相关基因（HPD）</w:t>
            </w:r>
          </w:p>
        </w:tc>
        <w:tc>
          <w:tcPr>
            <w:tcW w:w="5311" w:type="dxa"/>
            <w:tcBorders>
              <w:tl2br w:val="nil"/>
              <w:tr2bl w:val="nil"/>
            </w:tcBorders>
            <w:shd w:val="clear" w:color="auto" w:fill="auto"/>
            <w:vAlign w:val="center"/>
          </w:tcPr>
          <w:p w14:paraId="0BF8FED8">
            <w:pPr>
              <w:pStyle w:val="21"/>
              <w:snapToGrid w:val="0"/>
              <w:spacing w:before="77"/>
              <w:ind w:left="119" w:right="119"/>
              <w:jc w:val="both"/>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Times New Roman"/>
                <w:sz w:val="21"/>
                <w:szCs w:val="21"/>
                <w:lang w:eastAsia="zh-CN"/>
              </w:rPr>
              <w:t>{{</w:t>
            </w:r>
            <w:r>
              <w:rPr>
                <w:rFonts w:hint="eastAsia" w:ascii="Times New Roman" w:hAnsi="Times New Roman" w:eastAsia="微软雅黑" w:cs="黑体"/>
                <w:sz w:val="21"/>
                <w:lang w:eastAsia="zh-CN"/>
              </w:rPr>
              <w:t>summaryOfRresults.</w:t>
            </w:r>
            <w:r>
              <w:rPr>
                <w:rFonts w:hint="eastAsia" w:ascii="Times New Roman" w:hAnsi="Times New Roman" w:eastAsia="微软雅黑" w:cs="Times New Roman"/>
                <w:sz w:val="21"/>
                <w:szCs w:val="21"/>
                <w:lang w:eastAsia="zh-CN"/>
              </w:rPr>
              <w:t>hpdImmnueNum}}</w:t>
            </w:r>
            <w:r>
              <w:rPr>
                <w:rFonts w:ascii="Times New Roman" w:hAnsi="Times New Roman" w:eastAsia="微软雅黑" w:cs="Times New Roman"/>
                <w:sz w:val="21"/>
                <w:szCs w:val="21"/>
                <w:lang w:eastAsia="zh-CN"/>
              </w:rPr>
              <w:t>个</w:t>
            </w:r>
            <w:r>
              <w:rPr>
                <w:rFonts w:hint="eastAsia" w:ascii="Times New Roman" w:hAnsi="Times New Roman" w:eastAsia="微软雅黑" w:cs="Times New Roman"/>
                <w:sz w:val="21"/>
                <w:szCs w:val="21"/>
                <w:lang w:eastAsia="zh-CN"/>
              </w:rPr>
              <w:t>超进展相关基因</w:t>
            </w:r>
            <w:r>
              <w:rPr>
                <w:rFonts w:ascii="Times New Roman" w:hAnsi="Times New Roman" w:eastAsia="微软雅黑" w:cs="Times New Roman"/>
                <w:sz w:val="21"/>
                <w:szCs w:val="21"/>
                <w:lang w:eastAsia="zh-CN"/>
              </w:rPr>
              <w:t>突变</w:t>
            </w:r>
          </w:p>
        </w:tc>
      </w:tr>
      <w:tr w14:paraId="539292C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712" w:type="dxa"/>
            <w:vMerge w:val="continue"/>
            <w:tcBorders>
              <w:tl2br w:val="nil"/>
              <w:tr2bl w:val="nil"/>
            </w:tcBorders>
            <w:shd w:val="clear" w:color="auto" w:fill="auto"/>
            <w:vAlign w:val="center"/>
          </w:tcPr>
          <w:p w14:paraId="7CDDF90E">
            <w:pPr>
              <w:ind w:left="119"/>
              <w:rPr>
                <w:rFonts w:ascii="Times New Roman" w:hAnsi="Times New Roman" w:eastAsia="微软雅黑" w:cs="Times New Roman"/>
                <w:b/>
                <w:bCs/>
                <w:sz w:val="21"/>
                <w:szCs w:val="21"/>
                <w:lang w:eastAsia="zh-CN"/>
              </w:rPr>
            </w:pPr>
          </w:p>
        </w:tc>
        <w:tc>
          <w:tcPr>
            <w:tcW w:w="8140" w:type="dxa"/>
            <w:gridSpan w:val="2"/>
            <w:tcBorders>
              <w:tl2br w:val="nil"/>
              <w:tr2bl w:val="nil"/>
            </w:tcBorders>
            <w:shd w:val="clear" w:color="auto" w:fill="auto"/>
            <w:vAlign w:val="center"/>
          </w:tcPr>
          <w:p w14:paraId="18C7B611">
            <w:pPr>
              <w:pStyle w:val="21"/>
              <w:ind w:left="118"/>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if PDInfo != undefined %}</w:t>
            </w:r>
          </w:p>
        </w:tc>
      </w:tr>
      <w:tr w14:paraId="1C72D20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712" w:type="dxa"/>
            <w:vMerge w:val="continue"/>
            <w:tcBorders>
              <w:tl2br w:val="nil"/>
              <w:tr2bl w:val="nil"/>
            </w:tcBorders>
            <w:shd w:val="clear" w:color="auto" w:fill="auto"/>
            <w:vAlign w:val="center"/>
          </w:tcPr>
          <w:p w14:paraId="31360A60">
            <w:pPr>
              <w:ind w:left="119"/>
              <w:rPr>
                <w:rFonts w:ascii="Times New Roman" w:hAnsi="Times New Roman" w:eastAsia="微软雅黑" w:cs="Times New Roman"/>
                <w:b/>
                <w:bCs/>
                <w:sz w:val="21"/>
                <w:szCs w:val="21"/>
                <w:lang w:eastAsia="zh-CN"/>
              </w:rPr>
            </w:pPr>
          </w:p>
        </w:tc>
        <w:tc>
          <w:tcPr>
            <w:tcW w:w="2829" w:type="dxa"/>
            <w:tcBorders>
              <w:tl2br w:val="nil"/>
              <w:tr2bl w:val="nil"/>
            </w:tcBorders>
            <w:shd w:val="clear" w:color="auto" w:fill="auto"/>
            <w:vAlign w:val="center"/>
          </w:tcPr>
          <w:p w14:paraId="6A87CB3C">
            <w:pPr>
              <w:ind w:left="119"/>
              <w:rPr>
                <w:rFonts w:ascii="Times New Roman" w:hAnsi="Times New Roman" w:eastAsia="微软雅黑" w:cs="Times New Roman"/>
                <w:b/>
                <w:bCs/>
                <w:sz w:val="21"/>
                <w:szCs w:val="21"/>
                <w:highlight w:val="yellow"/>
                <w:lang w:eastAsia="zh-CN"/>
              </w:rPr>
            </w:pPr>
            <w:r>
              <w:rPr>
                <w:rFonts w:ascii="Times New Roman" w:hAnsi="Times New Roman" w:eastAsia="微软雅黑" w:cs="Times New Roman"/>
                <w:b/>
                <w:bCs/>
                <w:sz w:val="21"/>
                <w:szCs w:val="21"/>
              </w:rPr>
              <w:t>PD-L1蛋白表达水平</w:t>
            </w:r>
          </w:p>
        </w:tc>
        <w:tc>
          <w:tcPr>
            <w:tcW w:w="5311" w:type="dxa"/>
            <w:tcBorders>
              <w:tl2br w:val="nil"/>
              <w:tr2bl w:val="nil"/>
            </w:tcBorders>
            <w:shd w:val="clear" w:color="auto" w:fill="auto"/>
            <w:vAlign w:val="center"/>
          </w:tcPr>
          <w:p w14:paraId="3970008D">
            <w:pPr>
              <w:pStyle w:val="21"/>
              <w:ind w:left="118"/>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使用{{</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Detect_antibody</w:t>
            </w:r>
            <w:r>
              <w:rPr>
                <w:rFonts w:hint="eastAsia" w:ascii="Times New Roman" w:hAnsi="Times New Roman" w:eastAsia="微软雅黑" w:cs="Times New Roman"/>
                <w:sz w:val="21"/>
                <w:szCs w:val="21"/>
                <w:lang w:eastAsia="zh-CN"/>
              </w:rPr>
              <w:t xml:space="preserve"> }}抗体；T</w:t>
            </w:r>
            <w:r>
              <w:rPr>
                <w:rFonts w:ascii="Times New Roman" w:hAnsi="Times New Roman" w:eastAsia="微软雅黑" w:cs="Times New Roman"/>
                <w:sz w:val="21"/>
                <w:szCs w:val="21"/>
                <w:lang w:eastAsia="zh-CN"/>
              </w:rPr>
              <w:t>PS</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.TPS }}，</w:t>
            </w:r>
            <w:r>
              <w:rPr>
                <w:rFonts w:ascii="Times New Roman" w:hAnsi="Times New Roman" w:eastAsia="微软雅黑" w:cs="Times New Roman"/>
                <w:sz w:val="21"/>
                <w:szCs w:val="21"/>
                <w:lang w:eastAsia="zh-CN"/>
              </w:rPr>
              <w:t xml:space="preserve"> CPS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.CPS }}</w:t>
            </w:r>
          </w:p>
        </w:tc>
      </w:tr>
      <w:tr w14:paraId="5EA6C07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712" w:type="dxa"/>
            <w:vMerge w:val="continue"/>
            <w:tcBorders>
              <w:tl2br w:val="nil"/>
              <w:tr2bl w:val="nil"/>
            </w:tcBorders>
            <w:shd w:val="clear" w:color="auto" w:fill="auto"/>
            <w:vAlign w:val="center"/>
          </w:tcPr>
          <w:p w14:paraId="51EFFA3A">
            <w:pPr>
              <w:ind w:left="119"/>
              <w:rPr>
                <w:rFonts w:ascii="Times New Roman" w:hAnsi="Times New Roman" w:eastAsia="微软雅黑" w:cs="Times New Roman"/>
                <w:b/>
                <w:bCs/>
                <w:sz w:val="21"/>
                <w:szCs w:val="21"/>
                <w:lang w:eastAsia="zh-CN"/>
              </w:rPr>
            </w:pPr>
          </w:p>
        </w:tc>
        <w:tc>
          <w:tcPr>
            <w:tcW w:w="8140" w:type="dxa"/>
            <w:gridSpan w:val="2"/>
            <w:tcBorders>
              <w:tl2br w:val="nil"/>
              <w:tr2bl w:val="nil"/>
            </w:tcBorders>
            <w:shd w:val="clear" w:color="auto" w:fill="auto"/>
            <w:vAlign w:val="center"/>
          </w:tcPr>
          <w:p w14:paraId="78F1FD06">
            <w:pPr>
              <w:pStyle w:val="21"/>
              <w:ind w:left="118"/>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endif %}</w:t>
            </w:r>
          </w:p>
        </w:tc>
      </w:tr>
      <w:tr w14:paraId="74D1915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4541" w:type="dxa"/>
            <w:gridSpan w:val="2"/>
            <w:tcBorders>
              <w:tl2br w:val="nil"/>
              <w:tr2bl w:val="nil"/>
            </w:tcBorders>
            <w:shd w:val="clear" w:color="auto" w:fill="auto"/>
            <w:vAlign w:val="center"/>
          </w:tcPr>
          <w:p w14:paraId="335D53E7">
            <w:pPr>
              <w:pStyle w:val="21"/>
              <w:ind w:left="119"/>
              <w:rPr>
                <w:rFonts w:ascii="Times New Roman" w:hAnsi="Times New Roman" w:eastAsia="微软雅黑" w:cs="Times New Roman"/>
                <w:b/>
                <w:bCs/>
                <w:sz w:val="21"/>
                <w:szCs w:val="21"/>
              </w:rPr>
            </w:pPr>
            <w:r>
              <w:rPr>
                <w:rFonts w:ascii="Times New Roman" w:hAnsi="Times New Roman" w:eastAsia="微软雅黑" w:cs="Times New Roman"/>
                <w:b/>
                <w:bCs/>
                <w:sz w:val="21"/>
                <w:szCs w:val="21"/>
              </w:rPr>
              <w:t>肿瘤遗传风险检测</w:t>
            </w:r>
          </w:p>
        </w:tc>
        <w:tc>
          <w:tcPr>
            <w:tcW w:w="5311" w:type="dxa"/>
            <w:tcBorders>
              <w:tl2br w:val="nil"/>
              <w:tr2bl w:val="nil"/>
            </w:tcBorders>
            <w:shd w:val="clear" w:color="auto" w:fill="auto"/>
          </w:tcPr>
          <w:p w14:paraId="0498C304">
            <w:pPr>
              <w:pStyle w:val="21"/>
              <w:spacing w:before="77"/>
              <w:ind w:left="119" w:righ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summaryOfRresults.crCheckLineStrYF1280Size }}</w:t>
            </w:r>
            <w:r>
              <w:rPr>
                <w:rFonts w:ascii="Times New Roman" w:hAnsi="Times New Roman" w:eastAsia="微软雅黑" w:cs="Times New Roman"/>
                <w:sz w:val="21"/>
                <w:szCs w:val="21"/>
                <w:lang w:eastAsia="zh-CN"/>
              </w:rPr>
              <w:t>个胚系突变，其中</w:t>
            </w:r>
            <w:r>
              <w:rPr>
                <w:rFonts w:hint="eastAsia" w:ascii="Times New Roman" w:hAnsi="Times New Roman" w:eastAsia="微软雅黑" w:cs="黑体"/>
                <w:sz w:val="21"/>
                <w:lang w:eastAsia="zh-CN"/>
              </w:rPr>
              <w:t>{{summaryOfRresults.hasPathogenicityCount}}</w:t>
            </w:r>
            <w:r>
              <w:rPr>
                <w:rFonts w:ascii="Times New Roman" w:hAnsi="Times New Roman" w:eastAsia="微软雅黑" w:cs="Times New Roman"/>
                <w:sz w:val="21"/>
                <w:szCs w:val="21"/>
                <w:lang w:eastAsia="zh-CN"/>
              </w:rPr>
              <w:t>个为致病</w:t>
            </w:r>
            <w:r>
              <w:rPr>
                <w:rFonts w:hint="eastAsia" w:ascii="Times New Roman" w:hAnsi="Times New Roman" w:eastAsia="微软雅黑" w:cs="Times New Roman"/>
                <w:sz w:val="21"/>
                <w:szCs w:val="21"/>
                <w:lang w:eastAsia="zh-CN"/>
              </w:rPr>
              <w:t>/可能</w:t>
            </w:r>
            <w:r>
              <w:rPr>
                <w:rFonts w:ascii="Times New Roman" w:hAnsi="Times New Roman" w:eastAsia="微软雅黑" w:cs="Times New Roman"/>
                <w:sz w:val="21"/>
                <w:szCs w:val="21"/>
                <w:lang w:eastAsia="zh-CN"/>
              </w:rPr>
              <w:t>致病</w:t>
            </w:r>
            <w:r>
              <w:rPr>
                <w:rFonts w:hint="eastAsia" w:ascii="Times New Roman" w:hAnsi="Times New Roman" w:eastAsia="微软雅黑" w:cs="Times New Roman"/>
                <w:sz w:val="21"/>
                <w:szCs w:val="21"/>
                <w:lang w:eastAsia="zh-CN"/>
              </w:rPr>
              <w:t>性</w:t>
            </w:r>
            <w:r>
              <w:rPr>
                <w:rFonts w:ascii="Times New Roman" w:hAnsi="Times New Roman" w:eastAsia="微软雅黑" w:cs="Times New Roman"/>
                <w:sz w:val="21"/>
                <w:szCs w:val="21"/>
                <w:lang w:eastAsia="zh-CN"/>
              </w:rPr>
              <w:t>突变</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crCheckDrugStr</w:t>
            </w:r>
            <w:r>
              <w:rPr>
                <w:rFonts w:hint="eastAsia" w:ascii="Times New Roman" w:hAnsi="Times New Roman" w:eastAsia="微软雅黑" w:cs="Times New Roman"/>
                <w:sz w:val="21"/>
                <w:szCs w:val="21"/>
                <w:lang w:eastAsia="zh-CN" w:bidi="ar"/>
              </w:rPr>
              <w:t>}}</w:t>
            </w:r>
          </w:p>
        </w:tc>
      </w:tr>
      <w:tr w14:paraId="046193B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9852" w:type="dxa"/>
            <w:gridSpan w:val="3"/>
            <w:tcBorders>
              <w:tl2br w:val="nil"/>
              <w:tr2bl w:val="nil"/>
            </w:tcBorders>
            <w:shd w:val="clear" w:color="auto" w:fill="auto"/>
            <w:vAlign w:val="center"/>
          </w:tcPr>
          <w:p w14:paraId="55B0BF61">
            <w:pPr>
              <w:pStyle w:val="21"/>
              <w:spacing w:before="77"/>
              <w:ind w:left="119" w:leftChars="0" w:right="119" w:rightChars="0"/>
              <w:rPr>
                <w:rFonts w:ascii="Times New Roman" w:hAnsi="Times New Roman" w:eastAsia="微软雅黑" w:cs="Times New Roman"/>
                <w:sz w:val="21"/>
                <w:szCs w:val="21"/>
                <w:lang w:eastAsia="zh-CN"/>
              </w:rPr>
            </w:pPr>
            <w:r>
              <w:rPr>
                <w:rFonts w:hint="eastAsia" w:ascii="Times New Roman" w:hAnsi="Times New Roman" w:eastAsia="微软雅黑" w:cs="黑体"/>
                <w:b/>
                <w:bCs/>
                <w:sz w:val="21"/>
                <w:lang w:eastAsia="zh-CN"/>
              </w:rPr>
              <w:t xml:space="preserve">{%tr if urinaryProstateDisease != </w:t>
            </w:r>
            <w:r>
              <w:rPr>
                <w:rFonts w:ascii="Times New Roman" w:hAnsi="Times New Roman" w:eastAsia="微软雅黑" w:cs="黑体"/>
                <w:b/>
                <w:bCs/>
                <w:sz w:val="21"/>
                <w:lang w:eastAsia="zh-CN"/>
              </w:rPr>
              <w:t>‘’</w:t>
            </w:r>
            <w:r>
              <w:rPr>
                <w:rFonts w:hint="eastAsia" w:ascii="Times New Roman" w:hAnsi="Times New Roman" w:eastAsia="微软雅黑" w:cs="黑体"/>
                <w:b/>
                <w:bCs/>
                <w:sz w:val="21"/>
                <w:lang w:eastAsia="zh-CN"/>
              </w:rPr>
              <w:t>%}</w:t>
            </w:r>
          </w:p>
        </w:tc>
      </w:tr>
      <w:tr w14:paraId="4D31383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4541" w:type="dxa"/>
            <w:gridSpan w:val="2"/>
            <w:tcBorders>
              <w:tl2br w:val="nil"/>
              <w:tr2bl w:val="nil"/>
            </w:tcBorders>
            <w:shd w:val="clear" w:color="auto" w:fill="auto"/>
            <w:vAlign w:val="center"/>
          </w:tcPr>
          <w:p w14:paraId="3A918DFE">
            <w:pPr>
              <w:pStyle w:val="21"/>
              <w:ind w:left="119" w:leftChars="0"/>
              <w:rPr>
                <w:rFonts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lang w:eastAsia="zh-CN"/>
              </w:rPr>
              <w:t>预后相关</w:t>
            </w:r>
          </w:p>
        </w:tc>
        <w:tc>
          <w:tcPr>
            <w:tcW w:w="5311" w:type="dxa"/>
            <w:tcBorders>
              <w:tl2br w:val="nil"/>
              <w:tr2bl w:val="nil"/>
            </w:tcBorders>
            <w:shd w:val="clear" w:color="auto" w:fill="auto"/>
            <w:vAlign w:val="top"/>
          </w:tcPr>
          <w:p w14:paraId="387F8AD1">
            <w:pPr>
              <w:pStyle w:val="21"/>
              <w:spacing w:before="77"/>
              <w:ind w:left="119" w:leftChars="0" w:right="119" w:rightChars="0"/>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详见“预后相关基因检测结果及解析”部分</w:t>
            </w:r>
          </w:p>
        </w:tc>
      </w:tr>
      <w:tr w14:paraId="36205A4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9852" w:type="dxa"/>
            <w:gridSpan w:val="3"/>
            <w:tcBorders>
              <w:tl2br w:val="nil"/>
              <w:tr2bl w:val="nil"/>
            </w:tcBorders>
            <w:shd w:val="clear" w:color="auto" w:fill="auto"/>
            <w:vAlign w:val="center"/>
          </w:tcPr>
          <w:p w14:paraId="7B0B1785">
            <w:pPr>
              <w:pStyle w:val="21"/>
              <w:spacing w:before="77"/>
              <w:ind w:left="119" w:leftChars="0" w:right="119" w:rightChars="0"/>
              <w:rPr>
                <w:rFonts w:ascii="Times New Roman" w:hAnsi="Times New Roman" w:eastAsia="微软雅黑" w:cs="Times New Roman"/>
                <w:sz w:val="21"/>
                <w:szCs w:val="21"/>
                <w:lang w:eastAsia="zh-CN"/>
              </w:rPr>
            </w:pPr>
            <w:r>
              <w:rPr>
                <w:rFonts w:hint="eastAsia" w:ascii="Times New Roman" w:hAnsi="Times New Roman" w:eastAsia="微软雅黑" w:cs="黑体"/>
                <w:b/>
                <w:bCs/>
                <w:sz w:val="21"/>
                <w:lang w:eastAsia="zh-CN"/>
              </w:rPr>
              <w:t>{%tr endif %}</w:t>
            </w:r>
          </w:p>
        </w:tc>
      </w:tr>
      <w:tr w14:paraId="709F095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9852" w:type="dxa"/>
            <w:gridSpan w:val="3"/>
            <w:tcBorders>
              <w:tl2br w:val="nil"/>
              <w:tr2bl w:val="nil"/>
            </w:tcBorders>
            <w:shd w:val="clear" w:color="auto" w:fill="auto"/>
            <w:vAlign w:val="center"/>
          </w:tcPr>
          <w:p w14:paraId="1610D79D">
            <w:pPr>
              <w:pStyle w:val="21"/>
              <w:spacing w:before="77"/>
              <w:ind w:left="119" w:right="119"/>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if gastrointestinalStromalTumor == True %}</w:t>
            </w:r>
          </w:p>
        </w:tc>
      </w:tr>
      <w:tr w14:paraId="3604B8F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4541" w:type="dxa"/>
            <w:gridSpan w:val="2"/>
            <w:tcBorders>
              <w:tl2br w:val="nil"/>
              <w:tr2bl w:val="nil"/>
            </w:tcBorders>
            <w:shd w:val="clear" w:color="auto" w:fill="auto"/>
            <w:vAlign w:val="center"/>
          </w:tcPr>
          <w:p w14:paraId="48A502FE">
            <w:pPr>
              <w:pStyle w:val="21"/>
              <w:ind w:left="119"/>
              <w:rPr>
                <w:rFonts w:ascii="Times New Roman" w:hAnsi="Times New Roman" w:eastAsia="微软雅黑" w:cs="Times New Roman"/>
                <w:b/>
                <w:bCs/>
                <w:sz w:val="21"/>
                <w:szCs w:val="21"/>
                <w:lang w:eastAsia="zh-CN"/>
              </w:rPr>
            </w:pPr>
            <w:r>
              <w:rPr>
                <w:rFonts w:ascii="Times New Roman" w:hAnsi="Times New Roman" w:eastAsia="微软雅黑" w:cs="Times New Roman"/>
                <w:b/>
                <w:bCs/>
                <w:sz w:val="21"/>
                <w:szCs w:val="21"/>
                <w:lang w:eastAsia="zh-CN"/>
              </w:rPr>
              <w:t>化疗药物检测</w:t>
            </w:r>
          </w:p>
        </w:tc>
        <w:tc>
          <w:tcPr>
            <w:tcW w:w="5311" w:type="dxa"/>
            <w:tcBorders>
              <w:tl2br w:val="nil"/>
              <w:tr2bl w:val="nil"/>
            </w:tcBorders>
            <w:shd w:val="clear" w:color="auto" w:fill="auto"/>
          </w:tcPr>
          <w:p w14:paraId="3BE6AFDC">
            <w:pPr>
              <w:pStyle w:val="21"/>
              <w:spacing w:before="77"/>
              <w:ind w:left="119" w:righ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详见</w:t>
            </w:r>
            <w:r>
              <w:rPr>
                <w:rFonts w:hint="eastAsia" w:ascii="微软雅黑" w:hAnsi="微软雅黑" w:eastAsia="微软雅黑" w:cs="微软雅黑"/>
                <w:sz w:val="21"/>
                <w:szCs w:val="21"/>
                <w:lang w:eastAsia="zh-CN"/>
              </w:rPr>
              <w:t>“</w:t>
            </w:r>
            <w:r>
              <w:rPr>
                <w:rFonts w:ascii="Times New Roman" w:hAnsi="Times New Roman" w:eastAsia="微软雅黑" w:cs="Times New Roman"/>
                <w:sz w:val="21"/>
                <w:szCs w:val="21"/>
                <w:lang w:eastAsia="zh-CN"/>
              </w:rPr>
              <w:t>化疗药物检测解析</w:t>
            </w:r>
            <w:r>
              <w:rPr>
                <w:rFonts w:hint="eastAsia" w:ascii="微软雅黑" w:hAnsi="微软雅黑" w:eastAsia="微软雅黑" w:cs="微软雅黑"/>
                <w:sz w:val="21"/>
                <w:szCs w:val="21"/>
                <w:lang w:eastAsia="zh-CN"/>
              </w:rPr>
              <w:t>”</w:t>
            </w:r>
            <w:r>
              <w:rPr>
                <w:rFonts w:ascii="Times New Roman" w:hAnsi="Times New Roman" w:eastAsia="微软雅黑" w:cs="Times New Roman"/>
                <w:sz w:val="21"/>
                <w:szCs w:val="21"/>
                <w:lang w:eastAsia="zh-CN"/>
              </w:rPr>
              <w:t>部分</w:t>
            </w:r>
          </w:p>
        </w:tc>
      </w:tr>
      <w:tr w14:paraId="4DAA52A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9852" w:type="dxa"/>
            <w:gridSpan w:val="3"/>
            <w:tcBorders>
              <w:tl2br w:val="nil"/>
              <w:tr2bl w:val="nil"/>
            </w:tcBorders>
            <w:shd w:val="clear" w:color="auto" w:fill="auto"/>
            <w:vAlign w:val="center"/>
          </w:tcPr>
          <w:p w14:paraId="7CE0DBD9">
            <w:pPr>
              <w:pStyle w:val="21"/>
              <w:spacing w:before="77"/>
              <w:ind w:left="119" w:right="119"/>
              <w:rPr>
                <w:rFonts w:ascii="Times New Roman" w:hAnsi="Times New Roman" w:eastAsia="微软雅黑" w:cs="Times New Roman"/>
                <w:sz w:val="21"/>
                <w:szCs w:val="21"/>
                <w:lang w:eastAsia="zh-CN"/>
              </w:rPr>
            </w:pPr>
            <w:r>
              <w:rPr>
                <w:rFonts w:hint="eastAsia" w:ascii="Times New Roman" w:hAnsi="Times New Roman" w:eastAsia="微软雅黑" w:cs="黑体"/>
                <w:b/>
                <w:bCs/>
                <w:sz w:val="21"/>
                <w:lang w:eastAsia="zh-CN"/>
              </w:rPr>
              <w:t>{%tr endif %}</w:t>
            </w:r>
          </w:p>
        </w:tc>
      </w:tr>
      <w:tr w14:paraId="05918C0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4541" w:type="dxa"/>
            <w:gridSpan w:val="2"/>
            <w:tcBorders>
              <w:tl2br w:val="nil"/>
              <w:tr2bl w:val="nil"/>
            </w:tcBorders>
            <w:shd w:val="clear" w:color="auto" w:fill="auto"/>
            <w:vAlign w:val="center"/>
          </w:tcPr>
          <w:p w14:paraId="17E19D68">
            <w:pPr>
              <w:pStyle w:val="21"/>
              <w:ind w:left="119"/>
              <w:rPr>
                <w:rFonts w:ascii="Times New Roman" w:hAnsi="Times New Roman" w:eastAsia="微软雅黑" w:cs="Times New Roman"/>
                <w:sz w:val="21"/>
                <w:szCs w:val="21"/>
              </w:rPr>
            </w:pPr>
            <w:r>
              <w:rPr>
                <w:rFonts w:ascii="Times New Roman" w:hAnsi="Times New Roman" w:eastAsia="微软雅黑" w:cs="Times New Roman"/>
                <w:b/>
                <w:bCs/>
                <w:sz w:val="21"/>
                <w:szCs w:val="21"/>
              </w:rPr>
              <w:t>样品总体质量评估</w:t>
            </w:r>
          </w:p>
        </w:tc>
        <w:tc>
          <w:tcPr>
            <w:tcW w:w="5311" w:type="dxa"/>
            <w:tcBorders>
              <w:tl2br w:val="nil"/>
              <w:tr2bl w:val="nil"/>
            </w:tcBorders>
            <w:shd w:val="clear" w:color="auto" w:fill="auto"/>
            <w:vAlign w:val="center"/>
          </w:tcPr>
          <w:p w14:paraId="2C226A16">
            <w:pPr>
              <w:pStyle w:val="21"/>
              <w:ind w:left="119" w:right="119"/>
              <w:jc w:val="both"/>
              <w:rPr>
                <w:rFonts w:ascii="Times New Roman" w:hAnsi="Times New Roman" w:eastAsia="微软雅黑" w:cs="Times New Roman"/>
                <w:sz w:val="21"/>
                <w:szCs w:val="21"/>
                <w:lang w:eastAsia="zh-CN"/>
              </w:rPr>
            </w:pPr>
            <w:r>
              <w:rPr>
                <w:rFonts w:hint="eastAsia" w:ascii="Times New Roman" w:hAnsi="Times New Roman" w:eastAsia="微软雅黑" w:cs="黑体"/>
                <w:sz w:val="21"/>
                <w:lang w:eastAsia="zh-CN"/>
              </w:rPr>
              <w:t xml:space="preserve">{{ </w:t>
            </w:r>
            <w:r>
              <w:rPr>
                <w:rFonts w:ascii="Times New Roman" w:hAnsi="Times New Roman" w:eastAsia="微软雅黑" w:cs="黑体"/>
                <w:sz w:val="21"/>
                <w:lang w:eastAsia="zh-CN"/>
              </w:rPr>
              <w:t>overall_quality_assessment</w:t>
            </w:r>
            <w:r>
              <w:rPr>
                <w:rFonts w:hint="eastAsia" w:ascii="Times New Roman" w:hAnsi="Times New Roman" w:eastAsia="微软雅黑" w:cs="黑体"/>
                <w:sz w:val="21"/>
                <w:lang w:eastAsia="zh-CN"/>
              </w:rPr>
              <w:t xml:space="preserve"> }}</w:t>
            </w:r>
          </w:p>
        </w:tc>
      </w:tr>
    </w:tbl>
    <w:p w14:paraId="22DB9AEC">
      <w:pPr>
        <w:rPr>
          <w:rFonts w:ascii="Times New Roman" w:hAnsi="Times New Roman" w:eastAsia="微软雅黑" w:cs="Times New Roman"/>
          <w:b/>
          <w:bCs/>
          <w:sz w:val="18"/>
          <w:szCs w:val="18"/>
        </w:rPr>
      </w:pPr>
      <w:r>
        <w:rPr>
          <w:rFonts w:hint="eastAsia" w:ascii="微软雅黑" w:hAnsi="微软雅黑" w:eastAsia="微软雅黑" w:cs="微软雅黑"/>
          <w:b/>
          <w:bCs/>
          <w:sz w:val="18"/>
          <w:szCs w:val="18"/>
          <w:lang w:eastAsia="zh-CN" w:bidi="ar"/>
        </w:rPr>
        <w:t>注</w:t>
      </w:r>
      <w:r>
        <w:rPr>
          <w:rFonts w:ascii="微软雅黑" w:hAnsi="微软雅黑" w:eastAsia="微软雅黑" w:cs="微软雅黑"/>
          <w:b/>
          <w:bCs/>
          <w:sz w:val="18"/>
          <w:szCs w:val="18"/>
          <w:lang w:eastAsia="zh-CN" w:bidi="ar"/>
        </w:rPr>
        <w:t>：</w:t>
      </w:r>
    </w:p>
    <w:p w14:paraId="6DC526C8">
      <w:pPr>
        <w:numPr>
          <w:ilvl w:val="0"/>
          <w:numId w:val="6"/>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本报告为基因检测结果，基因、药物等信息列举未按照重要性排序。</w:t>
      </w:r>
    </w:p>
    <w:p w14:paraId="0494122F">
      <w:pPr>
        <w:numPr>
          <w:ilvl w:val="0"/>
          <w:numId w:val="6"/>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检测结果仅供科学研究和临床用药参考，具体治疗方案请咨询主治医生。</w:t>
      </w:r>
    </w:p>
    <w:p w14:paraId="5D937EBD">
      <w:pPr>
        <w:numPr>
          <w:ilvl w:val="0"/>
          <w:numId w:val="6"/>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本报告只对本次采集样本负责，如有疑问，请在7个工作日内与我们联系。</w:t>
      </w:r>
    </w:p>
    <w:p w14:paraId="39235DF6">
      <w:pPr>
        <w:rPr>
          <w:rFonts w:hint="default" w:ascii="Times New Roman" w:hAnsi="Times New Roman" w:eastAsia="微软雅黑" w:cs="Times New Roman"/>
          <w:sz w:val="24"/>
          <w:szCs w:val="24"/>
          <w:lang w:val="en-US" w:eastAsia="zh-CN"/>
        </w:rPr>
      </w:pPr>
      <w:r>
        <w:rPr>
          <w:rFonts w:hint="eastAsia" w:ascii="Times New Roman" w:hAnsi="Times New Roman" w:eastAsia="微软雅黑" w:cs="Times New Roman"/>
          <w:sz w:val="24"/>
          <w:szCs w:val="24"/>
          <w:lang w:eastAsia="zh-CN"/>
        </w:rPr>
        <w:t xml:space="preserve">{%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1</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04195077">
      <w:pPr>
        <w:rPr>
          <w:lang w:eastAsia="zh-CN"/>
        </w:rPr>
      </w:pPr>
    </w:p>
    <w:tbl>
      <w:tblPr>
        <w:tblStyle w:val="33"/>
        <w:tblW w:w="6772" w:type="dxa"/>
        <w:jc w:val="right"/>
        <w:tblLayout w:type="fixed"/>
        <w:tblCellMar>
          <w:top w:w="0" w:type="dxa"/>
          <w:left w:w="0" w:type="dxa"/>
          <w:bottom w:w="0" w:type="dxa"/>
          <w:right w:w="0" w:type="dxa"/>
        </w:tblCellMar>
      </w:tblPr>
      <w:tblGrid>
        <w:gridCol w:w="1272"/>
        <w:gridCol w:w="2040"/>
        <w:gridCol w:w="1166"/>
        <w:gridCol w:w="2294"/>
      </w:tblGrid>
      <w:tr w14:paraId="2B1747D7">
        <w:tblPrEx>
          <w:tblCellMar>
            <w:top w:w="0" w:type="dxa"/>
            <w:left w:w="0" w:type="dxa"/>
            <w:bottom w:w="0" w:type="dxa"/>
            <w:right w:w="0" w:type="dxa"/>
          </w:tblCellMar>
        </w:tblPrEx>
        <w:trPr>
          <w:trHeight w:val="680" w:hRule="exact"/>
          <w:jc w:val="right"/>
        </w:trPr>
        <w:tc>
          <w:tcPr>
            <w:tcW w:w="1272" w:type="dxa"/>
            <w:vAlign w:val="center"/>
          </w:tcPr>
          <w:p w14:paraId="60E8C3F2">
            <w:pPr>
              <w:pStyle w:val="21"/>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251E8B55">
            <w:pPr>
              <w:pStyle w:val="21"/>
              <w:spacing w:before="13"/>
              <w:jc w:val="both"/>
              <w:rPr>
                <w:rFonts w:ascii="Times New Roman" w:hAnsi="Times New Roman" w:cs="Times New Roman"/>
                <w:b/>
                <w:sz w:val="24"/>
                <w:szCs w:val="24"/>
              </w:rPr>
            </w:pPr>
            <w:r>
              <w:rPr>
                <w:rFonts w:hint="eastAsia" w:ascii="Times New Roman" w:hAnsi="Times New Roman" w:cs="Times New Roman"/>
                <w:b/>
                <w:sz w:val="24"/>
                <w:szCs w:val="24"/>
              </w:rPr>
              <w:t>{{"ty_tianjin1"|sign(64,28)}}</w:t>
            </w:r>
          </w:p>
        </w:tc>
        <w:tc>
          <w:tcPr>
            <w:tcW w:w="1166" w:type="dxa"/>
            <w:vAlign w:val="center"/>
          </w:tcPr>
          <w:p w14:paraId="7D982F5F">
            <w:pPr>
              <w:pStyle w:val="21"/>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258DE98F">
            <w:pPr>
              <w:pStyle w:val="21"/>
              <w:spacing w:before="13"/>
              <w:ind w:right="15"/>
              <w:jc w:val="both"/>
              <w:rPr>
                <w:rFonts w:ascii="Times New Roman" w:hAnsi="Times New Roman" w:cs="Times New Roman"/>
                <w:b/>
                <w:sz w:val="24"/>
                <w:szCs w:val="24"/>
              </w:rPr>
            </w:pPr>
            <w:r>
              <w:rPr>
                <w:rFonts w:hint="eastAsia" w:ascii="Times New Roman" w:hAnsi="Times New Roman" w:cs="Times New Roman"/>
                <w:b/>
                <w:sz w:val="24"/>
                <w:szCs w:val="24"/>
              </w:rPr>
              <w:t>{{"ty_tianjin2"|sign(59,34)}}</w:t>
            </w:r>
            <w:r>
              <w:rPr>
                <w:sz w:val="18"/>
              </w:rPr>
              <w:drawing>
                <wp:anchor distT="0" distB="0" distL="114300" distR="114300" simplePos="0" relativeHeight="251663360" behindDoc="0" locked="0" layoutInCell="1" allowOverlap="1">
                  <wp:simplePos x="0" y="0"/>
                  <wp:positionH relativeFrom="column">
                    <wp:posOffset>-398145</wp:posOffset>
                  </wp:positionH>
                  <wp:positionV relativeFrom="paragraph">
                    <wp:posOffset>-311785</wp:posOffset>
                  </wp:positionV>
                  <wp:extent cx="1443355" cy="1443355"/>
                  <wp:effectExtent l="0" t="0" r="4445" b="4445"/>
                  <wp:wrapNone/>
                  <wp:docPr id="21" name="图片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图片 25"/>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a:xfrm>
                            <a:off x="0" y="0"/>
                            <a:ext cx="1443355" cy="1443355"/>
                          </a:xfrm>
                          <a:prstGeom prst="rect">
                            <a:avLst/>
                          </a:prstGeom>
                          <a:noFill/>
                          <a:ln>
                            <a:noFill/>
                          </a:ln>
                        </pic:spPr>
                      </pic:pic>
                    </a:graphicData>
                  </a:graphic>
                </wp:anchor>
              </w:drawing>
            </w:r>
          </w:p>
        </w:tc>
      </w:tr>
      <w:tr w14:paraId="5DBB37C5">
        <w:tblPrEx>
          <w:tblCellMar>
            <w:top w:w="0" w:type="dxa"/>
            <w:left w:w="0" w:type="dxa"/>
            <w:bottom w:w="0" w:type="dxa"/>
            <w:right w:w="0" w:type="dxa"/>
          </w:tblCellMar>
        </w:tblPrEx>
        <w:trPr>
          <w:trHeight w:val="457" w:hRule="exact"/>
          <w:jc w:val="right"/>
        </w:trPr>
        <w:tc>
          <w:tcPr>
            <w:tcW w:w="1272" w:type="dxa"/>
            <w:vAlign w:val="center"/>
          </w:tcPr>
          <w:p w14:paraId="7E8D293A">
            <w:pPr>
              <w:pStyle w:val="21"/>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625C0E7A">
            <w:pPr>
              <w:pStyle w:val="21"/>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5F472428">
            <w:pPr>
              <w:pStyle w:val="21"/>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7D2E0957">
            <w:pPr>
              <w:pStyle w:val="21"/>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5C117E1B">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2</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27E52C29">
      <w:pPr>
        <w:rPr>
          <w:rFonts w:hint="default"/>
          <w:sz w:val="24"/>
          <w:lang w:val="en-US" w:eastAsia="zh-CN"/>
        </w:rPr>
      </w:pPr>
    </w:p>
    <w:p w14:paraId="0D32B89C">
      <w:pPr>
        <w:rPr>
          <w:sz w:val="24"/>
          <w:lang w:eastAsia="zh-CN"/>
        </w:rPr>
      </w:pPr>
    </w:p>
    <w:tbl>
      <w:tblPr>
        <w:tblStyle w:val="33"/>
        <w:tblW w:w="6772" w:type="dxa"/>
        <w:jc w:val="right"/>
        <w:tblLayout w:type="fixed"/>
        <w:tblCellMar>
          <w:top w:w="0" w:type="dxa"/>
          <w:left w:w="0" w:type="dxa"/>
          <w:bottom w:w="0" w:type="dxa"/>
          <w:right w:w="0" w:type="dxa"/>
        </w:tblCellMar>
      </w:tblPr>
      <w:tblGrid>
        <w:gridCol w:w="1272"/>
        <w:gridCol w:w="2040"/>
        <w:gridCol w:w="1166"/>
        <w:gridCol w:w="2294"/>
      </w:tblGrid>
      <w:tr w14:paraId="1F15458B">
        <w:tblPrEx>
          <w:tblCellMar>
            <w:top w:w="0" w:type="dxa"/>
            <w:left w:w="0" w:type="dxa"/>
            <w:bottom w:w="0" w:type="dxa"/>
            <w:right w:w="0" w:type="dxa"/>
          </w:tblCellMar>
        </w:tblPrEx>
        <w:trPr>
          <w:trHeight w:val="680" w:hRule="exact"/>
          <w:jc w:val="right"/>
        </w:trPr>
        <w:tc>
          <w:tcPr>
            <w:tcW w:w="1272" w:type="dxa"/>
            <w:vAlign w:val="center"/>
          </w:tcPr>
          <w:p w14:paraId="12A328F7">
            <w:pPr>
              <w:pStyle w:val="21"/>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6DB7773F">
            <w:pPr>
              <w:pStyle w:val="21"/>
              <w:spacing w:before="13"/>
              <w:jc w:val="both"/>
              <w:rPr>
                <w:rFonts w:ascii="Times New Roman" w:hAnsi="Times New Roman" w:cs="Times New Roman"/>
                <w:b/>
                <w:sz w:val="24"/>
                <w:szCs w:val="24"/>
              </w:rPr>
            </w:pPr>
            <w:r>
              <w:rPr>
                <w:rFonts w:hint="eastAsia" w:ascii="Times New Roman" w:hAnsi="Times New Roman" w:cs="Times New Roman"/>
                <w:b/>
                <w:sz w:val="24"/>
                <w:szCs w:val="24"/>
              </w:rPr>
              <w:t>{{"ty_guangzhou1"|sign(62,34)}}</w:t>
            </w:r>
          </w:p>
        </w:tc>
        <w:tc>
          <w:tcPr>
            <w:tcW w:w="1166" w:type="dxa"/>
            <w:vAlign w:val="center"/>
          </w:tcPr>
          <w:p w14:paraId="1420D3B8">
            <w:pPr>
              <w:pStyle w:val="21"/>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54AFD6CC">
            <w:pPr>
              <w:pStyle w:val="21"/>
              <w:spacing w:before="13"/>
              <w:ind w:right="15"/>
              <w:jc w:val="both"/>
              <w:rPr>
                <w:rFonts w:ascii="Times New Roman" w:hAnsi="Times New Roman" w:cs="Times New Roman"/>
                <w:b/>
                <w:sz w:val="24"/>
                <w:szCs w:val="24"/>
              </w:rPr>
            </w:pPr>
            <w:r>
              <w:rPr>
                <w:rFonts w:hint="eastAsia" w:ascii="Times New Roman" w:hAnsi="Times New Roman" w:cs="Times New Roman"/>
                <w:b/>
                <w:sz w:val="24"/>
                <w:szCs w:val="24"/>
              </w:rPr>
              <w:t>{{"ty_guangzhou2"|sign(59,34)}}</w:t>
            </w:r>
            <w:r>
              <w:rPr>
                <w:sz w:val="24"/>
              </w:rPr>
              <w:drawing>
                <wp:anchor distT="0" distB="0" distL="114300" distR="114300" simplePos="0" relativeHeight="251664384" behindDoc="0" locked="0" layoutInCell="1" allowOverlap="1">
                  <wp:simplePos x="0" y="0"/>
                  <wp:positionH relativeFrom="column">
                    <wp:posOffset>-375285</wp:posOffset>
                  </wp:positionH>
                  <wp:positionV relativeFrom="paragraph">
                    <wp:posOffset>-391795</wp:posOffset>
                  </wp:positionV>
                  <wp:extent cx="1443355" cy="1443355"/>
                  <wp:effectExtent l="0" t="0" r="4445" b="4445"/>
                  <wp:wrapNone/>
                  <wp:docPr id="6" name="图片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25"/>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a:xfrm>
                            <a:off x="0" y="0"/>
                            <a:ext cx="1443355" cy="1443355"/>
                          </a:xfrm>
                          <a:prstGeom prst="rect">
                            <a:avLst/>
                          </a:prstGeom>
                          <a:noFill/>
                          <a:ln>
                            <a:noFill/>
                          </a:ln>
                        </pic:spPr>
                      </pic:pic>
                    </a:graphicData>
                  </a:graphic>
                </wp:anchor>
              </w:drawing>
            </w:r>
          </w:p>
        </w:tc>
      </w:tr>
      <w:tr w14:paraId="39F2F582">
        <w:tblPrEx>
          <w:tblCellMar>
            <w:top w:w="0" w:type="dxa"/>
            <w:left w:w="0" w:type="dxa"/>
            <w:bottom w:w="0" w:type="dxa"/>
            <w:right w:w="0" w:type="dxa"/>
          </w:tblCellMar>
        </w:tblPrEx>
        <w:trPr>
          <w:trHeight w:val="457" w:hRule="exact"/>
          <w:jc w:val="right"/>
        </w:trPr>
        <w:tc>
          <w:tcPr>
            <w:tcW w:w="1272" w:type="dxa"/>
            <w:vAlign w:val="center"/>
          </w:tcPr>
          <w:p w14:paraId="0E20F947">
            <w:pPr>
              <w:pStyle w:val="21"/>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60C8B6BE">
            <w:pPr>
              <w:pStyle w:val="21"/>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14CE6294">
            <w:pPr>
              <w:pStyle w:val="21"/>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4CD5E991">
            <w:pPr>
              <w:pStyle w:val="21"/>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26138ED1">
      <w:pPr>
        <w:rPr>
          <w:rFonts w:hint="eastAsia"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endif %}</w:t>
      </w:r>
    </w:p>
    <w:p w14:paraId="2E2368C2">
      <w:pPr>
        <w:numPr>
          <w:ilvl w:val="0"/>
          <w:numId w:val="0"/>
        </w:numPr>
        <w:rPr>
          <w:rFonts w:hint="eastAsia" w:eastAsia="宋体"/>
          <w:b/>
          <w:bCs/>
          <w:lang w:val="en-US" w:eastAsia="zh-CN"/>
        </w:rPr>
      </w:pPr>
    </w:p>
    <w:p w14:paraId="21BE0D0B">
      <w:pPr>
        <w:rPr>
          <w:rFonts w:ascii="Times New Roman" w:hAnsi="Times New Roman" w:eastAsia="微软雅黑" w:cs="黑体"/>
          <w:b/>
          <w:bCs/>
          <w:color w:val="00B050"/>
          <w:sz w:val="28"/>
          <w:szCs w:val="36"/>
          <w:lang w:eastAsia="zh-CN"/>
        </w:rPr>
      </w:pPr>
      <w:r>
        <w:rPr>
          <w:rFonts w:hint="eastAsia" w:eastAsia="宋体"/>
          <w:b/>
          <w:bCs/>
          <w:lang w:val="en-US" w:eastAsia="zh-CN"/>
        </w:rPr>
        <w:t>检测合作单位：天津诺禾医学检验所</w:t>
      </w:r>
      <w:r>
        <w:rPr>
          <w:rFonts w:ascii="Times New Roman" w:hAnsi="Times New Roman" w:eastAsia="微软雅黑" w:cs="黑体"/>
          <w:b/>
          <w:bCs/>
          <w:color w:val="00B050"/>
          <w:sz w:val="28"/>
          <w:szCs w:val="36"/>
          <w:lang w:eastAsia="zh-CN"/>
        </w:rPr>
        <w:br w:type="page"/>
      </w:r>
    </w:p>
    <w:p w14:paraId="36BEBF2B">
      <w:pPr>
        <w:pStyle w:val="3"/>
        <w:numPr>
          <w:ilvl w:val="255"/>
          <w:numId w:val="0"/>
        </w:numPr>
        <w:jc w:val="left"/>
        <w:rPr>
          <w:color w:val="auto"/>
          <w:sz w:val="30"/>
          <w:lang w:eastAsia="zh-CN"/>
        </w:rPr>
      </w:pPr>
      <w:bookmarkStart w:id="20" w:name="_Toc13823"/>
      <w:bookmarkStart w:id="21" w:name="_Toc24235"/>
      <w:bookmarkStart w:id="22" w:name="_Toc5213"/>
      <w:bookmarkStart w:id="23" w:name="_Toc20136_WPSOffice_Level1"/>
      <w:bookmarkStart w:id="24" w:name="_Toc2781"/>
      <w:bookmarkStart w:id="25" w:name="_Toc19898_WPSOffice_Level1"/>
      <w:bookmarkStart w:id="26" w:name="_Toc22132"/>
      <w:r>
        <w:rPr>
          <w:rFonts w:hint="default" w:ascii="Times New Roman" w:hAnsi="Times New Roman" w:eastAsia="微软雅黑" w:cs="Times New Roman"/>
          <w:color w:val="auto"/>
          <w:sz w:val="30"/>
          <w:lang w:eastAsia="zh-CN"/>
        </w:rPr>
        <w:t>{% if importantTargetedDiseaseName == ‘泌尿系统癌症’%}泌尿系统肿瘤重要靶向用药{%else%}{% if importantTargetedDiseaseName == ‘泛癌种’%}重要靶向用药{%else%}{% if importantTargetedDiseaseName == ‘肺癌’%}肺癌{% elif importantTargetedDiseaseName == ‘结直肠癌’ %}结直肠癌{% elif importantTargetedDiseaseName == ‘乳腺癌’ %}乳腺癌{% endif %}精准诊疗{% endif %}{% endif %}相关基因结果汇总</w:t>
      </w:r>
      <w:bookmarkEnd w:id="20"/>
    </w:p>
    <w:p w14:paraId="36524DF7">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readsFlag == False %}</w:t>
      </w:r>
    </w:p>
    <w:tbl>
      <w:tblPr>
        <w:tblStyle w:val="14"/>
        <w:tblW w:w="9859"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004"/>
        <w:gridCol w:w="5812"/>
        <w:gridCol w:w="2043"/>
      </w:tblGrid>
      <w:tr w14:paraId="4426546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2004" w:type="dxa"/>
            <w:tcBorders>
              <w:top w:val="nil"/>
              <w:bottom w:val="nil"/>
              <w:right w:val="single" w:color="FFFFFF" w:sz="18" w:space="0"/>
            </w:tcBorders>
            <w:shd w:val="clear" w:color="auto" w:fill="61BB41"/>
            <w:vAlign w:val="center"/>
          </w:tcPr>
          <w:p w14:paraId="26AA9EE2">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基因</w:t>
            </w:r>
          </w:p>
        </w:tc>
        <w:tc>
          <w:tcPr>
            <w:tcW w:w="5812" w:type="dxa"/>
            <w:tcBorders>
              <w:top w:val="nil"/>
              <w:left w:val="single" w:color="FFFFFF" w:sz="18" w:space="0"/>
              <w:bottom w:val="nil"/>
              <w:right w:val="single" w:color="FFFFFF" w:sz="18" w:space="0"/>
            </w:tcBorders>
            <w:shd w:val="clear" w:color="auto" w:fill="61BB41"/>
            <w:vAlign w:val="center"/>
          </w:tcPr>
          <w:p w14:paraId="23504D26">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检测结果</w:t>
            </w:r>
          </w:p>
        </w:tc>
        <w:tc>
          <w:tcPr>
            <w:tcW w:w="2043" w:type="dxa"/>
            <w:tcBorders>
              <w:top w:val="nil"/>
              <w:left w:val="single" w:color="FFFFFF" w:sz="18" w:space="0"/>
              <w:bottom w:val="nil"/>
            </w:tcBorders>
            <w:shd w:val="clear" w:color="auto" w:fill="61BB41"/>
            <w:vAlign w:val="center"/>
          </w:tcPr>
          <w:p w14:paraId="2201F431">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变异丰度/拷贝数</w:t>
            </w:r>
          </w:p>
        </w:tc>
      </w:tr>
      <w:tr w14:paraId="4A63128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859" w:type="dxa"/>
            <w:gridSpan w:val="3"/>
            <w:tcBorders>
              <w:top w:val="nil"/>
              <w:bottom w:val="single" w:color="A4A4A4" w:sz="4" w:space="0"/>
            </w:tcBorders>
            <w:shd w:val="clear" w:color="auto" w:fill="auto"/>
            <w:noWrap/>
            <w:vAlign w:val="center"/>
          </w:tcPr>
          <w:p w14:paraId="5BE77509">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for it in importantTargetedGeneFilter %}</w:t>
            </w:r>
          </w:p>
        </w:tc>
      </w:tr>
      <w:tr w14:paraId="06B8579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2004" w:type="dxa"/>
            <w:tcBorders>
              <w:top w:val="single" w:color="A4A4A4" w:sz="4" w:space="0"/>
            </w:tcBorders>
            <w:shd w:val="clear" w:color="auto" w:fill="auto"/>
            <w:noWrap/>
            <w:vAlign w:val="center"/>
          </w:tcPr>
          <w:p w14:paraId="5F868AFC">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it.gene }}</w:t>
            </w:r>
          </w:p>
        </w:tc>
        <w:tc>
          <w:tcPr>
            <w:tcW w:w="5812" w:type="dxa"/>
            <w:tcBorders>
              <w:top w:val="single" w:color="A4A4A4" w:sz="4" w:space="0"/>
            </w:tcBorders>
            <w:shd w:val="clear" w:color="auto" w:fill="auto"/>
            <w:noWrap/>
            <w:vAlign w:val="center"/>
          </w:tcPr>
          <w:p w14:paraId="74193E8C">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it.ori_variantList == [] %}未检测到与用药相关突变{%else%}{% for i in it.ori_variantList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15F25477">
            <w:pPr>
              <w:widowControl/>
              <w:jc w:val="center"/>
              <w:textAlignment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c>
          <w:tcPr>
            <w:tcW w:w="2043" w:type="dxa"/>
            <w:tcBorders>
              <w:top w:val="single" w:color="A4A4A4" w:sz="4" w:space="0"/>
            </w:tcBorders>
            <w:shd w:val="clear" w:color="auto" w:fill="auto"/>
            <w:vAlign w:val="center"/>
          </w:tcPr>
          <w:p w14:paraId="3FC01E79">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it.mutFreqList == [] %}-{%else%}{% for i in it.mutFreqList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572D871B">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r>
      <w:tr w14:paraId="2AE4896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859" w:type="dxa"/>
            <w:gridSpan w:val="3"/>
            <w:shd w:val="clear" w:color="auto" w:fill="auto"/>
            <w:noWrap/>
            <w:vAlign w:val="center"/>
          </w:tcPr>
          <w:p w14:paraId="3AC07229">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endfor %}</w:t>
            </w:r>
          </w:p>
        </w:tc>
      </w:tr>
    </w:tbl>
    <w:p w14:paraId="34A16509">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{%else%}</w:t>
      </w:r>
    </w:p>
    <w:tbl>
      <w:tblPr>
        <w:tblStyle w:val="14"/>
        <w:tblW w:w="9859"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004"/>
        <w:gridCol w:w="4515"/>
        <w:gridCol w:w="3340"/>
      </w:tblGrid>
      <w:tr w14:paraId="165855F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2004" w:type="dxa"/>
            <w:tcBorders>
              <w:top w:val="nil"/>
              <w:bottom w:val="nil"/>
              <w:right w:val="single" w:color="FFFFFF" w:sz="18" w:space="0"/>
            </w:tcBorders>
            <w:shd w:val="clear" w:color="auto" w:fill="61BB41"/>
            <w:vAlign w:val="center"/>
          </w:tcPr>
          <w:p w14:paraId="4F40164D">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基因</w:t>
            </w:r>
          </w:p>
        </w:tc>
        <w:tc>
          <w:tcPr>
            <w:tcW w:w="4515" w:type="dxa"/>
            <w:tcBorders>
              <w:top w:val="nil"/>
              <w:left w:val="single" w:color="FFFFFF" w:sz="18" w:space="0"/>
              <w:bottom w:val="nil"/>
              <w:right w:val="single" w:color="FFFFFF" w:sz="18" w:space="0"/>
            </w:tcBorders>
            <w:shd w:val="clear" w:color="auto" w:fill="61BB41"/>
            <w:vAlign w:val="center"/>
          </w:tcPr>
          <w:p w14:paraId="2306981C">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检测结果</w:t>
            </w:r>
          </w:p>
        </w:tc>
        <w:tc>
          <w:tcPr>
            <w:tcW w:w="3340" w:type="dxa"/>
            <w:tcBorders>
              <w:top w:val="nil"/>
              <w:left w:val="single" w:color="FFFFFF" w:sz="18" w:space="0"/>
              <w:bottom w:val="nil"/>
            </w:tcBorders>
            <w:shd w:val="clear" w:color="auto" w:fill="61BB41"/>
            <w:vAlign w:val="center"/>
          </w:tcPr>
          <w:p w14:paraId="4E3BDAF4">
            <w:pPr>
              <w:widowControl/>
              <w:jc w:val="center"/>
              <w:textAlignment w:val="center"/>
              <w:rPr>
                <w:rFonts w:ascii="微软雅黑" w:hAnsi="微软雅黑" w:eastAsia="微软雅黑" w:cs="微软雅黑"/>
                <w:b/>
                <w:bCs/>
                <w:color w:val="FFFFFF"/>
                <w:sz w:val="21"/>
                <w:szCs w:val="21"/>
                <w:lang w:eastAsia="zh-CN"/>
              </w:rPr>
            </w:pPr>
            <w:r>
              <w:rPr>
                <w:rFonts w:hint="eastAsia" w:ascii="微软雅黑" w:hAnsi="微软雅黑" w:eastAsia="微软雅黑" w:cs="微软雅黑"/>
                <w:b/>
                <w:bCs/>
                <w:color w:val="FFFFFF"/>
                <w:sz w:val="21"/>
                <w:szCs w:val="21"/>
                <w:lang w:eastAsia="zh-CN" w:bidi="ar"/>
              </w:rPr>
              <w:t>变异丰度/拷贝数/融合reads数</w:t>
            </w:r>
          </w:p>
        </w:tc>
      </w:tr>
      <w:tr w14:paraId="1741D3B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859" w:type="dxa"/>
            <w:gridSpan w:val="3"/>
            <w:tcBorders>
              <w:top w:val="nil"/>
              <w:bottom w:val="single" w:color="A4A4A4" w:sz="4" w:space="0"/>
            </w:tcBorders>
            <w:shd w:val="clear" w:color="auto" w:fill="auto"/>
            <w:noWrap/>
            <w:vAlign w:val="center"/>
          </w:tcPr>
          <w:p w14:paraId="3C6662A6">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for it in importantTargetedGeneFilter %}</w:t>
            </w:r>
          </w:p>
        </w:tc>
      </w:tr>
      <w:tr w14:paraId="6326850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2004" w:type="dxa"/>
            <w:tcBorders>
              <w:top w:val="single" w:color="A4A4A4" w:sz="4" w:space="0"/>
            </w:tcBorders>
            <w:shd w:val="clear" w:color="auto" w:fill="auto"/>
            <w:noWrap/>
            <w:vAlign w:val="center"/>
          </w:tcPr>
          <w:p w14:paraId="3F91EFE2">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it.gene }}</w:t>
            </w:r>
          </w:p>
        </w:tc>
        <w:tc>
          <w:tcPr>
            <w:tcW w:w="4515" w:type="dxa"/>
            <w:tcBorders>
              <w:top w:val="single" w:color="A4A4A4" w:sz="4" w:space="0"/>
            </w:tcBorders>
            <w:shd w:val="clear" w:color="auto" w:fill="auto"/>
            <w:noWrap/>
            <w:vAlign w:val="center"/>
          </w:tcPr>
          <w:p w14:paraId="0C5C72E4">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it.ori_variantList == [] %}未检测到与用药相关突变{%else%}{% for i in it.ori_variantList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5040147B">
            <w:pPr>
              <w:widowControl/>
              <w:jc w:val="center"/>
              <w:textAlignment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c>
          <w:tcPr>
            <w:tcW w:w="3340" w:type="dxa"/>
            <w:tcBorders>
              <w:top w:val="single" w:color="A4A4A4" w:sz="4" w:space="0"/>
            </w:tcBorders>
            <w:shd w:val="clear" w:color="auto" w:fill="auto"/>
            <w:vAlign w:val="center"/>
          </w:tcPr>
          <w:p w14:paraId="19A217AB">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it.mutFreqList == [] %}-{%else%}{% for i in it.mutFreqList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7A032945">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r>
      <w:tr w14:paraId="42A97FC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859" w:type="dxa"/>
            <w:gridSpan w:val="3"/>
            <w:shd w:val="clear" w:color="auto" w:fill="auto"/>
            <w:noWrap/>
            <w:vAlign w:val="center"/>
          </w:tcPr>
          <w:p w14:paraId="1E247C69">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endfor %}</w:t>
            </w:r>
          </w:p>
        </w:tc>
      </w:tr>
    </w:tbl>
    <w:p w14:paraId="1F0A3522">
      <w:pPr>
        <w:rPr>
          <w:rFonts w:ascii="Times New Roman" w:hAnsi="Times New Roman" w:eastAsia="微软雅黑" w:cs="Times New Roman"/>
          <w:b/>
          <w:bCs/>
          <w:sz w:val="18"/>
          <w:szCs w:val="18"/>
          <w:lang w:eastAsia="zh-CN"/>
        </w:rPr>
      </w:pPr>
      <w:r>
        <w:rPr>
          <w:rFonts w:hint="eastAsia" w:ascii="Times New Roman" w:hAnsi="Times New Roman" w:eastAsia="微软雅黑" w:cs="Times New Roman"/>
          <w:sz w:val="18"/>
          <w:szCs w:val="18"/>
          <w:lang w:eastAsia="zh-CN"/>
        </w:rPr>
        <w:t>{%endif%}</w:t>
      </w:r>
      <w:r>
        <w:rPr>
          <w:rFonts w:ascii="Times New Roman" w:hAnsi="Times New Roman" w:eastAsia="微软雅黑" w:cs="Times New Roman"/>
          <w:b/>
          <w:bCs/>
          <w:sz w:val="18"/>
          <w:szCs w:val="18"/>
          <w:lang w:eastAsia="zh-CN"/>
        </w:rPr>
        <w:t>注：</w:t>
      </w:r>
    </w:p>
    <w:p w14:paraId="51B90114">
      <w:pPr>
        <w:numPr>
          <w:ilvl w:val="0"/>
          <w:numId w:val="7"/>
        </w:numPr>
        <w:spacing w:line="216" w:lineRule="auto"/>
        <w:rPr>
          <w:rFonts w:ascii="Times New Roman" w:hAnsi="Times New Roman" w:eastAsia="微软雅黑" w:cs="Times New Roman"/>
          <w:sz w:val="18"/>
          <w:lang w:eastAsia="zh-CN"/>
        </w:rPr>
      </w:pPr>
      <w:r>
        <w:rPr>
          <w:rFonts w:hint="eastAsia" w:ascii="Times New Roman" w:hAnsi="Times New Roman" w:eastAsia="微软雅黑" w:cs="Times New Roman"/>
          <w:sz w:val="18"/>
          <w:szCs w:val="18"/>
          <w:lang w:eastAsia="zh-CN"/>
        </w:rPr>
        <w:t xml:space="preserve">上表仅列出了{%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泌尿系统癌症</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%}泌尿系统肿瘤中已获批上市或指南推荐的</w:t>
      </w:r>
      <w:r>
        <w:rPr>
          <w:rFonts w:hint="eastAsia" w:ascii="Times New Roman" w:hAnsi="Times New Roman" w:eastAsia="微软雅黑" w:cs="Times New Roman"/>
          <w:sz w:val="18"/>
          <w:lang w:eastAsia="zh-CN"/>
        </w:rPr>
        <w:t>用于指导靶向用药的相关基因突变。</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xml:space="preserve">FDA批准/NMPA批准/NCCN指南{%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泛癌种</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%}/专家共识{% endif %}推荐的{%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泛癌种</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lang w:eastAsia="zh-CN"/>
        </w:rPr>
        <w:t>用于指导靶向用药的相关基因突变。</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xml:space="preserve">与{%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肺癌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%}肺癌{% elif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结直肠癌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%}结直肠癌{% elif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乳腺癌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%}乳腺癌{% endif %}精准诊疗密切相关的基因突变。{% endif %}{% endif %}</w:t>
      </w:r>
    </w:p>
    <w:p w14:paraId="4D35E3FB">
      <w:pPr>
        <w:numPr>
          <w:ilvl w:val="0"/>
          <w:numId w:val="7"/>
        </w:numPr>
        <w:spacing w:line="216" w:lineRule="auto"/>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变异详情，可查看基因变异检测结果及解析。</w:t>
      </w:r>
    </w:p>
    <w:p w14:paraId="11CFCC2B">
      <w:pPr>
        <w:numPr>
          <w:ilvl w:val="0"/>
          <w:numId w:val="7"/>
        </w:numPr>
        <w:spacing w:line="216" w:lineRule="auto"/>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"-"表示本次检测未发现相关变异。</w:t>
      </w:r>
      <w:r>
        <w:rPr>
          <w:rFonts w:hint="eastAsia" w:ascii="Times New Roman" w:hAnsi="Times New Roman" w:eastAsia="微软雅黑" w:cs="Times New Roman"/>
          <w:sz w:val="18"/>
          <w:lang w:eastAsia="zh-CN"/>
        </w:rPr>
        <w:br w:type="page"/>
      </w:r>
    </w:p>
    <w:p w14:paraId="2467C796">
      <w:pPr>
        <w:pStyle w:val="2"/>
        <w:numPr>
          <w:ilvl w:val="0"/>
          <w:numId w:val="0"/>
        </w:numPr>
        <w:jc w:val="both"/>
        <w:rPr>
          <w:rStyle w:val="36"/>
          <w:b/>
          <w:bCs/>
          <w:color w:val="62B541"/>
          <w:sz w:val="32"/>
          <w:szCs w:val="40"/>
          <w14:shadow w14:blurRad="50800" w14:dist="38100" w14:dir="10800000" w14:sx="100000" w14:sy="100000" w14:kx="0" w14:ky="0" w14:algn="r">
            <w14:srgbClr w14:val="62B541">
              <w14:alpha w14:val="60000"/>
            </w14:srgbClr>
          </w14:shadow>
        </w:rPr>
      </w:pPr>
      <w:bookmarkStart w:id="27" w:name="_Toc31307"/>
      <w:r>
        <w:rPr>
          <w:rStyle w:val="36"/>
          <w:b/>
          <w:bCs/>
          <w:color w:val="62B541"/>
          <w:sz w:val="32"/>
          <w:szCs w:val="40"/>
          <w14:shadow w14:blurRad="50800" w14:dist="38100" w14:dir="10800000" w14:sx="100000" w14:sy="100000" w14:kx="0" w14:ky="0" w14:algn="r">
            <w14:srgbClr w14:val="62B541">
              <w14:alpha w14:val="60000"/>
            </w14:srgbClr>
          </w14:shadow>
        </w:rPr>
        <w:t>检测结果及用药提示</w:t>
      </w:r>
      <w:bookmarkEnd w:id="10"/>
      <w:bookmarkEnd w:id="21"/>
      <w:bookmarkEnd w:id="22"/>
      <w:bookmarkEnd w:id="23"/>
      <w:bookmarkEnd w:id="24"/>
      <w:bookmarkEnd w:id="25"/>
      <w:bookmarkEnd w:id="26"/>
      <w:bookmarkEnd w:id="27"/>
    </w:p>
    <w:p w14:paraId="03B49887">
      <w:pPr>
        <w:rPr>
          <w:rFonts w:ascii="Times New Roman" w:hAnsi="Times New Roman" w:eastAsia="微软雅黑" w:cs="Times New Roman"/>
          <w:sz w:val="24"/>
          <w:szCs w:val="24"/>
          <w:lang w:eastAsia="zh-CN"/>
        </w:rPr>
      </w:pPr>
      <w:bookmarkStart w:id="28" w:name="_Toc2962"/>
      <w:bookmarkStart w:id="29" w:name="_Toc20571"/>
      <w:bookmarkStart w:id="30" w:name="_Toc19636"/>
      <w:bookmarkStart w:id="31" w:name="_Toc106294397"/>
      <w:bookmarkStart w:id="32" w:name="_Toc19159"/>
      <w:bookmarkStart w:id="33" w:name="_Toc9088"/>
      <w:bookmarkStart w:id="34" w:name="_Toc11015_WPSOffice_Level2"/>
      <w:bookmarkStart w:id="35" w:name="_Toc18062_WPSOffice_Level2"/>
      <w:bookmarkStart w:id="36" w:name="_Toc15063"/>
      <w:bookmarkStart w:id="37" w:name="_Toc23375"/>
      <w:r>
        <w:rPr>
          <w:rFonts w:hint="eastAsia" w:ascii="Times New Roman" w:hAnsi="Times New Roman" w:eastAsia="微软雅黑" w:cs="Times New Roman"/>
          <w:sz w:val="24"/>
          <w:szCs w:val="24"/>
          <w:lang w:eastAsia="zh-CN"/>
        </w:rPr>
        <w:t>{% if endometrialCarcinoma == True %}</w:t>
      </w:r>
    </w:p>
    <w:p w14:paraId="1ED391D2">
      <w:pPr>
        <w:pStyle w:val="3"/>
        <w:numPr>
          <w:ilvl w:val="255"/>
          <w:numId w:val="0"/>
        </w:numPr>
        <w:jc w:val="left"/>
        <w:rPr>
          <w:color w:val="auto"/>
          <w:sz w:val="30"/>
          <w:lang w:eastAsia="zh-CN"/>
        </w:rPr>
      </w:pPr>
      <w:bookmarkStart w:id="38" w:name="_Toc21615"/>
      <w:bookmarkStart w:id="39" w:name="_Toc4693"/>
      <w:r>
        <w:rPr>
          <w:rFonts w:hint="eastAsia"/>
          <w:color w:val="auto"/>
          <w:sz w:val="30"/>
          <w:lang w:eastAsia="zh-CN"/>
        </w:rPr>
        <w:t>子宫内膜癌TCGA分子分型检测结果</w:t>
      </w:r>
      <w:bookmarkEnd w:id="28"/>
      <w:bookmarkEnd w:id="29"/>
      <w:bookmarkEnd w:id="30"/>
      <w:bookmarkEnd w:id="31"/>
      <w:bookmarkEnd w:id="32"/>
      <w:bookmarkEnd w:id="38"/>
      <w:bookmarkEnd w:id="39"/>
    </w:p>
    <w:tbl>
      <w:tblPr>
        <w:tblStyle w:val="14"/>
        <w:tblW w:w="9863" w:type="dxa"/>
        <w:jc w:val="center"/>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Layout w:type="fixed"/>
        <w:tblCellMar>
          <w:top w:w="0" w:type="dxa"/>
          <w:left w:w="108" w:type="dxa"/>
          <w:bottom w:w="0" w:type="dxa"/>
          <w:right w:w="108" w:type="dxa"/>
        </w:tblCellMar>
      </w:tblPr>
      <w:tblGrid>
        <w:gridCol w:w="4328"/>
        <w:gridCol w:w="5535"/>
      </w:tblGrid>
      <w:tr w14:paraId="4AD6224F">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108" w:type="dxa"/>
            <w:bottom w:w="0" w:type="dxa"/>
            <w:right w:w="108" w:type="dxa"/>
          </w:tblCellMar>
        </w:tblPrEx>
        <w:trPr>
          <w:trHeight w:val="258" w:hRule="atLeast"/>
          <w:jc w:val="center"/>
        </w:trPr>
        <w:tc>
          <w:tcPr>
            <w:tcW w:w="4328" w:type="dxa"/>
            <w:tcBorders>
              <w:top w:val="nil"/>
              <w:bottom w:val="nil"/>
              <w:right w:val="single" w:color="FFFFFF" w:themeColor="background1" w:sz="18" w:space="0"/>
            </w:tcBorders>
            <w:shd w:val="clear" w:color="auto" w:fill="62BC41"/>
            <w:vAlign w:val="center"/>
          </w:tcPr>
          <w:p w14:paraId="5957C5DD">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检测项目</w:t>
            </w:r>
          </w:p>
        </w:tc>
        <w:tc>
          <w:tcPr>
            <w:tcW w:w="5535" w:type="dxa"/>
            <w:tcBorders>
              <w:top w:val="nil"/>
              <w:left w:val="single" w:color="FFFFFF" w:themeColor="background1" w:sz="18" w:space="0"/>
              <w:bottom w:val="nil"/>
            </w:tcBorders>
            <w:shd w:val="clear" w:color="auto" w:fill="62BC41"/>
            <w:vAlign w:val="center"/>
          </w:tcPr>
          <w:p w14:paraId="4EAC7E6F">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检测</w:t>
            </w: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结果</w:t>
            </w:r>
          </w:p>
        </w:tc>
      </w:tr>
      <w:tr w14:paraId="237AD97E">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108" w:type="dxa"/>
            <w:bottom w:w="0" w:type="dxa"/>
            <w:right w:w="108" w:type="dxa"/>
          </w:tblCellMar>
        </w:tblPrEx>
        <w:trPr>
          <w:trHeight w:val="342" w:hRule="atLeast"/>
          <w:jc w:val="center"/>
        </w:trPr>
        <w:tc>
          <w:tcPr>
            <w:tcW w:w="4328" w:type="dxa"/>
            <w:tcBorders>
              <w:top w:val="nil"/>
              <w:bottom w:val="single" w:color="A4A4A4" w:sz="4" w:space="0"/>
              <w:right w:val="single" w:color="A4A4A4" w:sz="4" w:space="0"/>
            </w:tcBorders>
            <w:shd w:val="clear" w:color="auto" w:fill="auto"/>
            <w:vAlign w:val="center"/>
          </w:tcPr>
          <w:p w14:paraId="50592E0A">
            <w:pP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TCGA分子分型</w:t>
            </w:r>
          </w:p>
        </w:tc>
        <w:tc>
          <w:tcPr>
            <w:tcW w:w="5535" w:type="dxa"/>
            <w:tcBorders>
              <w:top w:val="nil"/>
              <w:left w:val="single" w:color="A4A4A4" w:sz="4" w:space="0"/>
              <w:bottom w:val="single" w:color="A4A4A4" w:sz="4" w:space="0"/>
            </w:tcBorders>
            <w:shd w:val="clear" w:color="auto" w:fill="auto"/>
            <w:vAlign w:val="center"/>
          </w:tcPr>
          <w:p w14:paraId="5F3A195F">
            <w:pP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黑体"/>
                <w:sz w:val="21"/>
                <w:lang w:eastAsia="zh-CN"/>
              </w:rPr>
              <w:t>{{ summaryOfRresults.</w:t>
            </w:r>
            <w:r>
              <w:rPr>
                <w:rFonts w:ascii="Times New Roman" w:hAnsi="Times New Roman" w:eastAsia="微软雅黑" w:cs="黑体"/>
                <w:sz w:val="21"/>
                <w:lang w:eastAsia="zh-CN"/>
              </w:rPr>
              <w:t>tcga</w:t>
            </w:r>
            <w:r>
              <w:rPr>
                <w:rFonts w:hint="eastAsia" w:ascii="Times New Roman" w:hAnsi="Times New Roman" w:eastAsia="微软雅黑" w:cs="黑体"/>
                <w:sz w:val="21"/>
                <w:lang w:eastAsia="zh-CN"/>
              </w:rPr>
              <w:t xml:space="preserve"> }}</w:t>
            </w:r>
          </w:p>
        </w:tc>
      </w:tr>
    </w:tbl>
    <w:p w14:paraId="0828E58C">
      <w:pPr>
        <w:spacing w:before="47"/>
        <w:rPr>
          <w:rFonts w:ascii="Times New Roman" w:hAnsi="Times New Roman" w:eastAsia="微软雅黑" w:cs="Times New Roman"/>
          <w:sz w:val="18"/>
          <w:szCs w:val="18"/>
          <w:highlight w:val="yellow"/>
          <w:lang w:eastAsia="zh-CN"/>
        </w:rPr>
      </w:pPr>
      <w:r>
        <w:rPr>
          <w:rFonts w:hint="eastAsia" w:ascii="Times New Roman" w:hAnsi="Times New Roman" w:eastAsia="微软雅黑" w:cs="Times New Roman"/>
          <w:b/>
          <w:bCs/>
          <w:sz w:val="18"/>
          <w:szCs w:val="18"/>
          <w:lang w:eastAsia="zh-CN"/>
        </w:rPr>
        <w:t>注：</w:t>
      </w:r>
    </w:p>
    <w:p w14:paraId="7E062C2E">
      <w:pPr>
        <w:numPr>
          <w:ilvl w:val="0"/>
          <w:numId w:val="8"/>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2013年，癌症基因组图谱</w:t>
      </w:r>
      <w:r>
        <w:rPr>
          <w:rFonts w:hint="eastAsia" w:ascii="Times New Roman" w:hAnsi="Times New Roman" w:eastAsia="微软雅黑" w:cs="Times New Roman"/>
          <w:sz w:val="18"/>
          <w:lang w:eastAsia="zh-CN"/>
        </w:rPr>
        <w:t>（</w:t>
      </w:r>
      <w:r>
        <w:rPr>
          <w:rFonts w:ascii="Times New Roman" w:hAnsi="Times New Roman" w:eastAsia="微软雅黑" w:cs="Times New Roman"/>
          <w:sz w:val="18"/>
          <w:lang w:eastAsia="zh-CN"/>
        </w:rPr>
        <w:t>The</w:t>
      </w:r>
      <w:r>
        <w:rPr>
          <w:rFonts w:hint="eastAsia" w:ascii="Times New Roman" w:hAnsi="Times New Roman" w:eastAsia="微软雅黑" w:cs="Times New Roman"/>
          <w:sz w:val="18"/>
          <w:lang w:eastAsia="zh-CN"/>
        </w:rPr>
        <w:t xml:space="preserve"> </w:t>
      </w:r>
      <w:r>
        <w:rPr>
          <w:rFonts w:ascii="Times New Roman" w:hAnsi="Times New Roman" w:eastAsia="微软雅黑" w:cs="Times New Roman"/>
          <w:sz w:val="18"/>
          <w:lang w:eastAsia="zh-CN"/>
        </w:rPr>
        <w:t>Cancer</w:t>
      </w:r>
      <w:r>
        <w:rPr>
          <w:rFonts w:hint="eastAsia" w:ascii="Times New Roman" w:hAnsi="Times New Roman" w:eastAsia="微软雅黑" w:cs="Times New Roman"/>
          <w:sz w:val="18"/>
          <w:lang w:eastAsia="zh-CN"/>
        </w:rPr>
        <w:t xml:space="preserve"> </w:t>
      </w:r>
      <w:r>
        <w:rPr>
          <w:rFonts w:ascii="Times New Roman" w:hAnsi="Times New Roman" w:eastAsia="微软雅黑" w:cs="Times New Roman"/>
          <w:sz w:val="18"/>
          <w:lang w:eastAsia="zh-CN"/>
        </w:rPr>
        <w:t>Geenome</w:t>
      </w:r>
      <w:r>
        <w:rPr>
          <w:rFonts w:hint="eastAsia" w:ascii="Times New Roman" w:hAnsi="Times New Roman" w:eastAsia="微软雅黑" w:cs="Times New Roman"/>
          <w:sz w:val="18"/>
          <w:lang w:eastAsia="zh-CN"/>
        </w:rPr>
        <w:t xml:space="preserve"> </w:t>
      </w:r>
      <w:r>
        <w:rPr>
          <w:rFonts w:ascii="Times New Roman" w:hAnsi="Times New Roman" w:eastAsia="微软雅黑" w:cs="Times New Roman"/>
          <w:sz w:val="18"/>
          <w:lang w:eastAsia="zh-CN"/>
        </w:rPr>
        <w:t>Atlas</w:t>
      </w:r>
      <w:r>
        <w:rPr>
          <w:rFonts w:hint="eastAsia" w:ascii="Times New Roman" w:hAnsi="Times New Roman" w:eastAsia="微软雅黑" w:cs="Times New Roman"/>
          <w:sz w:val="18"/>
          <w:lang w:eastAsia="zh-CN"/>
        </w:rPr>
        <w:t>，</w:t>
      </w:r>
      <w:r>
        <w:rPr>
          <w:rFonts w:ascii="Times New Roman" w:hAnsi="Times New Roman" w:eastAsia="微软雅黑" w:cs="Times New Roman"/>
          <w:sz w:val="18"/>
          <w:lang w:eastAsia="zh-CN"/>
        </w:rPr>
        <w:t>TCGA</w:t>
      </w:r>
      <w:r>
        <w:rPr>
          <w:rFonts w:hint="eastAsia" w:ascii="Times New Roman" w:hAnsi="Times New Roman" w:eastAsia="微软雅黑" w:cs="Times New Roman"/>
          <w:sz w:val="18"/>
          <w:lang w:eastAsia="zh-CN"/>
        </w:rPr>
        <w:t>）</w:t>
      </w:r>
      <w:r>
        <w:rPr>
          <w:rFonts w:ascii="Times New Roman" w:hAnsi="Times New Roman" w:eastAsia="微软雅黑" w:cs="Times New Roman"/>
          <w:sz w:val="18"/>
          <w:lang w:eastAsia="zh-CN"/>
        </w:rPr>
        <w:t>多组学研究全面揭示了子宫内膜癌的分子遗传图谱，提出新的分子分型策略，依据多组学特征和预后的关联性分为4个亚型：POLE突变型、微卫星不稳定型（MSI-H</w:t>
      </w:r>
      <w:r>
        <w:rPr>
          <w:rFonts w:hint="eastAsia" w:ascii="Times New Roman" w:hAnsi="Times New Roman" w:eastAsia="微软雅黑" w:cs="Times New Roman"/>
          <w:sz w:val="18"/>
          <w:lang w:eastAsia="zh-CN"/>
        </w:rPr>
        <w:t>）</w:t>
      </w:r>
      <w:r>
        <w:rPr>
          <w:rFonts w:ascii="Times New Roman" w:hAnsi="Times New Roman" w:eastAsia="微软雅黑" w:cs="Times New Roman"/>
          <w:sz w:val="18"/>
          <w:lang w:eastAsia="zh-CN"/>
        </w:rPr>
        <w:t>、高拷贝型</w:t>
      </w:r>
      <w:r>
        <w:rPr>
          <w:rFonts w:hint="eastAsia" w:ascii="Times New Roman" w:hAnsi="Times New Roman" w:eastAsia="微软雅黑" w:cs="Times New Roman"/>
          <w:sz w:val="18"/>
          <w:lang w:eastAsia="zh-CN"/>
        </w:rPr>
        <w:t>（CN-H）</w:t>
      </w:r>
      <w:r>
        <w:rPr>
          <w:rFonts w:ascii="Times New Roman" w:hAnsi="Times New Roman" w:eastAsia="微软雅黑" w:cs="Times New Roman"/>
          <w:sz w:val="18"/>
          <w:lang w:eastAsia="zh-CN"/>
        </w:rPr>
        <w:t>和低拷贝型</w:t>
      </w:r>
      <w:r>
        <w:rPr>
          <w:rFonts w:hint="eastAsia" w:ascii="Times New Roman" w:hAnsi="Times New Roman" w:eastAsia="微软雅黑" w:cs="Times New Roman"/>
          <w:sz w:val="18"/>
          <w:lang w:eastAsia="zh-CN"/>
        </w:rPr>
        <w:t>（CN-L）</w:t>
      </w:r>
      <w:r>
        <w:rPr>
          <w:rFonts w:ascii="Times New Roman" w:hAnsi="Times New Roman" w:eastAsia="微软雅黑" w:cs="Times New Roman"/>
          <w:sz w:val="18"/>
          <w:lang w:eastAsia="zh-CN"/>
        </w:rPr>
        <w:t>，用于</w:t>
      </w:r>
      <w:r>
        <w:rPr>
          <w:rFonts w:hint="eastAsia" w:ascii="Times New Roman" w:hAnsi="Times New Roman" w:eastAsia="微软雅黑" w:cs="Times New Roman"/>
          <w:sz w:val="18"/>
          <w:lang w:eastAsia="zh-CN"/>
        </w:rPr>
        <w:t>子宫内膜癌</w:t>
      </w:r>
      <w:r>
        <w:rPr>
          <w:rFonts w:ascii="Times New Roman" w:hAnsi="Times New Roman" w:eastAsia="微软雅黑" w:cs="Times New Roman"/>
          <w:sz w:val="18"/>
          <w:lang w:eastAsia="zh-CN"/>
        </w:rPr>
        <w:t>患者预后和复发风险评估。当前，该分子分型策略已被纳入NCCN、ESGO等多个指南中，分型规则如下：</w:t>
      </w:r>
    </w:p>
    <w:p w14:paraId="43EAF759">
      <w:pPr>
        <w:widowControl/>
        <w:jc w:val="center"/>
        <w:rPr>
          <w:rFonts w:ascii="Times New Roman" w:hAnsi="Times New Roman" w:eastAsia="微软雅黑" w:cs="Times New Roman"/>
          <w:lang w:eastAsia="zh-CN"/>
        </w:rPr>
      </w:pPr>
      <w:r>
        <w:rPr>
          <w:rFonts w:ascii="Times New Roman" w:hAnsi="Times New Roman" w:eastAsia="微软雅黑" w:cs="Times New Roman"/>
          <w:lang w:eastAsia="zh-CN"/>
        </w:rPr>
        <w:drawing>
          <wp:inline distT="0" distB="0" distL="114300" distR="114300">
            <wp:extent cx="5582285" cy="2188845"/>
            <wp:effectExtent l="0" t="0" r="10795" b="5715"/>
            <wp:docPr id="17" name="图片 17" descr="图片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17" descr="图片1"/>
                    <pic:cNvPicPr>
                      <a:picLocks noChangeAspect="1"/>
                    </pic:cNvPicPr>
                  </pic:nvPicPr>
                  <pic:blipFill>
                    <a:blip r:embed="rId10"/>
                    <a:stretch>
                      <a:fillRect/>
                    </a:stretch>
                  </pic:blipFill>
                  <pic:spPr>
                    <a:xfrm>
                      <a:off x="0" y="0"/>
                      <a:ext cx="5582285" cy="2188845"/>
                    </a:xfrm>
                    <a:prstGeom prst="rect">
                      <a:avLst/>
                    </a:prstGeom>
                  </pic:spPr>
                </pic:pic>
              </a:graphicData>
            </a:graphic>
          </wp:inline>
        </w:drawing>
      </w:r>
    </w:p>
    <w:p w14:paraId="20072ACA">
      <w:pPr>
        <w:widowControl/>
        <w:rPr>
          <w:rFonts w:ascii="Times New Roman" w:hAnsi="Times New Roman" w:eastAsia="微软雅黑" w:cs="Times New Roman"/>
          <w:lang w:eastAsia="zh-CN"/>
        </w:rPr>
      </w:pPr>
    </w:p>
    <w:p w14:paraId="23849693">
      <w:pPr>
        <w:widowControl/>
        <w:jc w:val="center"/>
        <w:rPr>
          <w:rFonts w:ascii="Times New Roman" w:hAnsi="Times New Roman" w:eastAsia="微软雅黑" w:cs="Times New Roman"/>
          <w:sz w:val="20"/>
          <w:szCs w:val="20"/>
          <w:lang w:eastAsia="zh-CN"/>
        </w:rPr>
      </w:pPr>
      <w:r>
        <w:rPr>
          <w:rFonts w:hint="eastAsia" w:ascii="Times New Roman" w:hAnsi="Times New Roman" w:eastAsia="微软雅黑" w:cs="Times New Roman"/>
          <w:sz w:val="20"/>
          <w:szCs w:val="20"/>
          <w:lang w:eastAsia="zh-CN"/>
        </w:rPr>
        <w:t>图：子宫内膜癌分子分型规则（参考自</w:t>
      </w:r>
      <w:r>
        <w:rPr>
          <w:rFonts w:hint="eastAsia" w:ascii="Times New Roman" w:hAnsi="Times New Roman" w:eastAsia="微软雅黑" w:cs="Times New Roman"/>
          <w:color w:val="000000"/>
          <w:sz w:val="20"/>
          <w:szCs w:val="20"/>
          <w:lang w:eastAsia="zh-CN" w:bidi="ar"/>
        </w:rPr>
        <w:t>NCCN《子宫肿瘤临床实践指南》Version2.2022</w:t>
      </w:r>
      <w:r>
        <w:rPr>
          <w:rFonts w:hint="eastAsia" w:ascii="Times New Roman" w:hAnsi="Times New Roman" w:eastAsia="微软雅黑" w:cs="Times New Roman"/>
          <w:sz w:val="20"/>
          <w:szCs w:val="20"/>
          <w:lang w:eastAsia="zh-CN"/>
        </w:rPr>
        <w:t>）</w:t>
      </w:r>
    </w:p>
    <w:p w14:paraId="5A02E911">
      <w:pPr>
        <w:rPr>
          <w:rFonts w:ascii="Times New Roman" w:hAnsi="Times New Roman" w:eastAsia="微软雅黑" w:cs="Times New Roman"/>
          <w:sz w:val="18"/>
          <w:lang w:eastAsia="zh-CN"/>
        </w:rPr>
      </w:pPr>
    </w:p>
    <w:p w14:paraId="0E33F793">
      <w:pPr>
        <w:numPr>
          <w:ilvl w:val="0"/>
          <w:numId w:val="8"/>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根据TCGA分子分型可以对患者的预后进行预测，其中POLE突变型患者预后最好，微卫星不稳定型</w:t>
      </w:r>
      <w:r>
        <w:rPr>
          <w:rFonts w:hint="eastAsia" w:ascii="Times New Roman" w:hAnsi="Times New Roman" w:eastAsia="微软雅黑" w:cs="Times New Roman"/>
          <w:sz w:val="18"/>
          <w:lang w:eastAsia="zh-CN"/>
        </w:rPr>
        <w:t>和低</w:t>
      </w:r>
      <w:r>
        <w:rPr>
          <w:rFonts w:ascii="Times New Roman" w:hAnsi="Times New Roman" w:eastAsia="微软雅黑" w:cs="Times New Roman"/>
          <w:sz w:val="18"/>
          <w:lang w:eastAsia="zh-CN"/>
        </w:rPr>
        <w:t>拷贝数型患者预后中等</w:t>
      </w:r>
      <w:r>
        <w:rPr>
          <w:rFonts w:hint="eastAsia" w:ascii="Times New Roman" w:hAnsi="Times New Roman" w:eastAsia="微软雅黑" w:cs="Times New Roman"/>
          <w:sz w:val="18"/>
          <w:lang w:eastAsia="zh-CN"/>
        </w:rPr>
        <w:t>，高</w:t>
      </w:r>
      <w:r>
        <w:rPr>
          <w:rFonts w:ascii="Times New Roman" w:hAnsi="Times New Roman" w:eastAsia="微软雅黑" w:cs="Times New Roman"/>
          <w:sz w:val="18"/>
          <w:lang w:eastAsia="zh-CN"/>
        </w:rPr>
        <w:t>拷贝数型患者</w:t>
      </w:r>
      <w:r>
        <w:rPr>
          <w:rFonts w:hint="eastAsia" w:ascii="Times New Roman" w:hAnsi="Times New Roman" w:eastAsia="微软雅黑" w:cs="Times New Roman"/>
          <w:sz w:val="18"/>
          <w:lang w:eastAsia="zh-CN"/>
        </w:rPr>
        <w:t>预后最差。</w:t>
      </w:r>
    </w:p>
    <w:p w14:paraId="133760C6">
      <w:pPr>
        <w:numPr>
          <w:ilvl w:val="0"/>
          <w:numId w:val="8"/>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目前针对TCGA分子分型指导子宫内膜癌辅助治疗的临床应用</w:t>
      </w:r>
      <w:r>
        <w:rPr>
          <w:rFonts w:hint="eastAsia" w:ascii="Times New Roman" w:hAnsi="Times New Roman" w:eastAsia="微软雅黑" w:cs="Times New Roman"/>
          <w:sz w:val="18"/>
          <w:lang w:eastAsia="zh-CN"/>
        </w:rPr>
        <w:t>尚</w:t>
      </w:r>
      <w:r>
        <w:rPr>
          <w:rFonts w:ascii="Times New Roman" w:hAnsi="Times New Roman" w:eastAsia="微软雅黑" w:cs="Times New Roman"/>
          <w:sz w:val="18"/>
          <w:lang w:eastAsia="zh-CN"/>
        </w:rPr>
        <w:t>缺乏前瞻性研究结果，但欧洲妇科肿瘤学会（ESGO）、欧洲放射治疗和肿瘤学会（ESTRO）、欧洲病理学家协会（ESP）联合制定的</w:t>
      </w:r>
      <w:r>
        <w:rPr>
          <w:rFonts w:hint="eastAsia" w:ascii="Times New Roman" w:hAnsi="Times New Roman" w:eastAsia="微软雅黑" w:cs="Times New Roman"/>
          <w:sz w:val="18"/>
          <w:szCs w:val="18"/>
          <w:lang w:eastAsia="zh-CN"/>
        </w:rPr>
        <w:t>《ESGO/ESTRO/ESP指南：子宫内膜癌患者的管理（2020版）》</w:t>
      </w:r>
      <w:r>
        <w:rPr>
          <w:rFonts w:ascii="Times New Roman" w:hAnsi="Times New Roman" w:eastAsia="微软雅黑" w:cs="Times New Roman"/>
          <w:sz w:val="18"/>
          <w:lang w:eastAsia="zh-CN"/>
        </w:rPr>
        <w:t>，推荐将分子分型结果与临床、病理特征进行整合，对患者的复发风险进行分层，用于指导辅助治疗</w:t>
      </w:r>
      <w:r>
        <w:rPr>
          <w:rFonts w:hint="eastAsia" w:ascii="Times New Roman" w:hAnsi="Times New Roman" w:eastAsia="微软雅黑" w:cs="Times New Roman"/>
          <w:sz w:val="18"/>
          <w:lang w:eastAsia="zh-CN"/>
        </w:rPr>
        <w:t>。该风险分层和辅助治疗建议进一步被中国抗癌协会妇科肿瘤专业委员会制定的《子宫内膜癌诊断与治疗指南（2021版）》所引用和推荐。</w:t>
      </w:r>
      <w:r>
        <w:rPr>
          <w:rFonts w:ascii="Times New Roman" w:hAnsi="Times New Roman" w:eastAsia="微软雅黑" w:cs="Times New Roman"/>
          <w:sz w:val="18"/>
          <w:lang w:eastAsia="zh-CN"/>
        </w:rPr>
        <w:t>复发风险分层和辅助治疗建议见附录</w:t>
      </w:r>
      <w:r>
        <w:rPr>
          <w:rFonts w:hint="eastAsia" w:ascii="Times New Roman" w:hAnsi="Times New Roman" w:eastAsia="微软雅黑" w:cs="Times New Roman"/>
          <w:sz w:val="18"/>
          <w:lang w:eastAsia="zh-CN"/>
        </w:rPr>
        <w:t>[子宫内膜癌分子分型与预后的相关性]，</w:t>
      </w:r>
      <w:r>
        <w:rPr>
          <w:rFonts w:ascii="Times New Roman" w:hAnsi="Times New Roman" w:eastAsia="微软雅黑" w:cs="Times New Roman"/>
          <w:sz w:val="18"/>
          <w:lang w:eastAsia="zh-CN"/>
        </w:rPr>
        <w:t>具体治疗策略还需结合临床及病理特征综合判断，请遵医嘱</w:t>
      </w:r>
      <w:r>
        <w:rPr>
          <w:rFonts w:hint="eastAsia" w:ascii="Times New Roman" w:hAnsi="Times New Roman" w:eastAsia="微软雅黑" w:cs="Times New Roman"/>
          <w:sz w:val="18"/>
          <w:lang w:eastAsia="zh-CN"/>
        </w:rPr>
        <w:t>。</w:t>
      </w:r>
    </w:p>
    <w:p w14:paraId="5E537C89">
      <w:pPr>
        <w:rPr>
          <w:rFonts w:ascii="Times New Roman" w:hAnsi="Times New Roman" w:eastAsia="微软雅黑" w:cs="Times New Roman"/>
          <w:sz w:val="24"/>
          <w:szCs w:val="24"/>
          <w:lang w:eastAsia="zh-CN"/>
        </w:rPr>
      </w:pPr>
      <w:r>
        <w:rPr>
          <w:rFonts w:hint="eastAsia" w:ascii="Times New Roman" w:hAnsi="Times New Roman"/>
          <w:sz w:val="30"/>
          <w:lang w:eastAsia="zh-CN"/>
        </w:rPr>
        <w:br w:type="page"/>
      </w:r>
      <w:r>
        <w:rPr>
          <w:rFonts w:hint="eastAsia" w:ascii="Times New Roman" w:hAnsi="Times New Roman" w:eastAsia="微软雅黑" w:cs="Times New Roman"/>
          <w:sz w:val="24"/>
          <w:szCs w:val="24"/>
          <w:lang w:eastAsia="zh-CN"/>
        </w:rPr>
        <w:t>{% endif %}</w:t>
      </w:r>
    </w:p>
    <w:bookmarkEnd w:id="33"/>
    <w:bookmarkEnd w:id="34"/>
    <w:bookmarkEnd w:id="35"/>
    <w:bookmarkEnd w:id="36"/>
    <w:bookmarkEnd w:id="37"/>
    <w:p w14:paraId="565F572C">
      <w:pPr>
        <w:pStyle w:val="3"/>
        <w:numPr>
          <w:ilvl w:val="255"/>
          <w:numId w:val="0"/>
        </w:numPr>
        <w:jc w:val="left"/>
        <w:rPr>
          <w:color w:val="auto"/>
          <w:sz w:val="30"/>
          <w:lang w:eastAsia="zh-CN"/>
        </w:rPr>
      </w:pPr>
      <w:bookmarkStart w:id="40" w:name="_Toc9899"/>
      <w:bookmarkStart w:id="41" w:name="_Toc10653"/>
      <w:r>
        <w:rPr>
          <w:rFonts w:hint="eastAsia"/>
          <w:color w:val="auto"/>
          <w:sz w:val="30"/>
          <w:lang w:eastAsia="zh-CN"/>
        </w:rPr>
        <w:t>体细胞变异分级提示</w:t>
      </w:r>
      <w:bookmarkEnd w:id="40"/>
      <w:bookmarkEnd w:id="41"/>
    </w:p>
    <w:p w14:paraId="20378046">
      <w:pPr>
        <w:spacing w:after="240"/>
        <w:ind w:firstLine="420" w:firstLineChars="200"/>
        <w:rPr>
          <w:rFonts w:ascii="Times New Roman" w:hAnsi="Times New Roman" w:eastAsia="微软雅黑" w:cs="Times New Roman"/>
          <w:b/>
          <w:color w:val="000000" w:themeColor="text1"/>
          <w:sz w:val="24"/>
          <w:szCs w:val="24"/>
          <w:lang w:eastAsia="zh-CN"/>
          <w14:textFill>
            <w14:solidFill>
              <w14:schemeClr w14:val="tx1"/>
            </w14:solidFill>
          </w14:textFill>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 summaryOfRresults.thisGeneticmarkerVwListSize }}个体细胞突变，其中{{summaryOfRresults.somaticDrugCount}}个与靶向药物相关。{%if BodyDrugDrugDetectionStr or unknownVarAnalysisStr %}</w:t>
      </w:r>
      <w:r>
        <w:rPr>
          <w:rFonts w:ascii="Times New Roman" w:hAnsi="Times New Roman" w:eastAsia="微软雅黑" w:cs="Times New Roman"/>
          <w:b/>
          <w:color w:val="000000" w:themeColor="text1"/>
          <w:sz w:val="21"/>
          <w:szCs w:val="21"/>
          <w:lang w:eastAsia="zh-CN"/>
          <w14:textFill>
            <w14:solidFill>
              <w14:schemeClr w14:val="tx1"/>
            </w14:solidFill>
          </w14:textFill>
        </w:rPr>
        <w:t>具体信息详见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1"/>
          <w:szCs w:val="21"/>
          <w:lang w:eastAsia="zh-CN"/>
          <w14:textFill>
            <w14:solidFill>
              <w14:schemeClr w14:val="tx1"/>
            </w14:solidFill>
          </w14:textFill>
        </w:rPr>
        <w:t>基因检测结果解析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4"/>
          <w:szCs w:val="24"/>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 endif %}</w:t>
      </w:r>
    </w:p>
    <w:tbl>
      <w:tblPr>
        <w:tblStyle w:val="22"/>
        <w:tblW w:w="5096"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04"/>
        <w:gridCol w:w="1077"/>
        <w:gridCol w:w="1529"/>
        <w:gridCol w:w="964"/>
        <w:gridCol w:w="1077"/>
        <w:gridCol w:w="2252"/>
        <w:gridCol w:w="2258"/>
      </w:tblGrid>
      <w:tr w14:paraId="674BAD0C">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49" w:type="pct"/>
            <w:tcBorders>
              <w:top w:val="nil"/>
              <w:left w:val="nil"/>
              <w:bottom w:val="nil"/>
              <w:right w:val="single" w:color="FFFFFF" w:sz="18" w:space="0"/>
            </w:tcBorders>
            <w:shd w:val="clear" w:color="auto" w:fill="62B541"/>
            <w:vAlign w:val="center"/>
          </w:tcPr>
          <w:p w14:paraId="0353DB17">
            <w:pPr>
              <w:pStyle w:val="21"/>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变异分类</w:t>
            </w:r>
          </w:p>
        </w:tc>
        <w:tc>
          <w:tcPr>
            <w:tcW w:w="535" w:type="pct"/>
            <w:tcBorders>
              <w:top w:val="nil"/>
              <w:left w:val="single" w:color="FFFFFF" w:sz="18" w:space="0"/>
              <w:bottom w:val="nil"/>
              <w:right w:val="single" w:color="FFFFFF" w:sz="18" w:space="0"/>
            </w:tcBorders>
            <w:shd w:val="clear" w:color="auto" w:fill="62B541"/>
            <w:vAlign w:val="center"/>
          </w:tcPr>
          <w:p w14:paraId="1BCCDA26">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Times New Roman" w:hAnsi="Times New Roman" w:eastAsia="微软雅黑" w:cs="Times New Roman"/>
                <w:b/>
                <w:color w:val="FFFFFF" w:themeColor="background1"/>
                <w:sz w:val="21"/>
                <w:szCs w:val="21"/>
                <w:lang w:val="en-US" w:eastAsia="zh-CN"/>
                <w14:textFill>
                  <w14:solidFill>
                    <w14:schemeClr w14:val="bg1"/>
                  </w14:solidFill>
                </w14:textFill>
              </w:rPr>
              <w:t>检测</w:t>
            </w:r>
            <w:r>
              <w:rPr>
                <w:rFonts w:ascii="Times New Roman" w:hAnsi="Times New Roman" w:eastAsia="微软雅黑" w:cs="Times New Roman"/>
                <w:b/>
                <w:color w:val="FFFFFF" w:themeColor="background1"/>
                <w:sz w:val="21"/>
                <w:szCs w:val="21"/>
                <w14:textFill>
                  <w14:solidFill>
                    <w14:schemeClr w14:val="bg1"/>
                  </w14:solidFill>
                </w14:textFill>
              </w:rPr>
              <w:t>基因</w:t>
            </w:r>
          </w:p>
        </w:tc>
        <w:tc>
          <w:tcPr>
            <w:tcW w:w="759" w:type="pct"/>
            <w:tcBorders>
              <w:top w:val="nil"/>
              <w:left w:val="single" w:color="FFFFFF" w:sz="18" w:space="0"/>
              <w:bottom w:val="nil"/>
              <w:right w:val="single" w:color="FFFFFF" w:sz="18" w:space="0"/>
            </w:tcBorders>
            <w:shd w:val="clear" w:color="auto" w:fill="62B541"/>
            <w:vAlign w:val="center"/>
          </w:tcPr>
          <w:p w14:paraId="242F0105">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479" w:type="pct"/>
            <w:tcBorders>
              <w:top w:val="nil"/>
              <w:left w:val="single" w:color="FFFFFF" w:sz="18" w:space="0"/>
              <w:bottom w:val="nil"/>
              <w:right w:val="single" w:color="FFFFFF" w:sz="18" w:space="0"/>
            </w:tcBorders>
            <w:shd w:val="clear" w:color="auto" w:fill="62B541"/>
            <w:vAlign w:val="center"/>
          </w:tcPr>
          <w:p w14:paraId="112A4068">
            <w:pPr>
              <w:pStyle w:val="21"/>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35" w:type="pct"/>
            <w:tcBorders>
              <w:top w:val="nil"/>
              <w:left w:val="single" w:color="FFFFFF" w:sz="18" w:space="0"/>
              <w:bottom w:val="nil"/>
              <w:right w:val="single" w:color="FFFFFF" w:sz="18" w:space="0"/>
            </w:tcBorders>
            <w:shd w:val="clear" w:color="auto" w:fill="62B541"/>
            <w:vAlign w:val="center"/>
          </w:tcPr>
          <w:p w14:paraId="0CCED719">
            <w:pPr>
              <w:pStyle w:val="21"/>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微软雅黑" w:hAnsi="微软雅黑" w:eastAsia="微软雅黑" w:cs="微软雅黑"/>
                <w:b/>
                <w:bCs/>
                <w:color w:val="FFFFFF"/>
                <w:sz w:val="21"/>
                <w:szCs w:val="21"/>
                <w:highlight w:val="none"/>
                <w:lang w:eastAsia="zh-CN" w:bidi="ar"/>
              </w:rPr>
              <w:t>变异丰度</w:t>
            </w:r>
            <w:r>
              <w:rPr>
                <w:rFonts w:hint="eastAsia" w:ascii="微软雅黑" w:hAnsi="微软雅黑" w:eastAsia="微软雅黑" w:cs="微软雅黑"/>
                <w:b/>
                <w:bCs/>
                <w:color w:val="FFFFFF"/>
                <w:sz w:val="21"/>
                <w:szCs w:val="21"/>
                <w:highlight w:val="none"/>
                <w:lang w:val="en-US" w:eastAsia="zh-CN" w:bidi="ar"/>
              </w:rPr>
              <w:t>/</w:t>
            </w:r>
            <w:r>
              <w:rPr>
                <w:rFonts w:hint="eastAsia" w:ascii="Times New Roman" w:hAnsi="Times New Roman" w:eastAsia="微软雅黑" w:cs="Times New Roman"/>
                <w:b/>
                <w:color w:val="FFFFFF" w:themeColor="background1"/>
                <w:sz w:val="21"/>
                <w:szCs w:val="21"/>
                <w:highlight w:val="none"/>
                <w:lang w:eastAsia="zh-CN"/>
                <w14:textFill>
                  <w14:solidFill>
                    <w14:schemeClr w14:val="bg1"/>
                  </w14:solidFill>
                </w14:textFill>
              </w:rPr>
              <w:t xml:space="preserve">拷贝数{% if readsFlag == </w:t>
            </w:r>
            <w:r>
              <w:rPr>
                <w:rFonts w:hint="eastAsia" w:ascii="Times New Roman" w:hAnsi="Times New Roman" w:eastAsia="微软雅黑" w:cs="Times New Roman"/>
                <w:b/>
                <w:color w:val="FFFFFF" w:themeColor="background1"/>
                <w:sz w:val="21"/>
                <w:szCs w:val="21"/>
                <w:highlight w:val="none"/>
                <w:lang w:val="en-US" w:eastAsia="zh-CN"/>
                <w14:textFill>
                  <w14:solidFill>
                    <w14:schemeClr w14:val="bg1"/>
                  </w14:solidFill>
                </w14:textFill>
              </w:rPr>
              <w:t>True</w:t>
            </w:r>
            <w:r>
              <w:rPr>
                <w:rFonts w:hint="eastAsia" w:ascii="Times New Roman" w:hAnsi="Times New Roman" w:eastAsia="微软雅黑" w:cs="Times New Roman"/>
                <w:b/>
                <w:color w:val="FFFFFF" w:themeColor="background1"/>
                <w:sz w:val="21"/>
                <w:szCs w:val="21"/>
                <w:highlight w:val="none"/>
                <w:lang w:eastAsia="zh-CN"/>
                <w14:textFill>
                  <w14:solidFill>
                    <w14:schemeClr w14:val="bg1"/>
                  </w14:solidFill>
                </w14:textFill>
              </w:rPr>
              <w:t xml:space="preserve"> %}</w:t>
            </w:r>
            <w:r>
              <w:rPr>
                <w:rFonts w:hint="eastAsia" w:ascii="微软雅黑" w:hAnsi="微软雅黑" w:eastAsia="微软雅黑" w:cs="微软雅黑"/>
                <w:b/>
                <w:bCs/>
                <w:color w:val="FFFFFF"/>
                <w:sz w:val="21"/>
                <w:szCs w:val="21"/>
                <w:highlight w:val="none"/>
                <w:lang w:val="en-US" w:eastAsia="zh-CN" w:bidi="ar"/>
              </w:rPr>
              <w:t>/</w:t>
            </w:r>
            <w:r>
              <w:rPr>
                <w:rFonts w:hint="eastAsia" w:ascii="Times New Roman" w:hAnsi="Times New Roman" w:eastAsia="微软雅黑" w:cs="Times New Roman"/>
                <w:b/>
                <w:color w:val="FFFFFF" w:themeColor="background1"/>
                <w:sz w:val="21"/>
                <w:szCs w:val="21"/>
                <w:highlight w:val="none"/>
                <w:lang w:eastAsia="zh-CN"/>
                <w14:textFill>
                  <w14:solidFill>
                    <w14:schemeClr w14:val="bg1"/>
                  </w14:solidFill>
                </w14:textFill>
              </w:rPr>
              <w:t>reads数{%endif%}</w:t>
            </w:r>
          </w:p>
        </w:tc>
        <w:tc>
          <w:tcPr>
            <w:tcW w:w="1119" w:type="pct"/>
            <w:tcBorders>
              <w:top w:val="nil"/>
              <w:left w:val="single" w:color="FFFFFF" w:sz="18" w:space="0"/>
              <w:bottom w:val="nil"/>
              <w:right w:val="single" w:color="FFFFFF" w:sz="18" w:space="0"/>
            </w:tcBorders>
            <w:shd w:val="clear" w:color="auto" w:fill="62B541"/>
            <w:vAlign w:val="center"/>
          </w:tcPr>
          <w:p w14:paraId="70A58A4D">
            <w:pPr>
              <w:pStyle w:val="21"/>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22" w:type="pct"/>
            <w:tcBorders>
              <w:top w:val="nil"/>
              <w:left w:val="single" w:color="FFFFFF" w:sz="18" w:space="0"/>
              <w:bottom w:val="nil"/>
              <w:right w:val="nil"/>
            </w:tcBorders>
            <w:shd w:val="clear" w:color="auto" w:fill="62B541"/>
            <w:vAlign w:val="center"/>
          </w:tcPr>
          <w:p w14:paraId="3B4BFA09">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7CD840BC">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43A6DA66">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bodyAndComplexDrugTipLineStr or unknownTipLineStr %}</w:t>
            </w:r>
          </w:p>
        </w:tc>
      </w:tr>
      <w:tr w14:paraId="07D60BCD">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2BBBAE15">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bodyDrugTipLineStr</w:t>
            </w:r>
            <w:r>
              <w:rPr>
                <w:rFonts w:hint="eastAsia" w:ascii="Times New Roman" w:hAnsi="Times New Roman" w:eastAsia="微软雅黑" w:cs="Times New Roman"/>
                <w:sz w:val="21"/>
                <w:szCs w:val="21"/>
                <w:lang w:val="en-US" w:eastAsia="zh-CN"/>
              </w:rPr>
              <w:t xml:space="preserve"> </w:t>
            </w:r>
            <w:r>
              <w:rPr>
                <w:rFonts w:hint="eastAsia" w:ascii="Times New Roman" w:hAnsi="Times New Roman" w:eastAsia="微软雅黑" w:cs="Times New Roman"/>
                <w:sz w:val="21"/>
                <w:szCs w:val="21"/>
                <w:lang w:eastAsia="zh-CN"/>
              </w:rPr>
              <w:t>%}</w:t>
            </w:r>
          </w:p>
        </w:tc>
      </w:tr>
      <w:tr w14:paraId="7ED3EA7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48BA2C09">
            <w:pPr>
              <w:ind w:left="162" w:right="163"/>
              <w:jc w:val="center"/>
              <w:rPr>
                <w:rFonts w:ascii="Times New Roman" w:hAnsi="Times New Roman" w:eastAsia="微软雅黑" w:cs="Times New Roman"/>
                <w:b/>
                <w:sz w:val="21"/>
                <w:szCs w:val="21"/>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CCD9AEC">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ED2CCD3">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2E671C0">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31DC948">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9F46745">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7C4B8B62">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7C30CEF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4A52011F">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017EB7FF">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56572066">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35956EEB">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25362202">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02D0DAD7">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196BFE63">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642DCBD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025"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7B552ABC">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05622824">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10352116">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unknownTipLineStr %}</w:t>
            </w:r>
          </w:p>
        </w:tc>
      </w:tr>
      <w:tr w14:paraId="3034E6F6">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45D848C5">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74094C3">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C20A33D">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8A7AA63">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9327769">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A9F7A99">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5582352D">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215A0DC3">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0"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2FCB5D32">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0ED394C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4"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1C47E885">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complexDrugTipLineStr</w:t>
            </w:r>
            <w:r>
              <w:rPr>
                <w:rFonts w:hint="eastAsia" w:ascii="Times New Roman" w:hAnsi="Times New Roman" w:eastAsia="微软雅黑" w:cs="Times New Roman"/>
                <w:sz w:val="21"/>
                <w:szCs w:val="21"/>
                <w:lang w:val="en-US" w:eastAsia="zh-CN"/>
              </w:rPr>
              <w:t xml:space="preserve"> </w:t>
            </w:r>
            <w:r>
              <w:rPr>
                <w:rFonts w:hint="eastAsia" w:ascii="Times New Roman" w:hAnsi="Times New Roman" w:eastAsia="微软雅黑" w:cs="Times New Roman"/>
                <w:sz w:val="21"/>
                <w:szCs w:val="21"/>
                <w:lang w:eastAsia="zh-CN"/>
              </w:rPr>
              <w:t>%}</w:t>
            </w:r>
          </w:p>
        </w:tc>
      </w:tr>
      <w:tr w14:paraId="4F6BB0F3">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50601AF9">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1077" w:type="dxa"/>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7A39C1E">
            <w:pPr>
              <w:ind w:left="162" w:leftChars="0" w:right="163" w:rightChars="0"/>
              <w:jc w:val="center"/>
              <w:rPr>
                <w:rFonts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tip.comutation</w:t>
            </w:r>
            <w:r>
              <w:rPr>
                <w:rFonts w:hint="eastAsia" w:ascii="Times New Roman" w:hAnsi="Times New Roman" w:eastAsia="微软雅黑" w:cs="Times New Roman"/>
                <w:b/>
                <w:sz w:val="21"/>
                <w:szCs w:val="21"/>
                <w:lang w:val="en-US" w:eastAsia="zh-CN"/>
              </w:rPr>
              <w:t>1</w:t>
            </w:r>
            <w:r>
              <w:rPr>
                <w:rFonts w:hint="default" w:ascii="Times New Roman" w:hAnsi="Times New Roman" w:eastAsia="微软雅黑" w:cs="Times New Roman"/>
                <w:b/>
                <w:sz w:val="21"/>
                <w:szCs w:val="21"/>
                <w:lang w:eastAsia="zh-CN"/>
              </w:rPr>
              <w:t xml:space="preserve"> }}</w:t>
            </w:r>
          </w:p>
        </w:tc>
        <w:tc>
          <w:tcPr>
            <w:tcW w:w="1529" w:type="dxa"/>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2913F2C">
            <w:pPr>
              <w:spacing w:before="2"/>
              <w:ind w:left="116" w:leftChars="0" w:right="116" w:rightChars="0"/>
              <w:jc w:val="center"/>
              <w:rPr>
                <w:rFonts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tip.comutation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94763BB">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192DC0A">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3DC46E5">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3B9BAF8B">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2BD3A3AD">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40AB993C">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5510D210">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413A6AD8">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1BE82CEB">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563CDC0D">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300AC35A">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3D8AC142">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3F1EA22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29"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122A7945">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0D5CAD5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74"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074C1BC5">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0A5C71D7">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19FA6FED">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8574A3D">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9791E8D">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C48AEA2">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59BBCBF">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73CD804">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065EB6B5">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388ED057">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8C1D507">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06CBC2A9">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0CE150B7">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本报告所列举的药物或基因变异并未按照基因或者药物的重要性排序，具体决策需参照临床实际。</w:t>
      </w:r>
    </w:p>
    <w:p w14:paraId="1378EBFE">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基因变异所对应的可能获益/耐药药物信息来源于</w:t>
      </w:r>
      <w:r>
        <w:rPr>
          <w:rFonts w:hint="eastAsia" w:ascii="Times New Roman" w:hAnsi="Times New Roman" w:eastAsia="微软雅黑" w:cs="Times New Roman"/>
          <w:bCs/>
          <w:lang w:val="en-US" w:eastAsia="zh-CN"/>
        </w:rPr>
        <w:t>本机构</w:t>
      </w:r>
      <w:r>
        <w:rPr>
          <w:rFonts w:hint="eastAsia" w:ascii="Times New Roman" w:hAnsi="Times New Roman" w:eastAsia="微软雅黑" w:cs="Times New Roman"/>
          <w:bCs/>
          <w:lang w:eastAsia="zh-CN"/>
        </w:rPr>
        <w:t>内部数据库，同时参考NCCN指南、OncoKB [PMID: 28890946]等公共数据库内容，该数据仅供临床医生参考。随着数据库不断完善以及临床数据的更新，变异分级可能发生变化。</w:t>
      </w:r>
    </w:p>
    <w:p w14:paraId="1A96586E">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按照临床意义的重要性分为四个等级：I类变异（具有A级或B级证据），II类变异（具有C级或D级证据），III类变异（在出具报告时文献尚未报道、或突变意义已经明确但无相关的靶向用药信息、或突变意义不明但可能存在潜在的临床意义），IV类变异（包括良性变异、或疑似良性变异，不在报告中展示</w:t>
      </w:r>
      <w:r>
        <w:rPr>
          <w:rFonts w:hint="eastAsia" w:ascii="微软雅黑" w:hAnsi="微软雅黑" w:eastAsia="微软雅黑" w:cs="微软雅黑"/>
          <w:lang w:eastAsia="zh-CN"/>
        </w:rPr>
        <w:t>）</w:t>
      </w:r>
      <w:r>
        <w:rPr>
          <w:rFonts w:hint="eastAsia" w:ascii="Times New Roman" w:hAnsi="Times New Roman" w:eastAsia="微软雅黑" w:cs="Times New Roman"/>
          <w:bCs/>
          <w:lang w:eastAsia="zh-CN"/>
        </w:rPr>
        <w:t>。</w:t>
      </w:r>
    </w:p>
    <w:p w14:paraId="0CFA79EB">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可能获益药物：根据AMP/ASCO/CAP相关指南[PMID: 27993330]共分为ABCD四个等级。A级：FDA/NMPA已经批准、或专业临床指南推荐在本癌种该靶点上可用的药物；B级：较大规模的临床试验证实、且取得临床专家共识在本癌种该靶点可用的药物；C级：FDA或其他专业机构批准于其他癌症类型、或已作为临床试验的筛选入组标准、或者有多个小型研究支持；D级：临床前研究、或者是病例报道支持。</w:t>
      </w:r>
    </w:p>
    <w:p w14:paraId="40B1AC84">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可能耐药药物：FDA/NMPA已经批准的、NCCN指南推荐的、临床试验或者临床研究有明确结果的、药物敏感性可能降低或产生耐药的靶向药物。</w:t>
      </w:r>
    </w:p>
    <w:p w14:paraId="6E9FE5F2">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“-”表示该位点无相应靶向药物提示。</w:t>
      </w:r>
    </w:p>
    <w:p w14:paraId="039907D9">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*标注的药物：NMPA批准的靶向药物。</w:t>
      </w:r>
    </w:p>
    <w:p w14:paraId="414A8AE2">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分析注释时采用RefSeq转录本编号。</w:t>
      </w:r>
    </w:p>
    <w:p w14:paraId="6353EE20">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变异丰度：在某位点产生突变的等位基因在该位点全部等位基因中所占比率。</w:t>
      </w:r>
    </w:p>
    <w:p w14:paraId="6C9338E3">
      <w:pPr>
        <w:pStyle w:val="6"/>
        <w:numPr>
          <w:ilvl w:val="0"/>
          <w:numId w:val="9"/>
        </w:numPr>
        <w:rPr>
          <w:rFonts w:ascii="Times New Roman" w:hAnsi="Times New Roman" w:eastAsia="微软雅黑" w:cs="Times New Roman"/>
          <w:bCs/>
          <w:highlight w:val="none"/>
          <w:lang w:eastAsia="zh-CN"/>
        </w:rPr>
      </w:pPr>
      <w:r>
        <w:rPr>
          <w:rFonts w:hint="eastAsia" w:ascii="Times New Roman" w:hAnsi="Times New Roman" w:eastAsia="微软雅黑" w:cs="Times New Roman"/>
          <w:bCs/>
          <w:lang w:eastAsia="zh-CN"/>
        </w:rPr>
        <w:t>拷贝数：是指某⼀种基因或某⼀段特定的DNA序列在单倍体基因组中出现的数</w:t>
      </w:r>
      <w:r>
        <w:rPr>
          <w:rFonts w:hint="eastAsia" w:ascii="Times New Roman" w:hAnsi="Times New Roman" w:eastAsia="微软雅黑" w:cs="Times New Roman"/>
          <w:bCs/>
          <w:lang w:val="en-US" w:eastAsia="zh-CN"/>
        </w:rPr>
        <w:t>目</w:t>
      </w:r>
      <w:r>
        <w:rPr>
          <w:rFonts w:hint="eastAsia" w:ascii="Times New Roman" w:hAnsi="Times New Roman" w:eastAsia="微软雅黑" w:cs="Times New Roman"/>
          <w:bCs/>
          <w:highlight w:val="none"/>
          <w:lang w:eastAsia="zh-CN"/>
        </w:rPr>
        <w:t>。</w:t>
      </w:r>
      <w:r>
        <w:rPr>
          <w:rFonts w:hint="eastAsia" w:ascii="Times New Roman" w:hAnsi="Times New Roman" w:eastAsia="微软雅黑" w:cs="Times New Roman"/>
          <w:highlight w:val="none"/>
          <w:lang w:eastAsia="zh-CN"/>
        </w:rPr>
        <w:t xml:space="preserve">{% if readsFlag == </w:t>
      </w:r>
      <w:r>
        <w:rPr>
          <w:rFonts w:hint="eastAsia" w:ascii="Times New Roman" w:hAnsi="Times New Roman" w:eastAsia="微软雅黑" w:cs="Times New Roman"/>
          <w:highlight w:val="none"/>
          <w:lang w:val="en-US" w:eastAsia="zh-CN"/>
        </w:rPr>
        <w:t>True</w:t>
      </w:r>
      <w:r>
        <w:rPr>
          <w:rFonts w:hint="eastAsia" w:ascii="Times New Roman" w:hAnsi="Times New Roman" w:eastAsia="微软雅黑" w:cs="Times New Roman"/>
          <w:highlight w:val="none"/>
          <w:lang w:eastAsia="zh-CN"/>
        </w:rPr>
        <w:t xml:space="preserve"> %}</w:t>
      </w:r>
    </w:p>
    <w:p w14:paraId="5525C07D">
      <w:pPr>
        <w:pStyle w:val="6"/>
        <w:numPr>
          <w:ilvl w:val="0"/>
          <w:numId w:val="9"/>
        </w:numPr>
        <w:rPr>
          <w:rFonts w:ascii="Times New Roman" w:hAnsi="Times New Roman" w:eastAsia="微软雅黑" w:cs="Times New Roman"/>
          <w:bCs/>
          <w:highlight w:val="none"/>
          <w:lang w:eastAsia="zh-CN"/>
        </w:rPr>
      </w:pPr>
      <w:r>
        <w:rPr>
          <w:rFonts w:hint="eastAsia" w:ascii="Times New Roman" w:hAnsi="Times New Roman" w:eastAsia="微软雅黑" w:cs="Times New Roman"/>
          <w:bCs/>
          <w:highlight w:val="none"/>
          <w:lang w:eastAsia="zh-CN"/>
        </w:rPr>
        <w:t>reads数：RNA层面检测到的支持融合基因的片段数。</w:t>
      </w:r>
      <w:r>
        <w:rPr>
          <w:rFonts w:hint="eastAsia" w:ascii="Times New Roman" w:hAnsi="Times New Roman" w:eastAsia="微软雅黑" w:cs="Times New Roman"/>
          <w:highlight w:val="none"/>
          <w:lang w:eastAsia="zh-CN"/>
        </w:rPr>
        <w:t>{% endif %}</w:t>
      </w:r>
    </w:p>
    <w:p w14:paraId="33BAE317">
      <w:pPr>
        <w:pStyle w:val="6"/>
        <w:numPr>
          <w:ilvl w:val="0"/>
          <w:numId w:val="9"/>
        </w:numPr>
        <w:rPr>
          <w:rFonts w:ascii="Times New Roman" w:hAnsi="Times New Roman" w:eastAsia="微软雅黑" w:cs="Times New Roman"/>
          <w:lang w:eastAsia="zh-CN"/>
        </w:rPr>
      </w:pPr>
      <w:r>
        <w:rPr>
          <w:rFonts w:hint="eastAsia" w:ascii="Times New Roman" w:hAnsi="Times New Roman" w:eastAsia="微软雅黑" w:cs="Times New Roman"/>
          <w:bCs/>
          <w:lang w:eastAsia="zh-CN"/>
        </w:rPr>
        <w:t>基因变异检测结果：“NM”为基因的转录本编号，“exon”为外显</w:t>
      </w:r>
      <w:r>
        <w:rPr>
          <w:rFonts w:hint="eastAsia" w:ascii="Times New Roman" w:hAnsi="Times New Roman" w:eastAsia="微软雅黑" w:cs="Times New Roman"/>
          <w:bCs/>
          <w:lang w:val="en-US" w:eastAsia="zh-CN"/>
        </w:rPr>
        <w:t>子</w:t>
      </w:r>
      <w:r>
        <w:rPr>
          <w:rFonts w:hint="eastAsia" w:ascii="Times New Roman" w:hAnsi="Times New Roman" w:eastAsia="微软雅黑" w:cs="Times New Roman"/>
          <w:bCs/>
          <w:lang w:eastAsia="zh-CN"/>
        </w:rPr>
        <w:t>，“intron”为内含</w:t>
      </w:r>
      <w:r>
        <w:rPr>
          <w:rFonts w:hint="eastAsia" w:ascii="Times New Roman" w:hAnsi="Times New Roman" w:eastAsia="微软雅黑" w:cs="Times New Roman"/>
          <w:bCs/>
          <w:lang w:val="en-US" w:eastAsia="zh-CN"/>
        </w:rPr>
        <w:t>子</w:t>
      </w:r>
      <w:r>
        <w:rPr>
          <w:rFonts w:hint="eastAsia" w:ascii="Times New Roman" w:hAnsi="Times New Roman" w:eastAsia="微软雅黑" w:cs="Times New Roman"/>
          <w:bCs/>
          <w:lang w:eastAsia="zh-CN"/>
        </w:rPr>
        <w:t>，“c”为DNA序列，“p”为蛋</w:t>
      </w:r>
      <w:r>
        <w:rPr>
          <w:rFonts w:hint="eastAsia" w:ascii="Times New Roman" w:hAnsi="Times New Roman" w:eastAsia="微软雅黑" w:cs="Times New Roman"/>
          <w:bCs/>
          <w:lang w:val="en-US" w:eastAsia="zh-CN"/>
        </w:rPr>
        <w:t>白</w:t>
      </w:r>
      <w:r>
        <w:rPr>
          <w:rFonts w:hint="eastAsia" w:ascii="Times New Roman" w:hAnsi="Times New Roman" w:eastAsia="微软雅黑" w:cs="Times New Roman"/>
          <w:bCs/>
          <w:lang w:eastAsia="zh-CN"/>
        </w:rPr>
        <w:t>质。在DNA水平对某一突变位点的描述方式包括：碱基位点，正常碱基，“&gt;”符号，突变碱基。</w:t>
      </w:r>
      <w:r>
        <w:rPr>
          <w:rFonts w:hint="eastAsia" w:ascii="Times New Roman" w:hAnsi="Times New Roman" w:eastAsia="微软雅黑" w:cs="Times New Roman"/>
          <w:lang w:eastAsia="zh-CN"/>
        </w:rPr>
        <w:t>{% if complex == True %}</w:t>
      </w:r>
    </w:p>
    <w:p w14:paraId="0CAAAC4F">
      <w:pPr>
        <w:pStyle w:val="6"/>
        <w:numPr>
          <w:ilvl w:val="0"/>
          <w:numId w:val="9"/>
        </w:numPr>
        <w:rPr>
          <w:rFonts w:ascii="Times New Roman" w:hAnsi="Times New Roman" w:eastAsia="微软雅黑" w:cs="Times New Roman"/>
          <w:lang w:eastAsia="zh-CN"/>
        </w:rPr>
      </w:pPr>
      <w:r>
        <w:rPr>
          <w:rFonts w:ascii="Times New Roman" w:hAnsi="Times New Roman" w:eastAsia="微软雅黑" w:cs="Times New Roman"/>
          <w:lang w:eastAsia="zh-CN"/>
        </w:rPr>
        <w:t>多靶点循证</w:t>
      </w:r>
      <w:r>
        <w:rPr>
          <w:rFonts w:hint="eastAsia" w:ascii="Times New Roman" w:hAnsi="Times New Roman" w:eastAsia="微软雅黑" w:cs="Times New Roman"/>
          <w:lang w:eastAsia="zh-CN"/>
        </w:rPr>
        <w:t>检测结果中的符号意义：“+”表示“并且”，“/”表示“或者”，“!”表示“不满足”。{% endif %}</w:t>
      </w:r>
    </w:p>
    <w:p w14:paraId="505C131F">
      <w:pPr>
        <w:numPr>
          <w:ilvl w:val="0"/>
          <w:numId w:val="10"/>
        </w:numPr>
        <w:rPr>
          <w:rFonts w:ascii="Times New Roman" w:hAnsi="Times New Roman" w:eastAsia="微软雅黑" w:cs="Times New Roman"/>
          <w:sz w:val="18"/>
          <w:szCs w:val="18"/>
          <w:lang w:eastAsia="zh-CN"/>
        </w:rPr>
      </w:pPr>
      <w:r>
        <w:rPr>
          <w:rFonts w:ascii="Times New Roman" w:hAnsi="Times New Roman" w:eastAsia="微软雅黑" w:cs="Times New Roman"/>
          <w:b/>
          <w:color w:val="00B050"/>
          <w:sz w:val="24"/>
          <w:szCs w:val="24"/>
          <w:lang w:eastAsia="zh-CN"/>
        </w:rPr>
        <w:br w:type="page"/>
      </w:r>
    </w:p>
    <w:p w14:paraId="1517F89F">
      <w:pPr>
        <w:pStyle w:val="3"/>
        <w:numPr>
          <w:ilvl w:val="255"/>
          <w:numId w:val="0"/>
        </w:numPr>
        <w:jc w:val="left"/>
      </w:pPr>
      <w:bookmarkStart w:id="42" w:name="_Toc23296"/>
      <w:bookmarkStart w:id="43" w:name="_Toc31950"/>
      <w:bookmarkStart w:id="44" w:name="_Toc25737"/>
      <w:bookmarkStart w:id="45" w:name="_Toc6221_WPSOffice_Level2"/>
      <w:bookmarkStart w:id="46" w:name="_Toc7551_WPSOffice_Level2"/>
      <w:bookmarkStart w:id="47" w:name="_Toc17526"/>
      <w:bookmarkStart w:id="48" w:name="_Toc4339"/>
      <w:r>
        <w:rPr>
          <w:rFonts w:hint="eastAsia"/>
          <w:color w:val="auto"/>
          <w:sz w:val="30"/>
          <w:lang w:eastAsia="zh-CN"/>
        </w:rPr>
        <w:t>胚系变异结果提示</w:t>
      </w:r>
      <w:bookmarkEnd w:id="42"/>
      <w:bookmarkEnd w:id="43"/>
    </w:p>
    <w:p w14:paraId="083C5EEA">
      <w:pPr>
        <w:spacing w:before="240" w:beforeLines="100" w:after="24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肿瘤遗传风险检测</w:t>
      </w:r>
    </w:p>
    <w:p w14:paraId="2831CE97">
      <w:pPr>
        <w:spacing w:before="240" w:beforeLines="100" w:after="240"/>
        <w:ind w:firstLine="420" w:firstLineChars="200"/>
        <w:rPr>
          <w:rFonts w:ascii="Times New Roman" w:hAnsi="Times New Roman" w:eastAsia="微软雅黑" w:cs="黑体"/>
          <w:b/>
          <w:bCs/>
          <w:sz w:val="21"/>
          <w:szCs w:val="21"/>
          <w:highlight w:val="yellow"/>
          <w:lang w:eastAsia="zh-CN"/>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w:t>
      </w:r>
      <w:r>
        <w:rPr>
          <w:rFonts w:ascii="Times New Roman" w:hAnsi="Times New Roman" w:eastAsia="微软雅黑" w:cs="Times New Roman"/>
          <w:b/>
          <w:color w:val="000000" w:themeColor="text1"/>
          <w:sz w:val="21"/>
          <w:szCs w:val="21"/>
          <w:lang w:eastAsia="zh-CN"/>
          <w14:textFill>
            <w14:solidFill>
              <w14:schemeClr w14:val="tx1"/>
            </w14:solidFill>
          </w14:textFill>
        </w:rPr>
        <w:t>{{summaryOfRresults.crCheckLineStrYF1280Size}}</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个胚系突变，其中{{summaryOfRresults.hasPathogenicityCount}}个为致病/可能致病性突变，其中{{summaryOfRresults.crDrugList}}个与靶向药物相关</w:t>
      </w:r>
      <w:r>
        <w:rPr>
          <w:rFonts w:ascii="Times New Roman" w:hAnsi="Times New Roman" w:eastAsia="微软雅黑" w:cs="Times New Roman"/>
          <w:b/>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{%if geneticCancerRiskInfo %}具体信息见“基因检测结果解析”。{% endif %}如果您有家族遗传史，可联系我们做进一步的检测。</w:t>
      </w:r>
    </w:p>
    <w:tbl>
      <w:tblPr>
        <w:tblStyle w:val="22"/>
        <w:tblW w:w="984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255"/>
        <w:gridCol w:w="825"/>
        <w:gridCol w:w="825"/>
        <w:gridCol w:w="1146"/>
        <w:gridCol w:w="1056"/>
        <w:gridCol w:w="1140"/>
        <w:gridCol w:w="1140"/>
        <w:gridCol w:w="930"/>
        <w:gridCol w:w="1527"/>
      </w:tblGrid>
      <w:tr w14:paraId="3F0D8D2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exact"/>
          <w:jc w:val="center"/>
        </w:trPr>
        <w:tc>
          <w:tcPr>
            <w:tcW w:w="1255" w:type="dxa"/>
            <w:tcBorders>
              <w:top w:val="nil"/>
              <w:bottom w:val="nil"/>
              <w:right w:val="single" w:color="FFFFFF" w:sz="18" w:space="0"/>
            </w:tcBorders>
            <w:shd w:val="clear" w:color="auto" w:fill="62B541"/>
            <w:vAlign w:val="center"/>
          </w:tcPr>
          <w:p w14:paraId="5800D7F5">
            <w:pPr>
              <w:pStyle w:val="21"/>
              <w:jc w:val="center"/>
              <w:rPr>
                <w:rFonts w:ascii="Times New Roman" w:hAnsi="Times New Roman" w:eastAsia="微软雅黑" w:cs="Times New Roman"/>
                <w:color w:val="FFFFFF" w:themeColor="background1"/>
                <w:sz w:val="21"/>
                <w:szCs w:val="21"/>
                <w14:textFill>
                  <w14:solidFill>
                    <w14:schemeClr w14:val="bg1"/>
                  </w14:solidFill>
                </w14:textFill>
              </w:rPr>
            </w:pPr>
            <w:r>
              <w:rPr>
                <w:rFonts w:hint="eastAsia" w:ascii="Times New Roman" w:hAnsi="Times New Roman" w:eastAsia="微软雅黑" w:cs="Times New Roman"/>
                <w:b/>
                <w:color w:val="FFFFFF" w:themeColor="background1"/>
                <w:sz w:val="21"/>
                <w:szCs w:val="21"/>
                <w:lang w:val="en-US" w:eastAsia="zh-CN"/>
                <w14:textFill>
                  <w14:solidFill>
                    <w14:schemeClr w14:val="bg1"/>
                  </w14:solidFill>
                </w14:textFill>
              </w:rPr>
              <w:t>检测</w:t>
            </w:r>
            <w:r>
              <w:rPr>
                <w:rFonts w:ascii="Times New Roman" w:hAnsi="Times New Roman" w:eastAsia="微软雅黑" w:cs="Times New Roman"/>
                <w:b/>
                <w:bCs/>
                <w:color w:val="FFFFFF" w:themeColor="background1"/>
                <w:sz w:val="21"/>
                <w:szCs w:val="21"/>
                <w14:textFill>
                  <w14:solidFill>
                    <w14:schemeClr w14:val="bg1"/>
                  </w14:solidFill>
                </w14:textFill>
              </w:rPr>
              <w:t>基因</w:t>
            </w:r>
          </w:p>
        </w:tc>
        <w:tc>
          <w:tcPr>
            <w:tcW w:w="825" w:type="dxa"/>
            <w:tcBorders>
              <w:top w:val="nil"/>
              <w:left w:val="single" w:color="FFFFFF" w:sz="18" w:space="0"/>
              <w:bottom w:val="nil"/>
              <w:right w:val="single" w:color="FFFFFF" w:sz="18" w:space="0"/>
            </w:tcBorders>
            <w:shd w:val="clear" w:color="auto" w:fill="62B541"/>
            <w:vAlign w:val="center"/>
          </w:tcPr>
          <w:p w14:paraId="78A475F7">
            <w:pPr>
              <w:pStyle w:val="21"/>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染色体</w:t>
            </w:r>
          </w:p>
        </w:tc>
        <w:tc>
          <w:tcPr>
            <w:tcW w:w="825" w:type="dxa"/>
            <w:tcBorders>
              <w:top w:val="nil"/>
              <w:left w:val="single" w:color="FFFFFF" w:sz="18" w:space="0"/>
              <w:bottom w:val="nil"/>
              <w:right w:val="single" w:color="FFFFFF" w:sz="18" w:space="0"/>
            </w:tcBorders>
            <w:shd w:val="clear" w:color="auto" w:fill="62B541"/>
            <w:vAlign w:val="center"/>
          </w:tcPr>
          <w:p w14:paraId="4EE12348">
            <w:pPr>
              <w:pStyle w:val="21"/>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区域</w:t>
            </w:r>
          </w:p>
        </w:tc>
        <w:tc>
          <w:tcPr>
            <w:tcW w:w="1146" w:type="dxa"/>
            <w:tcBorders>
              <w:top w:val="nil"/>
              <w:left w:val="single" w:color="FFFFFF" w:sz="18" w:space="0"/>
              <w:bottom w:val="nil"/>
              <w:right w:val="single" w:color="FFFFFF" w:sz="18" w:space="0"/>
            </w:tcBorders>
            <w:shd w:val="clear" w:color="auto" w:fill="62B541"/>
            <w:vAlign w:val="center"/>
          </w:tcPr>
          <w:p w14:paraId="77E3E7A8">
            <w:pPr>
              <w:pStyle w:val="21"/>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核苷酸</w:t>
            </w:r>
          </w:p>
        </w:tc>
        <w:tc>
          <w:tcPr>
            <w:tcW w:w="1056" w:type="dxa"/>
            <w:tcBorders>
              <w:top w:val="nil"/>
              <w:left w:val="single" w:color="FFFFFF" w:sz="18" w:space="0"/>
              <w:bottom w:val="nil"/>
              <w:right w:val="single" w:color="FFFFFF" w:sz="18" w:space="0"/>
            </w:tcBorders>
            <w:shd w:val="clear" w:color="auto" w:fill="62B541"/>
            <w:vAlign w:val="center"/>
          </w:tcPr>
          <w:p w14:paraId="63962CD8">
            <w:pPr>
              <w:pStyle w:val="21"/>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氨基酸</w:t>
            </w:r>
          </w:p>
        </w:tc>
        <w:tc>
          <w:tcPr>
            <w:tcW w:w="1140" w:type="dxa"/>
            <w:tcBorders>
              <w:top w:val="nil"/>
              <w:left w:val="single" w:color="FFFFFF" w:sz="18" w:space="0"/>
              <w:bottom w:val="nil"/>
              <w:right w:val="single" w:color="FFFFFF" w:sz="18" w:space="0"/>
            </w:tcBorders>
            <w:shd w:val="clear" w:color="auto" w:fill="62B541"/>
            <w:vAlign w:val="center"/>
          </w:tcPr>
          <w:p w14:paraId="44F1EB24">
            <w:pPr>
              <w:pStyle w:val="21"/>
              <w:jc w:val="center"/>
              <w:rPr>
                <w:rFonts w:ascii="Times New Roman" w:hAnsi="Times New Roman" w:eastAsia="微软雅黑" w:cs="Times New Roman"/>
                <w:b/>
                <w:bCs/>
                <w:color w:val="FFFFFF" w:themeColor="background1"/>
                <w:spacing w:val="-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突变类型</w:t>
            </w:r>
          </w:p>
        </w:tc>
        <w:tc>
          <w:tcPr>
            <w:tcW w:w="1140" w:type="dxa"/>
            <w:tcBorders>
              <w:top w:val="nil"/>
              <w:left w:val="single" w:color="FFFFFF" w:sz="18" w:space="0"/>
              <w:bottom w:val="nil"/>
              <w:right w:val="single" w:color="FFFFFF" w:sz="18" w:space="0"/>
            </w:tcBorders>
            <w:shd w:val="clear" w:color="auto" w:fill="62B541"/>
            <w:vAlign w:val="center"/>
          </w:tcPr>
          <w:p w14:paraId="68ECBEEF">
            <w:pPr>
              <w:pStyle w:val="21"/>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pacing w:val="-1"/>
                <w:sz w:val="21"/>
                <w:szCs w:val="21"/>
                <w14:textFill>
                  <w14:solidFill>
                    <w14:schemeClr w14:val="bg1"/>
                  </w14:solidFill>
                </w14:textFill>
              </w:rPr>
              <w:t>杂合/纯合</w:t>
            </w:r>
          </w:p>
        </w:tc>
        <w:tc>
          <w:tcPr>
            <w:tcW w:w="930" w:type="dxa"/>
            <w:tcBorders>
              <w:top w:val="nil"/>
              <w:left w:val="single" w:color="FFFFFF" w:sz="18" w:space="0"/>
              <w:bottom w:val="nil"/>
              <w:right w:val="single" w:color="FFFFFF" w:sz="18" w:space="0"/>
            </w:tcBorders>
            <w:shd w:val="clear" w:color="auto" w:fill="62B541"/>
            <w:vAlign w:val="center"/>
          </w:tcPr>
          <w:p w14:paraId="6A974644">
            <w:pPr>
              <w:pStyle w:val="21"/>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千人频率</w:t>
            </w:r>
          </w:p>
        </w:tc>
        <w:tc>
          <w:tcPr>
            <w:tcW w:w="1527" w:type="dxa"/>
            <w:tcBorders>
              <w:top w:val="nil"/>
              <w:left w:val="single" w:color="FFFFFF" w:sz="18" w:space="0"/>
              <w:bottom w:val="nil"/>
            </w:tcBorders>
            <w:shd w:val="clear" w:color="auto" w:fill="62B541"/>
            <w:vAlign w:val="center"/>
          </w:tcPr>
          <w:p w14:paraId="65F96C75">
            <w:pPr>
              <w:pStyle w:val="21"/>
              <w:spacing w:before="24" w:beforeLines="1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临床意义</w:t>
            </w:r>
          </w:p>
        </w:tc>
      </w:tr>
      <w:tr w14:paraId="748CE6C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tcBorders>
              <w:top w:val="nil"/>
            </w:tcBorders>
            <w:shd w:val="clear" w:color="auto" w:fill="auto"/>
            <w:vAlign w:val="center"/>
          </w:tcPr>
          <w:p w14:paraId="47A6DD8B">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crCheckLineStrYF1280 != [] %}</w:t>
            </w:r>
          </w:p>
        </w:tc>
      </w:tr>
      <w:tr w14:paraId="107C1E4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tcBorders>
              <w:bottom w:val="nil"/>
            </w:tcBorders>
            <w:shd w:val="clear" w:color="auto" w:fill="auto"/>
            <w:vAlign w:val="center"/>
          </w:tcPr>
          <w:p w14:paraId="5B60A802">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cr in crCheckLineStrYF1280 %}</w:t>
            </w:r>
          </w:p>
        </w:tc>
      </w:tr>
      <w:tr w14:paraId="6B5E38A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1255" w:type="dxa"/>
            <w:tcBorders>
              <w:top w:val="nil"/>
            </w:tcBorders>
            <w:shd w:val="clear" w:color="auto" w:fill="auto"/>
            <w:vAlign w:val="center"/>
          </w:tcPr>
          <w:p w14:paraId="2E1FB69B">
            <w:pPr>
              <w:spacing w:before="20"/>
              <w:jc w:val="center"/>
              <w:rPr>
                <w:rFonts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lang w:eastAsia="zh-CN"/>
              </w:rPr>
              <w:t>{{ cr.Gene }}</w:t>
            </w:r>
          </w:p>
        </w:tc>
        <w:tc>
          <w:tcPr>
            <w:tcW w:w="825" w:type="dxa"/>
            <w:tcBorders>
              <w:top w:val="nil"/>
            </w:tcBorders>
            <w:shd w:val="clear" w:color="auto" w:fill="auto"/>
            <w:vAlign w:val="center"/>
          </w:tcPr>
          <w:p w14:paraId="630D67D6">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cr.Chr }}</w:t>
            </w:r>
          </w:p>
        </w:tc>
        <w:tc>
          <w:tcPr>
            <w:tcW w:w="825" w:type="dxa"/>
            <w:tcBorders>
              <w:top w:val="nil"/>
            </w:tcBorders>
            <w:shd w:val="clear" w:color="auto" w:fill="auto"/>
            <w:vAlign w:val="center"/>
          </w:tcPr>
          <w:p w14:paraId="2BA44925">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w:t>
            </w:r>
            <w:r>
              <w:rPr>
                <w:rFonts w:ascii="Times New Roman" w:hAnsi="Times New Roman" w:eastAsia="微软雅黑" w:cs="Times New Roman"/>
                <w:sz w:val="21"/>
                <w:szCs w:val="21"/>
                <w:lang w:eastAsia="zh-CN"/>
              </w:rPr>
              <w:t>exon</w:t>
            </w:r>
            <w:r>
              <w:rPr>
                <w:rFonts w:hint="eastAsia" w:ascii="Times New Roman" w:hAnsi="Times New Roman" w:eastAsia="微软雅黑" w:cs="Times New Roman"/>
                <w:sz w:val="21"/>
                <w:szCs w:val="21"/>
                <w:lang w:eastAsia="zh-CN"/>
              </w:rPr>
              <w:t xml:space="preserve"> }}</w:t>
            </w:r>
          </w:p>
        </w:tc>
        <w:tc>
          <w:tcPr>
            <w:tcW w:w="1146" w:type="dxa"/>
            <w:tcBorders>
              <w:top w:val="nil"/>
            </w:tcBorders>
            <w:shd w:val="clear" w:color="auto" w:fill="auto"/>
            <w:vAlign w:val="center"/>
          </w:tcPr>
          <w:p w14:paraId="43DD689E">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cr.cHGVS }}</w:t>
            </w:r>
          </w:p>
        </w:tc>
        <w:tc>
          <w:tcPr>
            <w:tcW w:w="1056" w:type="dxa"/>
            <w:tcBorders>
              <w:top w:val="nil"/>
            </w:tcBorders>
            <w:shd w:val="clear" w:color="auto" w:fill="auto"/>
            <w:vAlign w:val="center"/>
          </w:tcPr>
          <w:p w14:paraId="2F6A58B9">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cr.pHGVS }}</w:t>
            </w:r>
          </w:p>
        </w:tc>
        <w:tc>
          <w:tcPr>
            <w:tcW w:w="1140" w:type="dxa"/>
            <w:tcBorders>
              <w:top w:val="nil"/>
            </w:tcBorders>
            <w:shd w:val="clear" w:color="auto" w:fill="auto"/>
            <w:vAlign w:val="center"/>
          </w:tcPr>
          <w:p w14:paraId="57731FE5">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cr.ExonicFunc }}</w:t>
            </w:r>
          </w:p>
        </w:tc>
        <w:tc>
          <w:tcPr>
            <w:tcW w:w="1140" w:type="dxa"/>
            <w:tcBorders>
              <w:top w:val="nil"/>
            </w:tcBorders>
            <w:shd w:val="clear" w:color="auto" w:fill="auto"/>
            <w:vAlign w:val="center"/>
          </w:tcPr>
          <w:p w14:paraId="6B5E007F">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cr.Zygosity }}</w:t>
            </w:r>
          </w:p>
        </w:tc>
        <w:tc>
          <w:tcPr>
            <w:tcW w:w="930" w:type="dxa"/>
            <w:tcBorders>
              <w:top w:val="nil"/>
            </w:tcBorders>
            <w:shd w:val="clear" w:color="auto" w:fill="auto"/>
            <w:vAlign w:val="center"/>
          </w:tcPr>
          <w:p w14:paraId="448EBE8F">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cr.c1000g2015aug_all }}</w:t>
            </w:r>
          </w:p>
        </w:tc>
        <w:tc>
          <w:tcPr>
            <w:tcW w:w="1527" w:type="dxa"/>
            <w:tcBorders>
              <w:top w:val="nil"/>
            </w:tcBorders>
            <w:shd w:val="clear" w:color="auto" w:fill="auto"/>
            <w:vAlign w:val="center"/>
          </w:tcPr>
          <w:p w14:paraId="14F4D19F">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cr.Clinical_significance }}</w:t>
            </w:r>
          </w:p>
        </w:tc>
      </w:tr>
      <w:tr w14:paraId="17511DE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shd w:val="clear" w:color="auto" w:fill="auto"/>
            <w:vAlign w:val="center"/>
          </w:tcPr>
          <w:p w14:paraId="7431B3D2">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15C7A8B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tcBorders>
              <w:bottom w:val="nil"/>
            </w:tcBorders>
            <w:shd w:val="clear" w:color="auto" w:fill="auto"/>
            <w:vAlign w:val="center"/>
          </w:tcPr>
          <w:p w14:paraId="33809EBD">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489580F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1255" w:type="dxa"/>
            <w:tcBorders>
              <w:top w:val="nil"/>
            </w:tcBorders>
            <w:shd w:val="clear" w:color="auto" w:fill="auto"/>
            <w:vAlign w:val="center"/>
          </w:tcPr>
          <w:p w14:paraId="0D330270">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w:t>
            </w:r>
          </w:p>
        </w:tc>
        <w:tc>
          <w:tcPr>
            <w:tcW w:w="825" w:type="dxa"/>
            <w:tcBorders>
              <w:top w:val="nil"/>
            </w:tcBorders>
            <w:shd w:val="clear" w:color="auto" w:fill="auto"/>
            <w:vAlign w:val="center"/>
          </w:tcPr>
          <w:p w14:paraId="16839A80">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825" w:type="dxa"/>
            <w:tcBorders>
              <w:top w:val="nil"/>
            </w:tcBorders>
            <w:shd w:val="clear" w:color="auto" w:fill="auto"/>
            <w:vAlign w:val="center"/>
          </w:tcPr>
          <w:p w14:paraId="693DEB70">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6" w:type="dxa"/>
            <w:tcBorders>
              <w:top w:val="nil"/>
            </w:tcBorders>
            <w:shd w:val="clear" w:color="auto" w:fill="auto"/>
            <w:vAlign w:val="center"/>
          </w:tcPr>
          <w:p w14:paraId="6D7FF51C">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056" w:type="dxa"/>
            <w:tcBorders>
              <w:top w:val="nil"/>
            </w:tcBorders>
            <w:shd w:val="clear" w:color="auto" w:fill="auto"/>
            <w:vAlign w:val="center"/>
          </w:tcPr>
          <w:p w14:paraId="10BE72D7">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0" w:type="dxa"/>
            <w:tcBorders>
              <w:top w:val="nil"/>
            </w:tcBorders>
            <w:shd w:val="clear" w:color="auto" w:fill="auto"/>
            <w:vAlign w:val="center"/>
          </w:tcPr>
          <w:p w14:paraId="41ED3C90">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0" w:type="dxa"/>
            <w:tcBorders>
              <w:top w:val="nil"/>
            </w:tcBorders>
            <w:shd w:val="clear" w:color="auto" w:fill="auto"/>
            <w:vAlign w:val="center"/>
          </w:tcPr>
          <w:p w14:paraId="7932C2C1">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930" w:type="dxa"/>
            <w:tcBorders>
              <w:top w:val="nil"/>
            </w:tcBorders>
            <w:shd w:val="clear" w:color="auto" w:fill="auto"/>
            <w:vAlign w:val="center"/>
          </w:tcPr>
          <w:p w14:paraId="2E76DAE5">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527" w:type="dxa"/>
            <w:tcBorders>
              <w:top w:val="nil"/>
            </w:tcBorders>
            <w:shd w:val="clear" w:color="auto" w:fill="auto"/>
            <w:vAlign w:val="center"/>
          </w:tcPr>
          <w:p w14:paraId="6B99E763">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6AF3D85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shd w:val="clear" w:color="auto" w:fill="auto"/>
            <w:vAlign w:val="center"/>
          </w:tcPr>
          <w:p w14:paraId="1071E9E5">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6B6F8B7B">
      <w:pPr>
        <w:rPr>
          <w:rFonts w:ascii="Times New Roman" w:hAnsi="Times New Roman" w:eastAsia="微软雅黑" w:cs="Times New Roman"/>
          <w:sz w:val="24"/>
          <w:szCs w:val="24"/>
          <w:lang w:eastAsia="zh-CN"/>
        </w:rPr>
      </w:pPr>
    </w:p>
    <w:p w14:paraId="196ECBE4">
      <w:pPr>
        <w:spacing w:before="120" w:beforeLines="50" w:after="192" w:afterLines="80"/>
        <w:rPr>
          <w:rFonts w:ascii="Times New Roman" w:hAnsi="Times New Roman" w:eastAsia="微软雅黑" w:cs="黑体"/>
          <w:b/>
          <w:bCs/>
          <w:sz w:val="24"/>
          <w:szCs w:val="24"/>
          <w:lang w:eastAsia="zh-CN"/>
        </w:rPr>
      </w:pPr>
      <w:r>
        <w:rPr>
          <w:rFonts w:hint="eastAsia" w:ascii="Times New Roman" w:hAnsi="Times New Roman" w:eastAsia="微软雅黑" w:cs="Times New Roman"/>
          <w:b/>
          <w:sz w:val="24"/>
          <w:szCs w:val="24"/>
          <w:lang w:eastAsia="zh-CN"/>
        </w:rPr>
        <w:t>胚系变异用药提示</w:t>
      </w:r>
    </w:p>
    <w:tbl>
      <w:tblPr>
        <w:tblStyle w:val="22"/>
        <w:tblW w:w="5035"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285"/>
        <w:gridCol w:w="1779"/>
        <w:gridCol w:w="1292"/>
        <w:gridCol w:w="1076"/>
        <w:gridCol w:w="2252"/>
        <w:gridCol w:w="2256"/>
      </w:tblGrid>
      <w:tr w14:paraId="2B729584">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646" w:type="pct"/>
            <w:tcBorders>
              <w:top w:val="nil"/>
              <w:left w:val="nil"/>
              <w:bottom w:val="nil"/>
              <w:right w:val="single" w:color="FFFFFF" w:sz="18" w:space="0"/>
            </w:tcBorders>
            <w:shd w:val="clear" w:color="auto" w:fill="62B541"/>
            <w:vAlign w:val="center"/>
          </w:tcPr>
          <w:p w14:paraId="3A6DFC47">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Times New Roman" w:hAnsi="Times New Roman" w:eastAsia="微软雅黑" w:cs="Times New Roman"/>
                <w:b/>
                <w:color w:val="FFFFFF" w:themeColor="background1"/>
                <w:sz w:val="21"/>
                <w:szCs w:val="21"/>
                <w:lang w:val="en-US" w:eastAsia="zh-CN"/>
                <w14:textFill>
                  <w14:solidFill>
                    <w14:schemeClr w14:val="bg1"/>
                  </w14:solidFill>
                </w14:textFill>
              </w:rPr>
              <w:t>检测</w:t>
            </w:r>
            <w:r>
              <w:rPr>
                <w:rFonts w:ascii="Times New Roman" w:hAnsi="Times New Roman" w:eastAsia="微软雅黑" w:cs="Times New Roman"/>
                <w:b/>
                <w:color w:val="FFFFFF" w:themeColor="background1"/>
                <w:sz w:val="21"/>
                <w:szCs w:val="21"/>
                <w14:textFill>
                  <w14:solidFill>
                    <w14:schemeClr w14:val="bg1"/>
                  </w14:solidFill>
                </w14:textFill>
              </w:rPr>
              <w:t>基因</w:t>
            </w:r>
          </w:p>
        </w:tc>
        <w:tc>
          <w:tcPr>
            <w:tcW w:w="895" w:type="pct"/>
            <w:tcBorders>
              <w:top w:val="nil"/>
              <w:left w:val="single" w:color="FFFFFF" w:sz="18" w:space="0"/>
              <w:bottom w:val="nil"/>
              <w:right w:val="single" w:color="FFFFFF" w:sz="18" w:space="0"/>
            </w:tcBorders>
            <w:shd w:val="clear" w:color="auto" w:fill="62B541"/>
            <w:vAlign w:val="center"/>
          </w:tcPr>
          <w:p w14:paraId="6DE5BBAD">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650" w:type="pct"/>
            <w:tcBorders>
              <w:top w:val="nil"/>
              <w:left w:val="single" w:color="FFFFFF" w:sz="18" w:space="0"/>
              <w:bottom w:val="nil"/>
              <w:right w:val="single" w:color="FFFFFF" w:sz="18" w:space="0"/>
            </w:tcBorders>
            <w:shd w:val="clear" w:color="auto" w:fill="62B541"/>
            <w:vAlign w:val="center"/>
          </w:tcPr>
          <w:p w14:paraId="3FDCCF7B">
            <w:pPr>
              <w:pStyle w:val="21"/>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41" w:type="pct"/>
            <w:tcBorders>
              <w:top w:val="nil"/>
              <w:left w:val="single" w:color="FFFFFF" w:sz="18" w:space="0"/>
              <w:bottom w:val="nil"/>
              <w:right w:val="single" w:color="FFFFFF" w:sz="18" w:space="0"/>
            </w:tcBorders>
            <w:shd w:val="clear" w:color="auto" w:fill="62B541"/>
            <w:vAlign w:val="center"/>
          </w:tcPr>
          <w:p w14:paraId="4B8C0F8E">
            <w:pPr>
              <w:pStyle w:val="21"/>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bCs/>
                <w:color w:val="FFFFFF" w:themeColor="background1"/>
                <w:spacing w:val="-1"/>
                <w:sz w:val="21"/>
                <w:szCs w:val="21"/>
                <w14:textFill>
                  <w14:solidFill>
                    <w14:schemeClr w14:val="bg1"/>
                  </w14:solidFill>
                </w14:textFill>
              </w:rPr>
              <w:t>杂合/纯合</w:t>
            </w:r>
          </w:p>
        </w:tc>
        <w:tc>
          <w:tcPr>
            <w:tcW w:w="1133" w:type="pct"/>
            <w:tcBorders>
              <w:top w:val="nil"/>
              <w:left w:val="single" w:color="FFFFFF" w:sz="18" w:space="0"/>
              <w:bottom w:val="nil"/>
              <w:right w:val="single" w:color="FFFFFF" w:sz="18" w:space="0"/>
            </w:tcBorders>
            <w:shd w:val="clear" w:color="auto" w:fill="62B541"/>
            <w:vAlign w:val="center"/>
          </w:tcPr>
          <w:p w14:paraId="365C64AF">
            <w:pPr>
              <w:pStyle w:val="21"/>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33" w:type="pct"/>
            <w:tcBorders>
              <w:top w:val="nil"/>
              <w:left w:val="single" w:color="FFFFFF" w:sz="18" w:space="0"/>
              <w:bottom w:val="nil"/>
              <w:right w:val="nil"/>
            </w:tcBorders>
            <w:shd w:val="clear" w:color="auto" w:fill="62B541"/>
            <w:vAlign w:val="center"/>
          </w:tcPr>
          <w:p w14:paraId="48ADC485">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11B6E6E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3" w:hRule="atLeast"/>
          <w:jc w:val="center"/>
        </w:trPr>
        <w:tc>
          <w:tcPr>
            <w:tcW w:w="5000" w:type="pct"/>
            <w:gridSpan w:val="6"/>
            <w:tcBorders>
              <w:top w:val="nil"/>
              <w:left w:val="nil"/>
              <w:bottom w:val="nil"/>
              <w:right w:val="nil"/>
            </w:tcBorders>
            <w:shd w:val="clear" w:color="auto" w:fill="auto"/>
            <w:vAlign w:val="center"/>
          </w:tcPr>
          <w:p w14:paraId="03005918">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embryonalDrugTipLineStr != [] %}</w:t>
            </w:r>
          </w:p>
        </w:tc>
      </w:tr>
      <w:tr w14:paraId="7F3E3984">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3" w:hRule="atLeast"/>
          <w:jc w:val="center"/>
        </w:trPr>
        <w:tc>
          <w:tcPr>
            <w:tcW w:w="5000" w:type="pct"/>
            <w:gridSpan w:val="6"/>
            <w:tcBorders>
              <w:top w:val="nil"/>
              <w:left w:val="nil"/>
              <w:bottom w:val="nil"/>
              <w:right w:val="nil"/>
            </w:tcBorders>
            <w:shd w:val="clear" w:color="auto" w:fill="auto"/>
            <w:vAlign w:val="center"/>
          </w:tcPr>
          <w:p w14:paraId="4A305695">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embryonalDrugTipLineStr %}</w:t>
            </w:r>
          </w:p>
        </w:tc>
      </w:tr>
      <w:tr w14:paraId="568CEE94">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1286" w:type="dxa"/>
            <w:tcBorders>
              <w:top w:val="nil"/>
              <w:left w:val="nil"/>
              <w:bottom w:val="single" w:color="A4A4A4" w:themeColor="background1" w:themeShade="A5" w:sz="4" w:space="0"/>
            </w:tcBorders>
            <w:shd w:val="clear" w:color="auto" w:fill="auto"/>
            <w:vAlign w:val="center"/>
          </w:tcPr>
          <w:p w14:paraId="18B56833">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1780" w:type="dxa"/>
            <w:tcBorders>
              <w:top w:val="nil"/>
              <w:bottom w:val="single" w:color="A4A4A4" w:themeColor="background1" w:themeShade="A5" w:sz="4" w:space="0"/>
            </w:tcBorders>
            <w:shd w:val="clear" w:color="auto" w:fill="auto"/>
            <w:vAlign w:val="center"/>
          </w:tcPr>
          <w:p w14:paraId="0DA7AA09">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650" w:type="pct"/>
            <w:tcBorders>
              <w:top w:val="nil"/>
              <w:bottom w:val="single" w:color="A4A4A4" w:themeColor="background1" w:themeShade="A5" w:sz="4" w:space="0"/>
            </w:tcBorders>
            <w:shd w:val="clear" w:color="auto" w:fill="auto"/>
            <w:vAlign w:val="center"/>
          </w:tcPr>
          <w:p w14:paraId="106FFBA3">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41" w:type="pct"/>
            <w:tcBorders>
              <w:top w:val="nil"/>
              <w:bottom w:val="single" w:color="A4A4A4" w:themeColor="background1" w:themeShade="A5" w:sz="4" w:space="0"/>
            </w:tcBorders>
            <w:shd w:val="clear" w:color="auto" w:fill="auto"/>
            <w:vAlign w:val="center"/>
          </w:tcPr>
          <w:p w14:paraId="745CB327">
            <w:pPr>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lang w:eastAsia="zh-CN"/>
              </w:rPr>
              <w:t>{{ tip.mutFreq }}</w:t>
            </w:r>
          </w:p>
        </w:tc>
        <w:tc>
          <w:tcPr>
            <w:tcW w:w="2253" w:type="dxa"/>
            <w:tcBorders>
              <w:top w:val="nil"/>
              <w:bottom w:val="single" w:color="A4A4A4" w:themeColor="background1" w:themeShade="A5" w:sz="4" w:space="0"/>
            </w:tcBorders>
            <w:shd w:val="clear" w:color="auto" w:fill="auto"/>
            <w:vAlign w:val="center"/>
          </w:tcPr>
          <w:p w14:paraId="1A21E6C1">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29F67DFE">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7305842D">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70057DE0">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6AE7AC8F">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2253" w:type="dxa"/>
            <w:tcBorders>
              <w:top w:val="nil"/>
              <w:bottom w:val="single" w:color="A4A4A4" w:themeColor="background1" w:themeShade="A5" w:sz="4" w:space="0"/>
              <w:right w:val="nil"/>
            </w:tcBorders>
            <w:shd w:val="clear" w:color="auto" w:fill="auto"/>
            <w:vAlign w:val="center"/>
          </w:tcPr>
          <w:p w14:paraId="51D0B76C">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64486F7E">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054D9951">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0E21A2C4">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7A73D7A4">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79FD085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5000" w:type="pct"/>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7B287819">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41EF5D9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25EF623A">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28DAA815">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13C52311">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本次检测未发现靶药相关致病性及可能致病性胚系突变</w:t>
            </w:r>
          </w:p>
        </w:tc>
      </w:tr>
      <w:tr w14:paraId="08FD1CC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569FAAE1">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1619D416">
      <w:pPr>
        <w:spacing w:before="47"/>
        <w:rPr>
          <w:rFonts w:ascii="Times New Roman" w:hAnsi="Times New Roman" w:eastAsia="微软雅黑" w:cs="Times New Roman"/>
          <w:b/>
          <w:bCs/>
          <w:sz w:val="18"/>
          <w:szCs w:val="18"/>
          <w:lang w:eastAsia="zh-CN"/>
        </w:rPr>
      </w:pPr>
      <w:r>
        <w:rPr>
          <w:rFonts w:ascii="Times New Roman" w:hAnsi="Times New Roman" w:eastAsia="微软雅黑" w:cs="Times New Roman"/>
          <w:b/>
          <w:bCs/>
          <w:sz w:val="18"/>
          <w:szCs w:val="18"/>
          <w:lang w:eastAsia="zh-CN"/>
        </w:rPr>
        <w:t>注：</w:t>
      </w:r>
    </w:p>
    <w:p w14:paraId="5FF3F720">
      <w:pPr>
        <w:pStyle w:val="23"/>
        <w:numPr>
          <w:ilvl w:val="0"/>
          <w:numId w:val="11"/>
        </w:numPr>
        <w:spacing w:before="47"/>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本报告只给出千人频率均在2%以下的胚系非同义突变。</w:t>
      </w:r>
    </w:p>
    <w:p w14:paraId="6F8832D0">
      <w:pPr>
        <w:pStyle w:val="23"/>
        <w:numPr>
          <w:ilvl w:val="0"/>
          <w:numId w:val="11"/>
        </w:numPr>
        <w:spacing w:before="47"/>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根据美国医学遗传医师学会（ACMG）指导意见，个体携带的变异，分为5个大类：</w:t>
      </w:r>
    </w:p>
    <w:p w14:paraId="57B2CD7A">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致病性变异：有大量证据表明这种变异是高风险的致病性变异。</w:t>
      </w:r>
    </w:p>
    <w:p w14:paraId="27B5A18F">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可能致病性变异：有一些证据表明这种变异是高风险的致病性变异。</w:t>
      </w:r>
    </w:p>
    <w:p w14:paraId="428B755F">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不确定性变异：没有足够的证据，将变异分类到其他四类中。</w:t>
      </w:r>
    </w:p>
    <w:p w14:paraId="6DDDC51C">
      <w:pPr>
        <w:ind w:firstLine="360" w:firstLineChars="200"/>
        <w:rPr>
          <w:rFonts w:ascii="Times New Roman" w:hAnsi="Times New Roman" w:eastAsia="微软雅黑" w:cs="Times New Roman"/>
          <w:sz w:val="18"/>
          <w:szCs w:val="18"/>
          <w:lang w:val="zh-CN"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eastAsia="zh-CN"/>
        </w:rPr>
        <w:t>可能良性</w:t>
      </w:r>
      <w:r>
        <w:rPr>
          <w:rFonts w:ascii="Times New Roman" w:hAnsi="Times New Roman" w:eastAsia="微软雅黑" w:cs="Times New Roman"/>
          <w:sz w:val="18"/>
          <w:szCs w:val="18"/>
          <w:lang w:val="zh-CN" w:eastAsia="zh-CN"/>
        </w:rPr>
        <w:t>变异：有一些证据表明这种变异不是高风险的致病变异。</w:t>
      </w:r>
    </w:p>
    <w:p w14:paraId="4C9ED1DB">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eastAsia="zh-CN"/>
        </w:rPr>
        <w:t>良性</w:t>
      </w:r>
      <w:r>
        <w:rPr>
          <w:rFonts w:ascii="Times New Roman" w:hAnsi="Times New Roman" w:eastAsia="微软雅黑" w:cs="Times New Roman"/>
          <w:sz w:val="18"/>
          <w:szCs w:val="18"/>
          <w:lang w:val="zh-CN" w:eastAsia="zh-CN"/>
        </w:rPr>
        <w:t>变异：有大量证据表明这种变异不是高风险的致病变异。</w:t>
      </w:r>
    </w:p>
    <w:p w14:paraId="5BC6E54B">
      <w:pPr>
        <w:numPr>
          <w:ilvl w:val="0"/>
          <w:numId w:val="11"/>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基因变异临床意义等级来源于ACMG指南及Clinvar等公共数据库，随着相关指南、数据库不断完善以及临床数据的更新，变异分级可能发生变化。</w:t>
      </w:r>
    </w:p>
    <w:p w14:paraId="587292DC">
      <w:pPr>
        <w:numPr>
          <w:ilvl w:val="0"/>
          <w:numId w:val="11"/>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良性变异和可能良性变异不在报告中展示。</w:t>
      </w:r>
    </w:p>
    <w:p w14:paraId="539BDC79">
      <w:pPr>
        <w:rPr>
          <w:rFonts w:hint="eastAsia"/>
          <w:b w:val="0"/>
          <w:bCs w:val="0"/>
          <w:color w:val="000000" w:themeColor="text1"/>
          <w:sz w:val="24"/>
          <w:szCs w:val="24"/>
          <w:lang w:eastAsia="zh-CN"/>
          <w14:textFill>
            <w14:solidFill>
              <w14:schemeClr w14:val="tx1"/>
            </w14:solidFill>
          </w14:textFill>
        </w:rPr>
      </w:pPr>
      <w:r>
        <w:rPr>
          <w:rFonts w:hint="eastAsia" w:ascii="Times New Roman" w:hAnsi="Times New Roman" w:eastAsia="微软雅黑" w:cs="黑体"/>
          <w:b/>
          <w:bCs/>
          <w:sz w:val="24"/>
          <w:szCs w:val="24"/>
          <w:lang w:eastAsia="zh-CN"/>
        </w:rPr>
        <w:br w:type="page"/>
      </w:r>
      <w:bookmarkStart w:id="49" w:name="_Toc18258"/>
      <w:r>
        <w:rPr>
          <w:rFonts w:hint="eastAsia" w:ascii="Times New Roman" w:hAnsi="Times New Roman" w:eastAsia="微软雅黑" w:cs="Times New Roman"/>
          <w:b w:val="0"/>
          <w:bCs w:val="0"/>
          <w:color w:val="000000" w:themeColor="text1"/>
          <w:sz w:val="24"/>
          <w:szCs w:val="24"/>
          <w:lang w:eastAsia="zh-CN"/>
          <w14:textFill>
            <w14:solidFill>
              <w14:schemeClr w14:val="tx1"/>
            </w14:solidFill>
          </w14:textFill>
        </w:rPr>
        <w:t xml:space="preserve">{%if </w:t>
      </w:r>
      <w:r>
        <w:rPr>
          <w:rFonts w:hint="default" w:ascii="Times New Roman" w:hAnsi="Times New Roman" w:eastAsia="微软雅黑" w:cs="Times New Roman"/>
          <w:b w:val="0"/>
          <w:bCs w:val="0"/>
          <w:color w:val="000000" w:themeColor="text1"/>
          <w:sz w:val="24"/>
          <w:szCs w:val="24"/>
          <w:lang w:val="en-US" w:eastAsia="zh-CN"/>
          <w14:textFill>
            <w14:solidFill>
              <w14:schemeClr w14:val="tx1"/>
            </w14:solidFill>
          </w14:textFill>
        </w:rPr>
        <w:t>2531</w:t>
      </w:r>
      <w:r>
        <w:rPr>
          <w:rFonts w:hint="eastAsia" w:ascii="Times New Roman" w:hAnsi="Times New Roman" w:eastAsia="微软雅黑" w:cs="Times New Roman"/>
          <w:b w:val="0"/>
          <w:bCs w:val="0"/>
          <w:color w:val="000000" w:themeColor="text1"/>
          <w:sz w:val="24"/>
          <w:szCs w:val="24"/>
          <w:lang w:val="en-US" w:eastAsia="zh-CN"/>
          <w14:textFill>
            <w14:solidFill>
              <w14:schemeClr w14:val="tx1"/>
            </w14:solidFill>
          </w14:textFill>
        </w:rPr>
        <w:t xml:space="preserve"> not in </w:t>
      </w:r>
      <w:r>
        <w:rPr>
          <w:rFonts w:hint="eastAsia" w:ascii="Times New Roman" w:hAnsi="Times New Roman" w:eastAsia="微软雅黑" w:cs="Times New Roman"/>
          <w:b w:val="0"/>
          <w:bCs w:val="0"/>
          <w:color w:val="000000" w:themeColor="text1"/>
          <w:sz w:val="24"/>
          <w:szCs w:val="24"/>
          <w:lang w:eastAsia="zh-CN"/>
          <w14:textFill>
            <w14:solidFill>
              <w14:schemeClr w14:val="tx1"/>
            </w14:solidFill>
          </w14:textFill>
        </w:rPr>
        <w:t>diseaseIdList %}</w:t>
      </w:r>
    </w:p>
    <w:p w14:paraId="2992FA7E">
      <w:pPr>
        <w:pStyle w:val="3"/>
        <w:numPr>
          <w:ilvl w:val="255"/>
          <w:numId w:val="0"/>
        </w:numPr>
        <w:jc w:val="left"/>
        <w:rPr>
          <w:lang w:eastAsia="zh-CN"/>
        </w:rPr>
      </w:pPr>
      <w:bookmarkStart w:id="50" w:name="_Toc24787"/>
      <w:r>
        <w:rPr>
          <w:rFonts w:hint="eastAsia"/>
          <w:color w:val="auto"/>
          <w:sz w:val="30"/>
          <w:lang w:eastAsia="zh-CN"/>
        </w:rPr>
        <w:t>本癌种FDA/NMPA获批的其他可选靶向药物</w:t>
      </w:r>
      <w:bookmarkEnd w:id="49"/>
      <w:bookmarkEnd w:id="50"/>
    </w:p>
    <w:tbl>
      <w:tblPr>
        <w:tblStyle w:val="15"/>
        <w:tblW w:w="9937"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1210"/>
        <w:gridCol w:w="1210"/>
        <w:gridCol w:w="6124"/>
        <w:gridCol w:w="1393"/>
      </w:tblGrid>
      <w:tr w14:paraId="3C2D958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1210" w:type="dxa"/>
            <w:tcBorders>
              <w:top w:val="nil"/>
              <w:bottom w:val="nil"/>
              <w:right w:val="single" w:color="FFFFFF" w:sz="18" w:space="0"/>
            </w:tcBorders>
            <w:shd w:val="clear" w:color="auto" w:fill="62BC41"/>
            <w:vAlign w:val="center"/>
          </w:tcPr>
          <w:p w14:paraId="149918C6">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癌种</w:t>
            </w:r>
          </w:p>
        </w:tc>
        <w:tc>
          <w:tcPr>
            <w:tcW w:w="1210" w:type="dxa"/>
            <w:tcBorders>
              <w:top w:val="nil"/>
              <w:left w:val="single" w:color="FFFFFF" w:sz="18" w:space="0"/>
              <w:bottom w:val="nil"/>
              <w:right w:val="single" w:color="FFFFFF" w:sz="18" w:space="0"/>
            </w:tcBorders>
            <w:shd w:val="clear" w:color="auto" w:fill="62BC41"/>
            <w:vAlign w:val="center"/>
          </w:tcPr>
          <w:p w14:paraId="543F41F1">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药物</w:t>
            </w:r>
          </w:p>
        </w:tc>
        <w:tc>
          <w:tcPr>
            <w:tcW w:w="6124" w:type="dxa"/>
            <w:tcBorders>
              <w:top w:val="nil"/>
              <w:left w:val="single" w:color="FFFFFF" w:sz="18" w:space="0"/>
              <w:bottom w:val="nil"/>
              <w:right w:val="single" w:color="FFFFFF" w:sz="18" w:space="0"/>
            </w:tcBorders>
            <w:shd w:val="clear" w:color="auto" w:fill="62BC41"/>
            <w:vAlign w:val="center"/>
          </w:tcPr>
          <w:p w14:paraId="1DB97D89">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获批适应症</w:t>
            </w:r>
          </w:p>
        </w:tc>
        <w:tc>
          <w:tcPr>
            <w:tcW w:w="1393" w:type="dxa"/>
            <w:tcBorders>
              <w:top w:val="nil"/>
              <w:left w:val="single" w:color="FFFFFF" w:sz="18" w:space="0"/>
              <w:bottom w:val="nil"/>
            </w:tcBorders>
            <w:shd w:val="clear" w:color="auto" w:fill="62BC41"/>
            <w:vAlign w:val="center"/>
          </w:tcPr>
          <w:p w14:paraId="101CC12E">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获批机构</w:t>
            </w:r>
          </w:p>
        </w:tc>
      </w:tr>
      <w:tr w14:paraId="6BC2F3D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3222F9C1">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add in approvedDrugData %}</w:t>
            </w:r>
          </w:p>
        </w:tc>
      </w:tr>
      <w:tr w14:paraId="5630743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1210" w:type="dxa"/>
            <w:vAlign w:val="center"/>
          </w:tcPr>
          <w:p w14:paraId="7394A1C8">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add.disease }}</w:t>
            </w:r>
          </w:p>
        </w:tc>
        <w:tc>
          <w:tcPr>
            <w:tcW w:w="1210" w:type="dxa"/>
            <w:vAlign w:val="center"/>
          </w:tcPr>
          <w:p w14:paraId="12F2913C">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add.drug }}</w:t>
            </w:r>
          </w:p>
        </w:tc>
        <w:tc>
          <w:tcPr>
            <w:tcW w:w="6124" w:type="dxa"/>
            <w:vAlign w:val="center"/>
          </w:tcPr>
          <w:p w14:paraId="240FFBDE">
            <w:pPr>
              <w:widowControl/>
              <w:snapToGrid w:val="0"/>
              <w:jc w:val="left"/>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add.indication }}</w:t>
            </w:r>
          </w:p>
        </w:tc>
        <w:tc>
          <w:tcPr>
            <w:tcW w:w="1393" w:type="dxa"/>
            <w:vAlign w:val="center"/>
          </w:tcPr>
          <w:p w14:paraId="6D2BC695">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add.institution }}</w:t>
            </w:r>
          </w:p>
        </w:tc>
      </w:tr>
      <w:tr w14:paraId="1763504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60773F3C">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bl>
    <w:p w14:paraId="2CFDEC36">
      <w:pPr>
        <w:rPr>
          <w:rFonts w:ascii="Times New Roman" w:hAnsi="Times New Roman" w:cs="Times New Roman"/>
          <w:sz w:val="24"/>
          <w:szCs w:val="24"/>
          <w:lang w:eastAsia="zh-CN"/>
        </w:rPr>
      </w:pPr>
      <w:r>
        <w:rPr>
          <w:rFonts w:hint="default" w:ascii="Times New Roman" w:hAnsi="Times New Roman" w:cs="Times New Roman"/>
          <w:sz w:val="24"/>
          <w:szCs w:val="24"/>
          <w:lang w:eastAsia="zh-CN"/>
        </w:rPr>
        <w:br w:type="page"/>
      </w:r>
      <w:bookmarkEnd w:id="44"/>
      <w:bookmarkEnd w:id="45"/>
      <w:bookmarkEnd w:id="46"/>
      <w:bookmarkEnd w:id="47"/>
      <w:bookmarkEnd w:id="48"/>
      <w:bookmarkStart w:id="51" w:name="_Toc9901"/>
      <w:bookmarkStart w:id="52" w:name="_Hlk516758315"/>
      <w:bookmarkStart w:id="53" w:name="_Toc10743"/>
      <w:bookmarkStart w:id="54" w:name="_Toc19810"/>
      <w:bookmarkStart w:id="55" w:name="_Toc13489_WPSOffice_Level2"/>
      <w:bookmarkStart w:id="56" w:name="_Toc24038"/>
      <w:bookmarkStart w:id="57" w:name="_Toc19898_WPSOffice_Level2"/>
      <w:r>
        <w:rPr>
          <w:rFonts w:hint="default" w:ascii="Times New Roman" w:hAnsi="Times New Roman" w:eastAsia="微软雅黑" w:cs="Times New Roman"/>
          <w:b w:val="0"/>
          <w:bCs w:val="0"/>
          <w:color w:val="000000" w:themeColor="text1"/>
          <w:sz w:val="24"/>
          <w:szCs w:val="24"/>
          <w:lang w:eastAsia="zh-CN"/>
          <w14:textFill>
            <w14:solidFill>
              <w14:schemeClr w14:val="tx1"/>
            </w14:solidFill>
          </w14:textFill>
        </w:rPr>
        <w:t>{% endif %}</w:t>
      </w:r>
      <w:bookmarkStart w:id="58" w:name="_Toc20137"/>
      <w:bookmarkStart w:id="59" w:name="_Toc26758"/>
      <w:r>
        <w:rPr>
          <w:rFonts w:ascii="Times New Roman" w:hAnsi="Times New Roman" w:eastAsia="微软雅黑" w:cs="Times New Roman"/>
          <w:sz w:val="24"/>
          <w:szCs w:val="24"/>
          <w:lang w:eastAsia="zh-CN"/>
        </w:rPr>
        <w:t xml:space="preserve">{%if </w:t>
      </w:r>
      <w:r>
        <w:rPr>
          <w:rFonts w:hint="eastAsia" w:ascii="Times New Roman" w:hAnsi="Times New Roman" w:eastAsia="微软雅黑" w:cs="Times New Roman"/>
          <w:sz w:val="24"/>
          <w:szCs w:val="24"/>
          <w:lang w:eastAsia="zh-CN"/>
        </w:rPr>
        <w:t>prostateCancerFlag == True</w:t>
      </w:r>
      <w:r>
        <w:rPr>
          <w:rFonts w:ascii="Times New Roman" w:hAnsi="Times New Roman" w:eastAsia="微软雅黑" w:cs="Times New Roman"/>
          <w:sz w:val="24"/>
          <w:szCs w:val="24"/>
          <w:lang w:eastAsia="zh-CN"/>
        </w:rPr>
        <w:t xml:space="preserve"> %}</w:t>
      </w:r>
    </w:p>
    <w:bookmarkEnd w:id="58"/>
    <w:bookmarkEnd w:id="59"/>
    <w:p w14:paraId="18769D60">
      <w:pPr>
        <w:pStyle w:val="3"/>
        <w:numPr>
          <w:ilvl w:val="255"/>
          <w:numId w:val="0"/>
        </w:numPr>
        <w:jc w:val="left"/>
        <w:rPr>
          <w:color w:val="auto"/>
          <w:sz w:val="30"/>
          <w:lang w:eastAsia="zh-CN"/>
        </w:rPr>
      </w:pPr>
      <w:bookmarkStart w:id="60" w:name="_Toc22042"/>
      <w:bookmarkStart w:id="61" w:name="_Toc14639"/>
      <w:bookmarkStart w:id="62" w:name="_Toc16984"/>
      <w:bookmarkStart w:id="63" w:name="_Toc6573"/>
      <w:r>
        <w:rPr>
          <w:rFonts w:hint="eastAsia"/>
          <w:color w:val="auto"/>
          <w:sz w:val="30"/>
          <w:lang w:eastAsia="zh-CN"/>
        </w:rPr>
        <w:t>内分泌相关</w:t>
      </w:r>
      <w:bookmarkEnd w:id="60"/>
      <w:bookmarkEnd w:id="61"/>
      <w:bookmarkEnd w:id="62"/>
      <w:bookmarkEnd w:id="63"/>
    </w:p>
    <w:p w14:paraId="65E3491D">
      <w:pPr>
        <w:spacing w:before="120" w:beforeLines="50" w:after="192" w:afterLines="8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内分泌治疗相关基因检测结果及临床意义提示</w:t>
      </w:r>
    </w:p>
    <w:tbl>
      <w:tblPr>
        <w:tblStyle w:val="14"/>
        <w:tblW w:w="9938" w:type="dxa"/>
        <w:tblInd w:w="98"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428"/>
        <w:gridCol w:w="1135"/>
        <w:gridCol w:w="5673"/>
        <w:gridCol w:w="1702"/>
      </w:tblGrid>
      <w:tr w14:paraId="2CC22E3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1428" w:type="dxa"/>
            <w:tcBorders>
              <w:top w:val="nil"/>
              <w:bottom w:val="nil"/>
              <w:right w:val="single" w:color="FFFFFF" w:sz="18" w:space="0"/>
            </w:tcBorders>
            <w:shd w:val="clear" w:color="auto" w:fill="62B541"/>
            <w:vAlign w:val="center"/>
          </w:tcPr>
          <w:p w14:paraId="4E6CB6EB">
            <w:pPr>
              <w:widowControl/>
              <w:snapToGrid w:val="0"/>
              <w:jc w:val="center"/>
              <w:textAlignment w:val="center"/>
              <w:rPr>
                <w:rFonts w:ascii="Times New Roman" w:hAnsi="Times New Roman" w:eastAsia="微软雅黑" w:cs="Times New Roman"/>
                <w:b/>
                <w:bCs/>
                <w:color w:val="FFFFFF"/>
                <w:sz w:val="21"/>
                <w:szCs w:val="21"/>
                <w:lang w:eastAsia="zh-CN"/>
              </w:rPr>
            </w:pPr>
            <w:r>
              <w:rPr>
                <w:rFonts w:hint="eastAsia" w:ascii="Times New Roman" w:hAnsi="Times New Roman" w:eastAsia="微软雅黑" w:cs="Times New Roman"/>
                <w:b/>
                <w:bCs/>
                <w:color w:val="FFFFFF"/>
                <w:sz w:val="21"/>
                <w:szCs w:val="21"/>
                <w:lang w:eastAsia="zh-CN"/>
              </w:rPr>
              <w:t>分子标记物</w:t>
            </w:r>
          </w:p>
        </w:tc>
        <w:tc>
          <w:tcPr>
            <w:tcW w:w="1135" w:type="dxa"/>
            <w:tcBorders>
              <w:top w:val="nil"/>
              <w:left w:val="single" w:color="FFFFFF" w:sz="18" w:space="0"/>
              <w:bottom w:val="nil"/>
              <w:right w:val="single" w:color="FFFFFF" w:sz="18" w:space="0"/>
            </w:tcBorders>
            <w:shd w:val="clear" w:color="auto" w:fill="62B541"/>
            <w:vAlign w:val="center"/>
          </w:tcPr>
          <w:p w14:paraId="5C65E45C">
            <w:pPr>
              <w:widowControl/>
              <w:snapToGrid w:val="0"/>
              <w:jc w:val="center"/>
              <w:textAlignment w:val="center"/>
              <w:rPr>
                <w:rFonts w:ascii="Times New Roman" w:hAnsi="Times New Roman" w:eastAsia="微软雅黑" w:cs="Times New Roman"/>
                <w:b/>
                <w:bCs/>
                <w:color w:val="FFFFFF"/>
                <w:sz w:val="21"/>
                <w:szCs w:val="21"/>
              </w:rPr>
            </w:pPr>
            <w:r>
              <w:rPr>
                <w:rStyle w:val="40"/>
                <w:rFonts w:hint="default" w:ascii="Times New Roman" w:hAnsi="Times New Roman" w:cs="Times New Roman"/>
                <w:lang w:eastAsia="zh-CN" w:bidi="ar"/>
              </w:rPr>
              <w:t>检测结果</w:t>
            </w:r>
          </w:p>
        </w:tc>
        <w:tc>
          <w:tcPr>
            <w:tcW w:w="5673" w:type="dxa"/>
            <w:tcBorders>
              <w:top w:val="nil"/>
              <w:left w:val="single" w:color="FFFFFF" w:sz="18" w:space="0"/>
              <w:bottom w:val="nil"/>
              <w:right w:val="single" w:color="FFFFFF" w:sz="18" w:space="0"/>
            </w:tcBorders>
            <w:shd w:val="clear" w:color="auto" w:fill="62B541"/>
            <w:vAlign w:val="center"/>
          </w:tcPr>
          <w:p w14:paraId="707A2E02">
            <w:pPr>
              <w:widowControl/>
              <w:snapToGrid w:val="0"/>
              <w:jc w:val="center"/>
              <w:textAlignment w:val="center"/>
              <w:rPr>
                <w:rFonts w:ascii="Times New Roman" w:hAnsi="Times New Roman" w:eastAsia="微软雅黑" w:cs="Times New Roman"/>
                <w:b/>
                <w:bCs/>
                <w:color w:val="FFFFFF"/>
                <w:sz w:val="21"/>
                <w:szCs w:val="21"/>
              </w:rPr>
            </w:pPr>
            <w:r>
              <w:rPr>
                <w:rStyle w:val="40"/>
                <w:rFonts w:hint="default" w:ascii="Times New Roman" w:hAnsi="Times New Roman" w:cs="Times New Roman"/>
                <w:lang w:eastAsia="zh-CN" w:bidi="ar"/>
              </w:rPr>
              <w:t>临床意义</w:t>
            </w:r>
          </w:p>
        </w:tc>
        <w:tc>
          <w:tcPr>
            <w:tcW w:w="1702" w:type="dxa"/>
            <w:tcBorders>
              <w:top w:val="nil"/>
              <w:left w:val="single" w:color="FFFFFF" w:sz="18" w:space="0"/>
              <w:bottom w:val="nil"/>
              <w:right w:val="nil"/>
            </w:tcBorders>
            <w:shd w:val="clear" w:color="auto" w:fill="62B541"/>
            <w:vAlign w:val="center"/>
          </w:tcPr>
          <w:p w14:paraId="42F6399A">
            <w:pPr>
              <w:widowControl/>
              <w:snapToGrid w:val="0"/>
              <w:jc w:val="center"/>
              <w:textAlignment w:val="center"/>
              <w:rPr>
                <w:rStyle w:val="40"/>
                <w:rFonts w:hint="default" w:ascii="Times New Roman" w:hAnsi="Times New Roman" w:cs="Times New Roman"/>
                <w:lang w:eastAsia="zh-CN" w:bidi="ar"/>
              </w:rPr>
            </w:pPr>
            <w:r>
              <w:rPr>
                <w:rStyle w:val="40"/>
                <w:rFonts w:hint="default" w:ascii="Times New Roman" w:hAnsi="Times New Roman" w:cs="Times New Roman"/>
                <w:lang w:eastAsia="zh-CN" w:bidi="ar"/>
              </w:rPr>
              <w:t>参考依据</w:t>
            </w:r>
          </w:p>
        </w:tc>
      </w:tr>
      <w:tr w14:paraId="4880493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tcBorders>
              <w:top w:val="nil"/>
            </w:tcBorders>
            <w:shd w:val="clear" w:color="auto" w:fill="auto"/>
            <w:vAlign w:val="center"/>
          </w:tcPr>
          <w:p w14:paraId="43F6ED37">
            <w:pPr>
              <w:widowControl/>
              <w:snapToGrid w:val="0"/>
              <w:spacing w:line="240" w:lineRule="atLeast"/>
              <w:jc w:val="center"/>
              <w:textAlignment w:val="center"/>
              <w:rPr>
                <w:rFonts w:ascii="Times New Roman" w:hAnsi="Times New Roman" w:eastAsia="微软雅黑" w:cs="Times New Roman"/>
                <w:b/>
                <w:bCs/>
                <w:color w:val="000000"/>
                <w:sz w:val="21"/>
                <w:szCs w:val="21"/>
                <w:lang w:eastAsia="zh-CN"/>
              </w:rPr>
            </w:pPr>
            <w:r>
              <w:rPr>
                <w:rFonts w:hint="eastAsia" w:ascii="Times New Roman" w:hAnsi="Times New Roman" w:eastAsia="微软雅黑" w:cs="Times New Roman"/>
                <w:b/>
                <w:bCs/>
                <w:color w:val="000000"/>
                <w:sz w:val="21"/>
                <w:szCs w:val="21"/>
                <w:lang w:eastAsia="zh-CN"/>
              </w:rPr>
              <w:t>APC</w:t>
            </w:r>
          </w:p>
          <w:p w14:paraId="144C0034">
            <w:pPr>
              <w:widowControl/>
              <w:snapToGrid w:val="0"/>
              <w:spacing w:line="240" w:lineRule="atLeast"/>
              <w:jc w:val="center"/>
              <w:textAlignment w:val="center"/>
              <w:rPr>
                <w:rFonts w:ascii="Times New Roman" w:hAnsi="Times New Roman" w:eastAsia="微软雅黑" w:cs="微软雅黑"/>
                <w:sz w:val="21"/>
                <w:lang w:eastAsia="zh-CN"/>
              </w:rPr>
            </w:pPr>
            <w:r>
              <w:rPr>
                <w:rFonts w:hint="eastAsia" w:ascii="Times New Roman" w:hAnsi="Times New Roman" w:eastAsia="微软雅黑" w:cs="微软雅黑"/>
                <w:sz w:val="21"/>
                <w:lang w:eastAsia="zh-CN"/>
              </w:rPr>
              <w:t>突变</w:t>
            </w:r>
          </w:p>
        </w:tc>
        <w:tc>
          <w:tcPr>
            <w:tcW w:w="1135" w:type="dxa"/>
            <w:tcBorders>
              <w:top w:val="nil"/>
            </w:tcBorders>
            <w:shd w:val="clear" w:color="auto" w:fill="auto"/>
            <w:vAlign w:val="center"/>
          </w:tcPr>
          <w:p w14:paraId="522DA90A">
            <w:pPr>
              <w:widowControl/>
              <w:snapToGrid w:val="0"/>
              <w:spacing w:line="240" w:lineRule="atLeast"/>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color w:val="000000"/>
                <w:sz w:val="21"/>
                <w:szCs w:val="21"/>
                <w:lang w:eastAsia="zh-CN"/>
              </w:rPr>
              <w:t>{{ et.APC }}</w:t>
            </w:r>
          </w:p>
        </w:tc>
        <w:tc>
          <w:tcPr>
            <w:tcW w:w="5673" w:type="dxa"/>
            <w:tcBorders>
              <w:top w:val="nil"/>
            </w:tcBorders>
            <w:shd w:val="clear" w:color="auto" w:fill="auto"/>
            <w:vAlign w:val="center"/>
          </w:tcPr>
          <w:p w14:paraId="03C445F0">
            <w:pPr>
              <w:widowControl/>
              <w:snapToGrid w:val="0"/>
              <w:spacing w:line="240" w:lineRule="atLeast"/>
              <w:jc w:val="both"/>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color w:val="000000"/>
                <w:sz w:val="21"/>
                <w:szCs w:val="21"/>
                <w:lang w:eastAsia="zh-CN"/>
              </w:rPr>
              <w:t>去势抵抗性前列腺癌临床研究提示，WNT/β连 环蛋白信号通路的激活与阿比特龙/恩扎卢胺的疗效较差相关。APC失活突变会导致 WNT/β连环蛋白信号通路的激活。</w:t>
            </w:r>
          </w:p>
        </w:tc>
        <w:tc>
          <w:tcPr>
            <w:tcW w:w="1702" w:type="dxa"/>
            <w:tcBorders>
              <w:top w:val="nil"/>
            </w:tcBorders>
            <w:shd w:val="clear" w:color="auto" w:fill="auto"/>
            <w:vAlign w:val="center"/>
          </w:tcPr>
          <w:p w14:paraId="5252D7F1">
            <w:pPr>
              <w:widowControl/>
              <w:snapToGrid w:val="0"/>
              <w:spacing w:line="240" w:lineRule="atLeast"/>
              <w:jc w:val="both"/>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color w:val="000000"/>
                <w:sz w:val="21"/>
                <w:szCs w:val="21"/>
                <w:lang w:eastAsia="zh-CN"/>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rPr>
              <w:t>31176623</w:t>
            </w:r>
          </w:p>
        </w:tc>
      </w:tr>
      <w:tr w14:paraId="04F0F25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tcBorders>
              <w:top w:val="nil"/>
            </w:tcBorders>
            <w:shd w:val="clear" w:color="auto" w:fill="auto"/>
            <w:vAlign w:val="center"/>
          </w:tcPr>
          <w:p w14:paraId="17058013">
            <w:pPr>
              <w:widowControl/>
              <w:snapToGrid w:val="0"/>
              <w:spacing w:line="240" w:lineRule="atLeast"/>
              <w:jc w:val="center"/>
              <w:textAlignment w:val="center"/>
              <w:rPr>
                <w:rFonts w:ascii="Times New Roman" w:hAnsi="Times New Roman" w:eastAsia="微软雅黑"/>
                <w:sz w:val="21"/>
              </w:rPr>
            </w:pPr>
            <w:r>
              <w:rPr>
                <w:rFonts w:hint="eastAsia" w:ascii="Times New Roman" w:hAnsi="Times New Roman" w:eastAsia="微软雅黑" w:cs="Times New Roman"/>
                <w:b/>
                <w:bCs/>
                <w:color w:val="000000"/>
                <w:sz w:val="21"/>
                <w:szCs w:val="21"/>
                <w:lang w:eastAsia="zh-CN"/>
              </w:rPr>
              <w:t>AR</w:t>
            </w:r>
          </w:p>
          <w:p w14:paraId="1E0885D3">
            <w:pPr>
              <w:widowControl/>
              <w:snapToGrid w:val="0"/>
              <w:spacing w:line="240" w:lineRule="atLeast"/>
              <w:jc w:val="center"/>
              <w:textAlignment w:val="center"/>
              <w:rPr>
                <w:rFonts w:ascii="Times New Roman" w:hAnsi="Times New Roman" w:eastAsia="微软雅黑" w:cs="Times New Roman"/>
                <w:b/>
                <w:bCs/>
                <w:color w:val="000000"/>
                <w:sz w:val="21"/>
                <w:szCs w:val="21"/>
                <w:lang w:eastAsia="zh-CN"/>
              </w:rPr>
            </w:pPr>
            <w:r>
              <w:rPr>
                <w:rFonts w:hint="eastAsia" w:ascii="Times New Roman" w:hAnsi="Times New Roman" w:eastAsia="微软雅黑" w:cs="微软雅黑"/>
                <w:sz w:val="21"/>
                <w:lang w:eastAsia="zh-CN"/>
              </w:rPr>
              <w:t>突变和扩增</w:t>
            </w:r>
          </w:p>
        </w:tc>
        <w:tc>
          <w:tcPr>
            <w:tcW w:w="1135" w:type="dxa"/>
            <w:tcBorders>
              <w:top w:val="nil"/>
            </w:tcBorders>
            <w:shd w:val="clear" w:color="auto" w:fill="auto"/>
            <w:vAlign w:val="center"/>
          </w:tcPr>
          <w:p w14:paraId="3B7B89E5">
            <w:pPr>
              <w:widowControl/>
              <w:snapToGrid w:val="0"/>
              <w:spacing w:line="240" w:lineRule="atLeast"/>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color w:val="000000"/>
                <w:sz w:val="21"/>
                <w:szCs w:val="21"/>
                <w:lang w:eastAsia="zh-CN"/>
              </w:rPr>
              <w:t>{{ et.AR }}</w:t>
            </w:r>
          </w:p>
        </w:tc>
        <w:tc>
          <w:tcPr>
            <w:tcW w:w="5673" w:type="dxa"/>
            <w:tcBorders>
              <w:top w:val="nil"/>
            </w:tcBorders>
            <w:shd w:val="clear" w:color="auto" w:fill="auto"/>
            <w:vAlign w:val="center"/>
          </w:tcPr>
          <w:p w14:paraId="61501998">
            <w:pPr>
              <w:widowControl/>
              <w:snapToGrid w:val="0"/>
              <w:spacing w:line="240" w:lineRule="atLeast"/>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color w:val="000000"/>
                <w:sz w:val="21"/>
                <w:szCs w:val="21"/>
                <w:lang w:eastAsia="zh-CN"/>
              </w:rPr>
              <w:t>AR信号通路相关基因发生变异，可能会影响前列腺癌患者的疾病预后以及内分泌治疗的疗效。去势抵抗性前列腺癌临床研究提示，AR基因的扩增和点突变与阿比特龙、恩扎卢胺、比卡鲁胺或氟他胺等药物疗效较差相关。</w:t>
            </w:r>
          </w:p>
        </w:tc>
        <w:tc>
          <w:tcPr>
            <w:tcW w:w="1702" w:type="dxa"/>
            <w:tcBorders>
              <w:top w:val="nil"/>
            </w:tcBorders>
            <w:shd w:val="clear" w:color="auto" w:fill="auto"/>
            <w:vAlign w:val="center"/>
          </w:tcPr>
          <w:p w14:paraId="068431D6">
            <w:pPr>
              <w:widowControl/>
              <w:snapToGrid w:val="0"/>
              <w:spacing w:line="240" w:lineRule="atLeast"/>
              <w:jc w:val="center"/>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27148695</w:t>
            </w:r>
          </w:p>
          <w:p w14:paraId="1F76F788">
            <w:pPr>
              <w:widowControl/>
              <w:snapToGrid w:val="0"/>
              <w:spacing w:line="240" w:lineRule="atLeast"/>
              <w:jc w:val="center"/>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28604629</w:t>
            </w:r>
          </w:p>
          <w:p w14:paraId="6294A9D4">
            <w:pPr>
              <w:widowControl/>
              <w:snapToGrid w:val="0"/>
              <w:spacing w:line="240" w:lineRule="atLeast"/>
              <w:jc w:val="center"/>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23580326</w:t>
            </w:r>
          </w:p>
          <w:p w14:paraId="7B3D39E1">
            <w:pPr>
              <w:widowControl/>
              <w:snapToGrid w:val="0"/>
              <w:spacing w:line="240" w:lineRule="atLeast"/>
              <w:jc w:val="center"/>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26813233</w:t>
            </w:r>
          </w:p>
        </w:tc>
      </w:tr>
      <w:tr w14:paraId="2E2ADEB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tcBorders>
              <w:top w:val="nil"/>
            </w:tcBorders>
            <w:shd w:val="clear" w:color="auto" w:fill="auto"/>
            <w:vAlign w:val="center"/>
          </w:tcPr>
          <w:p w14:paraId="6719CE67">
            <w:pPr>
              <w:widowControl/>
              <w:snapToGrid w:val="0"/>
              <w:spacing w:line="240" w:lineRule="atLeast"/>
              <w:jc w:val="center"/>
              <w:textAlignment w:val="center"/>
              <w:rPr>
                <w:rFonts w:ascii="Times New Roman" w:hAnsi="Times New Roman" w:eastAsia="微软雅黑" w:cs="Times New Roman"/>
                <w:b/>
                <w:bCs/>
                <w:color w:val="000000"/>
                <w:sz w:val="21"/>
                <w:szCs w:val="21"/>
                <w:lang w:eastAsia="zh-CN"/>
              </w:rPr>
            </w:pPr>
            <w:r>
              <w:rPr>
                <w:rFonts w:hint="eastAsia" w:ascii="Times New Roman" w:hAnsi="Times New Roman" w:eastAsia="微软雅黑" w:cs="Times New Roman"/>
                <w:b/>
                <w:bCs/>
                <w:color w:val="000000"/>
                <w:sz w:val="21"/>
                <w:szCs w:val="21"/>
                <w:lang w:eastAsia="zh-CN"/>
              </w:rPr>
              <w:t>CTNNB1</w:t>
            </w:r>
          </w:p>
          <w:p w14:paraId="130E5E18">
            <w:pPr>
              <w:widowControl/>
              <w:snapToGrid w:val="0"/>
              <w:spacing w:line="240" w:lineRule="atLeast"/>
              <w:jc w:val="center"/>
              <w:textAlignment w:val="center"/>
              <w:rPr>
                <w:rFonts w:ascii="Times New Roman" w:hAnsi="Times New Roman" w:eastAsia="微软雅黑" w:cs="微软雅黑"/>
                <w:sz w:val="21"/>
                <w:lang w:eastAsia="zh-CN"/>
              </w:rPr>
            </w:pPr>
            <w:r>
              <w:rPr>
                <w:rFonts w:hint="eastAsia" w:ascii="Times New Roman" w:hAnsi="Times New Roman" w:eastAsia="微软雅黑" w:cs="微软雅黑"/>
                <w:sz w:val="21"/>
                <w:lang w:eastAsia="zh-CN"/>
              </w:rPr>
              <w:t>体系突变</w:t>
            </w:r>
          </w:p>
        </w:tc>
        <w:tc>
          <w:tcPr>
            <w:tcW w:w="1135" w:type="dxa"/>
            <w:tcBorders>
              <w:top w:val="nil"/>
            </w:tcBorders>
            <w:shd w:val="clear" w:color="auto" w:fill="auto"/>
            <w:vAlign w:val="center"/>
          </w:tcPr>
          <w:p w14:paraId="2197DFC7">
            <w:pPr>
              <w:widowControl/>
              <w:snapToGrid w:val="0"/>
              <w:spacing w:line="240" w:lineRule="atLeast"/>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color w:val="000000"/>
                <w:sz w:val="21"/>
                <w:szCs w:val="21"/>
                <w:lang w:eastAsia="zh-CN"/>
              </w:rPr>
              <w:t>{{ et.CTNNB1 }}</w:t>
            </w:r>
          </w:p>
        </w:tc>
        <w:tc>
          <w:tcPr>
            <w:tcW w:w="5673" w:type="dxa"/>
            <w:tcBorders>
              <w:top w:val="nil"/>
            </w:tcBorders>
            <w:shd w:val="clear" w:color="auto" w:fill="auto"/>
            <w:vAlign w:val="center"/>
          </w:tcPr>
          <w:p w14:paraId="5DD71E26">
            <w:pPr>
              <w:widowControl/>
              <w:snapToGrid w:val="0"/>
              <w:spacing w:line="240" w:lineRule="atLeast"/>
              <w:jc w:val="both"/>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color w:val="000000"/>
                <w:sz w:val="21"/>
                <w:szCs w:val="21"/>
                <w:lang w:eastAsia="zh-CN"/>
              </w:rPr>
              <w:t>去势抵抗性前列腺癌临床研究提示，WNT/</w:t>
            </w:r>
            <w:r>
              <w:rPr>
                <w:rFonts w:hint="eastAsia" w:ascii="Times New Roman" w:hAnsi="Times New Roman" w:eastAsia="微软雅黑" w:cs="Times New Roman"/>
                <w:color w:val="000000"/>
                <w:sz w:val="21"/>
                <w:szCs w:val="21"/>
              </w:rPr>
              <w:t>β</w:t>
            </w:r>
            <w:r>
              <w:rPr>
                <w:rFonts w:hint="eastAsia" w:ascii="Times New Roman" w:hAnsi="Times New Roman" w:eastAsia="微软雅黑" w:cs="Times New Roman"/>
                <w:color w:val="000000"/>
                <w:sz w:val="21"/>
                <w:szCs w:val="21"/>
                <w:lang w:eastAsia="zh-CN"/>
              </w:rPr>
              <w:t>连环蛋白信号通路的激活与阿比特龙/恩扎卢胺的疗效较差相关。CTNNB1基因编码产物是</w:t>
            </w:r>
            <w:r>
              <w:rPr>
                <w:rFonts w:hint="eastAsia" w:ascii="Times New Roman" w:hAnsi="Times New Roman" w:eastAsia="微软雅黑" w:cs="Times New Roman"/>
                <w:color w:val="000000"/>
                <w:sz w:val="21"/>
                <w:szCs w:val="21"/>
              </w:rPr>
              <w:t>β</w:t>
            </w:r>
            <w:r>
              <w:rPr>
                <w:rFonts w:hint="eastAsia" w:ascii="Times New Roman" w:hAnsi="Times New Roman" w:eastAsia="微软雅黑" w:cs="Times New Roman"/>
                <w:color w:val="000000"/>
                <w:sz w:val="21"/>
                <w:szCs w:val="21"/>
                <w:lang w:eastAsia="zh-CN"/>
              </w:rPr>
              <w:t>连环蛋白，是与WNT信号通路相关的一种转录激活因子。</w:t>
            </w:r>
          </w:p>
        </w:tc>
        <w:tc>
          <w:tcPr>
            <w:tcW w:w="1702" w:type="dxa"/>
            <w:tcBorders>
              <w:top w:val="nil"/>
            </w:tcBorders>
            <w:shd w:val="clear" w:color="auto" w:fill="auto"/>
            <w:vAlign w:val="center"/>
          </w:tcPr>
          <w:p w14:paraId="1C0F1410">
            <w:pPr>
              <w:widowControl/>
              <w:snapToGrid w:val="0"/>
              <w:spacing w:line="240" w:lineRule="atLeast"/>
              <w:jc w:val="center"/>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22617422</w:t>
            </w:r>
          </w:p>
          <w:p w14:paraId="31AA9B84">
            <w:pPr>
              <w:widowControl/>
              <w:snapToGrid w:val="0"/>
              <w:spacing w:line="240" w:lineRule="atLeast"/>
              <w:jc w:val="center"/>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31176623</w:t>
            </w:r>
          </w:p>
        </w:tc>
      </w:tr>
      <w:tr w14:paraId="201D509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shd w:val="clear" w:color="auto" w:fill="auto"/>
            <w:vAlign w:val="center"/>
          </w:tcPr>
          <w:p w14:paraId="031BA754">
            <w:pPr>
              <w:widowControl/>
              <w:snapToGrid w:val="0"/>
              <w:spacing w:line="240" w:lineRule="atLeast"/>
              <w:jc w:val="center"/>
              <w:textAlignment w:val="center"/>
              <w:rPr>
                <w:rFonts w:ascii="Times New Roman" w:hAnsi="Times New Roman" w:eastAsia="微软雅黑"/>
                <w:sz w:val="21"/>
              </w:rPr>
            </w:pPr>
            <w:r>
              <w:rPr>
                <w:rStyle w:val="41"/>
                <w:rFonts w:hint="default" w:ascii="Times New Roman" w:hAnsi="Times New Roman" w:cs="Times New Roman"/>
                <w:lang w:eastAsia="zh-CN" w:bidi="ar"/>
              </w:rPr>
              <w:t>FOXA1</w:t>
            </w:r>
          </w:p>
          <w:p w14:paraId="27976071">
            <w:pPr>
              <w:widowControl/>
              <w:snapToGrid w:val="0"/>
              <w:spacing w:line="240" w:lineRule="atLeast"/>
              <w:jc w:val="center"/>
              <w:textAlignment w:val="center"/>
              <w:rPr>
                <w:rFonts w:ascii="Times New Roman" w:hAnsi="Times New Roman" w:eastAsia="微软雅黑"/>
                <w:sz w:val="21"/>
                <w:lang w:eastAsia="zh-CN"/>
              </w:rPr>
            </w:pPr>
            <w:r>
              <w:rPr>
                <w:rFonts w:hint="eastAsia" w:ascii="Times New Roman" w:hAnsi="Times New Roman" w:eastAsia="微软雅黑" w:cs="微软雅黑"/>
                <w:sz w:val="21"/>
                <w:lang w:eastAsia="zh-CN"/>
              </w:rPr>
              <w:t>突变</w:t>
            </w:r>
          </w:p>
        </w:tc>
        <w:tc>
          <w:tcPr>
            <w:tcW w:w="1135" w:type="dxa"/>
            <w:shd w:val="clear" w:color="auto" w:fill="auto"/>
            <w:vAlign w:val="center"/>
          </w:tcPr>
          <w:p w14:paraId="5A2D6E51">
            <w:pPr>
              <w:widowControl/>
              <w:snapToGrid w:val="0"/>
              <w:spacing w:line="240" w:lineRule="atLeast"/>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sz w:val="21"/>
                <w:szCs w:val="21"/>
                <w:lang w:eastAsia="zh-CN"/>
              </w:rPr>
              <w:t>{{ et.FOXA1 }}</w:t>
            </w:r>
          </w:p>
        </w:tc>
        <w:tc>
          <w:tcPr>
            <w:tcW w:w="5673" w:type="dxa"/>
            <w:shd w:val="clear" w:color="auto" w:fill="auto"/>
            <w:vAlign w:val="center"/>
          </w:tcPr>
          <w:p w14:paraId="571D729B">
            <w:pPr>
              <w:widowControl/>
              <w:snapToGrid w:val="0"/>
              <w:spacing w:line="240" w:lineRule="atLeast"/>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前列腺癌临床研究提示，FOXA1突变型患者的无生化复发生存期更短，更易发生转移进展。</w:t>
            </w:r>
          </w:p>
        </w:tc>
        <w:tc>
          <w:tcPr>
            <w:tcW w:w="1702" w:type="dxa"/>
            <w:shd w:val="clear" w:color="auto" w:fill="auto"/>
            <w:vAlign w:val="center"/>
          </w:tcPr>
          <w:p w14:paraId="567FBF57">
            <w:pPr>
              <w:widowControl/>
              <w:snapToGrid w:val="0"/>
              <w:spacing w:line="240" w:lineRule="atLeast"/>
              <w:jc w:val="center"/>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31243370</w:t>
            </w:r>
          </w:p>
        </w:tc>
      </w:tr>
      <w:tr w14:paraId="3903468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shd w:val="clear" w:color="auto" w:fill="auto"/>
            <w:vAlign w:val="center"/>
          </w:tcPr>
          <w:p w14:paraId="7CE5180F">
            <w:pPr>
              <w:widowControl/>
              <w:snapToGrid w:val="0"/>
              <w:spacing w:line="240" w:lineRule="atLeast"/>
              <w:jc w:val="center"/>
              <w:textAlignment w:val="center"/>
              <w:rPr>
                <w:rFonts w:ascii="Times New Roman" w:hAnsi="Times New Roman" w:eastAsia="微软雅黑"/>
                <w:sz w:val="21"/>
              </w:rPr>
            </w:pPr>
            <w:r>
              <w:rPr>
                <w:rStyle w:val="41"/>
                <w:rFonts w:hint="default" w:ascii="Times New Roman" w:hAnsi="Times New Roman" w:cs="Times New Roman"/>
                <w:lang w:eastAsia="zh-CN" w:bidi="ar"/>
              </w:rPr>
              <w:t>PTEN</w:t>
            </w:r>
          </w:p>
          <w:p w14:paraId="2409846A">
            <w:pPr>
              <w:widowControl/>
              <w:snapToGrid w:val="0"/>
              <w:spacing w:line="240" w:lineRule="atLeast"/>
              <w:jc w:val="center"/>
              <w:textAlignment w:val="center"/>
              <w:rPr>
                <w:rFonts w:ascii="Times New Roman" w:hAnsi="Times New Roman" w:eastAsia="微软雅黑"/>
                <w:sz w:val="21"/>
                <w:lang w:eastAsia="zh-CN"/>
              </w:rPr>
            </w:pPr>
            <w:r>
              <w:rPr>
                <w:rFonts w:hint="eastAsia" w:ascii="Times New Roman" w:hAnsi="Times New Roman" w:eastAsia="微软雅黑" w:cs="微软雅黑"/>
                <w:sz w:val="21"/>
                <w:lang w:eastAsia="zh-CN"/>
              </w:rPr>
              <w:t>突变</w:t>
            </w:r>
          </w:p>
        </w:tc>
        <w:tc>
          <w:tcPr>
            <w:tcW w:w="1135" w:type="dxa"/>
            <w:shd w:val="clear" w:color="auto" w:fill="auto"/>
            <w:vAlign w:val="center"/>
          </w:tcPr>
          <w:p w14:paraId="23755EC1">
            <w:pPr>
              <w:widowControl/>
              <w:snapToGrid w:val="0"/>
              <w:spacing w:line="240" w:lineRule="atLeast"/>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sz w:val="21"/>
                <w:szCs w:val="21"/>
                <w:lang w:eastAsia="zh-CN"/>
              </w:rPr>
              <w:t>{{ et.PTEN }}</w:t>
            </w:r>
          </w:p>
        </w:tc>
        <w:tc>
          <w:tcPr>
            <w:tcW w:w="5673" w:type="dxa"/>
            <w:shd w:val="clear" w:color="auto" w:fill="auto"/>
            <w:vAlign w:val="center"/>
          </w:tcPr>
          <w:p w14:paraId="6EA7D55D">
            <w:pPr>
              <w:widowControl/>
              <w:snapToGrid w:val="0"/>
              <w:spacing w:line="240" w:lineRule="atLeast"/>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去势抵抗性前列腺癌临床研究提示，PTEN蛋白功能的缺失与阿比特龙疗效较差相关。</w:t>
            </w:r>
          </w:p>
        </w:tc>
        <w:tc>
          <w:tcPr>
            <w:tcW w:w="1702" w:type="dxa"/>
            <w:shd w:val="clear" w:color="auto" w:fill="auto"/>
            <w:vAlign w:val="center"/>
          </w:tcPr>
          <w:p w14:paraId="297F1C48">
            <w:pPr>
              <w:widowControl/>
              <w:snapToGrid w:val="0"/>
              <w:spacing w:line="240" w:lineRule="atLeast"/>
              <w:jc w:val="center"/>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25454616</w:t>
            </w:r>
          </w:p>
        </w:tc>
      </w:tr>
      <w:tr w14:paraId="7CE3F4C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shd w:val="clear" w:color="auto" w:fill="auto"/>
            <w:vAlign w:val="center"/>
          </w:tcPr>
          <w:p w14:paraId="7E61204E">
            <w:pPr>
              <w:widowControl/>
              <w:snapToGrid w:val="0"/>
              <w:spacing w:line="240" w:lineRule="atLeast"/>
              <w:jc w:val="center"/>
              <w:textAlignment w:val="center"/>
              <w:rPr>
                <w:rFonts w:ascii="Times New Roman" w:hAnsi="Times New Roman" w:eastAsia="微软雅黑"/>
                <w:sz w:val="21"/>
              </w:rPr>
            </w:pPr>
            <w:r>
              <w:rPr>
                <w:rStyle w:val="41"/>
                <w:rFonts w:hint="default" w:ascii="Times New Roman" w:hAnsi="Times New Roman" w:cs="Times New Roman"/>
                <w:lang w:eastAsia="zh-CN" w:bidi="ar"/>
              </w:rPr>
              <w:t>SPOP</w:t>
            </w:r>
          </w:p>
          <w:p w14:paraId="2E03B4DA">
            <w:pPr>
              <w:widowControl/>
              <w:snapToGrid w:val="0"/>
              <w:spacing w:line="240" w:lineRule="atLeast"/>
              <w:jc w:val="center"/>
              <w:textAlignment w:val="center"/>
              <w:rPr>
                <w:rFonts w:ascii="Times New Roman" w:hAnsi="Times New Roman" w:eastAsia="微软雅黑"/>
                <w:sz w:val="21"/>
                <w:lang w:eastAsia="zh-CN"/>
              </w:rPr>
            </w:pPr>
            <w:r>
              <w:rPr>
                <w:rFonts w:hint="eastAsia" w:ascii="Times New Roman" w:hAnsi="Times New Roman" w:eastAsia="微软雅黑" w:cs="微软雅黑"/>
                <w:sz w:val="21"/>
                <w:lang w:eastAsia="zh-CN"/>
              </w:rPr>
              <w:t>突变</w:t>
            </w:r>
          </w:p>
        </w:tc>
        <w:tc>
          <w:tcPr>
            <w:tcW w:w="1135" w:type="dxa"/>
            <w:shd w:val="clear" w:color="auto" w:fill="auto"/>
            <w:vAlign w:val="center"/>
          </w:tcPr>
          <w:p w14:paraId="0188E093">
            <w:pPr>
              <w:widowControl/>
              <w:snapToGrid w:val="0"/>
              <w:spacing w:line="240" w:lineRule="atLeast"/>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sz w:val="21"/>
                <w:szCs w:val="21"/>
                <w:lang w:eastAsia="zh-CN"/>
              </w:rPr>
              <w:t>{{ et.SPOP }}</w:t>
            </w:r>
          </w:p>
        </w:tc>
        <w:tc>
          <w:tcPr>
            <w:tcW w:w="5673" w:type="dxa"/>
            <w:shd w:val="clear" w:color="auto" w:fill="auto"/>
            <w:vAlign w:val="center"/>
          </w:tcPr>
          <w:p w14:paraId="2AB1CC5E">
            <w:pPr>
              <w:widowControl/>
              <w:snapToGrid w:val="0"/>
              <w:spacing w:line="240" w:lineRule="atLeast"/>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SPOP基因编码CUL3泛素连接酶复合体中的接头蛋白，该基因部分突变会导致前列腺癌细胞的增殖和侵袭。</w:t>
            </w:r>
          </w:p>
        </w:tc>
        <w:tc>
          <w:tcPr>
            <w:tcW w:w="1702" w:type="dxa"/>
            <w:shd w:val="clear" w:color="auto" w:fill="auto"/>
            <w:vAlign w:val="center"/>
          </w:tcPr>
          <w:p w14:paraId="225BBF90">
            <w:pPr>
              <w:widowControl/>
              <w:snapToGrid w:val="0"/>
              <w:spacing w:line="240" w:lineRule="atLeast"/>
              <w:jc w:val="center"/>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25766326</w:t>
            </w:r>
          </w:p>
          <w:p w14:paraId="21E5DF8B">
            <w:pPr>
              <w:widowControl/>
              <w:snapToGrid w:val="0"/>
              <w:spacing w:line="240" w:lineRule="atLeast"/>
              <w:jc w:val="center"/>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29996942</w:t>
            </w:r>
          </w:p>
        </w:tc>
      </w:tr>
      <w:tr w14:paraId="09580F1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shd w:val="clear" w:color="auto" w:fill="auto"/>
            <w:vAlign w:val="center"/>
          </w:tcPr>
          <w:p w14:paraId="3CBA16B8">
            <w:pPr>
              <w:widowControl/>
              <w:snapToGrid w:val="0"/>
              <w:spacing w:line="240" w:lineRule="atLeast"/>
              <w:jc w:val="center"/>
              <w:textAlignment w:val="center"/>
              <w:rPr>
                <w:rFonts w:ascii="Times New Roman" w:hAnsi="Times New Roman" w:eastAsia="微软雅黑"/>
                <w:sz w:val="21"/>
              </w:rPr>
            </w:pPr>
            <w:r>
              <w:rPr>
                <w:rStyle w:val="41"/>
                <w:rFonts w:hint="default" w:ascii="Times New Roman" w:hAnsi="Times New Roman" w:cs="Times New Roman"/>
                <w:lang w:eastAsia="zh-CN" w:bidi="ar"/>
              </w:rPr>
              <w:t>TP53</w:t>
            </w:r>
          </w:p>
          <w:p w14:paraId="45326144">
            <w:pPr>
              <w:widowControl/>
              <w:snapToGrid w:val="0"/>
              <w:spacing w:line="240" w:lineRule="atLeast"/>
              <w:jc w:val="center"/>
              <w:textAlignment w:val="center"/>
              <w:rPr>
                <w:rFonts w:ascii="Times New Roman" w:hAnsi="Times New Roman" w:eastAsia="微软雅黑"/>
                <w:sz w:val="21"/>
                <w:lang w:eastAsia="zh-CN"/>
              </w:rPr>
            </w:pPr>
            <w:r>
              <w:rPr>
                <w:rFonts w:hint="eastAsia" w:ascii="Times New Roman" w:hAnsi="Times New Roman" w:eastAsia="微软雅黑" w:cs="微软雅黑"/>
                <w:sz w:val="21"/>
                <w:lang w:eastAsia="zh-CN"/>
              </w:rPr>
              <w:t>突变</w:t>
            </w:r>
          </w:p>
        </w:tc>
        <w:tc>
          <w:tcPr>
            <w:tcW w:w="1135" w:type="dxa"/>
            <w:shd w:val="clear" w:color="auto" w:fill="auto"/>
            <w:vAlign w:val="center"/>
          </w:tcPr>
          <w:p w14:paraId="31D720E6">
            <w:pPr>
              <w:widowControl/>
              <w:snapToGrid w:val="0"/>
              <w:spacing w:line="240" w:lineRule="atLeast"/>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sz w:val="21"/>
                <w:szCs w:val="21"/>
                <w:lang w:eastAsia="zh-CN"/>
              </w:rPr>
              <w:t>{{ et.TP53 }}</w:t>
            </w:r>
          </w:p>
        </w:tc>
        <w:tc>
          <w:tcPr>
            <w:tcW w:w="5673" w:type="dxa"/>
            <w:shd w:val="clear" w:color="auto" w:fill="auto"/>
            <w:vAlign w:val="center"/>
          </w:tcPr>
          <w:p w14:paraId="79752C25">
            <w:pPr>
              <w:widowControl/>
              <w:snapToGrid w:val="0"/>
              <w:spacing w:line="240" w:lineRule="atLeast"/>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前列腺癌临床研究提示，TP53失活突变与抗雄激素治疗效果较差相关。</w:t>
            </w:r>
          </w:p>
        </w:tc>
        <w:tc>
          <w:tcPr>
            <w:tcW w:w="1702" w:type="dxa"/>
            <w:shd w:val="clear" w:color="auto" w:fill="auto"/>
            <w:vAlign w:val="center"/>
          </w:tcPr>
          <w:p w14:paraId="32D2689D">
            <w:pPr>
              <w:widowControl/>
              <w:snapToGrid w:val="0"/>
              <w:spacing w:line="240" w:lineRule="atLeast"/>
              <w:jc w:val="center"/>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28059767</w:t>
            </w:r>
          </w:p>
          <w:p w14:paraId="5E18EC0A">
            <w:pPr>
              <w:widowControl/>
              <w:snapToGrid w:val="0"/>
              <w:spacing w:line="240" w:lineRule="atLeast"/>
              <w:jc w:val="center"/>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29367197</w:t>
            </w:r>
          </w:p>
        </w:tc>
      </w:tr>
    </w:tbl>
    <w:p w14:paraId="6D876EE2">
      <w:pPr>
        <w:spacing w:before="47"/>
        <w:rPr>
          <w:rFonts w:ascii="Times New Roman" w:hAnsi="Times New Roman" w:eastAsia="微软雅黑" w:cs="Times New Roman"/>
          <w:b/>
          <w:bCs/>
          <w:sz w:val="18"/>
          <w:szCs w:val="18"/>
          <w:lang w:eastAsia="zh-CN"/>
        </w:rPr>
      </w:pPr>
      <w:r>
        <w:rPr>
          <w:rFonts w:ascii="Times New Roman" w:hAnsi="Times New Roman" w:eastAsia="微软雅黑" w:cs="Times New Roman"/>
          <w:b/>
          <w:bCs/>
          <w:sz w:val="18"/>
          <w:szCs w:val="18"/>
          <w:lang w:eastAsia="zh-CN"/>
        </w:rPr>
        <w:t>注：</w:t>
      </w:r>
    </w:p>
    <w:p w14:paraId="31F87206">
      <w:pPr>
        <w:numPr>
          <w:ilvl w:val="0"/>
          <w:numId w:val="12"/>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前列腺癌内分泌治疗相关基因突变检测对于提示内分泌药物疗效和预后情况有一定的作用。</w:t>
      </w:r>
    </w:p>
    <w:p w14:paraId="784A3BEC">
      <w:pPr>
        <w:numPr>
          <w:ilvl w:val="0"/>
          <w:numId w:val="12"/>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本列表中基因的检测范围涵盖但不限于上表中列出的变异类型。良性变异、或疑似良性变异不在此“检出”范围内。</w:t>
      </w:r>
    </w:p>
    <w:p w14:paraId="067638F1">
      <w:pPr>
        <w:rPr>
          <w:sz w:val="30"/>
          <w:lang w:eastAsia="zh-CN"/>
        </w:rPr>
      </w:pPr>
      <w:r>
        <w:rPr>
          <w:sz w:val="30"/>
          <w:lang w:eastAsia="zh-CN"/>
        </w:rPr>
        <w:br w:type="page"/>
      </w:r>
    </w:p>
    <w:p w14:paraId="10FD3067">
      <w:pPr>
        <w:widowControl/>
        <w:spacing w:before="120" w:beforeLines="50" w:after="192" w:afterLines="80"/>
        <w:rPr>
          <w:sz w:val="30"/>
          <w:lang w:eastAsia="zh-CN"/>
        </w:rPr>
      </w:pPr>
      <w:r>
        <w:rPr>
          <w:rFonts w:hint="eastAsia" w:ascii="Times New Roman" w:hAnsi="Times New Roman" w:eastAsia="微软雅黑" w:cs="Times New Roman"/>
          <w:b/>
          <w:sz w:val="24"/>
          <w:szCs w:val="24"/>
          <w:lang w:eastAsia="zh-CN" w:bidi="ar"/>
        </w:rPr>
        <w:t>神经内分泌分化相关基因检测结果及临床意义提示</w:t>
      </w:r>
    </w:p>
    <w:tbl>
      <w:tblPr>
        <w:tblStyle w:val="14"/>
        <w:tblW w:w="9938" w:type="dxa"/>
        <w:tblInd w:w="98"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428"/>
        <w:gridCol w:w="1135"/>
        <w:gridCol w:w="5683"/>
        <w:gridCol w:w="1692"/>
      </w:tblGrid>
      <w:tr w14:paraId="3D385C4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1428" w:type="dxa"/>
            <w:tcBorders>
              <w:top w:val="nil"/>
              <w:bottom w:val="nil"/>
              <w:right w:val="single" w:color="FFFFFF" w:sz="18" w:space="0"/>
            </w:tcBorders>
            <w:shd w:val="clear" w:color="auto" w:fill="62B541"/>
            <w:vAlign w:val="center"/>
          </w:tcPr>
          <w:p w14:paraId="2A945637">
            <w:pPr>
              <w:widowControl/>
              <w:snapToGrid w:val="0"/>
              <w:jc w:val="center"/>
              <w:textAlignment w:val="center"/>
              <w:rPr>
                <w:rFonts w:ascii="Times New Roman" w:hAnsi="Times New Roman" w:eastAsia="微软雅黑" w:cs="Times New Roman"/>
                <w:b/>
                <w:bCs/>
                <w:color w:val="FFFFFF"/>
                <w:sz w:val="21"/>
                <w:szCs w:val="21"/>
                <w:lang w:eastAsia="zh-CN"/>
              </w:rPr>
            </w:pPr>
            <w:r>
              <w:rPr>
                <w:rFonts w:hint="eastAsia" w:ascii="Times New Roman" w:hAnsi="Times New Roman" w:eastAsia="微软雅黑" w:cs="Times New Roman"/>
                <w:b/>
                <w:bCs/>
                <w:color w:val="FFFFFF"/>
                <w:sz w:val="21"/>
                <w:szCs w:val="21"/>
                <w:lang w:eastAsia="zh-CN"/>
              </w:rPr>
              <w:t>分子标记物</w:t>
            </w:r>
          </w:p>
        </w:tc>
        <w:tc>
          <w:tcPr>
            <w:tcW w:w="1135" w:type="dxa"/>
            <w:tcBorders>
              <w:top w:val="nil"/>
              <w:left w:val="single" w:color="FFFFFF" w:sz="18" w:space="0"/>
              <w:bottom w:val="nil"/>
              <w:right w:val="single" w:color="FFFFFF" w:sz="18" w:space="0"/>
            </w:tcBorders>
            <w:shd w:val="clear" w:color="auto" w:fill="62B541"/>
            <w:vAlign w:val="center"/>
          </w:tcPr>
          <w:p w14:paraId="326C0B58">
            <w:pPr>
              <w:widowControl/>
              <w:snapToGrid w:val="0"/>
              <w:jc w:val="center"/>
              <w:textAlignment w:val="center"/>
              <w:rPr>
                <w:rFonts w:ascii="Times New Roman" w:hAnsi="Times New Roman" w:eastAsia="微软雅黑" w:cs="Times New Roman"/>
                <w:b/>
                <w:bCs/>
                <w:color w:val="FFFFFF"/>
                <w:sz w:val="21"/>
                <w:szCs w:val="21"/>
              </w:rPr>
            </w:pPr>
            <w:r>
              <w:rPr>
                <w:rStyle w:val="40"/>
                <w:rFonts w:hint="default" w:ascii="Times New Roman" w:hAnsi="Times New Roman" w:cs="Times New Roman"/>
                <w:lang w:eastAsia="zh-CN" w:bidi="ar"/>
              </w:rPr>
              <w:t>检测结果</w:t>
            </w:r>
          </w:p>
        </w:tc>
        <w:tc>
          <w:tcPr>
            <w:tcW w:w="5683" w:type="dxa"/>
            <w:tcBorders>
              <w:top w:val="nil"/>
              <w:left w:val="single" w:color="FFFFFF" w:sz="18" w:space="0"/>
              <w:bottom w:val="nil"/>
              <w:right w:val="single" w:color="FFFFFF" w:sz="18" w:space="0"/>
            </w:tcBorders>
            <w:shd w:val="clear" w:color="auto" w:fill="62B541"/>
            <w:vAlign w:val="center"/>
          </w:tcPr>
          <w:p w14:paraId="3003AA08">
            <w:pPr>
              <w:widowControl/>
              <w:snapToGrid w:val="0"/>
              <w:jc w:val="center"/>
              <w:textAlignment w:val="center"/>
              <w:rPr>
                <w:rFonts w:ascii="Times New Roman" w:hAnsi="Times New Roman" w:eastAsia="微软雅黑" w:cs="Times New Roman"/>
                <w:b/>
                <w:bCs/>
                <w:color w:val="FFFFFF"/>
                <w:sz w:val="21"/>
                <w:szCs w:val="21"/>
              </w:rPr>
            </w:pPr>
            <w:r>
              <w:rPr>
                <w:rStyle w:val="40"/>
                <w:rFonts w:hint="default" w:ascii="Times New Roman" w:hAnsi="Times New Roman" w:cs="Times New Roman"/>
                <w:lang w:eastAsia="zh-CN" w:bidi="ar"/>
              </w:rPr>
              <w:t>临床意义</w:t>
            </w:r>
          </w:p>
        </w:tc>
        <w:tc>
          <w:tcPr>
            <w:tcW w:w="1692" w:type="dxa"/>
            <w:tcBorders>
              <w:top w:val="nil"/>
              <w:left w:val="single" w:color="FFFFFF" w:sz="18" w:space="0"/>
              <w:bottom w:val="nil"/>
              <w:right w:val="nil"/>
            </w:tcBorders>
            <w:shd w:val="clear" w:color="auto" w:fill="62B541"/>
            <w:vAlign w:val="center"/>
          </w:tcPr>
          <w:p w14:paraId="3AB151FF">
            <w:pPr>
              <w:widowControl/>
              <w:snapToGrid w:val="0"/>
              <w:jc w:val="center"/>
              <w:textAlignment w:val="center"/>
              <w:rPr>
                <w:rStyle w:val="40"/>
                <w:rFonts w:hint="default" w:ascii="Times New Roman" w:hAnsi="Times New Roman" w:cs="Times New Roman"/>
                <w:lang w:eastAsia="zh-CN" w:bidi="ar"/>
              </w:rPr>
            </w:pPr>
            <w:r>
              <w:rPr>
                <w:rStyle w:val="40"/>
                <w:rFonts w:hint="default" w:ascii="Times New Roman" w:hAnsi="Times New Roman" w:cs="Times New Roman"/>
                <w:lang w:eastAsia="zh-CN" w:bidi="ar"/>
              </w:rPr>
              <w:t>参考依据</w:t>
            </w:r>
          </w:p>
        </w:tc>
      </w:tr>
      <w:tr w14:paraId="42DDF23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28" w:type="dxa"/>
            <w:tcBorders>
              <w:top w:val="nil"/>
            </w:tcBorders>
            <w:shd w:val="clear" w:color="auto" w:fill="auto"/>
            <w:vAlign w:val="center"/>
          </w:tcPr>
          <w:p w14:paraId="3C155B3E">
            <w:pPr>
              <w:widowControl/>
              <w:snapToGrid w:val="0"/>
              <w:spacing w:line="240" w:lineRule="atLeast"/>
              <w:jc w:val="center"/>
              <w:textAlignment w:val="center"/>
              <w:rPr>
                <w:rFonts w:ascii="Times New Roman" w:hAnsi="Times New Roman" w:eastAsia="微软雅黑"/>
                <w:sz w:val="21"/>
              </w:rPr>
            </w:pPr>
            <w:r>
              <w:rPr>
                <w:rFonts w:hint="eastAsia" w:ascii="Times New Roman" w:hAnsi="Times New Roman" w:eastAsia="微软雅黑" w:cs="Times New Roman"/>
                <w:b/>
                <w:bCs/>
                <w:color w:val="000000"/>
                <w:sz w:val="21"/>
                <w:szCs w:val="21"/>
                <w:lang w:eastAsia="zh-CN"/>
              </w:rPr>
              <w:t>AURKA</w:t>
            </w:r>
          </w:p>
          <w:p w14:paraId="48BF3723">
            <w:pPr>
              <w:widowControl/>
              <w:snapToGrid w:val="0"/>
              <w:spacing w:line="240" w:lineRule="atLeast"/>
              <w:jc w:val="center"/>
              <w:textAlignment w:val="center"/>
              <w:rPr>
                <w:rFonts w:ascii="Times New Roman" w:hAnsi="Times New Roman" w:eastAsia="微软雅黑"/>
                <w:sz w:val="21"/>
                <w:lang w:eastAsia="zh-CN"/>
              </w:rPr>
            </w:pPr>
            <w:r>
              <w:rPr>
                <w:rFonts w:hint="eastAsia" w:ascii="Times New Roman" w:hAnsi="Times New Roman" w:eastAsia="微软雅黑" w:cs="微软雅黑"/>
                <w:sz w:val="21"/>
                <w:lang w:eastAsia="zh-CN"/>
              </w:rPr>
              <w:t>扩增</w:t>
            </w:r>
          </w:p>
        </w:tc>
        <w:tc>
          <w:tcPr>
            <w:tcW w:w="1135" w:type="dxa"/>
            <w:tcBorders>
              <w:top w:val="nil"/>
            </w:tcBorders>
            <w:shd w:val="clear" w:color="auto" w:fill="auto"/>
            <w:vAlign w:val="center"/>
          </w:tcPr>
          <w:p w14:paraId="17F68300">
            <w:pPr>
              <w:widowControl/>
              <w:snapToGrid w:val="0"/>
              <w:spacing w:line="240" w:lineRule="atLeast"/>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color w:val="000000"/>
                <w:sz w:val="21"/>
                <w:szCs w:val="21"/>
                <w:lang w:eastAsia="zh-CN"/>
              </w:rPr>
              <w:t>{{ ed.AURKA }}</w:t>
            </w:r>
          </w:p>
        </w:tc>
        <w:tc>
          <w:tcPr>
            <w:tcW w:w="5683" w:type="dxa"/>
            <w:tcBorders>
              <w:top w:val="nil"/>
            </w:tcBorders>
            <w:shd w:val="clear" w:color="auto" w:fill="auto"/>
            <w:vAlign w:val="center"/>
          </w:tcPr>
          <w:p w14:paraId="1FCA960C">
            <w:pPr>
              <w:widowControl/>
              <w:snapToGrid w:val="0"/>
              <w:spacing w:line="240" w:lineRule="atLeast"/>
              <w:jc w:val="both"/>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color w:val="000000"/>
                <w:sz w:val="21"/>
                <w:szCs w:val="21"/>
                <w:lang w:eastAsia="zh-CN"/>
              </w:rPr>
              <w:t>有研究发现，AURKA 和 MYCN 扩增是激素治疗后肿瘤发展为治疗相关NEPC(t-NEPC)风险的先兆。AURKA基因扩增在神经内分泌前列腺癌中出现比例高达67%，是临床上具有小细胞癌特征的前列腺癌发生去势抵抗的潜在生物标志物。</w:t>
            </w:r>
          </w:p>
        </w:tc>
        <w:tc>
          <w:tcPr>
            <w:tcW w:w="1692" w:type="dxa"/>
            <w:tcBorders>
              <w:top w:val="nil"/>
            </w:tcBorders>
            <w:shd w:val="clear" w:color="auto" w:fill="auto"/>
            <w:vAlign w:val="center"/>
          </w:tcPr>
          <w:p w14:paraId="4DC7F19A">
            <w:pPr>
              <w:widowControl/>
              <w:snapToGrid w:val="0"/>
              <w:spacing w:line="240" w:lineRule="atLeast"/>
              <w:jc w:val="both"/>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25128228</w:t>
            </w:r>
          </w:p>
          <w:p w14:paraId="59AA23FF">
            <w:pPr>
              <w:widowControl/>
              <w:snapToGrid w:val="0"/>
              <w:spacing w:line="240" w:lineRule="atLeast"/>
              <w:jc w:val="both"/>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27080339</w:t>
            </w:r>
          </w:p>
          <w:p w14:paraId="692B8C3F">
            <w:pPr>
              <w:widowControl/>
              <w:snapToGrid w:val="0"/>
              <w:spacing w:line="240" w:lineRule="atLeast"/>
              <w:jc w:val="both"/>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23358695</w:t>
            </w:r>
          </w:p>
        </w:tc>
      </w:tr>
      <w:tr w14:paraId="25FDB6E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28" w:type="dxa"/>
            <w:shd w:val="clear" w:color="auto" w:fill="auto"/>
            <w:vAlign w:val="center"/>
          </w:tcPr>
          <w:p w14:paraId="0A46E17F">
            <w:pPr>
              <w:widowControl/>
              <w:snapToGrid w:val="0"/>
              <w:spacing w:line="240" w:lineRule="atLeast"/>
              <w:jc w:val="center"/>
              <w:textAlignment w:val="center"/>
              <w:rPr>
                <w:rFonts w:ascii="Times New Roman" w:hAnsi="Times New Roman" w:eastAsia="微软雅黑"/>
                <w:sz w:val="21"/>
              </w:rPr>
            </w:pPr>
            <w:r>
              <w:rPr>
                <w:rStyle w:val="41"/>
                <w:rFonts w:hint="default" w:ascii="Times New Roman" w:hAnsi="Times New Roman" w:cs="Times New Roman"/>
                <w:lang w:eastAsia="zh-CN" w:bidi="ar"/>
              </w:rPr>
              <w:t>MYCN</w:t>
            </w:r>
          </w:p>
          <w:p w14:paraId="22A4763C">
            <w:pPr>
              <w:widowControl/>
              <w:snapToGrid w:val="0"/>
              <w:spacing w:line="240" w:lineRule="atLeast"/>
              <w:jc w:val="center"/>
              <w:textAlignment w:val="center"/>
              <w:rPr>
                <w:rFonts w:ascii="Times New Roman" w:hAnsi="Times New Roman" w:eastAsia="微软雅黑"/>
                <w:sz w:val="21"/>
                <w:lang w:eastAsia="zh-CN"/>
              </w:rPr>
            </w:pPr>
            <w:r>
              <w:rPr>
                <w:rFonts w:hint="eastAsia" w:ascii="Times New Roman" w:hAnsi="Times New Roman" w:eastAsia="微软雅黑" w:cs="微软雅黑"/>
                <w:sz w:val="21"/>
                <w:lang w:eastAsia="zh-CN"/>
              </w:rPr>
              <w:t>扩增</w:t>
            </w:r>
          </w:p>
        </w:tc>
        <w:tc>
          <w:tcPr>
            <w:tcW w:w="1135" w:type="dxa"/>
            <w:shd w:val="clear" w:color="auto" w:fill="auto"/>
            <w:vAlign w:val="center"/>
          </w:tcPr>
          <w:p w14:paraId="2CABBCC4">
            <w:pPr>
              <w:widowControl/>
              <w:snapToGrid w:val="0"/>
              <w:spacing w:line="240" w:lineRule="atLeast"/>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sz w:val="21"/>
                <w:szCs w:val="21"/>
                <w:lang w:eastAsia="zh-CN"/>
              </w:rPr>
              <w:t>{{ ed.MYCN }}</w:t>
            </w:r>
          </w:p>
        </w:tc>
        <w:tc>
          <w:tcPr>
            <w:tcW w:w="5683" w:type="dxa"/>
            <w:shd w:val="clear" w:color="auto" w:fill="auto"/>
            <w:vAlign w:val="center"/>
          </w:tcPr>
          <w:p w14:paraId="3CC919B4">
            <w:pPr>
              <w:widowControl/>
              <w:snapToGrid w:val="0"/>
              <w:spacing w:line="240" w:lineRule="atLeast"/>
              <w:jc w:val="both"/>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有研究发现，AURKA和MYCN扩增是激素治疗后肿瘤发展为治疗相关NEPC(t-NEPC)风险的先兆。</w:t>
            </w:r>
          </w:p>
        </w:tc>
        <w:tc>
          <w:tcPr>
            <w:tcW w:w="1692" w:type="dxa"/>
            <w:shd w:val="clear" w:color="auto" w:fill="auto"/>
            <w:vAlign w:val="center"/>
          </w:tcPr>
          <w:p w14:paraId="3F120727">
            <w:pPr>
              <w:widowControl/>
              <w:snapToGrid w:val="0"/>
              <w:spacing w:line="240" w:lineRule="atLeast"/>
              <w:jc w:val="both"/>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27080339</w:t>
            </w:r>
          </w:p>
          <w:p w14:paraId="1F0769BC">
            <w:pPr>
              <w:widowControl/>
              <w:snapToGrid w:val="0"/>
              <w:spacing w:line="240" w:lineRule="atLeast"/>
              <w:jc w:val="both"/>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23358695</w:t>
            </w:r>
          </w:p>
        </w:tc>
      </w:tr>
      <w:tr w14:paraId="599448A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28" w:type="dxa"/>
            <w:shd w:val="clear" w:color="auto" w:fill="auto"/>
            <w:vAlign w:val="center"/>
          </w:tcPr>
          <w:p w14:paraId="714A84A9">
            <w:pPr>
              <w:widowControl/>
              <w:snapToGrid w:val="0"/>
              <w:spacing w:line="240" w:lineRule="atLeast"/>
              <w:jc w:val="center"/>
              <w:textAlignment w:val="center"/>
              <w:rPr>
                <w:rStyle w:val="41"/>
                <w:rFonts w:hint="default" w:ascii="Times New Roman" w:hAnsi="Times New Roman" w:cs="Times New Roman"/>
                <w:lang w:eastAsia="zh-CN" w:bidi="ar"/>
              </w:rPr>
            </w:pPr>
            <w:r>
              <w:rPr>
                <w:rStyle w:val="41"/>
                <w:rFonts w:hint="default" w:ascii="Times New Roman" w:hAnsi="Times New Roman" w:cs="Times New Roman"/>
                <w:lang w:eastAsia="zh-CN" w:bidi="ar"/>
              </w:rPr>
              <w:t>RB1</w:t>
            </w:r>
            <w:r>
              <w:rPr>
                <w:rStyle w:val="41"/>
                <w:rFonts w:hint="default" w:ascii="Times New Roman" w:hAnsi="Times New Roman" w:cs="Times New Roman"/>
                <w:b w:val="0"/>
                <w:bCs w:val="0"/>
                <w:lang w:eastAsia="zh-CN" w:bidi="ar"/>
              </w:rPr>
              <w:t>和</w:t>
            </w:r>
          </w:p>
          <w:p w14:paraId="69A7CCD1">
            <w:pPr>
              <w:widowControl/>
              <w:snapToGrid w:val="0"/>
              <w:spacing w:line="240" w:lineRule="atLeast"/>
              <w:jc w:val="center"/>
              <w:textAlignment w:val="center"/>
              <w:rPr>
                <w:rStyle w:val="41"/>
                <w:rFonts w:hint="default" w:ascii="Times New Roman" w:hAnsi="Times New Roman" w:cs="Times New Roman"/>
                <w:lang w:eastAsia="zh-CN" w:bidi="ar"/>
              </w:rPr>
            </w:pPr>
            <w:r>
              <w:rPr>
                <w:rStyle w:val="41"/>
                <w:rFonts w:hint="default" w:ascii="Times New Roman" w:hAnsi="Times New Roman" w:cs="Times New Roman"/>
                <w:lang w:eastAsia="zh-CN" w:bidi="ar"/>
              </w:rPr>
              <w:t>TP53</w:t>
            </w:r>
          </w:p>
          <w:p w14:paraId="347A8736">
            <w:pPr>
              <w:widowControl/>
              <w:snapToGrid w:val="0"/>
              <w:spacing w:line="240" w:lineRule="atLeast"/>
              <w:jc w:val="center"/>
              <w:textAlignment w:val="center"/>
              <w:rPr>
                <w:rStyle w:val="41"/>
                <w:rFonts w:hint="default" w:ascii="Times New Roman" w:hAnsi="Times New Roman" w:cs="Times New Roman"/>
                <w:lang w:eastAsia="zh-CN" w:bidi="ar"/>
              </w:rPr>
            </w:pPr>
            <w:r>
              <w:rPr>
                <w:rStyle w:val="41"/>
                <w:rFonts w:hint="default" w:ascii="Times New Roman" w:hAnsi="Times New Roman" w:cs="Times New Roman"/>
                <w:b w:val="0"/>
                <w:bCs w:val="0"/>
                <w:lang w:eastAsia="zh-CN" w:bidi="ar"/>
              </w:rPr>
              <w:t>共突变</w:t>
            </w:r>
          </w:p>
        </w:tc>
        <w:tc>
          <w:tcPr>
            <w:tcW w:w="1135" w:type="dxa"/>
            <w:shd w:val="clear" w:color="auto" w:fill="auto"/>
            <w:vAlign w:val="center"/>
          </w:tcPr>
          <w:p w14:paraId="49647922">
            <w:pPr>
              <w:widowControl/>
              <w:snapToGrid w:val="0"/>
              <w:spacing w:line="240" w:lineRule="atLeast"/>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sz w:val="21"/>
                <w:szCs w:val="21"/>
                <w:lang w:eastAsia="zh-CN"/>
              </w:rPr>
              <w:t>{{ ed.RB1 }}</w:t>
            </w:r>
          </w:p>
        </w:tc>
        <w:tc>
          <w:tcPr>
            <w:tcW w:w="5683" w:type="dxa"/>
            <w:shd w:val="clear" w:color="auto" w:fill="auto"/>
            <w:vAlign w:val="center"/>
          </w:tcPr>
          <w:p w14:paraId="3102C296">
            <w:pPr>
              <w:widowControl/>
              <w:snapToGrid w:val="0"/>
              <w:spacing w:line="240" w:lineRule="atLeast"/>
              <w:jc w:val="both"/>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有研究表明在前列腺癌中，RB1与TP53同时功能缺失，可能导致前列腺癌患者对抗雄激素治疗抵抗。74%的神经内分泌样转移性去势抵抗性前列腺癌中同时存在TP53及RB1失活突变。此外，在接受恩扎卢胺或阿比特龙治疗后疾病进展的患者中， TP53及RB1基因同时失活突变的频率明显更高。</w:t>
            </w:r>
          </w:p>
        </w:tc>
        <w:tc>
          <w:tcPr>
            <w:tcW w:w="1692" w:type="dxa"/>
            <w:shd w:val="clear" w:color="auto" w:fill="auto"/>
            <w:vAlign w:val="center"/>
          </w:tcPr>
          <w:p w14:paraId="63F8F42C">
            <w:pPr>
              <w:widowControl/>
              <w:snapToGrid w:val="0"/>
              <w:spacing w:line="240" w:lineRule="atLeast"/>
              <w:jc w:val="both"/>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28059767</w:t>
            </w:r>
          </w:p>
          <w:p w14:paraId="3C16596A">
            <w:pPr>
              <w:widowControl/>
              <w:snapToGrid w:val="0"/>
              <w:spacing w:line="240" w:lineRule="atLeast"/>
              <w:jc w:val="both"/>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28059768</w:t>
            </w:r>
          </w:p>
          <w:p w14:paraId="5D5AD356">
            <w:pPr>
              <w:widowControl/>
              <w:snapToGrid w:val="0"/>
              <w:spacing w:line="240" w:lineRule="atLeast"/>
              <w:jc w:val="both"/>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29460922</w:t>
            </w:r>
          </w:p>
        </w:tc>
      </w:tr>
    </w:tbl>
    <w:p w14:paraId="11718538">
      <w:pPr>
        <w:spacing w:before="47"/>
        <w:rPr>
          <w:rFonts w:ascii="Times New Roman" w:hAnsi="Times New Roman" w:eastAsia="微软雅黑" w:cs="Times New Roman"/>
          <w:b/>
          <w:bCs/>
          <w:sz w:val="18"/>
          <w:szCs w:val="18"/>
          <w:lang w:eastAsia="zh-CN"/>
        </w:rPr>
      </w:pPr>
      <w:r>
        <w:rPr>
          <w:rFonts w:ascii="Times New Roman" w:hAnsi="Times New Roman" w:eastAsia="微软雅黑" w:cs="Times New Roman"/>
          <w:b/>
          <w:bCs/>
          <w:sz w:val="18"/>
          <w:szCs w:val="18"/>
          <w:lang w:eastAsia="zh-CN"/>
        </w:rPr>
        <w:t>注：</w:t>
      </w:r>
    </w:p>
    <w:p w14:paraId="4D011DD0">
      <w:pPr>
        <w:numPr>
          <w:ilvl w:val="0"/>
          <w:numId w:val="13"/>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目前已知神经内分泌分化（NED）及神经内分泌性前列腺癌（NEPC）是造成前列腺癌去势抵抗的重要原因，多发生于去势抵抗性前列腺癌（CRPC）经过长期去势治疗之后，具有神经内分泌（NE）特征的前列腺癌患者对化疗疗效差、预后不良，大多数生存期不足1年。基于临床研究提示的神经内分泌分化前列腺癌的基因突变图谱，有效提示化疗和预后情况。</w:t>
      </w:r>
    </w:p>
    <w:p w14:paraId="54617121">
      <w:pPr>
        <w:numPr>
          <w:ilvl w:val="0"/>
          <w:numId w:val="13"/>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本列表中基因的检测范围涵盖但不限于上表中列出的变异类型。良性变异、或疑似良性变异不在此“检出”范围内。</w:t>
      </w:r>
    </w:p>
    <w:p w14:paraId="1DC96D96">
      <w:pPr>
        <w:rPr>
          <w:rFonts w:hint="default" w:ascii="Times New Roman" w:hAnsi="Times New Roman" w:cs="Times New Roman"/>
          <w:b w:val="0"/>
          <w:bCs w:val="0"/>
          <w:color w:val="000000" w:themeColor="text1"/>
          <w:sz w:val="24"/>
          <w:szCs w:val="24"/>
          <w:lang w:eastAsia="zh-CN"/>
          <w14:textFill>
            <w14:solidFill>
              <w14:schemeClr w14:val="tx1"/>
            </w14:solidFill>
          </w14:textFill>
        </w:rPr>
      </w:pPr>
      <w:r>
        <w:rPr>
          <w:rFonts w:hint="eastAsia" w:ascii="Times New Roman" w:hAnsi="Times New Roman" w:eastAsia="微软雅黑" w:cs="Times New Roman"/>
          <w:sz w:val="18"/>
          <w:szCs w:val="18"/>
          <w:lang w:eastAsia="zh-CN"/>
        </w:rPr>
        <w:br w:type="page"/>
      </w:r>
      <w:r>
        <w:rPr>
          <w:rFonts w:hint="eastAsia" w:ascii="Times New Roman" w:hAnsi="Times New Roman" w:eastAsia="微软雅黑" w:cs="Times New Roman"/>
          <w:sz w:val="24"/>
          <w:szCs w:val="24"/>
          <w:lang w:eastAsia="zh-CN"/>
        </w:rPr>
        <w:t>{% endif %}</w:t>
      </w:r>
    </w:p>
    <w:p w14:paraId="05080FB6">
      <w:pPr>
        <w:pStyle w:val="3"/>
        <w:numPr>
          <w:ilvl w:val="255"/>
          <w:numId w:val="0"/>
        </w:numPr>
        <w:jc w:val="left"/>
      </w:pPr>
      <w:bookmarkStart w:id="64" w:name="_Toc16895"/>
      <w:r>
        <w:rPr>
          <w:rFonts w:hint="eastAsia"/>
          <w:color w:val="auto"/>
          <w:sz w:val="30"/>
          <w:lang w:eastAsia="zh-CN"/>
        </w:rPr>
        <w:t>免疫药物用药提示</w:t>
      </w:r>
      <w:bookmarkEnd w:id="51"/>
      <w:bookmarkEnd w:id="64"/>
      <w:bookmarkStart w:id="65" w:name="_Toc5824_WPSOffice_Level3"/>
    </w:p>
    <w:p w14:paraId="5495EAB2">
      <w:pPr>
        <w:keepNext w:val="0"/>
        <w:keepLines w:val="0"/>
        <w:pageBreakBefore w:val="0"/>
        <w:widowControl w:val="0"/>
        <w:kinsoku/>
        <w:wordWrap/>
        <w:overflowPunct/>
        <w:topLinePunct w:val="0"/>
        <w:autoSpaceDE/>
        <w:autoSpaceDN/>
        <w:bidi w:val="0"/>
        <w:adjustRightInd/>
        <w:snapToGrid/>
        <w:textAlignment w:val="auto"/>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免疫用药</w:t>
      </w:r>
      <w:r>
        <w:rPr>
          <w:rFonts w:ascii="Times New Roman" w:hAnsi="Times New Roman" w:eastAsia="微软雅黑" w:cs="Times New Roman"/>
          <w:b/>
          <w:sz w:val="24"/>
          <w:szCs w:val="24"/>
          <w:lang w:eastAsia="zh-CN"/>
        </w:rPr>
        <w:t>检测结果</w:t>
      </w:r>
    </w:p>
    <w:tbl>
      <w:tblPr>
        <w:tblStyle w:val="14"/>
        <w:tblW w:w="9938" w:type="dxa"/>
        <w:tblInd w:w="98"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434"/>
        <w:gridCol w:w="2436"/>
        <w:gridCol w:w="2623"/>
        <w:gridCol w:w="3445"/>
      </w:tblGrid>
      <w:tr w14:paraId="401925F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3870" w:type="dxa"/>
            <w:gridSpan w:val="2"/>
            <w:tcBorders>
              <w:top w:val="nil"/>
              <w:bottom w:val="nil"/>
              <w:right w:val="single" w:color="FFFFFF" w:sz="18" w:space="0"/>
            </w:tcBorders>
            <w:shd w:val="clear" w:color="auto" w:fill="62B541"/>
            <w:vAlign w:val="center"/>
          </w:tcPr>
          <w:p w14:paraId="61B4EE90">
            <w:pPr>
              <w:widowControl/>
              <w:snapToGrid w:val="0"/>
              <w:jc w:val="center"/>
              <w:textAlignment w:val="center"/>
              <w:rPr>
                <w:rFonts w:ascii="Times New Roman" w:hAnsi="Times New Roman" w:eastAsia="微软雅黑" w:cs="Times New Roman"/>
                <w:b/>
                <w:bCs/>
                <w:color w:val="FFFFFF"/>
                <w:sz w:val="21"/>
                <w:szCs w:val="21"/>
                <w:lang w:eastAsia="zh-CN"/>
              </w:rPr>
            </w:pPr>
            <w:r>
              <w:rPr>
                <w:rFonts w:hint="eastAsia" w:ascii="Times New Roman" w:hAnsi="Times New Roman" w:eastAsia="微软雅黑" w:cs="Times New Roman"/>
                <w:b/>
                <w:bCs/>
                <w:color w:val="FFFFFF"/>
                <w:sz w:val="21"/>
                <w:szCs w:val="21"/>
                <w:lang w:eastAsia="zh-CN"/>
              </w:rPr>
              <w:t>检出指标/基因</w:t>
            </w:r>
          </w:p>
        </w:tc>
        <w:tc>
          <w:tcPr>
            <w:tcW w:w="2623" w:type="dxa"/>
            <w:tcBorders>
              <w:top w:val="nil"/>
              <w:left w:val="single" w:color="FFFFFF" w:sz="18" w:space="0"/>
              <w:bottom w:val="nil"/>
              <w:right w:val="single" w:color="FFFFFF" w:sz="18" w:space="0"/>
            </w:tcBorders>
            <w:shd w:val="clear" w:color="auto" w:fill="62B541"/>
            <w:vAlign w:val="center"/>
          </w:tcPr>
          <w:p w14:paraId="1BA43E80">
            <w:pPr>
              <w:widowControl/>
              <w:snapToGrid w:val="0"/>
              <w:jc w:val="center"/>
              <w:textAlignment w:val="center"/>
              <w:rPr>
                <w:rFonts w:ascii="Times New Roman" w:hAnsi="Times New Roman" w:eastAsia="微软雅黑" w:cs="Times New Roman"/>
                <w:b/>
                <w:bCs/>
                <w:color w:val="FFFFFF"/>
                <w:sz w:val="21"/>
                <w:szCs w:val="21"/>
              </w:rPr>
            </w:pPr>
            <w:r>
              <w:rPr>
                <w:rStyle w:val="40"/>
                <w:rFonts w:hint="default" w:ascii="Times New Roman" w:hAnsi="Times New Roman" w:cs="Times New Roman"/>
                <w:lang w:eastAsia="zh-CN" w:bidi="ar"/>
              </w:rPr>
              <w:t>检测结果</w:t>
            </w:r>
          </w:p>
        </w:tc>
        <w:tc>
          <w:tcPr>
            <w:tcW w:w="3445" w:type="dxa"/>
            <w:tcBorders>
              <w:top w:val="nil"/>
              <w:left w:val="single" w:color="FFFFFF" w:sz="18" w:space="0"/>
              <w:bottom w:val="nil"/>
            </w:tcBorders>
            <w:shd w:val="clear" w:color="auto" w:fill="62B541"/>
            <w:vAlign w:val="center"/>
          </w:tcPr>
          <w:p w14:paraId="66B0AB12">
            <w:pPr>
              <w:widowControl/>
              <w:snapToGrid w:val="0"/>
              <w:jc w:val="center"/>
              <w:textAlignment w:val="center"/>
              <w:rPr>
                <w:rFonts w:ascii="Times New Roman" w:hAnsi="Times New Roman" w:eastAsia="微软雅黑" w:cs="Times New Roman"/>
                <w:b/>
                <w:bCs/>
                <w:color w:val="FFFFFF"/>
                <w:sz w:val="21"/>
                <w:szCs w:val="21"/>
              </w:rPr>
            </w:pPr>
            <w:r>
              <w:rPr>
                <w:rStyle w:val="40"/>
                <w:rFonts w:hint="default" w:ascii="Times New Roman" w:hAnsi="Times New Roman" w:cs="Times New Roman"/>
                <w:lang w:eastAsia="zh-CN" w:bidi="ar"/>
              </w:rPr>
              <w:t>检测意义</w:t>
            </w:r>
          </w:p>
        </w:tc>
      </w:tr>
      <w:tr w14:paraId="2EA8392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3870" w:type="dxa"/>
            <w:gridSpan w:val="2"/>
            <w:tcBorders>
              <w:top w:val="nil"/>
            </w:tcBorders>
            <w:shd w:val="clear" w:color="auto" w:fill="auto"/>
            <w:vAlign w:val="center"/>
          </w:tcPr>
          <w:p w14:paraId="34358E94">
            <w:pPr>
              <w:widowControl/>
              <w:snapToGrid w:val="0"/>
              <w:jc w:val="center"/>
              <w:textAlignment w:val="center"/>
              <w:rPr>
                <w:rFonts w:ascii="Times New Roman" w:hAnsi="Times New Roman" w:eastAsia="微软雅黑" w:cs="Times New Roman"/>
                <w:b/>
                <w:bCs/>
                <w:color w:val="000000"/>
                <w:sz w:val="21"/>
                <w:szCs w:val="21"/>
                <w:lang w:eastAsia="zh-CN"/>
              </w:rPr>
            </w:pPr>
            <w:r>
              <w:rPr>
                <w:rStyle w:val="42"/>
                <w:rFonts w:eastAsia="微软雅黑"/>
                <w:lang w:eastAsia="zh-CN" w:bidi="ar"/>
              </w:rPr>
              <w:t>肿瘤突变负荷（TMB）</w:t>
            </w:r>
          </w:p>
        </w:tc>
        <w:tc>
          <w:tcPr>
            <w:tcW w:w="2623" w:type="dxa"/>
            <w:tcBorders>
              <w:top w:val="nil"/>
            </w:tcBorders>
            <w:shd w:val="clear" w:color="auto" w:fill="auto"/>
            <w:vAlign w:val="center"/>
          </w:tcPr>
          <w:p w14:paraId="62FC645F">
            <w:pPr>
              <w:widowControl/>
              <w:snapToGrid w:val="0"/>
              <w:jc w:val="center"/>
              <w:textAlignment w:val="center"/>
              <w:rPr>
                <w:rStyle w:val="43"/>
                <w:rFonts w:hint="default" w:ascii="Times New Roman" w:hAnsi="Times New Roman" w:cs="Times New Roman"/>
                <w:lang w:eastAsia="zh-CN" w:bidi="ar"/>
              </w:rPr>
            </w:pPr>
            <w:r>
              <w:rPr>
                <w:rFonts w:hint="eastAsia" w:ascii="Times New Roman" w:hAnsi="Times New Roman" w:eastAsia="微软雅黑" w:cs="Times New Roman"/>
                <w:sz w:val="21"/>
                <w:szCs w:val="21"/>
                <w:lang w:eastAsia="zh-CN"/>
              </w:rPr>
              <w:t xml:space="preserve">{% if summaryOfRresults.tmb_status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TMB-H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Fonts w:ascii="Times New Roman" w:hAnsi="Times New Roman" w:eastAsia="微软雅黑" w:cs="Times New Roman"/>
                <w:sz w:val="21"/>
                <w:szCs w:val="21"/>
                <w:lang w:eastAsia="zh-CN"/>
              </w:rPr>
              <w:t>肿瘤</w:t>
            </w:r>
            <w:r>
              <w:rPr>
                <w:rFonts w:hint="eastAsia" w:ascii="Times New Roman" w:hAnsi="Times New Roman" w:eastAsia="微软雅黑" w:cs="Times New Roman"/>
                <w:sz w:val="21"/>
                <w:szCs w:val="21"/>
                <w:lang w:eastAsia="zh-CN"/>
              </w:rPr>
              <w:t>突变</w:t>
            </w:r>
            <w:r>
              <w:rPr>
                <w:rFonts w:ascii="Times New Roman" w:hAnsi="Times New Roman" w:eastAsia="微软雅黑" w:cs="Times New Roman"/>
                <w:sz w:val="21"/>
                <w:szCs w:val="21"/>
                <w:lang w:eastAsia="zh-CN"/>
              </w:rPr>
              <w:t>负荷高</w:t>
            </w:r>
            <w:r>
              <w:rPr>
                <w:rFonts w:hint="eastAsia" w:ascii="Times New Roman" w:hAnsi="Times New Roman" w:eastAsia="微软雅黑" w:cs="Times New Roman"/>
                <w:sz w:val="21"/>
                <w:szCs w:val="21"/>
                <w:lang w:eastAsia="zh-CN"/>
              </w:rPr>
              <w:t>{% else %}</w:t>
            </w:r>
            <w:r>
              <w:rPr>
                <w:rFonts w:ascii="Times New Roman" w:hAnsi="Times New Roman" w:eastAsia="微软雅黑" w:cs="Times New Roman"/>
                <w:sz w:val="21"/>
                <w:szCs w:val="21"/>
                <w:lang w:eastAsia="zh-CN"/>
              </w:rPr>
              <w:t>肿瘤突变负荷低</w:t>
            </w:r>
            <w:r>
              <w:rPr>
                <w:rFonts w:hint="eastAsia" w:ascii="Times New Roman" w:hAnsi="Times New Roman" w:eastAsia="微软雅黑" w:cs="Times New Roman"/>
                <w:sz w:val="21"/>
                <w:szCs w:val="21"/>
                <w:lang w:eastAsia="zh-CN"/>
              </w:rPr>
              <w:t>{% endif %}</w:t>
            </w:r>
          </w:p>
          <w:p w14:paraId="20B8610A">
            <w:pPr>
              <w:widowControl/>
              <w:snapToGrid w:val="0"/>
              <w:jc w:val="center"/>
              <w:textAlignment w:val="center"/>
              <w:rPr>
                <w:rStyle w:val="43"/>
                <w:rFonts w:hint="default" w:ascii="Times New Roman" w:hAnsi="Times New Roman" w:cs="Times New Roman"/>
                <w:lang w:eastAsia="zh-CN" w:bidi="ar"/>
              </w:rPr>
            </w:pP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summaryOfRresults.tmb_status}}</w:t>
            </w:r>
            <w:r>
              <w:rPr>
                <w:rFonts w:ascii="Times New Roman" w:hAnsi="Times New Roman" w:eastAsia="微软雅黑" w:cs="Times New Roman"/>
                <w:sz w:val="21"/>
                <w:szCs w:val="21"/>
                <w:lang w:eastAsia="zh-CN"/>
              </w:rPr>
              <w:t>）</w:t>
            </w:r>
            <w:r>
              <w:rPr>
                <w:rStyle w:val="43"/>
                <w:rFonts w:hint="default" w:ascii="Times New Roman" w:hAnsi="Times New Roman" w:cs="Times New Roman"/>
                <w:lang w:eastAsia="zh-CN" w:bidi="ar"/>
              </w:rPr>
              <w:t>，</w:t>
            </w:r>
            <w:r>
              <w:rPr>
                <w:rFonts w:hint="eastAsia" w:ascii="Times New Roman" w:hAnsi="Times New Roman" w:eastAsia="微软雅黑" w:cs="Times New Roman"/>
                <w:sz w:val="21"/>
                <w:szCs w:val="21"/>
                <w:lang w:eastAsia="zh-CN"/>
              </w:rPr>
              <w:t>{{ summaryOfRresults.tmb }}</w:t>
            </w:r>
            <w:r>
              <w:rPr>
                <w:rFonts w:ascii="Times New Roman" w:hAnsi="Times New Roman" w:eastAsia="微软雅黑" w:cs="Times New Roman"/>
                <w:sz w:val="21"/>
                <w:szCs w:val="21"/>
                <w:lang w:eastAsia="zh-CN"/>
              </w:rPr>
              <w:t>Muts/Mb</w:t>
            </w:r>
          </w:p>
        </w:tc>
        <w:tc>
          <w:tcPr>
            <w:tcW w:w="3445" w:type="dxa"/>
            <w:tcBorders>
              <w:top w:val="nil"/>
            </w:tcBorders>
            <w:shd w:val="clear" w:color="auto" w:fill="auto"/>
            <w:vAlign w:val="center"/>
          </w:tcPr>
          <w:p w14:paraId="0328053C">
            <w:pPr>
              <w:widowControl/>
              <w:snapToGrid w:val="0"/>
              <w:jc w:val="both"/>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xml:space="preserve">{% if summaryOfRresults.tmb_status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TMB-H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Fonts w:ascii="Times New Roman" w:hAnsi="Times New Roman" w:eastAsia="微软雅黑" w:cs="Times New Roman"/>
                <w:sz w:val="21"/>
                <w:szCs w:val="21"/>
                <w:lang w:eastAsia="zh-CN"/>
              </w:rPr>
              <w:t>肿瘤</w:t>
            </w:r>
            <w:r>
              <w:rPr>
                <w:rStyle w:val="43"/>
                <w:rFonts w:hint="default" w:ascii="Times New Roman" w:hAnsi="Times New Roman" w:cs="Times New Roman"/>
                <w:lang w:eastAsia="zh-CN" w:bidi="ar"/>
              </w:rPr>
              <w:t>突变负荷高（TMB-H）的患者接受免疫检查点抑制剂药物治疗的获益率较高。</w:t>
            </w:r>
            <w:r>
              <w:rPr>
                <w:rFonts w:hint="eastAsia" w:ascii="Times New Roman" w:hAnsi="Times New Roman" w:eastAsia="微软雅黑" w:cs="Times New Roman"/>
                <w:sz w:val="21"/>
                <w:szCs w:val="21"/>
                <w:lang w:eastAsia="zh-CN"/>
              </w:rPr>
              <w:t>{% else %}</w:t>
            </w:r>
            <w:r>
              <w:rPr>
                <w:rFonts w:ascii="Times New Roman" w:hAnsi="Times New Roman" w:eastAsia="微软雅黑" w:cs="Times New Roman"/>
                <w:sz w:val="21"/>
                <w:szCs w:val="21"/>
                <w:lang w:eastAsia="zh-CN"/>
              </w:rPr>
              <w:t>肿瘤</w:t>
            </w:r>
            <w:r>
              <w:rPr>
                <w:rStyle w:val="43"/>
                <w:rFonts w:hint="default" w:ascii="Times New Roman" w:hAnsi="Times New Roman" w:cs="Times New Roman"/>
                <w:lang w:eastAsia="zh-CN" w:bidi="ar"/>
              </w:rPr>
              <w:t>突变负荷低（TMB-L）的患者接受免疫检查点抑制剂药物治疗的获益率较低。</w:t>
            </w:r>
            <w:r>
              <w:rPr>
                <w:rFonts w:hint="eastAsia" w:ascii="Times New Roman" w:hAnsi="Times New Roman" w:eastAsia="微软雅黑" w:cs="Times New Roman"/>
                <w:sz w:val="21"/>
                <w:szCs w:val="21"/>
                <w:lang w:eastAsia="zh-CN"/>
              </w:rPr>
              <w:t>{% endif %}</w:t>
            </w:r>
          </w:p>
        </w:tc>
      </w:tr>
      <w:tr w14:paraId="77DAB26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3870" w:type="dxa"/>
            <w:gridSpan w:val="2"/>
            <w:shd w:val="clear" w:color="auto" w:fill="auto"/>
            <w:vAlign w:val="center"/>
          </w:tcPr>
          <w:p w14:paraId="46757488">
            <w:pPr>
              <w:widowControl/>
              <w:snapToGrid w:val="0"/>
              <w:jc w:val="center"/>
              <w:textAlignment w:val="center"/>
              <w:rPr>
                <w:rFonts w:ascii="Times New Roman" w:hAnsi="Times New Roman" w:eastAsia="微软雅黑" w:cs="Times New Roman"/>
                <w:b/>
                <w:bCs/>
                <w:color w:val="000000"/>
                <w:sz w:val="21"/>
                <w:szCs w:val="21"/>
                <w:lang w:eastAsia="zh-CN"/>
              </w:rPr>
            </w:pPr>
            <w:r>
              <w:rPr>
                <w:rStyle w:val="41"/>
                <w:rFonts w:hint="default" w:ascii="Times New Roman" w:hAnsi="Times New Roman" w:cs="Times New Roman"/>
                <w:lang w:eastAsia="zh-CN" w:bidi="ar"/>
              </w:rPr>
              <w:t>微卫星不稳定（</w:t>
            </w:r>
            <w:r>
              <w:rPr>
                <w:rStyle w:val="42"/>
                <w:rFonts w:eastAsia="微软雅黑"/>
                <w:lang w:eastAsia="zh-CN" w:bidi="ar"/>
              </w:rPr>
              <w:t>MSI</w:t>
            </w:r>
            <w:r>
              <w:rPr>
                <w:rStyle w:val="41"/>
                <w:rFonts w:hint="default" w:ascii="Times New Roman" w:hAnsi="Times New Roman" w:cs="Times New Roman"/>
                <w:lang w:eastAsia="zh-CN" w:bidi="ar"/>
              </w:rPr>
              <w:t>）</w:t>
            </w:r>
          </w:p>
        </w:tc>
        <w:tc>
          <w:tcPr>
            <w:tcW w:w="2623" w:type="dxa"/>
            <w:shd w:val="clear" w:color="auto" w:fill="auto"/>
            <w:vAlign w:val="center"/>
          </w:tcPr>
          <w:p w14:paraId="79E999A4">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summaryOfRresults.msi_status_state }}</w:t>
            </w:r>
          </w:p>
        </w:tc>
        <w:tc>
          <w:tcPr>
            <w:tcW w:w="3445" w:type="dxa"/>
            <w:shd w:val="clear" w:color="auto" w:fill="auto"/>
            <w:vAlign w:val="center"/>
          </w:tcPr>
          <w:p w14:paraId="7E459843">
            <w:pPr>
              <w:widowControl/>
              <w:snapToGrid w:val="0"/>
              <w:spacing w:line="240" w:lineRule="atLeast"/>
              <w:jc w:val="both"/>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xml:space="preserve">{% if summaryOfRresults.msi_status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MSI-H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Style w:val="43"/>
                <w:rFonts w:hint="default" w:ascii="Times New Roman" w:hAnsi="Times New Roman" w:cs="Times New Roman"/>
                <w:lang w:eastAsia="zh-CN" w:bidi="ar"/>
              </w:rPr>
              <w:t>微卫星不稳定型（</w:t>
            </w:r>
            <w:r>
              <w:rPr>
                <w:rStyle w:val="44"/>
                <w:rFonts w:eastAsia="微软雅黑"/>
                <w:lang w:eastAsia="zh-CN" w:bidi="ar"/>
              </w:rPr>
              <w:t>MSI-H</w:t>
            </w:r>
            <w:r>
              <w:rPr>
                <w:rStyle w:val="43"/>
                <w:rFonts w:hint="default" w:ascii="Times New Roman" w:hAnsi="Times New Roman" w:cs="Times New Roman"/>
                <w:lang w:eastAsia="zh-CN" w:bidi="ar"/>
              </w:rPr>
              <w:t>）患者免疫治疗预后较好，接受免疫检查点抑制剂药物治疗的获益率较高。</w:t>
            </w:r>
            <w:r>
              <w:rPr>
                <w:rFonts w:hint="eastAsia" w:ascii="Times New Roman" w:hAnsi="Times New Roman" w:eastAsia="微软雅黑" w:cs="Times New Roman"/>
                <w:sz w:val="21"/>
                <w:szCs w:val="21"/>
                <w:lang w:eastAsia="zh-CN"/>
              </w:rPr>
              <w:t>{% else %}</w:t>
            </w:r>
            <w:r>
              <w:rPr>
                <w:rFonts w:hint="eastAsia" w:ascii="Times New Roman" w:hAnsi="Times New Roman" w:eastAsia="微软雅黑" w:cs="Times New Roman"/>
                <w:color w:val="000000"/>
                <w:sz w:val="21"/>
                <w:szCs w:val="21"/>
                <w:lang w:eastAsia="zh-CN" w:bidi="ar"/>
              </w:rPr>
              <w:t>微卫星稳定型（</w:t>
            </w:r>
            <w:r>
              <w:rPr>
                <w:rFonts w:ascii="Times New Roman" w:hAnsi="Times New Roman" w:eastAsia="微软雅黑" w:cs="Times New Roman"/>
                <w:color w:val="000000"/>
                <w:sz w:val="21"/>
                <w:szCs w:val="21"/>
                <w:lang w:eastAsia="zh-CN" w:bidi="ar"/>
              </w:rPr>
              <w:t>MSS</w:t>
            </w:r>
            <w:r>
              <w:rPr>
                <w:rFonts w:hint="eastAsia" w:ascii="Times New Roman" w:hAnsi="Times New Roman" w:eastAsia="微软雅黑" w:cs="Times New Roman"/>
                <w:color w:val="000000"/>
                <w:sz w:val="21"/>
                <w:szCs w:val="21"/>
                <w:lang w:eastAsia="zh-CN" w:bidi="ar"/>
              </w:rPr>
              <w:t>）患者接受免疫检查点抑制剂药物治疗的获益率较低。</w:t>
            </w:r>
            <w:r>
              <w:rPr>
                <w:rFonts w:hint="eastAsia" w:ascii="Times New Roman" w:hAnsi="Times New Roman" w:eastAsia="微软雅黑" w:cs="Times New Roman"/>
                <w:sz w:val="21"/>
                <w:szCs w:val="21"/>
                <w:lang w:eastAsia="zh-CN"/>
              </w:rPr>
              <w:t>{% endif %}</w:t>
            </w:r>
          </w:p>
        </w:tc>
      </w:tr>
      <w:tr w14:paraId="2556C4D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restart"/>
            <w:shd w:val="clear" w:color="auto" w:fill="auto"/>
            <w:vAlign w:val="center"/>
          </w:tcPr>
          <w:p w14:paraId="1AC0E466">
            <w:pPr>
              <w:widowControl/>
              <w:snapToGrid w:val="0"/>
              <w:jc w:val="center"/>
              <w:textAlignment w:val="center"/>
              <w:rPr>
                <w:rStyle w:val="41"/>
                <w:rFonts w:hint="default" w:ascii="Times New Roman" w:hAnsi="Times New Roman" w:cs="Times New Roman"/>
                <w:lang w:eastAsia="zh-CN" w:bidi="ar"/>
              </w:rPr>
            </w:pPr>
            <w:r>
              <w:rPr>
                <w:rStyle w:val="41"/>
                <w:rFonts w:hint="default" w:ascii="Times New Roman" w:hAnsi="Times New Roman" w:cs="Times New Roman"/>
                <w:lang w:eastAsia="zh-CN" w:bidi="ar"/>
              </w:rPr>
              <w:t>错配修复（</w:t>
            </w:r>
            <w:r>
              <w:rPr>
                <w:rStyle w:val="42"/>
                <w:rFonts w:eastAsia="微软雅黑"/>
                <w:lang w:eastAsia="zh-CN" w:bidi="ar"/>
              </w:rPr>
              <w:t>MMR</w:t>
            </w:r>
            <w:r>
              <w:rPr>
                <w:rStyle w:val="41"/>
                <w:rFonts w:hint="default" w:ascii="Times New Roman" w:hAnsi="Times New Roman" w:cs="Times New Roman"/>
                <w:lang w:eastAsia="zh-CN" w:bidi="ar"/>
              </w:rPr>
              <w:t>）</w:t>
            </w:r>
          </w:p>
          <w:p w14:paraId="101E5CAE">
            <w:pPr>
              <w:widowControl/>
              <w:snapToGrid w:val="0"/>
              <w:jc w:val="center"/>
              <w:textAlignment w:val="center"/>
              <w:rPr>
                <w:rFonts w:ascii="Times New Roman" w:hAnsi="Times New Roman" w:eastAsia="微软雅黑" w:cs="Times New Roman"/>
                <w:b/>
                <w:bCs/>
                <w:color w:val="000000"/>
                <w:sz w:val="21"/>
                <w:szCs w:val="21"/>
                <w:lang w:eastAsia="zh-CN"/>
              </w:rPr>
            </w:pPr>
            <w:r>
              <w:rPr>
                <w:rStyle w:val="41"/>
                <w:rFonts w:hint="default" w:ascii="Times New Roman" w:hAnsi="Times New Roman" w:cs="Times New Roman"/>
                <w:lang w:eastAsia="zh-CN" w:bidi="ar"/>
              </w:rPr>
              <w:t>基因</w:t>
            </w:r>
          </w:p>
        </w:tc>
        <w:tc>
          <w:tcPr>
            <w:tcW w:w="2436" w:type="dxa"/>
            <w:shd w:val="clear" w:color="auto" w:fill="auto"/>
            <w:vAlign w:val="center"/>
          </w:tcPr>
          <w:p w14:paraId="2BB7F996">
            <w:pPr>
              <w:widowControl/>
              <w:snapToGrid w:val="0"/>
              <w:textAlignment w:val="center"/>
              <w:rPr>
                <w:rFonts w:ascii="Times New Roman" w:hAnsi="Times New Roman" w:eastAsia="微软雅黑" w:cs="Times New Roman"/>
                <w:color w:val="000000"/>
                <w:sz w:val="21"/>
                <w:szCs w:val="21"/>
              </w:rPr>
            </w:pPr>
            <w:r>
              <w:rPr>
                <w:rStyle w:val="44"/>
                <w:rFonts w:eastAsia="微软雅黑"/>
                <w:lang w:eastAsia="zh-CN" w:bidi="ar"/>
              </w:rPr>
              <w:t>MLH1</w:t>
            </w:r>
            <w:r>
              <w:rPr>
                <w:rStyle w:val="44"/>
                <w:rFonts w:hint="eastAsia" w:eastAsia="微软雅黑"/>
                <w:lang w:eastAsia="zh-CN" w:bidi="ar"/>
              </w:rPr>
              <w:t>失活突变</w:t>
            </w:r>
          </w:p>
        </w:tc>
        <w:tc>
          <w:tcPr>
            <w:tcW w:w="2623" w:type="dxa"/>
            <w:shd w:val="clear" w:color="auto" w:fill="auto"/>
            <w:vAlign w:val="center"/>
          </w:tcPr>
          <w:p w14:paraId="008EE521">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dmmr.dmmrMLH1 %}{%if loop.last%}{{ i }}{%else%}{{ i }}</w:t>
            </w:r>
          </w:p>
          <w:p w14:paraId="5F6318C8">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restart"/>
            <w:shd w:val="clear" w:color="auto" w:fill="auto"/>
            <w:vAlign w:val="center"/>
          </w:tcPr>
          <w:p w14:paraId="6B6B4E65">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dmmr.detectionSignificance }}</w:t>
            </w:r>
          </w:p>
        </w:tc>
      </w:tr>
      <w:tr w14:paraId="68357B9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3EF11477">
            <w:pPr>
              <w:snapToGrid w:val="0"/>
              <w:jc w:val="center"/>
              <w:rPr>
                <w:rFonts w:ascii="Times New Roman" w:hAnsi="Times New Roman" w:eastAsia="微软雅黑" w:cs="Times New Roman"/>
                <w:b/>
                <w:bCs/>
                <w:color w:val="000000"/>
                <w:sz w:val="21"/>
                <w:szCs w:val="21"/>
              </w:rPr>
            </w:pPr>
          </w:p>
        </w:tc>
        <w:tc>
          <w:tcPr>
            <w:tcW w:w="2436" w:type="dxa"/>
            <w:shd w:val="clear" w:color="auto" w:fill="auto"/>
            <w:vAlign w:val="center"/>
          </w:tcPr>
          <w:p w14:paraId="640D3EAB">
            <w:pPr>
              <w:widowControl/>
              <w:snapToGrid w:val="0"/>
              <w:textAlignment w:val="center"/>
              <w:rPr>
                <w:rFonts w:ascii="Times New Roman" w:hAnsi="Times New Roman" w:eastAsia="微软雅黑" w:cs="Times New Roman"/>
                <w:color w:val="000000"/>
                <w:sz w:val="21"/>
                <w:szCs w:val="21"/>
              </w:rPr>
            </w:pPr>
            <w:r>
              <w:rPr>
                <w:rStyle w:val="44"/>
                <w:rFonts w:eastAsia="微软雅黑"/>
                <w:lang w:eastAsia="zh-CN" w:bidi="ar"/>
              </w:rPr>
              <w:t>MSH2</w:t>
            </w:r>
            <w:r>
              <w:rPr>
                <w:rStyle w:val="44"/>
                <w:rFonts w:hint="eastAsia" w:eastAsia="微软雅黑"/>
                <w:lang w:eastAsia="zh-CN" w:bidi="ar"/>
              </w:rPr>
              <w:t>失活突变</w:t>
            </w:r>
          </w:p>
        </w:tc>
        <w:tc>
          <w:tcPr>
            <w:tcW w:w="2623" w:type="dxa"/>
            <w:shd w:val="clear" w:color="auto" w:fill="auto"/>
            <w:vAlign w:val="center"/>
          </w:tcPr>
          <w:p w14:paraId="4C973862">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dmmr.dmmrM</w:t>
            </w:r>
            <w:r>
              <w:rPr>
                <w:rStyle w:val="44"/>
                <w:rFonts w:eastAsia="微软雅黑"/>
                <w:color w:val="auto"/>
                <w:lang w:eastAsia="zh-CN" w:bidi="ar"/>
              </w:rPr>
              <w:t>SH</w:t>
            </w:r>
            <w:r>
              <w:rPr>
                <w:rFonts w:hint="eastAsia" w:ascii="Times New Roman" w:hAnsi="Times New Roman" w:eastAsia="微软雅黑" w:cs="Times New Roman"/>
                <w:sz w:val="21"/>
                <w:szCs w:val="21"/>
                <w:lang w:eastAsia="zh-CN"/>
              </w:rPr>
              <w:t>2 %}{%if loop.last%}{{ i }}{%else%}{{ i }}</w:t>
            </w:r>
          </w:p>
          <w:p w14:paraId="3A2765E3">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49DF5728">
            <w:pPr>
              <w:snapToGrid w:val="0"/>
              <w:jc w:val="both"/>
              <w:rPr>
                <w:rFonts w:ascii="Times New Roman" w:hAnsi="Times New Roman" w:eastAsia="微软雅黑" w:cs="Times New Roman"/>
                <w:color w:val="000000"/>
                <w:sz w:val="21"/>
                <w:szCs w:val="21"/>
              </w:rPr>
            </w:pPr>
          </w:p>
        </w:tc>
      </w:tr>
      <w:tr w14:paraId="78D8279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059D6BF9">
            <w:pPr>
              <w:snapToGrid w:val="0"/>
              <w:jc w:val="center"/>
              <w:rPr>
                <w:rFonts w:ascii="Times New Roman" w:hAnsi="Times New Roman" w:eastAsia="微软雅黑" w:cs="Times New Roman"/>
                <w:b/>
                <w:bCs/>
                <w:color w:val="000000"/>
                <w:sz w:val="21"/>
                <w:szCs w:val="21"/>
              </w:rPr>
            </w:pPr>
          </w:p>
        </w:tc>
        <w:tc>
          <w:tcPr>
            <w:tcW w:w="2436" w:type="dxa"/>
            <w:shd w:val="clear" w:color="auto" w:fill="auto"/>
            <w:vAlign w:val="center"/>
          </w:tcPr>
          <w:p w14:paraId="07F839B9">
            <w:pPr>
              <w:widowControl/>
              <w:snapToGrid w:val="0"/>
              <w:textAlignment w:val="center"/>
              <w:rPr>
                <w:rFonts w:ascii="Times New Roman" w:hAnsi="Times New Roman" w:eastAsia="微软雅黑" w:cs="Times New Roman"/>
                <w:color w:val="000000"/>
                <w:sz w:val="21"/>
                <w:szCs w:val="21"/>
              </w:rPr>
            </w:pPr>
            <w:r>
              <w:rPr>
                <w:rStyle w:val="44"/>
                <w:rFonts w:eastAsia="微软雅黑"/>
                <w:lang w:eastAsia="zh-CN" w:bidi="ar"/>
              </w:rPr>
              <w:t>MSH6</w:t>
            </w:r>
            <w:r>
              <w:rPr>
                <w:rStyle w:val="44"/>
                <w:rFonts w:hint="eastAsia" w:eastAsia="微软雅黑"/>
                <w:lang w:eastAsia="zh-CN" w:bidi="ar"/>
              </w:rPr>
              <w:t>失活突变</w:t>
            </w:r>
          </w:p>
        </w:tc>
        <w:tc>
          <w:tcPr>
            <w:tcW w:w="2623" w:type="dxa"/>
            <w:shd w:val="clear" w:color="auto" w:fill="auto"/>
            <w:vAlign w:val="center"/>
          </w:tcPr>
          <w:p w14:paraId="05CD6839">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dmmr.dmmrM</w:t>
            </w:r>
            <w:r>
              <w:rPr>
                <w:rStyle w:val="44"/>
                <w:rFonts w:eastAsia="微软雅黑"/>
                <w:color w:val="auto"/>
                <w:lang w:eastAsia="zh-CN" w:bidi="ar"/>
              </w:rPr>
              <w:t>SH6</w:t>
            </w:r>
            <w:r>
              <w:rPr>
                <w:rFonts w:hint="eastAsia" w:ascii="Times New Roman" w:hAnsi="Times New Roman" w:eastAsia="微软雅黑" w:cs="Times New Roman"/>
                <w:sz w:val="21"/>
                <w:szCs w:val="21"/>
                <w:lang w:eastAsia="zh-CN"/>
              </w:rPr>
              <w:t xml:space="preserve"> %}{%if loop.last%}{{ i }}{%else%}{{ i }}</w:t>
            </w:r>
          </w:p>
          <w:p w14:paraId="11E39C9A">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40288086">
            <w:pPr>
              <w:snapToGrid w:val="0"/>
              <w:jc w:val="both"/>
              <w:rPr>
                <w:rFonts w:ascii="Times New Roman" w:hAnsi="Times New Roman" w:eastAsia="微软雅黑" w:cs="Times New Roman"/>
                <w:color w:val="000000"/>
                <w:sz w:val="21"/>
                <w:szCs w:val="21"/>
              </w:rPr>
            </w:pPr>
          </w:p>
        </w:tc>
      </w:tr>
      <w:tr w14:paraId="0491A62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2770C8B3">
            <w:pPr>
              <w:snapToGrid w:val="0"/>
              <w:jc w:val="center"/>
              <w:rPr>
                <w:rFonts w:ascii="Times New Roman" w:hAnsi="Times New Roman" w:eastAsia="微软雅黑" w:cs="Times New Roman"/>
                <w:b/>
                <w:bCs/>
                <w:color w:val="000000"/>
                <w:sz w:val="21"/>
                <w:szCs w:val="21"/>
              </w:rPr>
            </w:pPr>
          </w:p>
        </w:tc>
        <w:tc>
          <w:tcPr>
            <w:tcW w:w="2436" w:type="dxa"/>
            <w:shd w:val="clear" w:color="auto" w:fill="auto"/>
            <w:vAlign w:val="center"/>
          </w:tcPr>
          <w:p w14:paraId="75A140B1">
            <w:pPr>
              <w:widowControl/>
              <w:snapToGrid w:val="0"/>
              <w:textAlignment w:val="center"/>
              <w:rPr>
                <w:rFonts w:ascii="Times New Roman" w:hAnsi="Times New Roman" w:eastAsia="微软雅黑" w:cs="Times New Roman"/>
                <w:color w:val="000000"/>
                <w:sz w:val="21"/>
                <w:szCs w:val="21"/>
              </w:rPr>
            </w:pPr>
            <w:r>
              <w:rPr>
                <w:rStyle w:val="44"/>
                <w:rFonts w:eastAsia="微软雅黑"/>
                <w:lang w:eastAsia="zh-CN" w:bidi="ar"/>
              </w:rPr>
              <w:t>PMS2</w:t>
            </w:r>
            <w:r>
              <w:rPr>
                <w:rStyle w:val="44"/>
                <w:rFonts w:hint="eastAsia" w:eastAsia="微软雅黑"/>
                <w:lang w:eastAsia="zh-CN" w:bidi="ar"/>
              </w:rPr>
              <w:t>失活突变</w:t>
            </w:r>
          </w:p>
        </w:tc>
        <w:tc>
          <w:tcPr>
            <w:tcW w:w="2623" w:type="dxa"/>
            <w:shd w:val="clear" w:color="auto" w:fill="auto"/>
            <w:vAlign w:val="center"/>
          </w:tcPr>
          <w:p w14:paraId="6CAD4764">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w:t>
            </w:r>
            <w:r>
              <w:rPr>
                <w:rStyle w:val="44"/>
                <w:rFonts w:eastAsia="微软雅黑"/>
                <w:color w:val="auto"/>
                <w:lang w:eastAsia="zh-CN" w:bidi="ar"/>
              </w:rPr>
              <w:t>PMS2</w:t>
            </w:r>
            <w:r>
              <w:rPr>
                <w:rFonts w:hint="eastAsia" w:ascii="Times New Roman" w:hAnsi="Times New Roman" w:eastAsia="微软雅黑" w:cs="Times New Roman"/>
                <w:sz w:val="21"/>
                <w:szCs w:val="21"/>
                <w:lang w:eastAsia="zh-CN"/>
              </w:rPr>
              <w:t xml:space="preserve"> %}{%if loop.last%}{{ i }}{%else%}{{ i }}</w:t>
            </w:r>
          </w:p>
          <w:p w14:paraId="4415E3B3">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072AFAEA">
            <w:pPr>
              <w:snapToGrid w:val="0"/>
              <w:jc w:val="both"/>
              <w:rPr>
                <w:rFonts w:ascii="Times New Roman" w:hAnsi="Times New Roman" w:eastAsia="微软雅黑" w:cs="Times New Roman"/>
                <w:color w:val="000000"/>
                <w:sz w:val="21"/>
                <w:szCs w:val="21"/>
              </w:rPr>
            </w:pPr>
          </w:p>
        </w:tc>
      </w:tr>
      <w:tr w14:paraId="3999402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restart"/>
            <w:shd w:val="clear" w:color="auto" w:fill="auto"/>
            <w:vAlign w:val="center"/>
          </w:tcPr>
          <w:p w14:paraId="49F8CAFF">
            <w:pPr>
              <w:widowControl/>
              <w:snapToGrid w:val="0"/>
              <w:jc w:val="center"/>
              <w:textAlignment w:val="center"/>
              <w:rPr>
                <w:rFonts w:ascii="Times New Roman" w:hAnsi="Times New Roman" w:eastAsia="微软雅黑" w:cs="Times New Roman"/>
                <w:b/>
                <w:bCs/>
                <w:sz w:val="21"/>
                <w:szCs w:val="21"/>
                <w:lang w:eastAsia="zh-CN" w:bidi="ar"/>
              </w:rPr>
            </w:pPr>
            <w:r>
              <w:rPr>
                <w:rFonts w:hint="eastAsia" w:ascii="Times New Roman" w:hAnsi="Times New Roman" w:eastAsia="微软雅黑" w:cs="Times New Roman"/>
                <w:b/>
                <w:bCs/>
                <w:sz w:val="21"/>
                <w:szCs w:val="21"/>
                <w:lang w:eastAsia="zh-CN"/>
              </w:rPr>
              <w:t>免疫</w:t>
            </w:r>
            <w:r>
              <w:rPr>
                <w:rFonts w:ascii="Times New Roman" w:hAnsi="Times New Roman" w:eastAsia="微软雅黑" w:cs="Times New Roman"/>
                <w:b/>
                <w:bCs/>
                <w:sz w:val="21"/>
                <w:szCs w:val="21"/>
                <w:lang w:eastAsia="zh-CN"/>
              </w:rPr>
              <w:t>正相关基因</w:t>
            </w:r>
          </w:p>
        </w:tc>
        <w:tc>
          <w:tcPr>
            <w:tcW w:w="8504" w:type="dxa"/>
            <w:gridSpan w:val="3"/>
            <w:shd w:val="clear" w:color="auto" w:fill="auto"/>
            <w:noWrap/>
            <w:vAlign w:val="center"/>
          </w:tcPr>
          <w:p w14:paraId="4C637BD6">
            <w:pPr>
              <w:snapToGrid w:val="0"/>
              <w:rPr>
                <w:rFonts w:ascii="Times New Roman" w:hAnsi="Times New Roman" w:eastAsia="微软雅黑" w:cs="Times New Roman"/>
                <w:color w:val="000000"/>
                <w:sz w:val="21"/>
                <w:szCs w:val="21"/>
                <w:lang w:eastAsia="zh-CN"/>
              </w:rPr>
            </w:pPr>
            <w:r>
              <w:rPr>
                <w:rFonts w:ascii="Times New Roman" w:hAnsi="Times New Roman" w:eastAsia="微软雅黑" w:cs="Times New Roman"/>
                <w:sz w:val="21"/>
                <w:szCs w:val="21"/>
                <w:lang w:eastAsia="zh-CN"/>
              </w:rPr>
              <w:t>DNA损伤修复</w:t>
            </w:r>
            <w:r>
              <w:rPr>
                <w:rFonts w:hint="eastAsia" w:ascii="Times New Roman" w:hAnsi="Times New Roman" w:eastAsia="微软雅黑" w:cs="Times New Roman"/>
                <w:sz w:val="21"/>
                <w:szCs w:val="21"/>
                <w:lang w:eastAsia="zh-CN"/>
              </w:rPr>
              <w:t>（DDR）</w:t>
            </w:r>
            <w:r>
              <w:rPr>
                <w:rFonts w:ascii="Times New Roman" w:hAnsi="Times New Roman" w:eastAsia="微软雅黑" w:cs="Times New Roman"/>
                <w:sz w:val="21"/>
                <w:szCs w:val="21"/>
                <w:lang w:eastAsia="zh-CN"/>
              </w:rPr>
              <w:t>通路基因</w:t>
            </w:r>
          </w:p>
        </w:tc>
      </w:tr>
      <w:tr w14:paraId="70B10B8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05F02DBB">
            <w:pPr>
              <w:widowControl/>
              <w:snapToGrid w:val="0"/>
              <w:jc w:val="center"/>
              <w:textAlignment w:val="center"/>
              <w:rPr>
                <w:rFonts w:ascii="Times New Roman" w:hAnsi="Times New Roman" w:eastAsia="微软雅黑" w:cs="Times New Roman"/>
                <w:color w:val="000000"/>
                <w:sz w:val="21"/>
                <w:szCs w:val="21"/>
                <w:lang w:eastAsia="zh-CN"/>
              </w:rPr>
            </w:pPr>
          </w:p>
        </w:tc>
        <w:tc>
          <w:tcPr>
            <w:tcW w:w="2436" w:type="dxa"/>
            <w:shd w:val="clear" w:color="auto" w:fill="auto"/>
            <w:noWrap/>
            <w:vAlign w:val="center"/>
          </w:tcPr>
          <w:p w14:paraId="0205D730">
            <w:pPr>
              <w:widowControl/>
              <w:snapToGrid w:val="0"/>
              <w:textAlignment w:val="center"/>
              <w:rPr>
                <w:rStyle w:val="44"/>
                <w:rFonts w:eastAsia="微软雅黑"/>
                <w:lang w:eastAsia="zh-CN" w:bidi="ar"/>
              </w:rPr>
            </w:pPr>
            <w:r>
              <w:rPr>
                <w:rStyle w:val="44"/>
                <w:rFonts w:eastAsia="微软雅黑"/>
                <w:lang w:eastAsia="zh-CN" w:bidi="ar"/>
              </w:rPr>
              <w:t>ATM突变</w:t>
            </w:r>
          </w:p>
        </w:tc>
        <w:tc>
          <w:tcPr>
            <w:tcW w:w="2623" w:type="dxa"/>
            <w:shd w:val="clear" w:color="auto" w:fill="auto"/>
            <w:vAlign w:val="center"/>
          </w:tcPr>
          <w:p w14:paraId="62C2EA8A">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4"/>
                <w:rFonts w:eastAsia="微软雅黑"/>
                <w:color w:val="000000" w:themeColor="text1"/>
                <w:lang w:eastAsia="zh-CN" w:bidi="ar"/>
                <w14:textFill>
                  <w14:solidFill>
                    <w14:schemeClr w14:val="tx1"/>
                  </w14:solidFill>
                </w14:textFill>
              </w:rPr>
              <w:t>ATM</w:t>
            </w:r>
            <w:r>
              <w:rPr>
                <w:rFonts w:hint="eastAsia" w:ascii="Times New Roman" w:hAnsi="Times New Roman" w:eastAsia="微软雅黑" w:cs="Times New Roman"/>
                <w:sz w:val="21"/>
                <w:szCs w:val="21"/>
                <w:lang w:eastAsia="zh-CN"/>
              </w:rPr>
              <w:t xml:space="preserve"> %}{%if loop.last%}{{ i }}{%else%}{{ i }}</w:t>
            </w:r>
          </w:p>
          <w:p w14:paraId="1C1F33B2">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restart"/>
            <w:shd w:val="clear" w:color="auto" w:fill="auto"/>
            <w:vAlign w:val="center"/>
          </w:tcPr>
          <w:p w14:paraId="12E69CC4">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positiveDDR.detectionSignificance }}</w:t>
            </w:r>
          </w:p>
        </w:tc>
      </w:tr>
      <w:tr w14:paraId="6463101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57415F1F">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2BB8A0B4">
            <w:pPr>
              <w:widowControl/>
              <w:snapToGrid w:val="0"/>
              <w:textAlignment w:val="center"/>
              <w:rPr>
                <w:rStyle w:val="44"/>
                <w:rFonts w:eastAsia="微软雅黑"/>
                <w:lang w:eastAsia="zh-CN" w:bidi="ar"/>
              </w:rPr>
            </w:pPr>
            <w:r>
              <w:rPr>
                <w:rStyle w:val="44"/>
                <w:rFonts w:eastAsia="微软雅黑"/>
                <w:lang w:eastAsia="zh-CN" w:bidi="ar"/>
              </w:rPr>
              <w:t>ATR突变</w:t>
            </w:r>
          </w:p>
        </w:tc>
        <w:tc>
          <w:tcPr>
            <w:tcW w:w="2623" w:type="dxa"/>
            <w:shd w:val="clear" w:color="auto" w:fill="auto"/>
            <w:vAlign w:val="center"/>
          </w:tcPr>
          <w:p w14:paraId="4D550BFD">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4"/>
                <w:rFonts w:eastAsia="微软雅黑"/>
                <w:color w:val="000000" w:themeColor="text1"/>
                <w:lang w:eastAsia="zh-CN" w:bidi="ar"/>
                <w14:textFill>
                  <w14:solidFill>
                    <w14:schemeClr w14:val="tx1"/>
                  </w14:solidFill>
                </w14:textFill>
              </w:rPr>
              <w:t>ATR</w:t>
            </w:r>
            <w:r>
              <w:rPr>
                <w:rFonts w:hint="eastAsia" w:ascii="Times New Roman" w:hAnsi="Times New Roman" w:eastAsia="微软雅黑" w:cs="Times New Roman"/>
                <w:sz w:val="21"/>
                <w:szCs w:val="21"/>
                <w:lang w:eastAsia="zh-CN"/>
              </w:rPr>
              <w:t xml:space="preserve"> %}{%if loop.last%}{{ i }}{%else%}{{ i }}</w:t>
            </w:r>
          </w:p>
          <w:p w14:paraId="53782EB1">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63C41BC4">
            <w:pPr>
              <w:snapToGrid w:val="0"/>
              <w:rPr>
                <w:rFonts w:ascii="Times New Roman" w:hAnsi="Times New Roman" w:eastAsia="微软雅黑" w:cs="Times New Roman"/>
                <w:sz w:val="21"/>
                <w:szCs w:val="21"/>
                <w:lang w:eastAsia="zh-CN"/>
              </w:rPr>
            </w:pPr>
          </w:p>
        </w:tc>
      </w:tr>
      <w:tr w14:paraId="7FB5FB8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4BB679EB">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62AF2D89">
            <w:pPr>
              <w:widowControl/>
              <w:snapToGrid w:val="0"/>
              <w:textAlignment w:val="center"/>
              <w:rPr>
                <w:rStyle w:val="44"/>
                <w:rFonts w:eastAsia="微软雅黑"/>
                <w:lang w:eastAsia="zh-CN" w:bidi="ar"/>
              </w:rPr>
            </w:pPr>
            <w:r>
              <w:rPr>
                <w:rStyle w:val="44"/>
                <w:rFonts w:eastAsia="微软雅黑"/>
                <w:lang w:eastAsia="zh-CN" w:bidi="ar"/>
              </w:rPr>
              <w:t>BAP1突变</w:t>
            </w:r>
          </w:p>
        </w:tc>
        <w:tc>
          <w:tcPr>
            <w:tcW w:w="2623" w:type="dxa"/>
            <w:shd w:val="clear" w:color="auto" w:fill="auto"/>
            <w:vAlign w:val="center"/>
          </w:tcPr>
          <w:p w14:paraId="2EFE5B54">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4"/>
                <w:rFonts w:eastAsia="微软雅黑"/>
                <w:color w:val="000000" w:themeColor="text1"/>
                <w:lang w:eastAsia="zh-CN" w:bidi="ar"/>
                <w14:textFill>
                  <w14:solidFill>
                    <w14:schemeClr w14:val="tx1"/>
                  </w14:solidFill>
                </w14:textFill>
              </w:rPr>
              <w:t>BAP1</w:t>
            </w:r>
            <w:r>
              <w:rPr>
                <w:rFonts w:hint="eastAsia" w:ascii="Times New Roman" w:hAnsi="Times New Roman" w:eastAsia="微软雅黑" w:cs="Times New Roman"/>
                <w:sz w:val="21"/>
                <w:szCs w:val="21"/>
                <w:lang w:eastAsia="zh-CN"/>
              </w:rPr>
              <w:t xml:space="preserve"> %}{%if loop.last%}{{ i }}{%else%}{{ i }}</w:t>
            </w:r>
          </w:p>
          <w:p w14:paraId="1BB5BE00">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0AE8B712">
            <w:pPr>
              <w:snapToGrid w:val="0"/>
              <w:rPr>
                <w:rFonts w:ascii="Times New Roman" w:hAnsi="Times New Roman" w:eastAsia="微软雅黑" w:cs="Times New Roman"/>
                <w:sz w:val="21"/>
                <w:szCs w:val="21"/>
                <w:lang w:eastAsia="zh-CN"/>
              </w:rPr>
            </w:pPr>
          </w:p>
        </w:tc>
      </w:tr>
      <w:tr w14:paraId="684C517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023F3635">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72351922">
            <w:pPr>
              <w:widowControl/>
              <w:snapToGrid w:val="0"/>
              <w:textAlignment w:val="center"/>
              <w:rPr>
                <w:rStyle w:val="44"/>
                <w:rFonts w:eastAsia="微软雅黑"/>
                <w:lang w:eastAsia="zh-CN" w:bidi="ar"/>
              </w:rPr>
            </w:pPr>
            <w:r>
              <w:rPr>
                <w:rStyle w:val="44"/>
                <w:rFonts w:eastAsia="微软雅黑"/>
                <w:lang w:eastAsia="zh-CN" w:bidi="ar"/>
              </w:rPr>
              <w:t>BLM突变</w:t>
            </w:r>
          </w:p>
        </w:tc>
        <w:tc>
          <w:tcPr>
            <w:tcW w:w="2623" w:type="dxa"/>
            <w:shd w:val="clear" w:color="auto" w:fill="auto"/>
            <w:noWrap/>
            <w:vAlign w:val="center"/>
          </w:tcPr>
          <w:p w14:paraId="019E91A3">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4"/>
                <w:rFonts w:eastAsia="微软雅黑"/>
                <w:color w:val="000000" w:themeColor="text1"/>
                <w:lang w:eastAsia="zh-CN" w:bidi="ar"/>
                <w14:textFill>
                  <w14:solidFill>
                    <w14:schemeClr w14:val="tx1"/>
                  </w14:solidFill>
                </w14:textFill>
              </w:rPr>
              <w:t>BLM</w:t>
            </w:r>
            <w:r>
              <w:rPr>
                <w:rFonts w:hint="eastAsia" w:ascii="Times New Roman" w:hAnsi="Times New Roman" w:eastAsia="微软雅黑" w:cs="Times New Roman"/>
                <w:sz w:val="21"/>
                <w:szCs w:val="21"/>
                <w:lang w:eastAsia="zh-CN"/>
              </w:rPr>
              <w:t xml:space="preserve"> %}{%if loop.last%}{{ i }}{%else%}{{ i }}</w:t>
            </w:r>
          </w:p>
          <w:p w14:paraId="58F30D38">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464098E5">
            <w:pPr>
              <w:snapToGrid w:val="0"/>
              <w:rPr>
                <w:rFonts w:ascii="Times New Roman" w:hAnsi="Times New Roman" w:eastAsia="微软雅黑" w:cs="Times New Roman"/>
                <w:sz w:val="21"/>
                <w:szCs w:val="21"/>
                <w:lang w:eastAsia="zh-CN"/>
              </w:rPr>
            </w:pPr>
          </w:p>
        </w:tc>
      </w:tr>
      <w:tr w14:paraId="0F78FD2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38FAAAB7">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2FEB025D">
            <w:pPr>
              <w:widowControl/>
              <w:snapToGrid w:val="0"/>
              <w:textAlignment w:val="center"/>
              <w:rPr>
                <w:rStyle w:val="44"/>
                <w:rFonts w:eastAsia="微软雅黑"/>
                <w:lang w:eastAsia="zh-CN" w:bidi="ar"/>
              </w:rPr>
            </w:pPr>
            <w:r>
              <w:rPr>
                <w:rStyle w:val="44"/>
                <w:rFonts w:eastAsia="微软雅黑"/>
                <w:lang w:eastAsia="zh-CN" w:bidi="ar"/>
              </w:rPr>
              <w:t>BRCA1突变</w:t>
            </w:r>
          </w:p>
        </w:tc>
        <w:tc>
          <w:tcPr>
            <w:tcW w:w="2623" w:type="dxa"/>
            <w:shd w:val="clear" w:color="auto" w:fill="auto"/>
            <w:noWrap/>
            <w:vAlign w:val="center"/>
          </w:tcPr>
          <w:p w14:paraId="3E98715D">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4"/>
                <w:rFonts w:eastAsia="微软雅黑"/>
                <w:color w:val="000000" w:themeColor="text1"/>
                <w:lang w:eastAsia="zh-CN" w:bidi="ar"/>
                <w14:textFill>
                  <w14:solidFill>
                    <w14:schemeClr w14:val="tx1"/>
                  </w14:solidFill>
                </w14:textFill>
              </w:rPr>
              <w:t>BRCA1</w:t>
            </w:r>
            <w:r>
              <w:rPr>
                <w:rFonts w:hint="eastAsia" w:ascii="Times New Roman" w:hAnsi="Times New Roman" w:eastAsia="微软雅黑" w:cs="Times New Roman"/>
                <w:sz w:val="21"/>
                <w:szCs w:val="21"/>
                <w:lang w:eastAsia="zh-CN"/>
              </w:rPr>
              <w:t xml:space="preserve"> %}{%if loop.last%}{{ i }}{%else%}{{ i }}</w:t>
            </w:r>
          </w:p>
          <w:p w14:paraId="098EB411">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453D48EF">
            <w:pPr>
              <w:snapToGrid w:val="0"/>
              <w:rPr>
                <w:rFonts w:ascii="Times New Roman" w:hAnsi="Times New Roman" w:eastAsia="微软雅黑" w:cs="Times New Roman"/>
                <w:sz w:val="21"/>
                <w:szCs w:val="21"/>
                <w:lang w:eastAsia="zh-CN"/>
              </w:rPr>
            </w:pPr>
          </w:p>
        </w:tc>
      </w:tr>
      <w:tr w14:paraId="2EF017F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0E3537A4">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10C3CC47">
            <w:pPr>
              <w:widowControl/>
              <w:snapToGrid w:val="0"/>
              <w:textAlignment w:val="center"/>
              <w:rPr>
                <w:rStyle w:val="44"/>
                <w:rFonts w:eastAsia="微软雅黑"/>
                <w:lang w:eastAsia="zh-CN" w:bidi="ar"/>
              </w:rPr>
            </w:pPr>
            <w:r>
              <w:rPr>
                <w:rStyle w:val="44"/>
                <w:rFonts w:eastAsia="微软雅黑"/>
                <w:lang w:eastAsia="zh-CN" w:bidi="ar"/>
              </w:rPr>
              <w:t>BRCA2突变</w:t>
            </w:r>
          </w:p>
        </w:tc>
        <w:tc>
          <w:tcPr>
            <w:tcW w:w="2623" w:type="dxa"/>
            <w:shd w:val="clear" w:color="auto" w:fill="auto"/>
            <w:noWrap/>
            <w:vAlign w:val="center"/>
          </w:tcPr>
          <w:p w14:paraId="1717C09C">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4"/>
                <w:rFonts w:eastAsia="微软雅黑"/>
                <w:color w:val="000000" w:themeColor="text1"/>
                <w:lang w:eastAsia="zh-CN" w:bidi="ar"/>
                <w14:textFill>
                  <w14:solidFill>
                    <w14:schemeClr w14:val="tx1"/>
                  </w14:solidFill>
                </w14:textFill>
              </w:rPr>
              <w:t>BRCA2</w:t>
            </w:r>
            <w:r>
              <w:rPr>
                <w:rFonts w:hint="eastAsia" w:ascii="Times New Roman" w:hAnsi="Times New Roman" w:eastAsia="微软雅黑" w:cs="Times New Roman"/>
                <w:sz w:val="21"/>
                <w:szCs w:val="21"/>
                <w:lang w:eastAsia="zh-CN"/>
              </w:rPr>
              <w:t xml:space="preserve"> %}{%if loop.last%}{{ i }}{%else%}{{ i }}</w:t>
            </w:r>
          </w:p>
          <w:p w14:paraId="5FE1238E">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352C6247">
            <w:pPr>
              <w:snapToGrid w:val="0"/>
              <w:rPr>
                <w:rFonts w:ascii="Times New Roman" w:hAnsi="Times New Roman" w:eastAsia="微软雅黑" w:cs="Times New Roman"/>
                <w:sz w:val="21"/>
                <w:szCs w:val="21"/>
                <w:lang w:eastAsia="zh-CN"/>
              </w:rPr>
            </w:pPr>
          </w:p>
        </w:tc>
      </w:tr>
      <w:tr w14:paraId="348993E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7CB397F4">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06CD39F3">
            <w:pPr>
              <w:widowControl/>
              <w:snapToGrid w:val="0"/>
              <w:textAlignment w:val="center"/>
              <w:rPr>
                <w:rStyle w:val="44"/>
                <w:rFonts w:eastAsia="微软雅黑"/>
                <w:lang w:eastAsia="zh-CN" w:bidi="ar"/>
              </w:rPr>
            </w:pPr>
            <w:r>
              <w:rPr>
                <w:rStyle w:val="44"/>
                <w:rFonts w:eastAsia="微软雅黑"/>
                <w:lang w:eastAsia="zh-CN" w:bidi="ar"/>
              </w:rPr>
              <w:t>BRIP1突变</w:t>
            </w:r>
          </w:p>
        </w:tc>
        <w:tc>
          <w:tcPr>
            <w:tcW w:w="2623" w:type="dxa"/>
            <w:shd w:val="clear" w:color="auto" w:fill="auto"/>
            <w:noWrap/>
            <w:vAlign w:val="center"/>
          </w:tcPr>
          <w:p w14:paraId="426E6A30">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4"/>
                <w:rFonts w:eastAsia="微软雅黑"/>
                <w:color w:val="000000" w:themeColor="text1"/>
                <w:lang w:eastAsia="zh-CN" w:bidi="ar"/>
                <w14:textFill>
                  <w14:solidFill>
                    <w14:schemeClr w14:val="tx1"/>
                  </w14:solidFill>
                </w14:textFill>
              </w:rPr>
              <w:t>BRIP1</w:t>
            </w:r>
            <w:r>
              <w:rPr>
                <w:rFonts w:hint="eastAsia" w:ascii="Times New Roman" w:hAnsi="Times New Roman" w:eastAsia="微软雅黑" w:cs="Times New Roman"/>
                <w:sz w:val="21"/>
                <w:szCs w:val="21"/>
                <w:lang w:eastAsia="zh-CN"/>
              </w:rPr>
              <w:t xml:space="preserve"> %}{%if loop.last%}{{ i }}{%else%}{{ i }}</w:t>
            </w:r>
          </w:p>
          <w:p w14:paraId="7417A4A0">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5C4024F4">
            <w:pPr>
              <w:snapToGrid w:val="0"/>
              <w:rPr>
                <w:rFonts w:ascii="Times New Roman" w:hAnsi="Times New Roman" w:eastAsia="微软雅黑" w:cs="Times New Roman"/>
                <w:sz w:val="21"/>
                <w:szCs w:val="21"/>
                <w:lang w:eastAsia="zh-CN"/>
              </w:rPr>
            </w:pPr>
          </w:p>
        </w:tc>
      </w:tr>
      <w:tr w14:paraId="602637C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78B6474A">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36584F45">
            <w:pPr>
              <w:widowControl/>
              <w:snapToGrid w:val="0"/>
              <w:textAlignment w:val="center"/>
              <w:rPr>
                <w:rStyle w:val="44"/>
                <w:rFonts w:eastAsia="微软雅黑"/>
                <w:lang w:eastAsia="zh-CN" w:bidi="ar"/>
              </w:rPr>
            </w:pPr>
            <w:r>
              <w:rPr>
                <w:rStyle w:val="44"/>
                <w:rFonts w:eastAsia="微软雅黑"/>
                <w:lang w:eastAsia="zh-CN" w:bidi="ar"/>
              </w:rPr>
              <w:t>CHEK1突变</w:t>
            </w:r>
          </w:p>
        </w:tc>
        <w:tc>
          <w:tcPr>
            <w:tcW w:w="2623" w:type="dxa"/>
            <w:shd w:val="clear" w:color="auto" w:fill="auto"/>
            <w:noWrap/>
            <w:vAlign w:val="center"/>
          </w:tcPr>
          <w:p w14:paraId="6BA885EC">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4"/>
                <w:rFonts w:eastAsia="微软雅黑"/>
                <w:color w:val="000000" w:themeColor="text1"/>
                <w:lang w:eastAsia="zh-CN" w:bidi="ar"/>
                <w14:textFill>
                  <w14:solidFill>
                    <w14:schemeClr w14:val="tx1"/>
                  </w14:solidFill>
                </w14:textFill>
              </w:rPr>
              <w:t>CHEK1</w:t>
            </w:r>
            <w:r>
              <w:rPr>
                <w:rFonts w:hint="eastAsia" w:ascii="Times New Roman" w:hAnsi="Times New Roman" w:eastAsia="微软雅黑" w:cs="Times New Roman"/>
                <w:sz w:val="21"/>
                <w:szCs w:val="21"/>
                <w:lang w:eastAsia="zh-CN"/>
              </w:rPr>
              <w:t xml:space="preserve"> %}{%if loop.last%}{{ i }}{%else%}{{ i }}</w:t>
            </w:r>
          </w:p>
          <w:p w14:paraId="39DB1B53">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2AD74FE8">
            <w:pPr>
              <w:snapToGrid w:val="0"/>
              <w:rPr>
                <w:rFonts w:ascii="Times New Roman" w:hAnsi="Times New Roman" w:eastAsia="微软雅黑" w:cs="Times New Roman"/>
                <w:sz w:val="21"/>
                <w:szCs w:val="21"/>
                <w:lang w:eastAsia="zh-CN"/>
              </w:rPr>
            </w:pPr>
          </w:p>
        </w:tc>
      </w:tr>
      <w:tr w14:paraId="7CA6D81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7BC4B5F3">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55C621D5">
            <w:pPr>
              <w:widowControl/>
              <w:snapToGrid w:val="0"/>
              <w:textAlignment w:val="center"/>
              <w:rPr>
                <w:rStyle w:val="44"/>
                <w:rFonts w:eastAsia="微软雅黑"/>
                <w:lang w:eastAsia="zh-CN" w:bidi="ar"/>
              </w:rPr>
            </w:pPr>
            <w:r>
              <w:rPr>
                <w:rStyle w:val="44"/>
                <w:rFonts w:eastAsia="微软雅黑"/>
                <w:lang w:eastAsia="zh-CN" w:bidi="ar"/>
              </w:rPr>
              <w:t>CHEK2突变</w:t>
            </w:r>
          </w:p>
        </w:tc>
        <w:tc>
          <w:tcPr>
            <w:tcW w:w="2623" w:type="dxa"/>
            <w:shd w:val="clear" w:color="auto" w:fill="auto"/>
            <w:noWrap/>
            <w:vAlign w:val="center"/>
          </w:tcPr>
          <w:p w14:paraId="6402BBE7">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4"/>
                <w:rFonts w:eastAsia="微软雅黑"/>
                <w:color w:val="000000" w:themeColor="text1"/>
                <w:lang w:eastAsia="zh-CN" w:bidi="ar"/>
                <w14:textFill>
                  <w14:solidFill>
                    <w14:schemeClr w14:val="tx1"/>
                  </w14:solidFill>
                </w14:textFill>
              </w:rPr>
              <w:t>CHEK2</w:t>
            </w:r>
            <w:r>
              <w:rPr>
                <w:rFonts w:hint="eastAsia" w:ascii="Times New Roman" w:hAnsi="Times New Roman" w:eastAsia="微软雅黑" w:cs="Times New Roman"/>
                <w:sz w:val="21"/>
                <w:szCs w:val="21"/>
                <w:lang w:eastAsia="zh-CN"/>
              </w:rPr>
              <w:t xml:space="preserve"> %}{%if loop.last%}{{ i }}{%else%}{{ i }}</w:t>
            </w:r>
          </w:p>
          <w:p w14:paraId="25E80579">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4ACA9F3C">
            <w:pPr>
              <w:snapToGrid w:val="0"/>
              <w:rPr>
                <w:rFonts w:ascii="Times New Roman" w:hAnsi="Times New Roman" w:eastAsia="微软雅黑" w:cs="Times New Roman"/>
                <w:sz w:val="21"/>
                <w:szCs w:val="21"/>
                <w:lang w:eastAsia="zh-CN"/>
              </w:rPr>
            </w:pPr>
          </w:p>
        </w:tc>
      </w:tr>
      <w:tr w14:paraId="751ECBB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1D37517B">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16B30790">
            <w:pPr>
              <w:widowControl/>
              <w:snapToGrid w:val="0"/>
              <w:textAlignment w:val="center"/>
              <w:rPr>
                <w:rStyle w:val="44"/>
                <w:rFonts w:eastAsia="微软雅黑"/>
                <w:lang w:eastAsia="zh-CN" w:bidi="ar"/>
              </w:rPr>
            </w:pPr>
            <w:r>
              <w:rPr>
                <w:rStyle w:val="44"/>
                <w:rFonts w:eastAsia="微软雅黑"/>
                <w:lang w:eastAsia="zh-CN" w:bidi="ar"/>
              </w:rPr>
              <w:t>ERCC2突变</w:t>
            </w:r>
          </w:p>
        </w:tc>
        <w:tc>
          <w:tcPr>
            <w:tcW w:w="2623" w:type="dxa"/>
            <w:shd w:val="clear" w:color="auto" w:fill="auto"/>
            <w:noWrap/>
            <w:vAlign w:val="center"/>
          </w:tcPr>
          <w:p w14:paraId="706BE3A9">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4"/>
                <w:rFonts w:eastAsia="微软雅黑"/>
                <w:color w:val="000000" w:themeColor="text1"/>
                <w:lang w:eastAsia="zh-CN" w:bidi="ar"/>
                <w14:textFill>
                  <w14:solidFill>
                    <w14:schemeClr w14:val="tx1"/>
                  </w14:solidFill>
                </w14:textFill>
              </w:rPr>
              <w:t>ERCC2</w:t>
            </w:r>
            <w:r>
              <w:rPr>
                <w:rFonts w:hint="eastAsia" w:ascii="Times New Roman" w:hAnsi="Times New Roman" w:eastAsia="微软雅黑" w:cs="Times New Roman"/>
                <w:sz w:val="21"/>
                <w:szCs w:val="21"/>
                <w:lang w:eastAsia="zh-CN"/>
              </w:rPr>
              <w:t xml:space="preserve"> %}{%if loop.last%}{{ i }}{%else%}{{ i }}</w:t>
            </w:r>
          </w:p>
          <w:p w14:paraId="6228B610">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26703835">
            <w:pPr>
              <w:snapToGrid w:val="0"/>
              <w:rPr>
                <w:rFonts w:ascii="Times New Roman" w:hAnsi="Times New Roman" w:eastAsia="微软雅黑" w:cs="Times New Roman"/>
                <w:sz w:val="21"/>
                <w:szCs w:val="21"/>
                <w:lang w:eastAsia="zh-CN"/>
              </w:rPr>
            </w:pPr>
          </w:p>
        </w:tc>
      </w:tr>
      <w:tr w14:paraId="6F993CB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1AF0D7A1">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13F95D8D">
            <w:pPr>
              <w:widowControl/>
              <w:snapToGrid w:val="0"/>
              <w:textAlignment w:val="center"/>
              <w:rPr>
                <w:rStyle w:val="44"/>
                <w:rFonts w:eastAsia="微软雅黑"/>
                <w:lang w:eastAsia="zh-CN" w:bidi="ar"/>
              </w:rPr>
            </w:pPr>
            <w:r>
              <w:rPr>
                <w:rStyle w:val="44"/>
                <w:rFonts w:eastAsia="微软雅黑"/>
                <w:lang w:eastAsia="zh-CN" w:bidi="ar"/>
              </w:rPr>
              <w:t>ERCC3突变</w:t>
            </w:r>
          </w:p>
        </w:tc>
        <w:tc>
          <w:tcPr>
            <w:tcW w:w="2623" w:type="dxa"/>
            <w:shd w:val="clear" w:color="auto" w:fill="auto"/>
            <w:noWrap/>
            <w:vAlign w:val="center"/>
          </w:tcPr>
          <w:p w14:paraId="2B58CB4E">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4"/>
                <w:rFonts w:eastAsia="微软雅黑"/>
                <w:color w:val="000000" w:themeColor="text1"/>
                <w:lang w:eastAsia="zh-CN" w:bidi="ar"/>
                <w14:textFill>
                  <w14:solidFill>
                    <w14:schemeClr w14:val="tx1"/>
                  </w14:solidFill>
                </w14:textFill>
              </w:rPr>
              <w:t>ERCC3</w:t>
            </w:r>
            <w:r>
              <w:rPr>
                <w:rFonts w:hint="eastAsia" w:ascii="Times New Roman" w:hAnsi="Times New Roman" w:eastAsia="微软雅黑" w:cs="Times New Roman"/>
                <w:sz w:val="21"/>
                <w:szCs w:val="21"/>
                <w:lang w:eastAsia="zh-CN"/>
              </w:rPr>
              <w:t xml:space="preserve"> %}{%if loop.last%}{{ i }}{%else%}{{ i }}</w:t>
            </w:r>
          </w:p>
          <w:p w14:paraId="5E6457FB">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3BC0E4C7">
            <w:pPr>
              <w:snapToGrid w:val="0"/>
              <w:rPr>
                <w:rFonts w:ascii="Times New Roman" w:hAnsi="Times New Roman" w:eastAsia="微软雅黑" w:cs="Times New Roman"/>
                <w:sz w:val="21"/>
                <w:szCs w:val="21"/>
                <w:lang w:eastAsia="zh-CN"/>
              </w:rPr>
            </w:pPr>
          </w:p>
        </w:tc>
      </w:tr>
      <w:tr w14:paraId="4B0A5EA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3EB77396">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7D83FF81">
            <w:pPr>
              <w:widowControl/>
              <w:snapToGrid w:val="0"/>
              <w:textAlignment w:val="center"/>
              <w:rPr>
                <w:rStyle w:val="44"/>
                <w:rFonts w:eastAsia="微软雅黑"/>
                <w:lang w:eastAsia="zh-CN" w:bidi="ar"/>
              </w:rPr>
            </w:pPr>
            <w:r>
              <w:rPr>
                <w:rStyle w:val="44"/>
                <w:rFonts w:eastAsia="微软雅黑"/>
                <w:lang w:eastAsia="zh-CN" w:bidi="ar"/>
              </w:rPr>
              <w:t>ERCC4突变</w:t>
            </w:r>
          </w:p>
        </w:tc>
        <w:tc>
          <w:tcPr>
            <w:tcW w:w="2623" w:type="dxa"/>
            <w:shd w:val="clear" w:color="auto" w:fill="auto"/>
            <w:noWrap/>
            <w:vAlign w:val="center"/>
          </w:tcPr>
          <w:p w14:paraId="3843DD6B">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4"/>
                <w:rFonts w:eastAsia="微软雅黑"/>
                <w:color w:val="000000" w:themeColor="text1"/>
                <w:lang w:eastAsia="zh-CN" w:bidi="ar"/>
                <w14:textFill>
                  <w14:solidFill>
                    <w14:schemeClr w14:val="tx1"/>
                  </w14:solidFill>
                </w14:textFill>
              </w:rPr>
              <w:t>ERCC4</w:t>
            </w:r>
            <w:r>
              <w:rPr>
                <w:rFonts w:hint="eastAsia" w:ascii="Times New Roman" w:hAnsi="Times New Roman" w:eastAsia="微软雅黑" w:cs="Times New Roman"/>
                <w:sz w:val="21"/>
                <w:szCs w:val="21"/>
                <w:lang w:eastAsia="zh-CN"/>
              </w:rPr>
              <w:t xml:space="preserve"> %}{%if loop.last%}{{ i }}{%else%}{{ i }}</w:t>
            </w:r>
          </w:p>
          <w:p w14:paraId="1D4C40B4">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027A9E1F">
            <w:pPr>
              <w:snapToGrid w:val="0"/>
              <w:rPr>
                <w:rFonts w:ascii="Times New Roman" w:hAnsi="Times New Roman" w:eastAsia="微软雅黑" w:cs="Times New Roman"/>
                <w:sz w:val="21"/>
                <w:szCs w:val="21"/>
                <w:lang w:eastAsia="zh-CN"/>
              </w:rPr>
            </w:pPr>
          </w:p>
        </w:tc>
      </w:tr>
      <w:tr w14:paraId="4A71D0A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32A29CFA">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3C18BDCD">
            <w:pPr>
              <w:widowControl/>
              <w:snapToGrid w:val="0"/>
              <w:textAlignment w:val="center"/>
              <w:rPr>
                <w:rStyle w:val="44"/>
                <w:rFonts w:eastAsia="微软雅黑"/>
                <w:lang w:eastAsia="zh-CN" w:bidi="ar"/>
              </w:rPr>
            </w:pPr>
            <w:r>
              <w:rPr>
                <w:rStyle w:val="44"/>
                <w:rFonts w:eastAsia="微软雅黑"/>
                <w:lang w:eastAsia="zh-CN" w:bidi="ar"/>
              </w:rPr>
              <w:t>ERCC5突</w:t>
            </w:r>
            <w:r>
              <w:rPr>
                <w:rStyle w:val="44"/>
                <w:rFonts w:hint="eastAsia" w:eastAsia="微软雅黑"/>
                <w:lang w:eastAsia="zh-CN" w:bidi="ar"/>
              </w:rPr>
              <w:t>变</w:t>
            </w:r>
          </w:p>
        </w:tc>
        <w:tc>
          <w:tcPr>
            <w:tcW w:w="2623" w:type="dxa"/>
            <w:shd w:val="clear" w:color="auto" w:fill="auto"/>
            <w:noWrap/>
            <w:vAlign w:val="center"/>
          </w:tcPr>
          <w:p w14:paraId="10D00C93">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4"/>
                <w:rFonts w:eastAsia="微软雅黑"/>
                <w:color w:val="000000" w:themeColor="text1"/>
                <w:lang w:eastAsia="zh-CN" w:bidi="ar"/>
                <w14:textFill>
                  <w14:solidFill>
                    <w14:schemeClr w14:val="tx1"/>
                  </w14:solidFill>
                </w14:textFill>
              </w:rPr>
              <w:t>ERCC5</w:t>
            </w:r>
            <w:r>
              <w:rPr>
                <w:rFonts w:hint="eastAsia" w:ascii="Times New Roman" w:hAnsi="Times New Roman" w:eastAsia="微软雅黑" w:cs="Times New Roman"/>
                <w:sz w:val="21"/>
                <w:szCs w:val="21"/>
                <w:lang w:eastAsia="zh-CN"/>
              </w:rPr>
              <w:t xml:space="preserve"> %}{%if loop.last%}{{ i }}{%else%}{{ i }}</w:t>
            </w:r>
          </w:p>
          <w:p w14:paraId="329C3823">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56DEBFC4">
            <w:pPr>
              <w:snapToGrid w:val="0"/>
              <w:rPr>
                <w:rFonts w:ascii="Times New Roman" w:hAnsi="Times New Roman" w:eastAsia="微软雅黑" w:cs="Times New Roman"/>
                <w:sz w:val="21"/>
                <w:szCs w:val="21"/>
                <w:lang w:eastAsia="zh-CN"/>
              </w:rPr>
            </w:pPr>
          </w:p>
        </w:tc>
      </w:tr>
      <w:tr w14:paraId="482A85C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0827BC86">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4D012A03">
            <w:pPr>
              <w:widowControl/>
              <w:snapToGrid w:val="0"/>
              <w:textAlignment w:val="center"/>
              <w:rPr>
                <w:rStyle w:val="44"/>
                <w:rFonts w:eastAsia="微软雅黑"/>
                <w:lang w:eastAsia="zh-CN" w:bidi="ar"/>
              </w:rPr>
            </w:pPr>
            <w:r>
              <w:rPr>
                <w:rStyle w:val="44"/>
                <w:rFonts w:eastAsia="微软雅黑"/>
                <w:lang w:eastAsia="zh-CN" w:bidi="ar"/>
              </w:rPr>
              <w:t>FANCA突变</w:t>
            </w:r>
          </w:p>
        </w:tc>
        <w:tc>
          <w:tcPr>
            <w:tcW w:w="2623" w:type="dxa"/>
            <w:shd w:val="clear" w:color="auto" w:fill="auto"/>
            <w:noWrap/>
            <w:vAlign w:val="center"/>
          </w:tcPr>
          <w:p w14:paraId="40D9C26B">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4"/>
                <w:rFonts w:eastAsia="微软雅黑"/>
                <w:color w:val="000000" w:themeColor="text1"/>
                <w:lang w:eastAsia="zh-CN" w:bidi="ar"/>
                <w14:textFill>
                  <w14:solidFill>
                    <w14:schemeClr w14:val="tx1"/>
                  </w14:solidFill>
                </w14:textFill>
              </w:rPr>
              <w:t>FANCA</w:t>
            </w:r>
            <w:r>
              <w:rPr>
                <w:rFonts w:hint="eastAsia" w:ascii="Times New Roman" w:hAnsi="Times New Roman" w:eastAsia="微软雅黑" w:cs="Times New Roman"/>
                <w:sz w:val="21"/>
                <w:szCs w:val="21"/>
                <w:lang w:eastAsia="zh-CN"/>
              </w:rPr>
              <w:t xml:space="preserve"> %}{%if loop.last%}{{ i }}{%else%}{{ i }}</w:t>
            </w:r>
          </w:p>
          <w:p w14:paraId="16F4DD21">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1693B656">
            <w:pPr>
              <w:snapToGrid w:val="0"/>
              <w:rPr>
                <w:rFonts w:ascii="Times New Roman" w:hAnsi="Times New Roman" w:eastAsia="微软雅黑" w:cs="Times New Roman"/>
                <w:sz w:val="21"/>
                <w:szCs w:val="21"/>
                <w:lang w:eastAsia="zh-CN"/>
              </w:rPr>
            </w:pPr>
          </w:p>
        </w:tc>
      </w:tr>
      <w:tr w14:paraId="29953D9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05CA1DD6">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0448525A">
            <w:pPr>
              <w:widowControl/>
              <w:snapToGrid w:val="0"/>
              <w:textAlignment w:val="center"/>
              <w:rPr>
                <w:rStyle w:val="44"/>
                <w:rFonts w:eastAsia="微软雅黑"/>
                <w:lang w:eastAsia="zh-CN" w:bidi="ar"/>
              </w:rPr>
            </w:pPr>
            <w:r>
              <w:rPr>
                <w:rStyle w:val="44"/>
                <w:rFonts w:eastAsia="微软雅黑"/>
                <w:lang w:eastAsia="zh-CN" w:bidi="ar"/>
              </w:rPr>
              <w:t>FANCC突变</w:t>
            </w:r>
          </w:p>
        </w:tc>
        <w:tc>
          <w:tcPr>
            <w:tcW w:w="2623" w:type="dxa"/>
            <w:shd w:val="clear" w:color="auto" w:fill="auto"/>
            <w:noWrap/>
            <w:vAlign w:val="center"/>
          </w:tcPr>
          <w:p w14:paraId="73D56951">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4"/>
                <w:rFonts w:eastAsia="微软雅黑"/>
                <w:color w:val="000000" w:themeColor="text1"/>
                <w:lang w:eastAsia="zh-CN" w:bidi="ar"/>
                <w14:textFill>
                  <w14:solidFill>
                    <w14:schemeClr w14:val="tx1"/>
                  </w14:solidFill>
                </w14:textFill>
              </w:rPr>
              <w:t>FANCC</w:t>
            </w:r>
            <w:r>
              <w:rPr>
                <w:rFonts w:hint="eastAsia" w:ascii="Times New Roman" w:hAnsi="Times New Roman" w:eastAsia="微软雅黑" w:cs="Times New Roman"/>
                <w:sz w:val="21"/>
                <w:szCs w:val="21"/>
                <w:lang w:eastAsia="zh-CN"/>
              </w:rPr>
              <w:t xml:space="preserve"> %}{%if loop.last%}{{ i }}{%else%}{{ i }}</w:t>
            </w:r>
          </w:p>
          <w:p w14:paraId="23CFE372">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1621E7CA">
            <w:pPr>
              <w:snapToGrid w:val="0"/>
              <w:rPr>
                <w:rFonts w:ascii="Times New Roman" w:hAnsi="Times New Roman" w:eastAsia="微软雅黑" w:cs="Times New Roman"/>
                <w:sz w:val="21"/>
                <w:szCs w:val="21"/>
                <w:lang w:eastAsia="zh-CN"/>
              </w:rPr>
            </w:pPr>
          </w:p>
        </w:tc>
      </w:tr>
      <w:tr w14:paraId="4AC869C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0A5431DA">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2883BE70">
            <w:pPr>
              <w:widowControl/>
              <w:snapToGrid w:val="0"/>
              <w:textAlignment w:val="center"/>
              <w:rPr>
                <w:rStyle w:val="44"/>
                <w:rFonts w:eastAsia="微软雅黑"/>
                <w:lang w:eastAsia="zh-CN" w:bidi="ar"/>
              </w:rPr>
            </w:pPr>
            <w:r>
              <w:rPr>
                <w:rStyle w:val="44"/>
                <w:rFonts w:eastAsia="微软雅黑"/>
                <w:lang w:eastAsia="zh-CN" w:bidi="ar"/>
              </w:rPr>
              <w:t>MRE11</w:t>
            </w:r>
            <w:r>
              <w:rPr>
                <w:rStyle w:val="44"/>
                <w:rFonts w:hint="eastAsia" w:eastAsia="微软雅黑"/>
                <w:lang w:eastAsia="zh-CN" w:bidi="ar"/>
              </w:rPr>
              <w:t>突变</w:t>
            </w:r>
          </w:p>
        </w:tc>
        <w:tc>
          <w:tcPr>
            <w:tcW w:w="2623" w:type="dxa"/>
            <w:shd w:val="clear" w:color="auto" w:fill="auto"/>
            <w:noWrap/>
            <w:vAlign w:val="center"/>
          </w:tcPr>
          <w:p w14:paraId="7554E33A">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4"/>
                <w:rFonts w:eastAsia="微软雅黑"/>
                <w:color w:val="000000" w:themeColor="text1"/>
                <w:lang w:eastAsia="zh-CN" w:bidi="ar"/>
                <w14:textFill>
                  <w14:solidFill>
                    <w14:schemeClr w14:val="tx1"/>
                  </w14:solidFill>
                </w14:textFill>
              </w:rPr>
              <w:t>MRE11</w:t>
            </w:r>
            <w:r>
              <w:rPr>
                <w:rFonts w:hint="eastAsia" w:ascii="Times New Roman" w:hAnsi="Times New Roman" w:eastAsia="微软雅黑" w:cs="Times New Roman"/>
                <w:sz w:val="21"/>
                <w:szCs w:val="21"/>
                <w:lang w:eastAsia="zh-CN"/>
              </w:rPr>
              <w:t xml:space="preserve"> %}{%if loop.last%}{{ i }}{%else%}{{ i }}</w:t>
            </w:r>
          </w:p>
          <w:p w14:paraId="527618DA">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6F3881A1">
            <w:pPr>
              <w:snapToGrid w:val="0"/>
              <w:rPr>
                <w:rFonts w:ascii="Times New Roman" w:hAnsi="Times New Roman" w:eastAsia="微软雅黑" w:cs="Times New Roman"/>
                <w:sz w:val="21"/>
                <w:szCs w:val="21"/>
                <w:lang w:eastAsia="zh-CN"/>
              </w:rPr>
            </w:pPr>
          </w:p>
        </w:tc>
      </w:tr>
      <w:tr w14:paraId="437253C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57B15890">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48ACD90E">
            <w:pPr>
              <w:widowControl/>
              <w:snapToGrid w:val="0"/>
              <w:textAlignment w:val="center"/>
              <w:rPr>
                <w:rStyle w:val="44"/>
                <w:rFonts w:eastAsia="微软雅黑"/>
                <w:lang w:eastAsia="zh-CN" w:bidi="ar"/>
              </w:rPr>
            </w:pPr>
            <w:r>
              <w:rPr>
                <w:rStyle w:val="44"/>
                <w:rFonts w:eastAsia="微软雅黑"/>
                <w:lang w:eastAsia="zh-CN" w:bidi="ar"/>
              </w:rPr>
              <w:t>NBN突变</w:t>
            </w:r>
          </w:p>
        </w:tc>
        <w:tc>
          <w:tcPr>
            <w:tcW w:w="2623" w:type="dxa"/>
            <w:shd w:val="clear" w:color="auto" w:fill="auto"/>
            <w:noWrap/>
            <w:vAlign w:val="center"/>
          </w:tcPr>
          <w:p w14:paraId="03CC8094">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4"/>
                <w:rFonts w:eastAsia="微软雅黑"/>
                <w:color w:val="000000" w:themeColor="text1"/>
                <w:lang w:eastAsia="zh-CN" w:bidi="ar"/>
                <w14:textFill>
                  <w14:solidFill>
                    <w14:schemeClr w14:val="tx1"/>
                  </w14:solidFill>
                </w14:textFill>
              </w:rPr>
              <w:t>NBN</w:t>
            </w:r>
            <w:r>
              <w:rPr>
                <w:rFonts w:hint="eastAsia" w:ascii="Times New Roman" w:hAnsi="Times New Roman" w:eastAsia="微软雅黑" w:cs="Times New Roman"/>
                <w:sz w:val="21"/>
                <w:szCs w:val="21"/>
                <w:lang w:eastAsia="zh-CN"/>
              </w:rPr>
              <w:t xml:space="preserve"> %}{%if loop.last%}{{ i }}{%else%}{{ i }}</w:t>
            </w:r>
          </w:p>
          <w:p w14:paraId="6E43BE01">
            <w:pPr>
              <w:widowControl/>
              <w:snapToGrid w:val="0"/>
              <w:jc w:val="center"/>
              <w:textAlignment w:val="center"/>
              <w:rPr>
                <w:rFonts w:ascii="Times New Roman" w:hAnsi="Times New Roman" w:eastAsia="微软雅黑" w:cs="Times New Roman"/>
                <w:color w:val="000000"/>
                <w:sz w:val="21"/>
                <w:szCs w:val="21"/>
                <w:shd w:val="clear" w:color="auto" w:fill="FFFF00"/>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788F5E26">
            <w:pPr>
              <w:snapToGrid w:val="0"/>
              <w:rPr>
                <w:rFonts w:ascii="Times New Roman" w:hAnsi="Times New Roman" w:eastAsia="微软雅黑" w:cs="Times New Roman"/>
                <w:sz w:val="21"/>
                <w:szCs w:val="21"/>
                <w:lang w:eastAsia="zh-CN"/>
              </w:rPr>
            </w:pPr>
          </w:p>
        </w:tc>
      </w:tr>
      <w:tr w14:paraId="45BD6BE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5EFFDCA4">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7D960ECD">
            <w:pPr>
              <w:widowControl/>
              <w:snapToGrid w:val="0"/>
              <w:textAlignment w:val="center"/>
              <w:rPr>
                <w:rStyle w:val="44"/>
                <w:rFonts w:eastAsia="微软雅黑"/>
                <w:lang w:eastAsia="zh-CN" w:bidi="ar"/>
              </w:rPr>
            </w:pPr>
            <w:r>
              <w:rPr>
                <w:rStyle w:val="44"/>
                <w:rFonts w:eastAsia="微软雅黑"/>
                <w:lang w:eastAsia="zh-CN" w:bidi="ar"/>
              </w:rPr>
              <w:t>RAD50突变</w:t>
            </w:r>
          </w:p>
        </w:tc>
        <w:tc>
          <w:tcPr>
            <w:tcW w:w="2623" w:type="dxa"/>
            <w:shd w:val="clear" w:color="auto" w:fill="auto"/>
            <w:noWrap/>
            <w:vAlign w:val="center"/>
          </w:tcPr>
          <w:p w14:paraId="34F97FBF">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4"/>
                <w:rFonts w:eastAsia="微软雅黑"/>
                <w:color w:val="000000" w:themeColor="text1"/>
                <w:lang w:eastAsia="zh-CN" w:bidi="ar"/>
                <w14:textFill>
                  <w14:solidFill>
                    <w14:schemeClr w14:val="tx1"/>
                  </w14:solidFill>
                </w14:textFill>
              </w:rPr>
              <w:t>RAD50</w:t>
            </w:r>
            <w:r>
              <w:rPr>
                <w:rFonts w:hint="eastAsia" w:ascii="Times New Roman" w:hAnsi="Times New Roman" w:eastAsia="微软雅黑" w:cs="Times New Roman"/>
                <w:sz w:val="21"/>
                <w:szCs w:val="21"/>
                <w:lang w:eastAsia="zh-CN"/>
              </w:rPr>
              <w:t xml:space="preserve"> %}{%if loop.last%}{{ i }}{%else%}{{ i }}</w:t>
            </w:r>
          </w:p>
          <w:p w14:paraId="13D63B6A">
            <w:pPr>
              <w:widowControl/>
              <w:snapToGrid w:val="0"/>
              <w:jc w:val="center"/>
              <w:textAlignment w:val="center"/>
              <w:rPr>
                <w:rFonts w:ascii="Times New Roman" w:hAnsi="Times New Roman" w:eastAsia="微软雅黑" w:cs="Times New Roman"/>
                <w:color w:val="000000"/>
                <w:sz w:val="21"/>
                <w:szCs w:val="21"/>
                <w:shd w:val="clear" w:color="auto" w:fill="FFFF00"/>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310EFB3A">
            <w:pPr>
              <w:snapToGrid w:val="0"/>
              <w:rPr>
                <w:rFonts w:ascii="Times New Roman" w:hAnsi="Times New Roman" w:eastAsia="微软雅黑" w:cs="Times New Roman"/>
                <w:sz w:val="21"/>
                <w:szCs w:val="21"/>
                <w:lang w:eastAsia="zh-CN"/>
              </w:rPr>
            </w:pPr>
          </w:p>
        </w:tc>
      </w:tr>
      <w:tr w14:paraId="05335D2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06110959">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52F0DEB7">
            <w:pPr>
              <w:widowControl/>
              <w:snapToGrid w:val="0"/>
              <w:textAlignment w:val="center"/>
              <w:rPr>
                <w:rStyle w:val="44"/>
                <w:rFonts w:eastAsia="微软雅黑"/>
                <w:lang w:eastAsia="zh-CN" w:bidi="ar"/>
              </w:rPr>
            </w:pPr>
            <w:r>
              <w:rPr>
                <w:rStyle w:val="44"/>
                <w:rFonts w:eastAsia="微软雅黑"/>
                <w:lang w:eastAsia="zh-CN" w:bidi="ar"/>
              </w:rPr>
              <w:t>RAD51突变</w:t>
            </w:r>
          </w:p>
        </w:tc>
        <w:tc>
          <w:tcPr>
            <w:tcW w:w="2623" w:type="dxa"/>
            <w:shd w:val="clear" w:color="auto" w:fill="auto"/>
            <w:noWrap/>
            <w:vAlign w:val="center"/>
          </w:tcPr>
          <w:p w14:paraId="1C4D60DF">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4"/>
                <w:rFonts w:eastAsia="微软雅黑"/>
                <w:color w:val="000000" w:themeColor="text1"/>
                <w:lang w:eastAsia="zh-CN" w:bidi="ar"/>
                <w14:textFill>
                  <w14:solidFill>
                    <w14:schemeClr w14:val="tx1"/>
                  </w14:solidFill>
                </w14:textFill>
              </w:rPr>
              <w:t>RAD51</w:t>
            </w:r>
            <w:r>
              <w:rPr>
                <w:rFonts w:hint="eastAsia" w:ascii="Times New Roman" w:hAnsi="Times New Roman" w:eastAsia="微软雅黑" w:cs="Times New Roman"/>
                <w:sz w:val="21"/>
                <w:szCs w:val="21"/>
                <w:lang w:eastAsia="zh-CN"/>
              </w:rPr>
              <w:t xml:space="preserve"> %}{%if loop.last%}{{ i }}{%else%}{{ i }}</w:t>
            </w:r>
          </w:p>
          <w:p w14:paraId="02906E81">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7A3663B0">
            <w:pPr>
              <w:snapToGrid w:val="0"/>
              <w:rPr>
                <w:rFonts w:ascii="Times New Roman" w:hAnsi="Times New Roman" w:eastAsia="微软雅黑" w:cs="Times New Roman"/>
                <w:sz w:val="21"/>
                <w:szCs w:val="21"/>
                <w:lang w:eastAsia="zh-CN"/>
              </w:rPr>
            </w:pPr>
          </w:p>
        </w:tc>
      </w:tr>
      <w:tr w14:paraId="2601B89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46557046">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646FCEB3">
            <w:pPr>
              <w:widowControl/>
              <w:snapToGrid w:val="0"/>
              <w:textAlignment w:val="center"/>
              <w:rPr>
                <w:rStyle w:val="44"/>
                <w:rFonts w:eastAsia="微软雅黑"/>
                <w:lang w:eastAsia="zh-CN" w:bidi="ar"/>
              </w:rPr>
            </w:pPr>
            <w:r>
              <w:rPr>
                <w:rStyle w:val="44"/>
                <w:rFonts w:eastAsia="微软雅黑"/>
                <w:lang w:eastAsia="zh-CN" w:bidi="ar"/>
              </w:rPr>
              <w:t>RAD51B突变</w:t>
            </w:r>
          </w:p>
        </w:tc>
        <w:tc>
          <w:tcPr>
            <w:tcW w:w="2623" w:type="dxa"/>
            <w:shd w:val="clear" w:color="auto" w:fill="auto"/>
            <w:noWrap/>
            <w:vAlign w:val="center"/>
          </w:tcPr>
          <w:p w14:paraId="17AA37E7">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4"/>
                <w:rFonts w:eastAsia="微软雅黑"/>
                <w:color w:val="000000" w:themeColor="text1"/>
                <w:lang w:eastAsia="zh-CN" w:bidi="ar"/>
                <w14:textFill>
                  <w14:solidFill>
                    <w14:schemeClr w14:val="tx1"/>
                  </w14:solidFill>
                </w14:textFill>
              </w:rPr>
              <w:t>RAD51B</w:t>
            </w:r>
            <w:r>
              <w:rPr>
                <w:rFonts w:hint="eastAsia" w:ascii="Times New Roman" w:hAnsi="Times New Roman" w:eastAsia="微软雅黑" w:cs="Times New Roman"/>
                <w:sz w:val="21"/>
                <w:szCs w:val="21"/>
                <w:lang w:eastAsia="zh-CN"/>
              </w:rPr>
              <w:t xml:space="preserve"> %}{%if loop.last%}{{ i }}{%else%}{{ i }}</w:t>
            </w:r>
          </w:p>
          <w:p w14:paraId="7DF8FA31">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41581D9B">
            <w:pPr>
              <w:snapToGrid w:val="0"/>
              <w:rPr>
                <w:rFonts w:ascii="Times New Roman" w:hAnsi="Times New Roman" w:eastAsia="微软雅黑" w:cs="Times New Roman"/>
                <w:sz w:val="21"/>
                <w:szCs w:val="21"/>
                <w:lang w:eastAsia="zh-CN"/>
              </w:rPr>
            </w:pPr>
          </w:p>
        </w:tc>
      </w:tr>
      <w:tr w14:paraId="3754566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3FEFCB15">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591D19E5">
            <w:pPr>
              <w:widowControl/>
              <w:snapToGrid w:val="0"/>
              <w:textAlignment w:val="center"/>
              <w:rPr>
                <w:rStyle w:val="44"/>
                <w:rFonts w:eastAsia="微软雅黑"/>
                <w:lang w:eastAsia="zh-CN" w:bidi="ar"/>
              </w:rPr>
            </w:pPr>
            <w:r>
              <w:rPr>
                <w:rStyle w:val="44"/>
                <w:rFonts w:eastAsia="微软雅黑"/>
                <w:lang w:eastAsia="zh-CN" w:bidi="ar"/>
              </w:rPr>
              <w:t>RAD51D突变</w:t>
            </w:r>
          </w:p>
        </w:tc>
        <w:tc>
          <w:tcPr>
            <w:tcW w:w="2623" w:type="dxa"/>
            <w:shd w:val="clear" w:color="auto" w:fill="auto"/>
            <w:noWrap/>
            <w:vAlign w:val="center"/>
          </w:tcPr>
          <w:p w14:paraId="27F886AE">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4"/>
                <w:rFonts w:eastAsia="微软雅黑"/>
                <w:color w:val="000000" w:themeColor="text1"/>
                <w:lang w:eastAsia="zh-CN" w:bidi="ar"/>
                <w14:textFill>
                  <w14:solidFill>
                    <w14:schemeClr w14:val="tx1"/>
                  </w14:solidFill>
                </w14:textFill>
              </w:rPr>
              <w:t>RAD51D</w:t>
            </w:r>
            <w:r>
              <w:rPr>
                <w:rStyle w:val="44"/>
                <w:rFonts w:hint="eastAsia" w:eastAsia="微软雅黑"/>
                <w:color w:val="000000" w:themeColor="text1"/>
                <w:lang w:eastAsia="zh-CN" w:bidi="ar"/>
                <w14:textFill>
                  <w14:solidFill>
                    <w14:schemeClr w14:val="tx1"/>
                  </w14:solidFill>
                </w14:textFill>
              </w:rPr>
              <w:t xml:space="preserve"> </w:t>
            </w:r>
            <w:r>
              <w:rPr>
                <w:rFonts w:hint="eastAsia" w:ascii="Times New Roman" w:hAnsi="Times New Roman" w:eastAsia="微软雅黑" w:cs="Times New Roman"/>
                <w:sz w:val="21"/>
                <w:szCs w:val="21"/>
                <w:lang w:eastAsia="zh-CN"/>
              </w:rPr>
              <w:t>%}{%if loop.last%}{{ i }}{%else%}{{ i }}</w:t>
            </w:r>
          </w:p>
          <w:p w14:paraId="6BD57487">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359B62A5">
            <w:pPr>
              <w:snapToGrid w:val="0"/>
              <w:rPr>
                <w:rFonts w:ascii="Times New Roman" w:hAnsi="Times New Roman" w:eastAsia="微软雅黑" w:cs="Times New Roman"/>
                <w:sz w:val="21"/>
                <w:szCs w:val="21"/>
                <w:lang w:eastAsia="zh-CN"/>
              </w:rPr>
            </w:pPr>
          </w:p>
        </w:tc>
      </w:tr>
      <w:tr w14:paraId="2A49BA2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4450AF63">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76B35489">
            <w:pPr>
              <w:widowControl/>
              <w:snapToGrid w:val="0"/>
              <w:textAlignment w:val="center"/>
              <w:rPr>
                <w:rStyle w:val="44"/>
                <w:rFonts w:eastAsia="微软雅黑"/>
                <w:lang w:eastAsia="zh-CN" w:bidi="ar"/>
              </w:rPr>
            </w:pPr>
            <w:r>
              <w:rPr>
                <w:rStyle w:val="44"/>
                <w:rFonts w:eastAsia="微软雅黑"/>
                <w:lang w:eastAsia="zh-CN" w:bidi="ar"/>
              </w:rPr>
              <w:t>RAD54L突变</w:t>
            </w:r>
          </w:p>
        </w:tc>
        <w:tc>
          <w:tcPr>
            <w:tcW w:w="2623" w:type="dxa"/>
            <w:shd w:val="clear" w:color="auto" w:fill="auto"/>
            <w:noWrap/>
            <w:vAlign w:val="center"/>
          </w:tcPr>
          <w:p w14:paraId="377AE5F6">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4"/>
                <w:rFonts w:eastAsia="微软雅黑"/>
                <w:color w:val="000000" w:themeColor="text1"/>
                <w:lang w:eastAsia="zh-CN" w:bidi="ar"/>
                <w14:textFill>
                  <w14:solidFill>
                    <w14:schemeClr w14:val="tx1"/>
                  </w14:solidFill>
                </w14:textFill>
              </w:rPr>
              <w:t>RAD54L</w:t>
            </w:r>
            <w:r>
              <w:rPr>
                <w:rFonts w:hint="eastAsia" w:ascii="Times New Roman" w:hAnsi="Times New Roman" w:eastAsia="微软雅黑" w:cs="Times New Roman"/>
                <w:sz w:val="21"/>
                <w:szCs w:val="21"/>
                <w:lang w:eastAsia="zh-CN"/>
              </w:rPr>
              <w:t xml:space="preserve"> %}{%if loop.last%}{{ i }}{%else%}{{ i }}</w:t>
            </w:r>
          </w:p>
          <w:p w14:paraId="1FFB71ED">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1D23F4B3">
            <w:pPr>
              <w:snapToGrid w:val="0"/>
              <w:rPr>
                <w:rFonts w:ascii="Times New Roman" w:hAnsi="Times New Roman" w:eastAsia="微软雅黑" w:cs="Times New Roman"/>
                <w:sz w:val="21"/>
                <w:szCs w:val="21"/>
                <w:lang w:eastAsia="zh-CN"/>
              </w:rPr>
            </w:pPr>
          </w:p>
        </w:tc>
      </w:tr>
      <w:tr w14:paraId="5C83914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5C93DB1D">
            <w:pPr>
              <w:widowControl/>
              <w:snapToGrid w:val="0"/>
              <w:jc w:val="center"/>
              <w:textAlignment w:val="center"/>
              <w:rPr>
                <w:rFonts w:ascii="Times New Roman" w:hAnsi="Times New Roman" w:eastAsia="微软雅黑" w:cs="Times New Roman"/>
                <w:color w:val="000000"/>
                <w:sz w:val="21"/>
                <w:szCs w:val="21"/>
                <w:highlight w:val="yellow"/>
                <w:lang w:eastAsia="zh-CN" w:bidi="ar"/>
              </w:rPr>
            </w:pPr>
          </w:p>
        </w:tc>
        <w:tc>
          <w:tcPr>
            <w:tcW w:w="8504" w:type="dxa"/>
            <w:gridSpan w:val="3"/>
            <w:shd w:val="clear" w:color="auto" w:fill="auto"/>
            <w:noWrap/>
            <w:vAlign w:val="center"/>
          </w:tcPr>
          <w:p w14:paraId="23A11078">
            <w:pPr>
              <w:snapToGrid w:val="0"/>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其他基因</w:t>
            </w:r>
          </w:p>
        </w:tc>
      </w:tr>
      <w:tr w14:paraId="7D0FEFE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28235E8F">
            <w:pPr>
              <w:widowControl/>
              <w:snapToGrid w:val="0"/>
              <w:jc w:val="center"/>
              <w:textAlignment w:val="center"/>
              <w:rPr>
                <w:rFonts w:ascii="Times New Roman" w:hAnsi="Times New Roman" w:eastAsia="微软雅黑" w:cs="Times New Roman"/>
                <w:color w:val="000000"/>
                <w:sz w:val="21"/>
                <w:szCs w:val="21"/>
                <w:highlight w:val="yellow"/>
              </w:rPr>
            </w:pPr>
          </w:p>
        </w:tc>
        <w:tc>
          <w:tcPr>
            <w:tcW w:w="2436" w:type="dxa"/>
            <w:shd w:val="clear" w:color="auto" w:fill="auto"/>
            <w:noWrap/>
            <w:vAlign w:val="center"/>
          </w:tcPr>
          <w:p w14:paraId="1F8FFC66">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CD274(PDL1)</w:t>
            </w:r>
            <w:r>
              <w:rPr>
                <w:rFonts w:hint="eastAsia" w:ascii="Times New Roman" w:hAnsi="Times New Roman" w:eastAsia="微软雅黑" w:cs="Times New Roman"/>
                <w:color w:val="000000"/>
                <w:sz w:val="21"/>
                <w:szCs w:val="21"/>
                <w:lang w:eastAsia="zh-CN" w:bidi="ar"/>
              </w:rPr>
              <w:t>扩增</w:t>
            </w:r>
          </w:p>
        </w:tc>
        <w:tc>
          <w:tcPr>
            <w:tcW w:w="2623" w:type="dxa"/>
            <w:shd w:val="clear" w:color="auto" w:fill="auto"/>
            <w:noWrap/>
            <w:vAlign w:val="center"/>
          </w:tcPr>
          <w:p w14:paraId="4A44466C">
            <w:pPr>
              <w:widowControl/>
              <w:snapToGrid w:val="0"/>
              <w:jc w:val="center"/>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sz w:val="21"/>
                <w:szCs w:val="21"/>
                <w:lang w:eastAsia="zh-CN"/>
              </w:rPr>
              <w:t>{{ positiveOther.positiveOther</w:t>
            </w:r>
            <w:r>
              <w:rPr>
                <w:rFonts w:ascii="Times New Roman" w:hAnsi="Times New Roman" w:eastAsia="微软雅黑" w:cs="Times New Roman"/>
                <w:sz w:val="21"/>
                <w:szCs w:val="21"/>
                <w:lang w:eastAsia="zh-CN" w:bidi="ar"/>
              </w:rPr>
              <w:t>CD274</w:t>
            </w:r>
            <w:r>
              <w:rPr>
                <w:rFonts w:hint="eastAsia" w:ascii="Times New Roman" w:hAnsi="Times New Roman" w:eastAsia="微软雅黑" w:cs="Times New Roman"/>
                <w:sz w:val="21"/>
                <w:szCs w:val="21"/>
                <w:lang w:eastAsia="zh-CN"/>
              </w:rPr>
              <w:t xml:space="preserve"> }}</w:t>
            </w:r>
          </w:p>
        </w:tc>
        <w:tc>
          <w:tcPr>
            <w:tcW w:w="3445" w:type="dxa"/>
            <w:vMerge w:val="restart"/>
            <w:shd w:val="clear" w:color="auto" w:fill="auto"/>
            <w:noWrap/>
            <w:vAlign w:val="center"/>
          </w:tcPr>
          <w:p w14:paraId="28E798E0">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positiveOther.detectionSignificance }}</w:t>
            </w:r>
          </w:p>
        </w:tc>
      </w:tr>
      <w:tr w14:paraId="0AD6352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5317F13A">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43D7E641">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KRAS突变</w:t>
            </w:r>
          </w:p>
        </w:tc>
        <w:tc>
          <w:tcPr>
            <w:tcW w:w="2623" w:type="dxa"/>
            <w:shd w:val="clear" w:color="auto" w:fill="auto"/>
            <w:noWrap/>
            <w:vAlign w:val="center"/>
          </w:tcPr>
          <w:p w14:paraId="4046213E">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positiveOther.positiveOther</w:t>
            </w:r>
            <w:r>
              <w:rPr>
                <w:rFonts w:ascii="Times New Roman" w:hAnsi="Times New Roman" w:eastAsia="微软雅黑" w:cs="Times New Roman"/>
                <w:sz w:val="21"/>
                <w:szCs w:val="21"/>
                <w:lang w:eastAsia="zh-CN" w:bidi="ar"/>
              </w:rPr>
              <w:t>KRAS</w:t>
            </w:r>
            <w:r>
              <w:rPr>
                <w:rFonts w:hint="eastAsia" w:ascii="Times New Roman" w:hAnsi="Times New Roman" w:eastAsia="微软雅黑" w:cs="Times New Roman"/>
                <w:sz w:val="21"/>
                <w:szCs w:val="21"/>
                <w:lang w:eastAsia="zh-CN"/>
              </w:rPr>
              <w:t xml:space="preserve"> %}{%if loop.last%}{{ i }}{%else%}{{ i }}</w:t>
            </w:r>
          </w:p>
          <w:p w14:paraId="7D0D445E">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2E50E544">
            <w:pPr>
              <w:snapToGrid w:val="0"/>
              <w:rPr>
                <w:rFonts w:ascii="Times New Roman" w:hAnsi="Times New Roman" w:eastAsia="微软雅黑" w:cs="Times New Roman"/>
                <w:sz w:val="21"/>
                <w:szCs w:val="21"/>
                <w:lang w:eastAsia="zh-CN"/>
              </w:rPr>
            </w:pPr>
          </w:p>
        </w:tc>
      </w:tr>
      <w:tr w14:paraId="7E71559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1B18DD19">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0149F73C">
            <w:pPr>
              <w:widowControl/>
              <w:snapToGrid w:val="0"/>
              <w:textAlignment w:val="center"/>
              <w:rPr>
                <w:rFonts w:ascii="Times New Roman" w:hAnsi="Times New Roman" w:eastAsia="微软雅黑" w:cs="Times New Roman"/>
                <w:color w:val="000000"/>
                <w:sz w:val="21"/>
                <w:szCs w:val="21"/>
              </w:rPr>
            </w:pPr>
            <w:r>
              <w:rPr>
                <w:rFonts w:ascii="Times New Roman" w:hAnsi="Times New Roman" w:eastAsia="微软雅黑" w:cs="Times New Roman"/>
                <w:color w:val="000000"/>
                <w:sz w:val="21"/>
                <w:szCs w:val="21"/>
                <w:lang w:eastAsia="zh-CN" w:bidi="ar"/>
              </w:rPr>
              <w:t>PBRM1突变</w:t>
            </w:r>
          </w:p>
        </w:tc>
        <w:tc>
          <w:tcPr>
            <w:tcW w:w="2623" w:type="dxa"/>
            <w:shd w:val="clear" w:color="auto" w:fill="auto"/>
            <w:noWrap/>
            <w:vAlign w:val="center"/>
          </w:tcPr>
          <w:p w14:paraId="2263A088">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positiveOther.positiveOther</w:t>
            </w:r>
            <w:r>
              <w:rPr>
                <w:rFonts w:ascii="Times New Roman" w:hAnsi="Times New Roman" w:eastAsia="微软雅黑" w:cs="Times New Roman"/>
                <w:sz w:val="21"/>
                <w:szCs w:val="21"/>
                <w:lang w:eastAsia="zh-CN" w:bidi="ar"/>
              </w:rPr>
              <w:t>PBRM1</w:t>
            </w:r>
            <w:r>
              <w:rPr>
                <w:rFonts w:hint="eastAsia" w:ascii="Times New Roman" w:hAnsi="Times New Roman" w:eastAsia="微软雅黑" w:cs="Times New Roman"/>
                <w:sz w:val="21"/>
                <w:szCs w:val="21"/>
                <w:lang w:eastAsia="zh-CN"/>
              </w:rPr>
              <w:t xml:space="preserve"> %}{%if loop.last%}{{ i }}{%else%}{{ i }}</w:t>
            </w:r>
          </w:p>
          <w:p w14:paraId="5A2E42BE">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119C69BD">
            <w:pPr>
              <w:snapToGrid w:val="0"/>
              <w:rPr>
                <w:rFonts w:ascii="Times New Roman" w:hAnsi="Times New Roman" w:eastAsia="微软雅黑" w:cs="Times New Roman"/>
                <w:sz w:val="21"/>
                <w:szCs w:val="21"/>
                <w:lang w:eastAsia="zh-CN"/>
              </w:rPr>
            </w:pPr>
          </w:p>
        </w:tc>
      </w:tr>
      <w:tr w14:paraId="640E033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42C69D77">
            <w:pPr>
              <w:widowControl/>
              <w:snapToGrid w:val="0"/>
              <w:jc w:val="center"/>
              <w:textAlignment w:val="center"/>
              <w:rPr>
                <w:rFonts w:ascii="Times New Roman" w:hAnsi="Times New Roman" w:eastAsia="微软雅黑" w:cs="Times New Roman"/>
                <w:color w:val="000000"/>
                <w:sz w:val="21"/>
                <w:szCs w:val="21"/>
                <w:highlight w:val="yellow"/>
              </w:rPr>
            </w:pPr>
          </w:p>
        </w:tc>
        <w:tc>
          <w:tcPr>
            <w:tcW w:w="2436" w:type="dxa"/>
            <w:shd w:val="clear" w:color="auto" w:fill="auto"/>
            <w:noWrap/>
            <w:vAlign w:val="center"/>
          </w:tcPr>
          <w:p w14:paraId="4EE29CDF">
            <w:pPr>
              <w:widowControl/>
              <w:snapToGrid w:val="0"/>
              <w:textAlignment w:val="center"/>
              <w:rPr>
                <w:rFonts w:ascii="Times New Roman" w:hAnsi="Times New Roman" w:eastAsia="微软雅黑" w:cs="Times New Roman"/>
                <w:color w:val="000000"/>
                <w:sz w:val="21"/>
                <w:szCs w:val="21"/>
              </w:rPr>
            </w:pPr>
            <w:r>
              <w:rPr>
                <w:rFonts w:ascii="Times New Roman" w:hAnsi="Times New Roman" w:eastAsia="微软雅黑" w:cs="Times New Roman"/>
                <w:color w:val="000000"/>
                <w:sz w:val="21"/>
                <w:szCs w:val="21"/>
                <w:lang w:eastAsia="zh-CN" w:bidi="ar"/>
              </w:rPr>
              <w:t>PDCD1LG2(PDL2)</w:t>
            </w:r>
            <w:r>
              <w:rPr>
                <w:rFonts w:hint="eastAsia" w:ascii="Times New Roman" w:hAnsi="Times New Roman" w:eastAsia="微软雅黑" w:cs="Times New Roman"/>
                <w:color w:val="000000"/>
                <w:sz w:val="21"/>
                <w:szCs w:val="21"/>
                <w:lang w:eastAsia="zh-CN" w:bidi="ar"/>
              </w:rPr>
              <w:t>扩增</w:t>
            </w:r>
          </w:p>
        </w:tc>
        <w:tc>
          <w:tcPr>
            <w:tcW w:w="2623" w:type="dxa"/>
            <w:shd w:val="clear" w:color="auto" w:fill="auto"/>
            <w:noWrap/>
            <w:vAlign w:val="center"/>
          </w:tcPr>
          <w:p w14:paraId="35A3A5ED">
            <w:pPr>
              <w:widowControl/>
              <w:snapToGrid w:val="0"/>
              <w:jc w:val="center"/>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sz w:val="21"/>
                <w:szCs w:val="21"/>
                <w:lang w:eastAsia="zh-CN"/>
              </w:rPr>
              <w:t>{{ positiveOther.positiveOther</w:t>
            </w:r>
            <w:r>
              <w:rPr>
                <w:rFonts w:ascii="Times New Roman" w:hAnsi="Times New Roman" w:eastAsia="微软雅黑" w:cs="Times New Roman"/>
                <w:sz w:val="21"/>
                <w:szCs w:val="21"/>
                <w:lang w:eastAsia="zh-CN" w:bidi="ar"/>
              </w:rPr>
              <w:t>PDCD1LG2</w:t>
            </w:r>
            <w:r>
              <w:rPr>
                <w:rFonts w:hint="eastAsia" w:ascii="Times New Roman" w:hAnsi="Times New Roman" w:eastAsia="微软雅黑" w:cs="Times New Roman"/>
                <w:sz w:val="21"/>
                <w:szCs w:val="21"/>
                <w:lang w:eastAsia="zh-CN"/>
              </w:rPr>
              <w:t xml:space="preserve"> }}</w:t>
            </w:r>
          </w:p>
        </w:tc>
        <w:tc>
          <w:tcPr>
            <w:tcW w:w="3445" w:type="dxa"/>
            <w:vMerge w:val="continue"/>
            <w:shd w:val="clear" w:color="auto" w:fill="auto"/>
            <w:noWrap/>
            <w:vAlign w:val="center"/>
          </w:tcPr>
          <w:p w14:paraId="4BD373B7">
            <w:pPr>
              <w:snapToGrid w:val="0"/>
              <w:rPr>
                <w:rFonts w:ascii="Times New Roman" w:hAnsi="Times New Roman" w:eastAsia="微软雅黑" w:cs="Times New Roman"/>
                <w:sz w:val="21"/>
                <w:szCs w:val="21"/>
                <w:lang w:eastAsia="zh-CN"/>
              </w:rPr>
            </w:pPr>
          </w:p>
        </w:tc>
      </w:tr>
      <w:tr w14:paraId="31CBBCE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40499BB8">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06DE1D59">
            <w:pPr>
              <w:widowControl/>
              <w:snapToGrid w:val="0"/>
              <w:textAlignment w:val="center"/>
              <w:rPr>
                <w:rFonts w:ascii="Times New Roman" w:hAnsi="Times New Roman" w:eastAsia="微软雅黑" w:cs="Times New Roman"/>
                <w:color w:val="000000"/>
                <w:sz w:val="21"/>
                <w:szCs w:val="21"/>
              </w:rPr>
            </w:pPr>
            <w:r>
              <w:rPr>
                <w:rFonts w:ascii="Times New Roman" w:hAnsi="Times New Roman" w:eastAsia="微软雅黑" w:cs="Times New Roman"/>
                <w:color w:val="000000"/>
                <w:sz w:val="21"/>
                <w:szCs w:val="21"/>
                <w:lang w:eastAsia="zh-CN" w:bidi="ar"/>
              </w:rPr>
              <w:t>POLD1突变</w:t>
            </w:r>
          </w:p>
        </w:tc>
        <w:tc>
          <w:tcPr>
            <w:tcW w:w="2623" w:type="dxa"/>
            <w:shd w:val="clear" w:color="auto" w:fill="auto"/>
            <w:noWrap/>
            <w:vAlign w:val="center"/>
          </w:tcPr>
          <w:p w14:paraId="19D53798">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positiveOther.positiveOther</w:t>
            </w:r>
            <w:r>
              <w:rPr>
                <w:rFonts w:ascii="Times New Roman" w:hAnsi="Times New Roman" w:eastAsia="微软雅黑" w:cs="Times New Roman"/>
                <w:sz w:val="21"/>
                <w:szCs w:val="21"/>
                <w:lang w:eastAsia="zh-CN" w:bidi="ar"/>
              </w:rPr>
              <w:t>POLD1</w:t>
            </w:r>
            <w:r>
              <w:rPr>
                <w:rFonts w:hint="eastAsia" w:ascii="Times New Roman" w:hAnsi="Times New Roman" w:eastAsia="微软雅黑" w:cs="Times New Roman"/>
                <w:sz w:val="21"/>
                <w:szCs w:val="21"/>
                <w:lang w:eastAsia="zh-CN"/>
              </w:rPr>
              <w:t xml:space="preserve"> %}{%if loop.last%}{{ i }}{%else%}{{ i }}</w:t>
            </w:r>
          </w:p>
          <w:p w14:paraId="3CAD012A">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7F390179">
            <w:pPr>
              <w:snapToGrid w:val="0"/>
              <w:rPr>
                <w:rFonts w:ascii="Times New Roman" w:hAnsi="Times New Roman" w:eastAsia="微软雅黑" w:cs="Times New Roman"/>
                <w:sz w:val="21"/>
                <w:szCs w:val="21"/>
                <w:lang w:eastAsia="zh-CN"/>
              </w:rPr>
            </w:pPr>
          </w:p>
        </w:tc>
      </w:tr>
      <w:tr w14:paraId="023BFFC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5FF5DFE8">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5BD38950">
            <w:pPr>
              <w:widowControl/>
              <w:snapToGrid w:val="0"/>
              <w:textAlignment w:val="center"/>
              <w:rPr>
                <w:rFonts w:ascii="Times New Roman" w:hAnsi="Times New Roman" w:eastAsia="微软雅黑" w:cs="Times New Roman"/>
                <w:color w:val="000000"/>
                <w:sz w:val="21"/>
                <w:szCs w:val="21"/>
              </w:rPr>
            </w:pPr>
            <w:r>
              <w:rPr>
                <w:rFonts w:ascii="Times New Roman" w:hAnsi="Times New Roman" w:eastAsia="微软雅黑" w:cs="Times New Roman"/>
                <w:color w:val="000000"/>
                <w:sz w:val="21"/>
                <w:szCs w:val="21"/>
                <w:lang w:eastAsia="zh-CN" w:bidi="ar"/>
              </w:rPr>
              <w:t>POLE突变</w:t>
            </w:r>
          </w:p>
        </w:tc>
        <w:tc>
          <w:tcPr>
            <w:tcW w:w="2623" w:type="dxa"/>
            <w:shd w:val="clear" w:color="auto" w:fill="auto"/>
            <w:noWrap/>
            <w:vAlign w:val="center"/>
          </w:tcPr>
          <w:p w14:paraId="661C0183">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positiveOther.positiveOther</w:t>
            </w:r>
            <w:r>
              <w:rPr>
                <w:rFonts w:ascii="Times New Roman" w:hAnsi="Times New Roman" w:eastAsia="微软雅黑" w:cs="Times New Roman"/>
                <w:sz w:val="21"/>
                <w:szCs w:val="21"/>
                <w:lang w:eastAsia="zh-CN" w:bidi="ar"/>
              </w:rPr>
              <w:t>POLE</w:t>
            </w:r>
            <w:r>
              <w:rPr>
                <w:rFonts w:hint="eastAsia" w:ascii="Times New Roman" w:hAnsi="Times New Roman" w:eastAsia="微软雅黑" w:cs="Times New Roman"/>
                <w:sz w:val="21"/>
                <w:szCs w:val="21"/>
                <w:lang w:eastAsia="zh-CN"/>
              </w:rPr>
              <w:t xml:space="preserve"> %}{%if loop.last%}{{ i }}{%else%}{{ i }}</w:t>
            </w:r>
          </w:p>
          <w:p w14:paraId="2053C3E4">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6BE62292">
            <w:pPr>
              <w:snapToGrid w:val="0"/>
              <w:rPr>
                <w:rFonts w:ascii="Times New Roman" w:hAnsi="Times New Roman" w:eastAsia="微软雅黑" w:cs="Times New Roman"/>
                <w:sz w:val="21"/>
                <w:szCs w:val="21"/>
                <w:lang w:eastAsia="zh-CN"/>
              </w:rPr>
            </w:pPr>
          </w:p>
        </w:tc>
      </w:tr>
      <w:tr w14:paraId="5276C7B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066BBE94">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7F64AE49">
            <w:pPr>
              <w:widowControl/>
              <w:snapToGrid w:val="0"/>
              <w:textAlignment w:val="center"/>
              <w:rPr>
                <w:rFonts w:ascii="Times New Roman" w:hAnsi="Times New Roman" w:eastAsia="微软雅黑" w:cs="Times New Roman"/>
                <w:color w:val="000000"/>
                <w:sz w:val="21"/>
                <w:szCs w:val="21"/>
              </w:rPr>
            </w:pPr>
            <w:r>
              <w:rPr>
                <w:rFonts w:ascii="Times New Roman" w:hAnsi="Times New Roman" w:eastAsia="微软雅黑" w:cs="Times New Roman"/>
                <w:color w:val="000000"/>
                <w:sz w:val="21"/>
                <w:szCs w:val="21"/>
                <w:lang w:eastAsia="zh-CN" w:bidi="ar"/>
              </w:rPr>
              <w:t>TP53突变</w:t>
            </w:r>
          </w:p>
        </w:tc>
        <w:tc>
          <w:tcPr>
            <w:tcW w:w="2623" w:type="dxa"/>
            <w:shd w:val="clear" w:color="auto" w:fill="auto"/>
            <w:noWrap/>
            <w:vAlign w:val="center"/>
          </w:tcPr>
          <w:p w14:paraId="3CC08D27">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positiveOther.positiveOther</w:t>
            </w:r>
            <w:r>
              <w:rPr>
                <w:rFonts w:ascii="Times New Roman" w:hAnsi="Times New Roman" w:eastAsia="微软雅黑" w:cs="Times New Roman"/>
                <w:sz w:val="21"/>
                <w:szCs w:val="21"/>
                <w:lang w:eastAsia="zh-CN" w:bidi="ar"/>
              </w:rPr>
              <w:t>TP53</w:t>
            </w:r>
            <w:r>
              <w:rPr>
                <w:rFonts w:hint="eastAsia" w:ascii="Times New Roman" w:hAnsi="Times New Roman" w:eastAsia="微软雅黑" w:cs="Times New Roman"/>
                <w:sz w:val="21"/>
                <w:szCs w:val="21"/>
                <w:lang w:eastAsia="zh-CN"/>
              </w:rPr>
              <w:t xml:space="preserve"> %}{%if loop.last%}{{ i }}{%else%}{{ i }}</w:t>
            </w:r>
          </w:p>
          <w:p w14:paraId="39B0B058">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3CD4B9AA">
            <w:pPr>
              <w:snapToGrid w:val="0"/>
              <w:rPr>
                <w:rFonts w:ascii="Times New Roman" w:hAnsi="Times New Roman" w:eastAsia="微软雅黑" w:cs="Times New Roman"/>
                <w:sz w:val="21"/>
                <w:szCs w:val="21"/>
                <w:lang w:eastAsia="zh-CN"/>
              </w:rPr>
            </w:pPr>
          </w:p>
        </w:tc>
      </w:tr>
      <w:tr w14:paraId="7821071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restart"/>
            <w:shd w:val="clear" w:color="auto" w:fill="auto"/>
            <w:noWrap/>
            <w:vAlign w:val="center"/>
          </w:tcPr>
          <w:p w14:paraId="09A2F6ED">
            <w:pPr>
              <w:widowControl/>
              <w:snapToGrid w:val="0"/>
              <w:jc w:val="center"/>
              <w:textAlignment w:val="center"/>
              <w:rPr>
                <w:rFonts w:ascii="Times New Roman" w:hAnsi="Times New Roman" w:eastAsia="微软雅黑" w:cs="Times New Roman"/>
                <w:b/>
                <w:bCs/>
                <w:sz w:val="21"/>
                <w:szCs w:val="21"/>
                <w:lang w:eastAsia="zh-CN" w:bidi="ar"/>
              </w:rPr>
            </w:pPr>
            <w:r>
              <w:rPr>
                <w:rFonts w:hint="eastAsia" w:ascii="Times New Roman" w:hAnsi="Times New Roman" w:eastAsia="微软雅黑" w:cs="Times New Roman"/>
                <w:b/>
                <w:bCs/>
                <w:sz w:val="21"/>
                <w:szCs w:val="21"/>
                <w:lang w:eastAsia="zh-CN"/>
              </w:rPr>
              <w:t>免疫</w:t>
            </w:r>
            <w:r>
              <w:rPr>
                <w:rFonts w:ascii="Times New Roman" w:hAnsi="Times New Roman" w:eastAsia="微软雅黑" w:cs="Times New Roman"/>
                <w:b/>
                <w:bCs/>
                <w:sz w:val="21"/>
                <w:szCs w:val="21"/>
                <w:lang w:eastAsia="zh-CN"/>
              </w:rPr>
              <w:t>负相关基因</w:t>
            </w:r>
          </w:p>
        </w:tc>
        <w:tc>
          <w:tcPr>
            <w:tcW w:w="2436" w:type="dxa"/>
            <w:shd w:val="clear" w:color="auto" w:fill="auto"/>
            <w:noWrap/>
            <w:vAlign w:val="center"/>
          </w:tcPr>
          <w:p w14:paraId="7BF4F6B1">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ALK融合</w:t>
            </w:r>
          </w:p>
        </w:tc>
        <w:tc>
          <w:tcPr>
            <w:tcW w:w="2623" w:type="dxa"/>
            <w:shd w:val="clear" w:color="auto" w:fill="auto"/>
            <w:noWrap/>
            <w:vAlign w:val="center"/>
          </w:tcPr>
          <w:p w14:paraId="72FBC75A">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ALK</w:t>
            </w:r>
            <w:r>
              <w:rPr>
                <w:rFonts w:hint="eastAsia" w:ascii="Times New Roman" w:hAnsi="Times New Roman" w:eastAsia="微软雅黑" w:cs="Times New Roman"/>
                <w:sz w:val="21"/>
                <w:szCs w:val="21"/>
                <w:lang w:eastAsia="zh-CN"/>
              </w:rPr>
              <w:t xml:space="preserve"> %}{%if loop.last%}{{ i }}{%else%}{{ i }}</w:t>
            </w:r>
          </w:p>
          <w:p w14:paraId="2B0166E5">
            <w:pPr>
              <w:snapToGrid w:val="0"/>
              <w:jc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restart"/>
            <w:shd w:val="clear" w:color="auto" w:fill="auto"/>
            <w:noWrap/>
            <w:vAlign w:val="center"/>
          </w:tcPr>
          <w:p w14:paraId="5379529B">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negative.detectionSignificance }}</w:t>
            </w:r>
          </w:p>
        </w:tc>
      </w:tr>
      <w:tr w14:paraId="72372D7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68DCBEB0">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14:paraId="39E27B79">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B2M突变</w:t>
            </w:r>
          </w:p>
        </w:tc>
        <w:tc>
          <w:tcPr>
            <w:tcW w:w="2623" w:type="dxa"/>
            <w:shd w:val="clear" w:color="auto" w:fill="auto"/>
            <w:noWrap/>
            <w:vAlign w:val="center"/>
          </w:tcPr>
          <w:p w14:paraId="724F4386">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B2M</w:t>
            </w:r>
            <w:r>
              <w:rPr>
                <w:rFonts w:hint="eastAsia" w:ascii="Times New Roman" w:hAnsi="Times New Roman" w:eastAsia="微软雅黑" w:cs="Times New Roman"/>
                <w:sz w:val="21"/>
                <w:szCs w:val="21"/>
                <w:lang w:eastAsia="zh-CN"/>
              </w:rPr>
              <w:t xml:space="preserve"> %}{%if loop.last%}{{ i }}{%else%}{{ i }}</w:t>
            </w:r>
          </w:p>
          <w:p w14:paraId="1E6AD884">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3BD64C59">
            <w:pPr>
              <w:snapToGrid w:val="0"/>
              <w:rPr>
                <w:rFonts w:ascii="Times New Roman" w:hAnsi="Times New Roman" w:eastAsia="微软雅黑" w:cs="Times New Roman"/>
                <w:sz w:val="21"/>
                <w:szCs w:val="21"/>
                <w:lang w:eastAsia="zh-CN"/>
              </w:rPr>
            </w:pPr>
          </w:p>
        </w:tc>
      </w:tr>
      <w:tr w14:paraId="3F11835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32AAE658">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14:paraId="4B7BEB21">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CTNNB1突变</w:t>
            </w:r>
          </w:p>
        </w:tc>
        <w:tc>
          <w:tcPr>
            <w:tcW w:w="2623" w:type="dxa"/>
            <w:shd w:val="clear" w:color="auto" w:fill="auto"/>
            <w:noWrap/>
            <w:vAlign w:val="center"/>
          </w:tcPr>
          <w:p w14:paraId="7C34A1C7">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CTNNB1</w:t>
            </w:r>
            <w:r>
              <w:rPr>
                <w:rFonts w:hint="eastAsia" w:ascii="Times New Roman" w:hAnsi="Times New Roman" w:eastAsia="微软雅黑" w:cs="Times New Roman"/>
                <w:sz w:val="21"/>
                <w:szCs w:val="21"/>
                <w:lang w:eastAsia="zh-CN"/>
              </w:rPr>
              <w:t xml:space="preserve"> %}{%if loop.last%}{{ i }}{%else%}{{ i }}</w:t>
            </w:r>
          </w:p>
          <w:p w14:paraId="08442986">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227A4521">
            <w:pPr>
              <w:snapToGrid w:val="0"/>
              <w:rPr>
                <w:rFonts w:ascii="Times New Roman" w:hAnsi="Times New Roman" w:eastAsia="微软雅黑" w:cs="Times New Roman"/>
                <w:sz w:val="21"/>
                <w:szCs w:val="21"/>
                <w:lang w:eastAsia="zh-CN"/>
              </w:rPr>
            </w:pPr>
          </w:p>
        </w:tc>
      </w:tr>
      <w:tr w14:paraId="1DEE41E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7D5872CF">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14:paraId="53C5D789">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EGFR突变(EX19del/L858R)</w:t>
            </w:r>
          </w:p>
        </w:tc>
        <w:tc>
          <w:tcPr>
            <w:tcW w:w="2623" w:type="dxa"/>
            <w:shd w:val="clear" w:color="auto" w:fill="auto"/>
            <w:noWrap/>
            <w:vAlign w:val="center"/>
          </w:tcPr>
          <w:p w14:paraId="75846A79">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EGFR</w:t>
            </w:r>
            <w:r>
              <w:rPr>
                <w:rFonts w:hint="eastAsia" w:ascii="Times New Roman" w:hAnsi="Times New Roman" w:eastAsia="微软雅黑" w:cs="Times New Roman"/>
                <w:sz w:val="21"/>
                <w:szCs w:val="21"/>
                <w:lang w:eastAsia="zh-CN"/>
              </w:rPr>
              <w:t xml:space="preserve"> %}{%if loop.last%}{{ i }}{%else%}{{ i }}</w:t>
            </w:r>
          </w:p>
          <w:p w14:paraId="4E42E475">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20413951">
            <w:pPr>
              <w:snapToGrid w:val="0"/>
              <w:rPr>
                <w:rFonts w:ascii="Times New Roman" w:hAnsi="Times New Roman" w:eastAsia="微软雅黑" w:cs="Times New Roman"/>
                <w:sz w:val="21"/>
                <w:szCs w:val="21"/>
                <w:lang w:eastAsia="zh-CN"/>
              </w:rPr>
            </w:pPr>
          </w:p>
        </w:tc>
      </w:tr>
      <w:tr w14:paraId="3C08943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76F1536C">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14:paraId="0EA55EAD">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JAK1突变</w:t>
            </w:r>
          </w:p>
        </w:tc>
        <w:tc>
          <w:tcPr>
            <w:tcW w:w="2623" w:type="dxa"/>
            <w:shd w:val="clear" w:color="auto" w:fill="auto"/>
            <w:noWrap/>
            <w:vAlign w:val="center"/>
          </w:tcPr>
          <w:p w14:paraId="45DEC223">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JAK1</w:t>
            </w:r>
            <w:r>
              <w:rPr>
                <w:rFonts w:hint="eastAsia" w:ascii="Times New Roman" w:hAnsi="Times New Roman" w:eastAsia="微软雅黑" w:cs="Times New Roman"/>
                <w:sz w:val="21"/>
                <w:szCs w:val="21"/>
                <w:lang w:eastAsia="zh-CN"/>
              </w:rPr>
              <w:t xml:space="preserve"> %}{%if loop.last%}{{ i }}{%else%}{{ i }}</w:t>
            </w:r>
          </w:p>
          <w:p w14:paraId="19A76430">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4FFAEDCF">
            <w:pPr>
              <w:snapToGrid w:val="0"/>
              <w:rPr>
                <w:rFonts w:ascii="Times New Roman" w:hAnsi="Times New Roman" w:eastAsia="微软雅黑" w:cs="Times New Roman"/>
                <w:sz w:val="21"/>
                <w:szCs w:val="21"/>
                <w:lang w:eastAsia="zh-CN"/>
              </w:rPr>
            </w:pPr>
          </w:p>
        </w:tc>
      </w:tr>
      <w:tr w14:paraId="3CA7FA9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36501EA0">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14:paraId="5FD239B4">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JAK2突变</w:t>
            </w:r>
          </w:p>
        </w:tc>
        <w:tc>
          <w:tcPr>
            <w:tcW w:w="2623" w:type="dxa"/>
            <w:shd w:val="clear" w:color="auto" w:fill="auto"/>
            <w:noWrap/>
            <w:vAlign w:val="center"/>
          </w:tcPr>
          <w:p w14:paraId="3E33D90D">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JAK2</w:t>
            </w:r>
            <w:r>
              <w:rPr>
                <w:rFonts w:hint="eastAsia" w:ascii="Times New Roman" w:hAnsi="Times New Roman" w:eastAsia="微软雅黑" w:cs="Times New Roman"/>
                <w:sz w:val="21"/>
                <w:szCs w:val="21"/>
                <w:lang w:eastAsia="zh-CN"/>
              </w:rPr>
              <w:t xml:space="preserve"> %}{%if loop.last%}{{ i }}{%else%}{{ i }}</w:t>
            </w:r>
          </w:p>
          <w:p w14:paraId="338178B9">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3F87279C">
            <w:pPr>
              <w:snapToGrid w:val="0"/>
              <w:rPr>
                <w:rFonts w:ascii="Times New Roman" w:hAnsi="Times New Roman" w:eastAsia="微软雅黑" w:cs="Times New Roman"/>
                <w:sz w:val="21"/>
                <w:szCs w:val="21"/>
                <w:lang w:eastAsia="zh-CN"/>
              </w:rPr>
            </w:pPr>
          </w:p>
        </w:tc>
      </w:tr>
      <w:tr w14:paraId="2137CBC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34E31A0D">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14:paraId="56473A8D">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KEAP1突变</w:t>
            </w:r>
          </w:p>
        </w:tc>
        <w:tc>
          <w:tcPr>
            <w:tcW w:w="2623" w:type="dxa"/>
            <w:shd w:val="clear" w:color="auto" w:fill="auto"/>
            <w:noWrap/>
            <w:vAlign w:val="center"/>
          </w:tcPr>
          <w:p w14:paraId="6E782FC4">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KEAP1</w:t>
            </w:r>
            <w:r>
              <w:rPr>
                <w:rFonts w:hint="eastAsia" w:ascii="Times New Roman" w:hAnsi="Times New Roman" w:eastAsia="微软雅黑" w:cs="Times New Roman"/>
                <w:sz w:val="21"/>
                <w:szCs w:val="21"/>
                <w:lang w:eastAsia="zh-CN"/>
              </w:rPr>
              <w:t xml:space="preserve"> %}{%if loop.last%}{{ i }}{%else%}{{ i }}</w:t>
            </w:r>
          </w:p>
          <w:p w14:paraId="2F9ACB62">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5DFC60DB">
            <w:pPr>
              <w:snapToGrid w:val="0"/>
              <w:rPr>
                <w:rFonts w:ascii="Times New Roman" w:hAnsi="Times New Roman" w:eastAsia="微软雅黑" w:cs="Times New Roman"/>
                <w:sz w:val="21"/>
                <w:szCs w:val="21"/>
                <w:lang w:eastAsia="zh-CN"/>
              </w:rPr>
            </w:pPr>
          </w:p>
        </w:tc>
      </w:tr>
      <w:tr w14:paraId="7B62841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6F8FC4DC">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14:paraId="4244777C">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PTEN突变</w:t>
            </w:r>
          </w:p>
        </w:tc>
        <w:tc>
          <w:tcPr>
            <w:tcW w:w="2623" w:type="dxa"/>
            <w:shd w:val="clear" w:color="auto" w:fill="auto"/>
            <w:noWrap/>
            <w:vAlign w:val="center"/>
          </w:tcPr>
          <w:p w14:paraId="18FB2C9E">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PTEN</w:t>
            </w:r>
            <w:r>
              <w:rPr>
                <w:rFonts w:hint="eastAsia" w:ascii="Times New Roman" w:hAnsi="Times New Roman" w:eastAsia="微软雅黑" w:cs="Times New Roman"/>
                <w:sz w:val="21"/>
                <w:szCs w:val="21"/>
                <w:lang w:eastAsia="zh-CN"/>
              </w:rPr>
              <w:t xml:space="preserve"> %}{%if loop.last%}{{ i }}{%else%}{{ i }}</w:t>
            </w:r>
          </w:p>
          <w:p w14:paraId="583172A9">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0561C3AE">
            <w:pPr>
              <w:snapToGrid w:val="0"/>
              <w:rPr>
                <w:rFonts w:ascii="Times New Roman" w:hAnsi="Times New Roman" w:eastAsia="微软雅黑" w:cs="Times New Roman"/>
                <w:sz w:val="21"/>
                <w:szCs w:val="21"/>
                <w:lang w:eastAsia="zh-CN"/>
              </w:rPr>
            </w:pPr>
          </w:p>
        </w:tc>
      </w:tr>
      <w:tr w14:paraId="11C6F24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5AD12DB7">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14:paraId="6242F9F3">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STK11突变</w:t>
            </w:r>
          </w:p>
        </w:tc>
        <w:tc>
          <w:tcPr>
            <w:tcW w:w="2623" w:type="dxa"/>
            <w:shd w:val="clear" w:color="auto" w:fill="auto"/>
            <w:noWrap/>
            <w:vAlign w:val="center"/>
          </w:tcPr>
          <w:p w14:paraId="5FD3A777">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STK11</w:t>
            </w:r>
            <w:r>
              <w:rPr>
                <w:rFonts w:hint="eastAsia" w:ascii="Times New Roman" w:hAnsi="Times New Roman" w:eastAsia="微软雅黑" w:cs="Times New Roman"/>
                <w:sz w:val="21"/>
                <w:szCs w:val="21"/>
                <w:lang w:eastAsia="zh-CN"/>
              </w:rPr>
              <w:t xml:space="preserve"> %}{%if loop.last%}{{ i }}{%else%}{{ i }}</w:t>
            </w:r>
          </w:p>
          <w:p w14:paraId="3C54ADB4">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587FF06B">
            <w:pPr>
              <w:snapToGrid w:val="0"/>
              <w:rPr>
                <w:rFonts w:ascii="Times New Roman" w:hAnsi="Times New Roman" w:eastAsia="微软雅黑" w:cs="Times New Roman"/>
                <w:sz w:val="21"/>
                <w:szCs w:val="21"/>
                <w:lang w:eastAsia="zh-CN"/>
              </w:rPr>
            </w:pPr>
          </w:p>
        </w:tc>
      </w:tr>
      <w:tr w14:paraId="230D971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restart"/>
            <w:shd w:val="clear" w:color="auto" w:fill="auto"/>
            <w:noWrap/>
            <w:vAlign w:val="center"/>
          </w:tcPr>
          <w:p w14:paraId="69F0CD08">
            <w:pPr>
              <w:widowControl/>
              <w:snapToGrid w:val="0"/>
              <w:jc w:val="center"/>
              <w:textAlignment w:val="center"/>
              <w:rPr>
                <w:rFonts w:ascii="Times New Roman" w:hAnsi="Times New Roman" w:eastAsia="微软雅黑" w:cs="Times New Roman"/>
                <w:b/>
                <w:bCs/>
                <w:sz w:val="21"/>
                <w:szCs w:val="21"/>
                <w:lang w:eastAsia="zh-CN" w:bidi="ar"/>
              </w:rPr>
            </w:pPr>
            <w:r>
              <w:rPr>
                <w:rFonts w:hint="eastAsia" w:ascii="Times New Roman" w:hAnsi="Times New Roman" w:eastAsia="微软雅黑" w:cs="Times New Roman"/>
                <w:b/>
                <w:bCs/>
                <w:sz w:val="21"/>
                <w:szCs w:val="21"/>
                <w:lang w:eastAsia="zh-CN" w:bidi="ar"/>
              </w:rPr>
              <w:t>免疫</w:t>
            </w:r>
            <w:r>
              <w:rPr>
                <w:rFonts w:ascii="Times New Roman" w:hAnsi="Times New Roman" w:eastAsia="微软雅黑" w:cs="Times New Roman"/>
                <w:b/>
                <w:bCs/>
                <w:sz w:val="21"/>
                <w:szCs w:val="21"/>
                <w:lang w:eastAsia="zh-CN" w:bidi="ar"/>
              </w:rPr>
              <w:t>超进展相关基因(HPD)</w:t>
            </w:r>
          </w:p>
        </w:tc>
        <w:tc>
          <w:tcPr>
            <w:tcW w:w="2436" w:type="dxa"/>
            <w:shd w:val="clear" w:color="auto" w:fill="auto"/>
            <w:noWrap/>
            <w:vAlign w:val="center"/>
          </w:tcPr>
          <w:p w14:paraId="6F2B8AFD">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CCND1扩增</w:t>
            </w:r>
          </w:p>
        </w:tc>
        <w:tc>
          <w:tcPr>
            <w:tcW w:w="2623" w:type="dxa"/>
            <w:shd w:val="clear" w:color="auto" w:fill="auto"/>
            <w:noWrap/>
            <w:vAlign w:val="center"/>
          </w:tcPr>
          <w:p w14:paraId="0BEDFA09">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CCND1</w:t>
            </w:r>
            <w:r>
              <w:rPr>
                <w:rFonts w:hint="eastAsia" w:ascii="Times New Roman" w:hAnsi="Times New Roman" w:eastAsia="微软雅黑" w:cs="Times New Roman"/>
                <w:sz w:val="21"/>
                <w:szCs w:val="21"/>
                <w:lang w:eastAsia="zh-CN"/>
              </w:rPr>
              <w:t xml:space="preserve"> }}</w:t>
            </w:r>
          </w:p>
        </w:tc>
        <w:tc>
          <w:tcPr>
            <w:tcW w:w="3445" w:type="dxa"/>
            <w:vMerge w:val="restart"/>
            <w:shd w:val="clear" w:color="auto" w:fill="auto"/>
            <w:noWrap/>
            <w:vAlign w:val="center"/>
          </w:tcPr>
          <w:p w14:paraId="6993AC6B">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hpd.detectionSignificance }}</w:t>
            </w:r>
          </w:p>
        </w:tc>
      </w:tr>
      <w:tr w14:paraId="5B70841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7EAC2D5B">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2646FDB3">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FGF3扩增</w:t>
            </w:r>
          </w:p>
        </w:tc>
        <w:tc>
          <w:tcPr>
            <w:tcW w:w="2623" w:type="dxa"/>
            <w:shd w:val="clear" w:color="auto" w:fill="auto"/>
            <w:noWrap/>
            <w:vAlign w:val="center"/>
          </w:tcPr>
          <w:p w14:paraId="6F7CB3A6">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FGF3</w:t>
            </w:r>
            <w:r>
              <w:rPr>
                <w:rFonts w:hint="eastAsia" w:ascii="Times New Roman" w:hAnsi="Times New Roman" w:eastAsia="微软雅黑" w:cs="Times New Roman"/>
                <w:sz w:val="21"/>
                <w:szCs w:val="21"/>
                <w:lang w:eastAsia="zh-CN"/>
              </w:rPr>
              <w:t xml:space="preserve"> }}</w:t>
            </w:r>
          </w:p>
        </w:tc>
        <w:tc>
          <w:tcPr>
            <w:tcW w:w="3445" w:type="dxa"/>
            <w:vMerge w:val="continue"/>
            <w:shd w:val="clear" w:color="auto" w:fill="auto"/>
            <w:noWrap/>
            <w:vAlign w:val="center"/>
          </w:tcPr>
          <w:p w14:paraId="65E3155C">
            <w:pPr>
              <w:snapToGrid w:val="0"/>
              <w:rPr>
                <w:rFonts w:ascii="Times New Roman" w:hAnsi="Times New Roman" w:eastAsia="微软雅黑" w:cs="Times New Roman"/>
                <w:color w:val="000000"/>
                <w:sz w:val="21"/>
                <w:szCs w:val="21"/>
              </w:rPr>
            </w:pPr>
          </w:p>
        </w:tc>
      </w:tr>
      <w:tr w14:paraId="03424EB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219B7393">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5CD4F14F">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FGF4扩增</w:t>
            </w:r>
          </w:p>
        </w:tc>
        <w:tc>
          <w:tcPr>
            <w:tcW w:w="2623" w:type="dxa"/>
            <w:shd w:val="clear" w:color="auto" w:fill="auto"/>
            <w:noWrap/>
            <w:vAlign w:val="center"/>
          </w:tcPr>
          <w:p w14:paraId="4917D450">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FGF4</w:t>
            </w:r>
            <w:r>
              <w:rPr>
                <w:rFonts w:hint="eastAsia" w:ascii="Times New Roman" w:hAnsi="Times New Roman" w:eastAsia="微软雅黑" w:cs="Times New Roman"/>
                <w:sz w:val="21"/>
                <w:szCs w:val="21"/>
                <w:lang w:eastAsia="zh-CN"/>
              </w:rPr>
              <w:t xml:space="preserve"> }}</w:t>
            </w:r>
          </w:p>
        </w:tc>
        <w:tc>
          <w:tcPr>
            <w:tcW w:w="3445" w:type="dxa"/>
            <w:vMerge w:val="continue"/>
            <w:shd w:val="clear" w:color="auto" w:fill="auto"/>
            <w:noWrap/>
            <w:vAlign w:val="center"/>
          </w:tcPr>
          <w:p w14:paraId="2CEB7FE7">
            <w:pPr>
              <w:snapToGrid w:val="0"/>
              <w:rPr>
                <w:rFonts w:ascii="Times New Roman" w:hAnsi="Times New Roman" w:eastAsia="微软雅黑" w:cs="Times New Roman"/>
                <w:color w:val="000000"/>
                <w:sz w:val="21"/>
                <w:szCs w:val="21"/>
              </w:rPr>
            </w:pPr>
          </w:p>
        </w:tc>
      </w:tr>
      <w:tr w14:paraId="089BB3C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392667EB">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35E054AA">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FGF19扩增</w:t>
            </w:r>
          </w:p>
        </w:tc>
        <w:tc>
          <w:tcPr>
            <w:tcW w:w="2623" w:type="dxa"/>
            <w:shd w:val="clear" w:color="auto" w:fill="auto"/>
            <w:noWrap/>
            <w:vAlign w:val="center"/>
          </w:tcPr>
          <w:p w14:paraId="1359BB76">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FGF19</w:t>
            </w:r>
            <w:r>
              <w:rPr>
                <w:rFonts w:hint="eastAsia" w:ascii="Times New Roman" w:hAnsi="Times New Roman" w:eastAsia="微软雅黑" w:cs="Times New Roman"/>
                <w:sz w:val="21"/>
                <w:szCs w:val="21"/>
                <w:lang w:eastAsia="zh-CN"/>
              </w:rPr>
              <w:t xml:space="preserve"> }}</w:t>
            </w:r>
          </w:p>
        </w:tc>
        <w:tc>
          <w:tcPr>
            <w:tcW w:w="3445" w:type="dxa"/>
            <w:vMerge w:val="continue"/>
            <w:shd w:val="clear" w:color="auto" w:fill="auto"/>
            <w:noWrap/>
            <w:vAlign w:val="center"/>
          </w:tcPr>
          <w:p w14:paraId="34C87C30">
            <w:pPr>
              <w:snapToGrid w:val="0"/>
              <w:rPr>
                <w:rFonts w:ascii="Times New Roman" w:hAnsi="Times New Roman" w:eastAsia="微软雅黑" w:cs="Times New Roman"/>
                <w:color w:val="000000"/>
                <w:sz w:val="21"/>
                <w:szCs w:val="21"/>
              </w:rPr>
            </w:pPr>
          </w:p>
        </w:tc>
      </w:tr>
      <w:tr w14:paraId="545EDB4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06A26AAA">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403280AD">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DNMT3A突变</w:t>
            </w:r>
          </w:p>
        </w:tc>
        <w:tc>
          <w:tcPr>
            <w:tcW w:w="2623" w:type="dxa"/>
            <w:shd w:val="clear" w:color="auto" w:fill="auto"/>
            <w:noWrap/>
            <w:vAlign w:val="center"/>
          </w:tcPr>
          <w:p w14:paraId="332C98D4">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hpd.hpd</w:t>
            </w:r>
            <w:r>
              <w:rPr>
                <w:rFonts w:ascii="Times New Roman" w:hAnsi="Times New Roman" w:eastAsia="微软雅黑" w:cs="Times New Roman"/>
                <w:sz w:val="21"/>
                <w:szCs w:val="21"/>
                <w:lang w:eastAsia="zh-CN" w:bidi="ar"/>
              </w:rPr>
              <w:t>DNMT3A</w:t>
            </w:r>
            <w:r>
              <w:rPr>
                <w:rFonts w:hint="eastAsia" w:ascii="Times New Roman" w:hAnsi="Times New Roman" w:eastAsia="微软雅黑" w:cs="Times New Roman"/>
                <w:sz w:val="21"/>
                <w:szCs w:val="21"/>
                <w:lang w:eastAsia="zh-CN"/>
              </w:rPr>
              <w:t xml:space="preserve"> %}{%if loop.last%}{{ i }}{%else%}{{ i }}</w:t>
            </w:r>
          </w:p>
          <w:p w14:paraId="420E35CC">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71317F85">
            <w:pPr>
              <w:snapToGrid w:val="0"/>
              <w:rPr>
                <w:rFonts w:ascii="Times New Roman" w:hAnsi="Times New Roman" w:eastAsia="微软雅黑" w:cs="Times New Roman"/>
                <w:color w:val="000000"/>
                <w:sz w:val="21"/>
                <w:szCs w:val="21"/>
              </w:rPr>
            </w:pPr>
          </w:p>
        </w:tc>
      </w:tr>
      <w:tr w14:paraId="3EAF091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1FA33833">
            <w:pPr>
              <w:widowControl/>
              <w:snapToGrid w:val="0"/>
              <w:jc w:val="center"/>
              <w:textAlignment w:val="center"/>
              <w:rPr>
                <w:rFonts w:ascii="Times New Roman" w:hAnsi="Times New Roman" w:eastAsia="微软雅黑" w:cs="Times New Roman"/>
                <w:color w:val="000000"/>
                <w:sz w:val="21"/>
                <w:szCs w:val="21"/>
                <w:lang w:eastAsia="zh-CN" w:bidi="ar"/>
              </w:rPr>
            </w:pPr>
          </w:p>
        </w:tc>
        <w:tc>
          <w:tcPr>
            <w:tcW w:w="2436" w:type="dxa"/>
            <w:shd w:val="clear" w:color="auto" w:fill="auto"/>
            <w:noWrap/>
            <w:vAlign w:val="center"/>
          </w:tcPr>
          <w:p w14:paraId="3C16F80E">
            <w:pPr>
              <w:widowControl/>
              <w:snapToGrid w:val="0"/>
              <w:textAlignment w:val="center"/>
              <w:rPr>
                <w:rFonts w:ascii="Times New Roman" w:hAnsi="Times New Roman" w:eastAsia="微软雅黑" w:cs="Times New Roman"/>
                <w:color w:val="000000"/>
                <w:sz w:val="21"/>
                <w:szCs w:val="21"/>
                <w:lang w:eastAsia="zh-CN" w:bidi="ar"/>
              </w:rPr>
            </w:pPr>
            <w:r>
              <w:rPr>
                <w:rFonts w:ascii="Times New Roman" w:hAnsi="Times New Roman" w:eastAsia="微软雅黑" w:cs="Times New Roman"/>
                <w:color w:val="000000"/>
                <w:sz w:val="21"/>
                <w:szCs w:val="21"/>
              </w:rPr>
              <w:t>EGFR</w:t>
            </w:r>
            <w:r>
              <w:rPr>
                <w:rFonts w:hint="eastAsia" w:ascii="Times New Roman" w:hAnsi="Times New Roman" w:eastAsia="微软雅黑" w:cs="Times New Roman"/>
                <w:color w:val="000000"/>
                <w:sz w:val="21"/>
                <w:szCs w:val="21"/>
                <w:lang w:eastAsia="zh-CN"/>
              </w:rPr>
              <w:t>扩增</w:t>
            </w:r>
          </w:p>
        </w:tc>
        <w:tc>
          <w:tcPr>
            <w:tcW w:w="2623" w:type="dxa"/>
            <w:shd w:val="clear" w:color="auto" w:fill="auto"/>
            <w:noWrap/>
            <w:vAlign w:val="center"/>
          </w:tcPr>
          <w:p w14:paraId="52AFF97E">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rPr>
              <w:t>EGFR</w:t>
            </w:r>
            <w:r>
              <w:rPr>
                <w:rFonts w:hint="eastAsia" w:ascii="Times New Roman" w:hAnsi="Times New Roman" w:eastAsia="微软雅黑" w:cs="Times New Roman"/>
                <w:sz w:val="21"/>
                <w:szCs w:val="21"/>
                <w:lang w:eastAsia="zh-CN"/>
              </w:rPr>
              <w:t xml:space="preserve"> }}</w:t>
            </w:r>
          </w:p>
        </w:tc>
        <w:tc>
          <w:tcPr>
            <w:tcW w:w="3445" w:type="dxa"/>
            <w:vMerge w:val="continue"/>
            <w:shd w:val="clear" w:color="auto" w:fill="auto"/>
            <w:noWrap/>
            <w:vAlign w:val="center"/>
          </w:tcPr>
          <w:p w14:paraId="7EA492D0">
            <w:pPr>
              <w:snapToGrid w:val="0"/>
              <w:rPr>
                <w:rFonts w:ascii="Times New Roman" w:hAnsi="Times New Roman" w:eastAsia="微软雅黑" w:cs="Times New Roman"/>
                <w:color w:val="000000"/>
                <w:sz w:val="21"/>
                <w:szCs w:val="21"/>
              </w:rPr>
            </w:pPr>
          </w:p>
        </w:tc>
      </w:tr>
      <w:tr w14:paraId="5F14216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1357CBBA">
            <w:pPr>
              <w:widowControl/>
              <w:snapToGrid w:val="0"/>
              <w:jc w:val="center"/>
              <w:textAlignment w:val="center"/>
              <w:rPr>
                <w:rFonts w:ascii="Times New Roman" w:hAnsi="Times New Roman" w:eastAsia="微软雅黑" w:cs="Times New Roman"/>
                <w:color w:val="000000"/>
                <w:sz w:val="21"/>
                <w:szCs w:val="21"/>
                <w:lang w:eastAsia="zh-CN"/>
              </w:rPr>
            </w:pPr>
          </w:p>
        </w:tc>
        <w:tc>
          <w:tcPr>
            <w:tcW w:w="2436" w:type="dxa"/>
            <w:shd w:val="clear" w:color="auto" w:fill="auto"/>
            <w:noWrap/>
            <w:vAlign w:val="center"/>
          </w:tcPr>
          <w:p w14:paraId="62DBEDA6">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MDM2扩增</w:t>
            </w:r>
          </w:p>
        </w:tc>
        <w:tc>
          <w:tcPr>
            <w:tcW w:w="2623" w:type="dxa"/>
            <w:shd w:val="clear" w:color="auto" w:fill="auto"/>
            <w:noWrap/>
            <w:vAlign w:val="center"/>
          </w:tcPr>
          <w:p w14:paraId="694AD593">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MDM2</w:t>
            </w:r>
            <w:r>
              <w:rPr>
                <w:rFonts w:hint="eastAsia" w:ascii="Times New Roman" w:hAnsi="Times New Roman" w:eastAsia="微软雅黑" w:cs="Times New Roman"/>
                <w:sz w:val="21"/>
                <w:szCs w:val="21"/>
                <w:lang w:eastAsia="zh-CN"/>
              </w:rPr>
              <w:t xml:space="preserve"> }}</w:t>
            </w:r>
          </w:p>
        </w:tc>
        <w:tc>
          <w:tcPr>
            <w:tcW w:w="3445" w:type="dxa"/>
            <w:vMerge w:val="continue"/>
            <w:shd w:val="clear" w:color="auto" w:fill="auto"/>
            <w:noWrap/>
            <w:vAlign w:val="center"/>
          </w:tcPr>
          <w:p w14:paraId="322E8D7F">
            <w:pPr>
              <w:snapToGrid w:val="0"/>
              <w:rPr>
                <w:rFonts w:ascii="Times New Roman" w:hAnsi="Times New Roman" w:eastAsia="微软雅黑" w:cs="Times New Roman"/>
                <w:color w:val="000000"/>
                <w:sz w:val="21"/>
                <w:szCs w:val="21"/>
              </w:rPr>
            </w:pPr>
          </w:p>
        </w:tc>
      </w:tr>
      <w:tr w14:paraId="6F5EEB8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76535A6A">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65DE5238">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MDM4扩增</w:t>
            </w:r>
          </w:p>
        </w:tc>
        <w:tc>
          <w:tcPr>
            <w:tcW w:w="2623" w:type="dxa"/>
            <w:shd w:val="clear" w:color="auto" w:fill="auto"/>
            <w:noWrap/>
            <w:vAlign w:val="center"/>
          </w:tcPr>
          <w:p w14:paraId="62CB5A2E">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MDM4</w:t>
            </w:r>
            <w:r>
              <w:rPr>
                <w:rFonts w:hint="eastAsia" w:ascii="Times New Roman" w:hAnsi="Times New Roman" w:eastAsia="微软雅黑" w:cs="Times New Roman"/>
                <w:sz w:val="21"/>
                <w:szCs w:val="21"/>
                <w:lang w:eastAsia="zh-CN"/>
              </w:rPr>
              <w:t xml:space="preserve"> }}</w:t>
            </w:r>
          </w:p>
        </w:tc>
        <w:tc>
          <w:tcPr>
            <w:tcW w:w="3445" w:type="dxa"/>
            <w:vMerge w:val="continue"/>
            <w:shd w:val="clear" w:color="auto" w:fill="auto"/>
            <w:noWrap/>
            <w:vAlign w:val="center"/>
          </w:tcPr>
          <w:p w14:paraId="59F24485">
            <w:pPr>
              <w:snapToGrid w:val="0"/>
              <w:rPr>
                <w:rFonts w:ascii="Times New Roman" w:hAnsi="Times New Roman" w:eastAsia="微软雅黑" w:cs="Times New Roman"/>
                <w:color w:val="000000"/>
                <w:sz w:val="21"/>
                <w:szCs w:val="21"/>
              </w:rPr>
            </w:pPr>
          </w:p>
        </w:tc>
      </w:tr>
    </w:tbl>
    <w:p w14:paraId="7AD5BF34">
      <w:pPr>
        <w:keepNext w:val="0"/>
        <w:keepLines w:val="0"/>
        <w:pageBreakBefore w:val="0"/>
        <w:widowControl w:val="0"/>
        <w:kinsoku/>
        <w:wordWrap/>
        <w:overflowPunct/>
        <w:topLinePunct w:val="0"/>
        <w:autoSpaceDE/>
        <w:autoSpaceDN/>
        <w:bidi w:val="0"/>
        <w:adjustRightInd/>
        <w:snapToGrid/>
        <w:spacing w:line="216" w:lineRule="auto"/>
        <w:textAlignment w:val="auto"/>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注：</w:t>
      </w:r>
    </w:p>
    <w:p w14:paraId="0AACA62A">
      <w:pPr>
        <w:pStyle w:val="6"/>
        <w:keepNext w:val="0"/>
        <w:keepLines w:val="0"/>
        <w:pageBreakBefore w:val="0"/>
        <w:widowControl w:val="0"/>
        <w:numPr>
          <w:ilvl w:val="0"/>
          <w:numId w:val="14"/>
        </w:numPr>
        <w:kinsoku/>
        <w:wordWrap/>
        <w:overflowPunct/>
        <w:topLinePunct w:val="0"/>
        <w:autoSpaceDE/>
        <w:autoSpaceDN/>
        <w:bidi w:val="0"/>
        <w:adjustRightInd/>
        <w:snapToGrid/>
        <w:spacing w:line="216" w:lineRule="auto"/>
        <w:textAlignment w:val="auto"/>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免疫药物疗效相关基因突变检测及免疫药物用药提示：通过高通量测序法检测与免疫药物疗效相关的基因突变，评估免疫检查点抑制剂获益情况。</w:t>
      </w:r>
    </w:p>
    <w:p w14:paraId="61539C83">
      <w:pPr>
        <w:pStyle w:val="6"/>
        <w:keepNext w:val="0"/>
        <w:keepLines w:val="0"/>
        <w:pageBreakBefore w:val="0"/>
        <w:widowControl w:val="0"/>
        <w:numPr>
          <w:ilvl w:val="0"/>
          <w:numId w:val="14"/>
        </w:numPr>
        <w:kinsoku/>
        <w:wordWrap/>
        <w:overflowPunct/>
        <w:topLinePunct w:val="0"/>
        <w:autoSpaceDE/>
        <w:autoSpaceDN/>
        <w:bidi w:val="0"/>
        <w:adjustRightInd/>
        <w:snapToGrid/>
        <w:spacing w:line="216" w:lineRule="auto"/>
        <w:textAlignment w:val="auto"/>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超进展基因：与免疫治疗超进展相关的基因。患者免疫治疗后，肿瘤非但没有缩小，反而加速生长，引起疾病恶化，这种疾病进展模式被称为超进展（HyperprogressionDisease，HPD）。</w:t>
      </w:r>
    </w:p>
    <w:p w14:paraId="6F13464A">
      <w:pPr>
        <w:pStyle w:val="6"/>
        <w:keepNext w:val="0"/>
        <w:keepLines w:val="0"/>
        <w:pageBreakBefore w:val="0"/>
        <w:widowControl w:val="0"/>
        <w:numPr>
          <w:ilvl w:val="0"/>
          <w:numId w:val="14"/>
        </w:numPr>
        <w:kinsoku/>
        <w:wordWrap/>
        <w:overflowPunct/>
        <w:topLinePunct w:val="0"/>
        <w:autoSpaceDE/>
        <w:autoSpaceDN/>
        <w:bidi w:val="0"/>
        <w:adjustRightInd/>
        <w:snapToGrid/>
        <w:spacing w:line="216" w:lineRule="auto"/>
        <w:textAlignment w:val="auto"/>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上述免疫治疗相关基因是指既往研究支持的可能与免疫治疗疗效有关的变异基因，但患者检测到的变异可能与文献报道的基因变异不完全一致，部分基因变异的致病性和临床意义不明或缺乏功能验证结果。本报告所列举的指标/基因临床解读仅供参考，具体决策请结合其他检测结果和临床实际谨慎用药。</w:t>
      </w:r>
    </w:p>
    <w:p w14:paraId="080D1EDF">
      <w:pPr>
        <w:pStyle w:val="6"/>
        <w:keepNext w:val="0"/>
        <w:keepLines w:val="0"/>
        <w:pageBreakBefore w:val="0"/>
        <w:widowControl w:val="0"/>
        <w:numPr>
          <w:ilvl w:val="0"/>
          <w:numId w:val="14"/>
        </w:numPr>
        <w:kinsoku/>
        <w:wordWrap/>
        <w:overflowPunct/>
        <w:topLinePunct w:val="0"/>
        <w:autoSpaceDE/>
        <w:autoSpaceDN/>
        <w:bidi w:val="0"/>
        <w:adjustRightInd/>
        <w:snapToGrid/>
        <w:spacing w:line="216" w:lineRule="auto"/>
        <w:textAlignment w:val="auto"/>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指标详细解析说明见免疫检查点抑制剂治疗相关指标检测结果解析。</w:t>
      </w:r>
    </w:p>
    <w:p w14:paraId="2DA57D9F">
      <w:pPr>
        <w:pStyle w:val="6"/>
        <w:keepNext w:val="0"/>
        <w:keepLines w:val="0"/>
        <w:pageBreakBefore w:val="0"/>
        <w:widowControl w:val="0"/>
        <w:numPr>
          <w:ilvl w:val="0"/>
          <w:numId w:val="14"/>
        </w:numPr>
        <w:kinsoku/>
        <w:wordWrap/>
        <w:overflowPunct/>
        <w:topLinePunct w:val="0"/>
        <w:autoSpaceDE/>
        <w:autoSpaceDN/>
        <w:bidi w:val="0"/>
        <w:adjustRightInd/>
        <w:snapToGrid/>
        <w:spacing w:line="216" w:lineRule="auto"/>
        <w:textAlignment w:val="auto"/>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“-”表示本次检测未发现相关变异。</w:t>
      </w:r>
    </w:p>
    <w:bookmarkEnd w:id="65"/>
    <w:p w14:paraId="7AE7543F">
      <w:pPr>
        <w:rPr>
          <w:sz w:val="30"/>
          <w:lang w:eastAsia="zh-CN"/>
        </w:rPr>
      </w:pPr>
      <w:r>
        <w:rPr>
          <w:rFonts w:hint="eastAsia"/>
          <w:sz w:val="30"/>
          <w:lang w:eastAsia="zh-CN"/>
        </w:rPr>
        <w:br w:type="page"/>
      </w: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 xml:space="preserve"> != </w:t>
      </w:r>
      <w:r>
        <w:rPr>
          <w:rFonts w:ascii="Times New Roman" w:hAnsi="Times New Roman" w:eastAsia="微软雅黑" w:cs="Times New Roman"/>
          <w:sz w:val="24"/>
          <w:szCs w:val="24"/>
          <w:lang w:eastAsia="zh-CN"/>
        </w:rPr>
        <w:t>undefined</w:t>
      </w:r>
      <w:r>
        <w:rPr>
          <w:rFonts w:hint="eastAsia" w:ascii="Times New Roman" w:hAnsi="Times New Roman" w:eastAsia="微软雅黑" w:cs="Times New Roman"/>
          <w:sz w:val="24"/>
          <w:szCs w:val="24"/>
          <w:lang w:eastAsia="zh-CN"/>
        </w:rPr>
        <w:t xml:space="preserve"> %}</w:t>
      </w:r>
    </w:p>
    <w:p w14:paraId="7147C99C">
      <w:pPr>
        <w:pStyle w:val="3"/>
        <w:numPr>
          <w:ilvl w:val="255"/>
          <w:numId w:val="0"/>
        </w:numPr>
        <w:jc w:val="left"/>
        <w:rPr>
          <w:color w:val="auto"/>
          <w:sz w:val="30"/>
          <w:lang w:eastAsia="zh-CN"/>
        </w:rPr>
      </w:pPr>
      <w:bookmarkStart w:id="66" w:name="_Toc106719764"/>
      <w:bookmarkStart w:id="67" w:name="_Toc20034"/>
      <w:bookmarkStart w:id="68" w:name="_Toc6873"/>
      <w:bookmarkStart w:id="69" w:name="_Toc10223"/>
      <w:bookmarkStart w:id="70" w:name="_Toc7893"/>
      <w:r>
        <w:rPr>
          <w:rFonts w:hint="eastAsia"/>
          <w:color w:val="auto"/>
          <w:sz w:val="30"/>
          <w:lang w:eastAsia="zh-CN"/>
        </w:rPr>
        <w:t>PD-L1检测结果</w:t>
      </w:r>
      <w:bookmarkEnd w:id="66"/>
      <w:bookmarkEnd w:id="67"/>
      <w:bookmarkEnd w:id="68"/>
      <w:bookmarkEnd w:id="69"/>
      <w:bookmarkEnd w:id="70"/>
    </w:p>
    <w:p w14:paraId="72C430A4">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组织切片质控：</w:t>
      </w:r>
    </w:p>
    <w:tbl>
      <w:tblPr>
        <w:tblStyle w:val="15"/>
        <w:tblW w:w="10206" w:type="dxa"/>
        <w:jc w:val="center"/>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autofit"/>
        <w:tblCellMar>
          <w:top w:w="0" w:type="dxa"/>
          <w:left w:w="108" w:type="dxa"/>
          <w:bottom w:w="0" w:type="dxa"/>
          <w:right w:w="108" w:type="dxa"/>
        </w:tblCellMar>
      </w:tblPr>
      <w:tblGrid>
        <w:gridCol w:w="3431"/>
        <w:gridCol w:w="6775"/>
      </w:tblGrid>
      <w:tr w14:paraId="1D5416AA">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3431" w:type="dxa"/>
            <w:tcBorders>
              <w:top w:val="single" w:color="A4A4A4" w:sz="4" w:space="0"/>
              <w:left w:val="nil"/>
              <w:bottom w:val="single" w:color="A4A4A4" w:sz="4" w:space="0"/>
              <w:right w:val="single" w:color="A4A4A4" w:sz="4" w:space="0"/>
              <w:tl2br w:val="nil"/>
              <w:tr2bl w:val="nil"/>
            </w:tcBorders>
            <w:vAlign w:val="center"/>
          </w:tcPr>
          <w:p w14:paraId="0EB80D89">
            <w:pPr>
              <w:jc w:val="center"/>
              <w:rPr>
                <w:rFonts w:ascii="Times New Roman" w:hAnsi="Times New Roman" w:eastAsia="微软雅黑" w:cs="Times New Roman"/>
                <w:bCs/>
                <w:color w:val="000000"/>
                <w:sz w:val="18"/>
                <w:szCs w:val="18"/>
                <w:lang w:eastAsia="zh-CN"/>
              </w:rPr>
            </w:pPr>
            <w:r>
              <w:rPr>
                <w:rFonts w:ascii="Times New Roman" w:hAnsi="Times New Roman" w:eastAsia="微软雅黑" w:cs="Times New Roman"/>
                <w:bCs/>
                <w:color w:val="000000"/>
                <w:sz w:val="18"/>
                <w:szCs w:val="18"/>
                <w:lang w:eastAsia="zh-CN"/>
              </w:rPr>
              <w:t>肿瘤细胞数是否大于</w:t>
            </w:r>
            <w:r>
              <w:rPr>
                <w:rFonts w:hint="eastAsia" w:ascii="Times New Roman" w:hAnsi="Times New Roman" w:eastAsia="微软雅黑" w:cs="Times New Roman"/>
                <w:bCs/>
                <w:color w:val="000000"/>
                <w:sz w:val="18"/>
                <w:szCs w:val="18"/>
                <w:lang w:eastAsia="zh-CN"/>
              </w:rPr>
              <w:t>1</w:t>
            </w:r>
            <w:r>
              <w:rPr>
                <w:rFonts w:ascii="Times New Roman" w:hAnsi="Times New Roman" w:eastAsia="微软雅黑" w:cs="Times New Roman"/>
                <w:bCs/>
                <w:color w:val="000000"/>
                <w:sz w:val="18"/>
                <w:szCs w:val="18"/>
                <w:lang w:eastAsia="zh-CN"/>
              </w:rPr>
              <w:t>00个</w:t>
            </w:r>
          </w:p>
        </w:tc>
        <w:tc>
          <w:tcPr>
            <w:tcW w:w="6775" w:type="dxa"/>
            <w:tcBorders>
              <w:top w:val="single" w:color="A4A4A4" w:sz="4" w:space="0"/>
              <w:left w:val="single" w:color="A4A4A4" w:sz="4" w:space="0"/>
              <w:bottom w:val="single" w:color="A4A4A4" w:sz="4" w:space="0"/>
              <w:right w:val="nil"/>
              <w:tl2br w:val="nil"/>
              <w:tr2bl w:val="nil"/>
            </w:tcBorders>
            <w:vAlign w:val="center"/>
          </w:tcPr>
          <w:p w14:paraId="1CF0B18B">
            <w:pPr>
              <w:pStyle w:val="37"/>
            </w:pPr>
            <w:r>
              <w:rPr>
                <w:rFonts w:hint="eastAsia"/>
              </w:rPr>
              <w:t>{{</w:t>
            </w:r>
            <w:r>
              <w:t xml:space="preserve"> PDInfo</w:t>
            </w:r>
            <w:r>
              <w:rPr>
                <w:rFonts w:hint="eastAsia"/>
              </w:rPr>
              <w:t>.</w:t>
            </w:r>
            <w:r>
              <w:t>Tumor_cell_count</w:t>
            </w:r>
            <w:r>
              <w:rPr>
                <w:rFonts w:hint="eastAsia"/>
              </w:rPr>
              <w:t xml:space="preserve"> }}</w:t>
            </w:r>
          </w:p>
        </w:tc>
      </w:tr>
      <w:tr w14:paraId="504C9063">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10206" w:type="dxa"/>
            <w:gridSpan w:val="2"/>
            <w:tcBorders>
              <w:top w:val="single" w:color="A4A4A4" w:sz="4" w:space="0"/>
              <w:left w:val="nil"/>
              <w:bottom w:val="single" w:color="A4A4A4" w:sz="4" w:space="0"/>
              <w:right w:val="nil"/>
              <w:tl2br w:val="nil"/>
              <w:tr2bl w:val="nil"/>
            </w:tcBorders>
          </w:tcPr>
          <w:p w14:paraId="2293854D">
            <w:pPr>
              <w:pStyle w:val="38"/>
            </w:pPr>
            <w:r>
              <w:t>镜下描述：</w:t>
            </w:r>
            <w:r>
              <w:rPr>
                <w:rFonts w:hint="eastAsia"/>
              </w:rPr>
              <w:t>{{</w:t>
            </w:r>
            <w:r>
              <w:t xml:space="preserve"> PDInfo</w:t>
            </w:r>
            <w:r>
              <w:rPr>
                <w:rFonts w:hint="eastAsia"/>
              </w:rPr>
              <w:t>.</w:t>
            </w:r>
            <w:r>
              <w:t>Seen_microscopically</w:t>
            </w:r>
            <w:r>
              <w:rPr>
                <w:rFonts w:hint="eastAsia"/>
              </w:rPr>
              <w:t xml:space="preserve"> }}</w:t>
            </w:r>
          </w:p>
        </w:tc>
      </w:tr>
    </w:tbl>
    <w:p w14:paraId="08B8C93B">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if</w:t>
      </w:r>
      <w:r>
        <w:rPr>
          <w:rFonts w:ascii="Times New Roman" w:hAnsi="Times New Roman" w:eastAsia="微软雅黑" w:cs="Times New Roman"/>
          <w:b/>
          <w:sz w:val="21"/>
          <w:szCs w:val="21"/>
          <w:lang w:eastAsia="zh-CN"/>
        </w:rPr>
        <w:t xml:space="preserve"> 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he_PIC_status</w:t>
      </w:r>
      <w:r>
        <w:rPr>
          <w:rFonts w:hint="eastAsia" w:ascii="Times New Roman" w:hAnsi="Times New Roman" w:eastAsia="微软雅黑" w:cs="Times New Roman"/>
          <w:b/>
          <w:sz w:val="21"/>
          <w:szCs w:val="21"/>
          <w:lang w:eastAsia="zh-CN"/>
        </w:rPr>
        <w:t xml:space="preserve"> %}</w:t>
      </w:r>
    </w:p>
    <w:p w14:paraId="1C1ED579">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xml:space="preserve">{{ </w:t>
      </w:r>
      <w:r>
        <w:rPr>
          <w:rFonts w:ascii="Times New Roman" w:hAnsi="Times New Roman" w:eastAsia="微软雅黑" w:cs="Times New Roman"/>
          <w:b/>
          <w:sz w:val="21"/>
          <w:szCs w:val="21"/>
          <w:lang w:eastAsia="zh-CN"/>
        </w:rPr>
        <w:t>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w:t>
      </w:r>
      <w:r>
        <w:rPr>
          <w:rFonts w:hint="eastAsia" w:ascii="Times New Roman" w:hAnsi="Times New Roman" w:eastAsia="微软雅黑" w:cs="Times New Roman"/>
          <w:b/>
          <w:sz w:val="21"/>
          <w:szCs w:val="21"/>
          <w:lang w:eastAsia="zh-CN"/>
        </w:rPr>
        <w:t xml:space="preserve"> | pdi</w:t>
      </w:r>
      <w:r>
        <w:rPr>
          <w:rFonts w:hint="eastAsia" w:ascii="Times New Roman" w:hAnsi="Times New Roman" w:eastAsia="微软雅黑" w:cs="Times New Roman"/>
          <w:b/>
          <w:szCs w:val="21"/>
        </w:rPr>
        <w:t>(131,94.4)</w:t>
      </w:r>
      <w:r>
        <w:rPr>
          <w:rFonts w:hint="eastAsia" w:ascii="Times New Roman" w:hAnsi="Times New Roman" w:eastAsia="微软雅黑" w:cs="Times New Roman"/>
          <w:b/>
          <w:sz w:val="21"/>
          <w:szCs w:val="21"/>
          <w:lang w:eastAsia="zh-CN"/>
        </w:rPr>
        <w:t xml:space="preserve"> }}{% endif %}</w:t>
      </w:r>
    </w:p>
    <w:p w14:paraId="50C432F8">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HE染色切片200X</w:t>
      </w:r>
    </w:p>
    <w:p w14:paraId="02EE5E75">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检测结果：</w:t>
      </w:r>
    </w:p>
    <w:tbl>
      <w:tblPr>
        <w:tblStyle w:val="14"/>
        <w:tblW w:w="10204" w:type="dxa"/>
        <w:jc w:val="center"/>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fixed"/>
        <w:tblCellMar>
          <w:top w:w="0" w:type="dxa"/>
          <w:left w:w="108" w:type="dxa"/>
          <w:bottom w:w="0" w:type="dxa"/>
          <w:right w:w="108" w:type="dxa"/>
        </w:tblCellMar>
      </w:tblPr>
      <w:tblGrid>
        <w:gridCol w:w="2194"/>
        <w:gridCol w:w="2127"/>
        <w:gridCol w:w="2190"/>
        <w:gridCol w:w="3693"/>
      </w:tblGrid>
      <w:tr w14:paraId="3446E8BD">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388" w:hRule="exact"/>
          <w:jc w:val="center"/>
        </w:trPr>
        <w:tc>
          <w:tcPr>
            <w:tcW w:w="2194" w:type="dxa"/>
            <w:tcBorders>
              <w:top w:val="nil"/>
              <w:left w:val="nil"/>
              <w:bottom w:val="nil"/>
              <w:right w:val="single" w:color="FFFFFF" w:sz="18" w:space="0"/>
              <w:tl2br w:val="nil"/>
              <w:tr2bl w:val="nil"/>
            </w:tcBorders>
            <w:shd w:val="clear" w:color="auto" w:fill="62B541"/>
            <w:vAlign w:val="center"/>
          </w:tcPr>
          <w:p w14:paraId="51CA3D88">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检测项目</w:t>
            </w:r>
          </w:p>
        </w:tc>
        <w:tc>
          <w:tcPr>
            <w:tcW w:w="2127" w:type="dxa"/>
            <w:tcBorders>
              <w:top w:val="nil"/>
              <w:left w:val="single" w:color="FFFFFF" w:sz="18" w:space="0"/>
              <w:bottom w:val="nil"/>
              <w:right w:val="single" w:color="FFFFFF" w:sz="18" w:space="0"/>
              <w:tl2br w:val="nil"/>
              <w:tr2bl w:val="nil"/>
            </w:tcBorders>
            <w:shd w:val="clear" w:color="auto" w:fill="62B541"/>
            <w:vAlign w:val="center"/>
          </w:tcPr>
          <w:p w14:paraId="7B21D628">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检测方法</w:t>
            </w:r>
          </w:p>
        </w:tc>
        <w:tc>
          <w:tcPr>
            <w:tcW w:w="2190" w:type="dxa"/>
            <w:tcBorders>
              <w:top w:val="nil"/>
              <w:left w:val="single" w:color="FFFFFF" w:sz="18" w:space="0"/>
              <w:bottom w:val="nil"/>
              <w:right w:val="single" w:color="FFFFFF" w:sz="18" w:space="0"/>
              <w:tl2br w:val="nil"/>
              <w:tr2bl w:val="nil"/>
            </w:tcBorders>
            <w:shd w:val="clear" w:color="auto" w:fill="62B541"/>
          </w:tcPr>
          <w:p w14:paraId="68AF4C55">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检测抗体</w:t>
            </w:r>
          </w:p>
        </w:tc>
        <w:tc>
          <w:tcPr>
            <w:tcW w:w="3693" w:type="dxa"/>
            <w:tcBorders>
              <w:top w:val="nil"/>
              <w:left w:val="single" w:color="FFFFFF" w:sz="18" w:space="0"/>
              <w:bottom w:val="nil"/>
              <w:right w:val="nil"/>
              <w:tl2br w:val="nil"/>
              <w:tr2bl w:val="nil"/>
            </w:tcBorders>
            <w:shd w:val="clear" w:color="auto" w:fill="62B541"/>
            <w:vAlign w:val="center"/>
          </w:tcPr>
          <w:p w14:paraId="58495E2B">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检测结果</w:t>
            </w:r>
          </w:p>
        </w:tc>
      </w:tr>
      <w:tr w14:paraId="72650BDB">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8" w:hRule="atLeast"/>
          <w:jc w:val="center"/>
        </w:trPr>
        <w:tc>
          <w:tcPr>
            <w:tcW w:w="2194" w:type="dxa"/>
            <w:vMerge w:val="restart"/>
            <w:tcBorders>
              <w:top w:val="nil"/>
              <w:left w:val="nil"/>
              <w:bottom w:val="single" w:color="A4A4A4" w:sz="4" w:space="0"/>
              <w:right w:val="single" w:color="A4A4A4" w:sz="4" w:space="0"/>
              <w:tl2br w:val="nil"/>
              <w:tr2bl w:val="nil"/>
            </w:tcBorders>
            <w:vAlign w:val="center"/>
          </w:tcPr>
          <w:p w14:paraId="6D2913D0">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test_item</w:t>
            </w:r>
            <w:r>
              <w:rPr>
                <w:rFonts w:hint="eastAsia" w:ascii="Times New Roman" w:hAnsi="Times New Roman" w:eastAsia="微软雅黑" w:cs="Times New Roman"/>
                <w:sz w:val="18"/>
                <w:szCs w:val="18"/>
              </w:rPr>
              <w:t xml:space="preserve"> }}</w:t>
            </w:r>
          </w:p>
        </w:tc>
        <w:tc>
          <w:tcPr>
            <w:tcW w:w="2127" w:type="dxa"/>
            <w:vMerge w:val="restart"/>
            <w:tcBorders>
              <w:top w:val="nil"/>
              <w:left w:val="single" w:color="A4A4A4" w:sz="4" w:space="0"/>
              <w:bottom w:val="single" w:color="A4A4A4" w:sz="4" w:space="0"/>
              <w:right w:val="single" w:color="A4A4A4" w:sz="4" w:space="0"/>
              <w:tl2br w:val="nil"/>
              <w:tr2bl w:val="nil"/>
            </w:tcBorders>
            <w:vAlign w:val="center"/>
          </w:tcPr>
          <w:p w14:paraId="4EA44B32">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Detection_method</w:t>
            </w:r>
            <w:r>
              <w:rPr>
                <w:rFonts w:hint="eastAsia" w:ascii="Times New Roman" w:hAnsi="Times New Roman" w:eastAsia="微软雅黑" w:cs="Times New Roman"/>
                <w:sz w:val="18"/>
                <w:szCs w:val="18"/>
              </w:rPr>
              <w:t xml:space="preserve"> }}</w:t>
            </w:r>
          </w:p>
        </w:tc>
        <w:tc>
          <w:tcPr>
            <w:tcW w:w="2190" w:type="dxa"/>
            <w:vMerge w:val="restart"/>
            <w:tcBorders>
              <w:top w:val="nil"/>
              <w:left w:val="single" w:color="A4A4A4" w:sz="4" w:space="0"/>
              <w:bottom w:val="single" w:color="A4A4A4" w:sz="4" w:space="0"/>
              <w:right w:val="single" w:color="A4A4A4" w:sz="4" w:space="0"/>
              <w:tl2br w:val="nil"/>
              <w:tr2bl w:val="nil"/>
            </w:tcBorders>
            <w:vAlign w:val="center"/>
          </w:tcPr>
          <w:p w14:paraId="21E92167">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Detect_antibody</w:t>
            </w:r>
            <w:r>
              <w:rPr>
                <w:rFonts w:hint="eastAsia" w:ascii="Times New Roman" w:hAnsi="Times New Roman" w:eastAsia="微软雅黑" w:cs="Times New Roman"/>
                <w:sz w:val="18"/>
                <w:szCs w:val="18"/>
              </w:rPr>
              <w:t xml:space="preserve"> }}</w:t>
            </w:r>
          </w:p>
        </w:tc>
        <w:tc>
          <w:tcPr>
            <w:tcW w:w="3693" w:type="dxa"/>
            <w:tcBorders>
              <w:top w:val="nil"/>
              <w:left w:val="single" w:color="A4A4A4" w:sz="4" w:space="0"/>
              <w:bottom w:val="single" w:color="A4A4A4" w:sz="4" w:space="0"/>
              <w:right w:val="nil"/>
              <w:tl2br w:val="nil"/>
              <w:tr2bl w:val="nil"/>
            </w:tcBorders>
            <w:vAlign w:val="center"/>
          </w:tcPr>
          <w:p w14:paraId="138E1C14">
            <w:pPr>
              <w:pStyle w:val="39"/>
            </w:pPr>
            <w:r>
              <w:t>TPS：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.TPS }}</w:t>
            </w:r>
          </w:p>
        </w:tc>
      </w:tr>
      <w:tr w14:paraId="0C231CEA">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7" w:hRule="atLeast"/>
          <w:jc w:val="center"/>
        </w:trPr>
        <w:tc>
          <w:tcPr>
            <w:tcW w:w="2194" w:type="dxa"/>
            <w:vMerge w:val="continue"/>
            <w:tcBorders>
              <w:top w:val="single" w:color="A4A4A4" w:sz="4" w:space="0"/>
              <w:left w:val="nil"/>
              <w:bottom w:val="single" w:color="A4A4A4" w:sz="4" w:space="0"/>
              <w:right w:val="single" w:color="A4A4A4" w:sz="4" w:space="0"/>
              <w:tl2br w:val="nil"/>
              <w:tr2bl w:val="nil"/>
            </w:tcBorders>
            <w:vAlign w:val="center"/>
          </w:tcPr>
          <w:p w14:paraId="1AA14DA3">
            <w:pPr>
              <w:spacing w:line="276" w:lineRule="auto"/>
              <w:jc w:val="center"/>
              <w:rPr>
                <w:rFonts w:ascii="微软雅黑" w:hAnsi="微软雅黑" w:eastAsia="微软雅黑" w:cs="微软雅黑"/>
                <w:color w:val="000000"/>
                <w:sz w:val="18"/>
                <w:szCs w:val="18"/>
              </w:rPr>
            </w:pPr>
          </w:p>
        </w:tc>
        <w:tc>
          <w:tcPr>
            <w:tcW w:w="2127"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77454207">
            <w:pPr>
              <w:spacing w:line="276" w:lineRule="auto"/>
              <w:jc w:val="center"/>
              <w:rPr>
                <w:rFonts w:ascii="Times New Roman" w:hAnsi="Times New Roman" w:eastAsia="微软雅黑" w:cs="Times New Roman"/>
                <w:sz w:val="18"/>
                <w:szCs w:val="18"/>
              </w:rPr>
            </w:pPr>
          </w:p>
        </w:tc>
        <w:tc>
          <w:tcPr>
            <w:tcW w:w="2190"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64812AC9">
            <w:pPr>
              <w:spacing w:line="276" w:lineRule="auto"/>
              <w:jc w:val="center"/>
              <w:rPr>
                <w:rFonts w:ascii="Times New Roman" w:hAnsi="Times New Roman" w:eastAsia="微软雅黑" w:cs="Times New Roman"/>
                <w:sz w:val="18"/>
                <w:szCs w:val="18"/>
              </w:rPr>
            </w:pPr>
          </w:p>
        </w:tc>
        <w:tc>
          <w:tcPr>
            <w:tcW w:w="3693" w:type="dxa"/>
            <w:tcBorders>
              <w:top w:val="single" w:color="A4A4A4" w:sz="4" w:space="0"/>
              <w:left w:val="single" w:color="A4A4A4" w:sz="4" w:space="0"/>
              <w:bottom w:val="single" w:color="A4A4A4" w:sz="4" w:space="0"/>
              <w:right w:val="nil"/>
              <w:tl2br w:val="nil"/>
              <w:tr2bl w:val="nil"/>
            </w:tcBorders>
            <w:vAlign w:val="center"/>
          </w:tcPr>
          <w:p w14:paraId="1D7B1C99">
            <w:pPr>
              <w:pStyle w:val="39"/>
            </w:pPr>
            <w:r>
              <w:t>CPS：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.CPS }}</w:t>
            </w:r>
          </w:p>
        </w:tc>
      </w:tr>
    </w:tbl>
    <w:p w14:paraId="78424095">
      <w:pPr>
        <w:spacing w:line="276" w:lineRule="auto"/>
        <w:ind w:right="449" w:rightChars="204"/>
        <w:rPr>
          <w:rFonts w:ascii="微软雅黑" w:hAnsi="微软雅黑" w:eastAsia="微软雅黑" w:cs="微软雅黑"/>
          <w:b/>
          <w:color w:val="000000"/>
          <w:sz w:val="18"/>
          <w:szCs w:val="18"/>
        </w:rPr>
      </w:pPr>
    </w:p>
    <w:p w14:paraId="6822C6A2">
      <w:pPr>
        <w:ind w:firstLine="240" w:firstLineChars="100"/>
        <w:rPr>
          <w:rFonts w:ascii="Times New Roman" w:hAnsi="Times New Roman" w:eastAsia="微软雅黑" w:cs="黑体"/>
          <w:b/>
          <w:bCs/>
          <w:color w:val="033F86"/>
          <w:sz w:val="24"/>
          <w:szCs w:val="30"/>
          <w:lang w:eastAsia="zh-CN"/>
        </w:rPr>
      </w:pPr>
      <w:r>
        <w:rPr>
          <w:rFonts w:ascii="Times New Roman" w:hAnsi="Times New Roman" w:eastAsia="微软雅黑" w:cs="黑体"/>
          <w:b/>
          <w:bCs/>
          <w:color w:val="62B541"/>
          <w:sz w:val="24"/>
          <w:szCs w:val="30"/>
          <w:lang w:eastAsia="zh-CN"/>
        </w:rPr>
        <w:t>检测图谱</w:t>
      </w:r>
      <w:r>
        <w:rPr>
          <w:rFonts w:hint="eastAsia" w:ascii="Times New Roman" w:hAnsi="Times New Roman" w:eastAsia="微软雅黑" w:cs="黑体"/>
          <w:b/>
          <w:bCs/>
          <w:color w:val="62B541"/>
          <w:sz w:val="24"/>
          <w:szCs w:val="30"/>
          <w:lang w:eastAsia="zh-CN"/>
        </w:rPr>
        <w:t>：</w:t>
      </w:r>
      <w:r>
        <w:rPr>
          <w:rFonts w:ascii="Times New Roman" w:hAnsi="Times New Roman" w:eastAsia="微软雅黑" w:cs="黑体"/>
          <w:b/>
          <w:bCs/>
          <w:color w:val="033F86"/>
          <w:sz w:val="24"/>
          <w:szCs w:val="30"/>
          <w:lang w:eastAsia="zh-CN"/>
        </w:rPr>
        <w:t xml:space="preserve"> </w:t>
      </w:r>
    </w:p>
    <w:p w14:paraId="4961A05E">
      <w:pPr>
        <w:spacing w:line="276" w:lineRule="auto"/>
        <w:ind w:left="1252" w:leftChars="78" w:right="449" w:rightChars="204" w:hanging="1080" w:hangingChars="600"/>
        <w:rPr>
          <w:rFonts w:ascii="Times New Roman" w:hAnsi="Times New Roman" w:eastAsia="微软雅黑" w:cs="Times New Roman"/>
          <w:sz w:val="18"/>
          <w:szCs w:val="18"/>
        </w:rPr>
      </w:pPr>
    </w:p>
    <w:tbl>
      <w:tblPr>
        <w:tblStyle w:val="15"/>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13" w:type="dxa"/>
          <w:bottom w:w="0" w:type="dxa"/>
          <w:right w:w="113" w:type="dxa"/>
        </w:tblCellMar>
      </w:tblPr>
      <w:tblGrid>
        <w:gridCol w:w="3118"/>
        <w:gridCol w:w="3118"/>
        <w:gridCol w:w="3118"/>
      </w:tblGrid>
      <w:tr w14:paraId="01E2AAB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trHeight w:val="1984" w:hRule="atLeast"/>
          <w:jc w:val="center"/>
        </w:trPr>
        <w:tc>
          <w:tcPr>
            <w:tcW w:w="3118" w:type="dxa"/>
            <w:vAlign w:val="center"/>
          </w:tcPr>
          <w:p w14:paraId="6182BEC0">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770F6B23">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6DB83716">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 xml:space="preserve">.pd_PIC_status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.pd</w:t>
            </w:r>
            <w:r>
              <w:rPr>
                <w:rFonts w:ascii="Times New Roman" w:hAnsi="Times New Roman" w:eastAsia="微软雅黑" w:cs="Times New Roman"/>
                <w:b/>
                <w:szCs w:val="21"/>
              </w:rPr>
              <w:t>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r>
      <w:tr w14:paraId="2CD454F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3118" w:type="dxa"/>
            <w:vAlign w:val="center"/>
          </w:tcPr>
          <w:p w14:paraId="1F9D2A33">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阳性对照 200X</w:t>
            </w:r>
          </w:p>
        </w:tc>
        <w:tc>
          <w:tcPr>
            <w:tcW w:w="3118" w:type="dxa"/>
            <w:vAlign w:val="center"/>
          </w:tcPr>
          <w:p w14:paraId="3F84D589">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阴性对照 200X</w:t>
            </w:r>
          </w:p>
        </w:tc>
        <w:tc>
          <w:tcPr>
            <w:tcW w:w="3118" w:type="dxa"/>
            <w:vAlign w:val="center"/>
          </w:tcPr>
          <w:p w14:paraId="751D0A14">
            <w:pPr>
              <w:jc w:val="center"/>
              <w:rPr>
                <w:rFonts w:ascii="Times New Roman" w:hAnsi="Times New Roman" w:eastAsia="微软雅黑" w:cs="Times New Roman"/>
                <w:sz w:val="18"/>
                <w:szCs w:val="18"/>
              </w:rPr>
            </w:pPr>
            <w:r>
              <w:rPr>
                <w:rFonts w:ascii="Times New Roman" w:hAnsi="Times New Roman" w:eastAsia="微软雅黑" w:cs="Times New Roman"/>
                <w:sz w:val="18"/>
                <w:szCs w:val="18"/>
              </w:rPr>
              <w:t>PD-L1</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w:t>
            </w:r>
            <w:r>
              <w:rPr>
                <w:rFonts w:ascii="Times New Roman" w:hAnsi="Times New Roman" w:eastAsia="微软雅黑" w:cs="Times New Roman"/>
                <w:sz w:val="18"/>
                <w:szCs w:val="18"/>
              </w:rPr>
              <w:t xml:space="preserve"> 200X</w:t>
            </w:r>
          </w:p>
        </w:tc>
      </w:tr>
    </w:tbl>
    <w:p w14:paraId="7EEF0988">
      <w:pPr>
        <w:spacing w:line="276" w:lineRule="auto"/>
        <w:ind w:left="1252" w:leftChars="78" w:right="449" w:rightChars="204" w:hanging="1080" w:hangingChars="600"/>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rPr>
        <w:t>注</w:t>
      </w:r>
    </w:p>
    <w:tbl>
      <w:tblPr>
        <w:tblStyle w:val="15"/>
        <w:tblW w:w="0" w:type="auto"/>
        <w:tblInd w:w="7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255"/>
        <w:gridCol w:w="4318"/>
        <w:gridCol w:w="1392"/>
        <w:gridCol w:w="776"/>
      </w:tblGrid>
      <w:tr w14:paraId="0B0105F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0EE0F07F">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TPS（Tumor Proportion Score）=</w:t>
            </w:r>
          </w:p>
        </w:tc>
        <w:tc>
          <w:tcPr>
            <w:tcW w:w="4318" w:type="dxa"/>
            <w:tcBorders>
              <w:bottom w:val="single" w:color="auto" w:sz="4" w:space="0"/>
            </w:tcBorders>
            <w:vAlign w:val="center"/>
          </w:tcPr>
          <w:p w14:paraId="3C1C24AE">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P</w:t>
            </w:r>
            <w:r>
              <w:rPr>
                <w:rFonts w:hint="eastAsia" w:ascii="Times New Roman" w:hAnsi="Times New Roman" w:eastAsia="微软雅黑" w:cs="Times New Roman"/>
                <w:sz w:val="18"/>
                <w:szCs w:val="18"/>
                <w:shd w:val="clear" w:color="auto" w:fill="FFFFFF"/>
                <w:lang w:eastAsia="zh-CN"/>
              </w:rPr>
              <w:t>D-L1染色细胞(肿瘤细胞)数量</w:t>
            </w:r>
          </w:p>
        </w:tc>
        <w:tc>
          <w:tcPr>
            <w:tcW w:w="2168" w:type="dxa"/>
            <w:gridSpan w:val="2"/>
            <w:vMerge w:val="restart"/>
            <w:vAlign w:val="center"/>
          </w:tcPr>
          <w:p w14:paraId="01F6295D">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5128138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vAlign w:val="center"/>
          </w:tcPr>
          <w:p w14:paraId="231E3657">
            <w:pPr>
              <w:spacing w:line="276" w:lineRule="auto"/>
              <w:jc w:val="both"/>
              <w:rPr>
                <w:rFonts w:ascii="Times New Roman" w:hAnsi="Times New Roman" w:eastAsia="微软雅黑" w:cs="Times New Roman"/>
                <w:sz w:val="18"/>
                <w:szCs w:val="18"/>
                <w:shd w:val="clear" w:color="auto" w:fill="FFFFFF"/>
                <w:lang w:eastAsia="zh-CN"/>
              </w:rPr>
            </w:pPr>
          </w:p>
        </w:tc>
        <w:tc>
          <w:tcPr>
            <w:tcW w:w="4318" w:type="dxa"/>
            <w:tcBorders>
              <w:top w:val="single" w:color="auto" w:sz="4" w:space="0"/>
            </w:tcBorders>
            <w:vAlign w:val="center"/>
          </w:tcPr>
          <w:p w14:paraId="5DE7D153">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活的肿瘤细胞总数</w:t>
            </w:r>
          </w:p>
        </w:tc>
        <w:tc>
          <w:tcPr>
            <w:tcW w:w="2168" w:type="dxa"/>
            <w:gridSpan w:val="2"/>
            <w:vMerge w:val="continue"/>
          </w:tcPr>
          <w:p w14:paraId="1AC95E91">
            <w:pPr>
              <w:spacing w:line="276" w:lineRule="auto"/>
              <w:jc w:val="left"/>
              <w:rPr>
                <w:rFonts w:ascii="Times New Roman" w:hAnsi="Times New Roman" w:eastAsia="微软雅黑" w:cs="Times New Roman"/>
                <w:sz w:val="18"/>
                <w:szCs w:val="18"/>
                <w:shd w:val="clear" w:color="auto" w:fill="FFFFFF"/>
                <w:lang w:eastAsia="zh-CN"/>
              </w:rPr>
            </w:pPr>
          </w:p>
        </w:tc>
      </w:tr>
      <w:tr w14:paraId="3244B70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34C601AD">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CPS（Combined Positive Score）=</w:t>
            </w:r>
          </w:p>
        </w:tc>
        <w:tc>
          <w:tcPr>
            <w:tcW w:w="5710" w:type="dxa"/>
            <w:gridSpan w:val="2"/>
            <w:tcBorders>
              <w:bottom w:val="single" w:color="auto" w:sz="4" w:space="0"/>
            </w:tcBorders>
            <w:vAlign w:val="center"/>
          </w:tcPr>
          <w:p w14:paraId="202D8D63">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PD-L1染色细胞(肿瘤细胞+淋巴细胞+巨噬细胞)数量</w:t>
            </w:r>
          </w:p>
        </w:tc>
        <w:tc>
          <w:tcPr>
            <w:tcW w:w="776" w:type="dxa"/>
            <w:vMerge w:val="restart"/>
            <w:vAlign w:val="center"/>
          </w:tcPr>
          <w:p w14:paraId="4944C313">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7AD6A93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tcPr>
          <w:p w14:paraId="26D0671D">
            <w:pPr>
              <w:spacing w:line="276" w:lineRule="auto"/>
              <w:jc w:val="left"/>
              <w:rPr>
                <w:rFonts w:ascii="Times New Roman" w:hAnsi="Times New Roman" w:eastAsia="微软雅黑" w:cs="Times New Roman"/>
                <w:sz w:val="18"/>
                <w:szCs w:val="18"/>
                <w:shd w:val="clear" w:color="auto" w:fill="FFFFFF"/>
                <w:lang w:eastAsia="zh-CN"/>
              </w:rPr>
            </w:pPr>
          </w:p>
        </w:tc>
        <w:tc>
          <w:tcPr>
            <w:tcW w:w="5710" w:type="dxa"/>
            <w:gridSpan w:val="2"/>
            <w:tcBorders>
              <w:top w:val="single" w:color="auto" w:sz="4" w:space="0"/>
            </w:tcBorders>
            <w:vAlign w:val="center"/>
          </w:tcPr>
          <w:p w14:paraId="52332A88">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活的肿瘤细胞总数</w:t>
            </w:r>
          </w:p>
        </w:tc>
        <w:tc>
          <w:tcPr>
            <w:tcW w:w="776" w:type="dxa"/>
            <w:vMerge w:val="continue"/>
          </w:tcPr>
          <w:p w14:paraId="6CBEAEE5">
            <w:pPr>
              <w:spacing w:line="276" w:lineRule="auto"/>
              <w:jc w:val="left"/>
              <w:rPr>
                <w:rFonts w:ascii="Times New Roman" w:hAnsi="Times New Roman" w:eastAsia="微软雅黑" w:cs="Times New Roman"/>
                <w:sz w:val="18"/>
                <w:szCs w:val="18"/>
                <w:shd w:val="clear" w:color="auto" w:fill="FFFFFF"/>
                <w:lang w:eastAsia="zh-CN"/>
              </w:rPr>
            </w:pPr>
          </w:p>
        </w:tc>
      </w:tr>
    </w:tbl>
    <w:p w14:paraId="3B59596C">
      <w:pPr>
        <w:spacing w:line="276" w:lineRule="auto"/>
        <w:ind w:firstLine="360" w:firstLineChars="200"/>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ab/>
      </w:r>
      <w:r>
        <w:rPr>
          <w:rFonts w:hint="eastAsia" w:ascii="Times New Roman" w:hAnsi="Times New Roman" w:eastAsia="微软雅黑" w:cs="Times New Roman"/>
          <w:sz w:val="18"/>
          <w:szCs w:val="18"/>
          <w:shd w:val="clear" w:color="auto" w:fill="FFFFFF"/>
          <w:lang w:eastAsia="zh-CN"/>
        </w:rPr>
        <w:t>CPS</w:t>
      </w:r>
      <w:r>
        <w:rPr>
          <w:rFonts w:ascii="Times New Roman" w:hAnsi="Times New Roman" w:eastAsia="微软雅黑" w:cs="Times New Roman"/>
          <w:sz w:val="18"/>
          <w:szCs w:val="18"/>
          <w:shd w:val="clear" w:color="auto" w:fill="FFFFFF"/>
          <w:lang w:eastAsia="zh-CN"/>
        </w:rPr>
        <w:t>结果采用0~100数值来表示</w:t>
      </w:r>
      <w:r>
        <w:rPr>
          <w:rFonts w:hint="eastAsia" w:ascii="Times New Roman" w:hAnsi="Times New Roman" w:eastAsia="微软雅黑" w:cs="Times New Roman"/>
          <w:sz w:val="18"/>
          <w:szCs w:val="18"/>
          <w:shd w:val="clear" w:color="auto" w:fill="FFFFFF"/>
          <w:lang w:eastAsia="zh-CN"/>
        </w:rPr>
        <w:t>，</w:t>
      </w:r>
      <w:r>
        <w:rPr>
          <w:rFonts w:ascii="Times New Roman" w:hAnsi="Times New Roman" w:eastAsia="微软雅黑" w:cs="Times New Roman"/>
          <w:sz w:val="18"/>
          <w:szCs w:val="18"/>
          <w:shd w:val="clear" w:color="auto" w:fill="FFFFFF"/>
          <w:lang w:eastAsia="zh-CN"/>
        </w:rPr>
        <w:t>当计算结果超过100时，最终结果按照100来计算。</w:t>
      </w:r>
    </w:p>
    <w:p w14:paraId="4414815C">
      <w:pPr>
        <w:spacing w:line="276" w:lineRule="auto"/>
        <w:ind w:left="172" w:leftChars="78" w:right="449" w:rightChars="204" w:firstLine="248"/>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程序性死亡</w:t>
      </w:r>
      <w:r>
        <w:rPr>
          <w:rFonts w:hint="eastAsia" w:ascii="Times New Roman" w:hAnsi="Times New Roman" w:eastAsia="微软雅黑" w:cs="Times New Roman"/>
          <w:sz w:val="18"/>
          <w:szCs w:val="18"/>
          <w:shd w:val="clear" w:color="auto" w:fill="FFFFFF"/>
          <w:lang w:eastAsia="zh-CN"/>
        </w:rPr>
        <w:t>受体</w:t>
      </w:r>
      <w:r>
        <w:rPr>
          <w:rFonts w:ascii="Times New Roman" w:hAnsi="Times New Roman" w:eastAsia="微软雅黑" w:cs="Times New Roman"/>
          <w:sz w:val="18"/>
          <w:szCs w:val="18"/>
          <w:shd w:val="clear" w:color="auto" w:fill="FFFFFF"/>
          <w:lang w:eastAsia="zh-CN"/>
        </w:rPr>
        <w:t>1(PD-1)是一种重要的免疫抑制分子，主要在激活的T细胞和B细胞中表达。肿瘤细胞中高表达程序性死亡配体1(PD-L1)，与PD-1结合后可抑制T细胞激活，从而使肿瘤细胞躲避免疫系统的识别与攻击。通过PD-1/PD-L1抑制剂阻断该信号通路，阻断负向调控信号，能够使T细胞恢复活性，增强免疫应答。近期研究发现PD-1和PD-L1抑制剂在非小细胞肺癌、黑色素瘤、膀胱癌等多种肿瘤中疗效显著</w:t>
      </w:r>
      <w:r>
        <w:rPr>
          <w:rFonts w:hint="eastAsia" w:ascii="Times New Roman" w:hAnsi="Times New Roman" w:eastAsia="微软雅黑" w:cs="Times New Roman"/>
          <w:sz w:val="18"/>
          <w:szCs w:val="18"/>
          <w:shd w:val="clear" w:color="auto" w:fill="FFFFFF"/>
          <w:lang w:eastAsia="zh-CN"/>
        </w:rPr>
        <w:t>,其中</w:t>
      </w:r>
      <w:r>
        <w:rPr>
          <w:rFonts w:ascii="Times New Roman" w:hAnsi="Times New Roman" w:eastAsia="微软雅黑" w:cs="Times New Roman"/>
          <w:sz w:val="18"/>
          <w:szCs w:val="18"/>
          <w:shd w:val="clear" w:color="auto" w:fill="FFFFFF"/>
          <w:lang w:eastAsia="zh-CN"/>
        </w:rPr>
        <w:t>肿瘤组织中PD-L1的表达水平对预测PD-1和PD-L1抑制剂疗效具有重要意义</w:t>
      </w:r>
      <w:r>
        <w:rPr>
          <w:rFonts w:hint="eastAsia" w:ascii="Times New Roman" w:hAnsi="Times New Roman" w:eastAsia="微软雅黑" w:cs="Times New Roman"/>
          <w:sz w:val="18"/>
          <w:szCs w:val="18"/>
          <w:shd w:val="clear" w:color="auto" w:fill="FFFFFF"/>
          <w:lang w:eastAsia="zh-CN"/>
        </w:rPr>
        <w:t>。</w:t>
      </w:r>
    </w:p>
    <w:p w14:paraId="72B10170">
      <w:pPr>
        <w:rPr>
          <w:rFonts w:ascii="Times New Roman" w:hAnsi="Times New Roman" w:eastAsia="微软雅黑" w:cs="Times New Roman"/>
          <w:b/>
          <w:bCs/>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.pdInfoTable != [] %}</w:t>
      </w:r>
    </w:p>
    <w:p w14:paraId="37AE7C1E">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PD-L1表达阳性阈值：</w:t>
      </w:r>
    </w:p>
    <w:p w14:paraId="1E55A506">
      <w:pPr>
        <w:pStyle w:val="6"/>
        <w:spacing w:before="18"/>
        <w:rPr>
          <w:b/>
          <w:sz w:val="6"/>
        </w:rPr>
      </w:pPr>
    </w:p>
    <w:tbl>
      <w:tblPr>
        <w:tblStyle w:val="14"/>
        <w:tblW w:w="0" w:type="auto"/>
        <w:tblInd w:w="119" w:type="dxa"/>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Layout w:type="fixed"/>
        <w:tblCellMar>
          <w:top w:w="0" w:type="dxa"/>
          <w:left w:w="0" w:type="dxa"/>
          <w:bottom w:w="0" w:type="dxa"/>
          <w:right w:w="0" w:type="dxa"/>
        </w:tblCellMar>
      </w:tblPr>
      <w:tblGrid>
        <w:gridCol w:w="2043"/>
        <w:gridCol w:w="2093"/>
        <w:gridCol w:w="5504"/>
      </w:tblGrid>
      <w:tr w14:paraId="246BE000">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510" w:hRule="atLeast"/>
        </w:trPr>
        <w:tc>
          <w:tcPr>
            <w:tcW w:w="2043" w:type="dxa"/>
            <w:tcBorders>
              <w:bottom w:val="nil"/>
              <w:right w:val="single" w:color="FFFFFF" w:themeColor="background1" w:sz="18" w:space="0"/>
            </w:tcBorders>
            <w:shd w:val="clear" w:color="auto" w:fill="62B541"/>
            <w:vAlign w:val="center"/>
          </w:tcPr>
          <w:p w14:paraId="48A7C659">
            <w:pPr>
              <w:pStyle w:val="21"/>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ascii="微软雅黑" w:hAnsi="微软雅黑" w:eastAsia="微软雅黑" w:cs="微软雅黑"/>
                <w:b/>
                <w:color w:val="FFFFFF"/>
                <w:lang w:val="zh-CN" w:eastAsia="zh-CN" w:bidi="zh-CN"/>
              </w:rPr>
              <w:t>癌种</w:t>
            </w:r>
          </w:p>
        </w:tc>
        <w:tc>
          <w:tcPr>
            <w:tcW w:w="2093" w:type="dxa"/>
            <w:tcBorders>
              <w:left w:val="single" w:color="FFFFFF" w:themeColor="background1" w:sz="18" w:space="0"/>
              <w:bottom w:val="nil"/>
              <w:right w:val="single" w:color="FFFFFF" w:themeColor="background1" w:sz="18" w:space="0"/>
            </w:tcBorders>
            <w:shd w:val="clear" w:color="auto" w:fill="62B541"/>
            <w:vAlign w:val="center"/>
          </w:tcPr>
          <w:p w14:paraId="47CC867C">
            <w:pPr>
              <w:pStyle w:val="21"/>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ascii="微软雅黑" w:hAnsi="微软雅黑" w:eastAsia="微软雅黑" w:cs="微软雅黑"/>
                <w:b/>
                <w:color w:val="FFFFFF"/>
                <w:lang w:val="zh-CN" w:eastAsia="zh-CN" w:bidi="zh-CN"/>
              </w:rPr>
              <w:t>判读标准</w:t>
            </w:r>
          </w:p>
        </w:tc>
        <w:tc>
          <w:tcPr>
            <w:tcW w:w="5504" w:type="dxa"/>
            <w:tcBorders>
              <w:left w:val="single" w:color="FFFFFF" w:themeColor="background1" w:sz="18" w:space="0"/>
              <w:bottom w:val="nil"/>
            </w:tcBorders>
            <w:shd w:val="clear" w:color="auto" w:fill="62B541"/>
            <w:vAlign w:val="center"/>
          </w:tcPr>
          <w:p w14:paraId="17F0D63F">
            <w:pPr>
              <w:pStyle w:val="21"/>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hint="eastAsia" w:ascii="微软雅黑" w:hAnsi="微软雅黑" w:eastAsia="微软雅黑" w:cs="微软雅黑"/>
                <w:b/>
                <w:color w:val="FFFFFF"/>
                <w:lang w:val="zh-CN" w:eastAsia="zh-CN" w:bidi="zh-CN"/>
              </w:rPr>
              <w:t>临床意义</w:t>
            </w:r>
          </w:p>
        </w:tc>
      </w:tr>
      <w:tr w14:paraId="24EC4183">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nil"/>
              <w:left w:val="nil"/>
              <w:bottom w:val="single" w:color="A4A4A4" w:themeColor="background1" w:themeShade="A5" w:sz="4" w:space="0"/>
              <w:right w:val="nil"/>
            </w:tcBorders>
            <w:vAlign w:val="center"/>
          </w:tcPr>
          <w:p w14:paraId="18E5542A">
            <w:pPr>
              <w:pStyle w:val="21"/>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for pd in PDInfo.pdInfoTable %}</w:t>
            </w:r>
          </w:p>
        </w:tc>
      </w:tr>
      <w:tr w14:paraId="32AE88C2">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2043"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vAlign w:val="center"/>
          </w:tcPr>
          <w:p w14:paraId="0154C473">
            <w:pPr>
              <w:pStyle w:val="21"/>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.disease_name }}</w:t>
            </w:r>
          </w:p>
        </w:tc>
        <w:tc>
          <w:tcPr>
            <w:tcW w:w="209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vAlign w:val="center"/>
          </w:tcPr>
          <w:p w14:paraId="391C854A">
            <w:pPr>
              <w:pStyle w:val="21"/>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.interpretive_standard }}</w:t>
            </w:r>
          </w:p>
        </w:tc>
        <w:tc>
          <w:tcPr>
            <w:tcW w:w="5504"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vAlign w:val="center"/>
          </w:tcPr>
          <w:p w14:paraId="1D44CDBC">
            <w:pPr>
              <w:pStyle w:val="21"/>
              <w:keepNext w:val="0"/>
              <w:keepLines w:val="0"/>
              <w:pageBreakBefore w:val="0"/>
              <w:widowControl w:val="0"/>
              <w:kinsoku/>
              <w:wordWrap/>
              <w:overflowPunct/>
              <w:topLinePunct w:val="0"/>
              <w:autoSpaceDE w:val="0"/>
              <w:autoSpaceDN w:val="0"/>
              <w:bidi w:val="0"/>
              <w:adjustRightInd/>
              <w:snapToGrid/>
              <w:spacing w:before="1"/>
              <w:ind w:left="88" w:leftChars="40" w:right="113"/>
              <w:textAlignment w:val="auto"/>
              <w:rPr>
                <w:rFonts w:ascii="微软雅黑" w:hAnsi="微软雅黑" w:eastAsia="微软雅黑" w:cs="微软雅黑"/>
                <w:sz w:val="18"/>
                <w:szCs w:val="18"/>
                <w:lang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.clinical_significance }}</w:t>
            </w:r>
            <w:r>
              <w:rPr>
                <w:rFonts w:hint="eastAsia" w:ascii="微软雅黑" w:hAnsi="微软雅黑" w:eastAsia="微软雅黑" w:cs="微软雅黑"/>
                <w:sz w:val="18"/>
                <w:szCs w:val="18"/>
                <w:vertAlign w:val="superscript"/>
              </w:rPr>
              <w:t xml:space="preserve">{{ </w:t>
            </w:r>
            <w:r>
              <w:rPr>
                <w:rFonts w:hint="eastAsia" w:ascii="微软雅黑" w:hAnsi="微软雅黑" w:eastAsia="微软雅黑" w:cs="微软雅黑"/>
                <w:sz w:val="18"/>
                <w:szCs w:val="18"/>
                <w:vertAlign w:val="superscript"/>
                <w:lang w:eastAsia="zh-CN"/>
              </w:rPr>
              <w:t>pd.</w:t>
            </w:r>
            <w:r>
              <w:rPr>
                <w:rFonts w:hint="eastAsia" w:ascii="微软雅黑" w:hAnsi="微软雅黑" w:eastAsia="微软雅黑" w:cs="微软雅黑"/>
                <w:sz w:val="18"/>
                <w:szCs w:val="18"/>
                <w:vertAlign w:val="superscript"/>
              </w:rPr>
              <w:t>superscript }}</w:t>
            </w:r>
          </w:p>
        </w:tc>
      </w:tr>
      <w:tr w14:paraId="1B29E71C">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single" w:color="A4A4A4" w:themeColor="background1" w:themeShade="A5" w:sz="4" w:space="0"/>
              <w:left w:val="nil"/>
              <w:bottom w:val="single" w:color="A4A4A4" w:themeColor="background1" w:themeShade="A5" w:sz="4" w:space="0"/>
              <w:right w:val="nil"/>
            </w:tcBorders>
            <w:vAlign w:val="center"/>
          </w:tcPr>
          <w:p w14:paraId="664F7C0C">
            <w:pPr>
              <w:pStyle w:val="21"/>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endfor %}</w:t>
            </w:r>
          </w:p>
        </w:tc>
      </w:tr>
    </w:tbl>
    <w:p w14:paraId="4801BAE4">
      <w:pPr>
        <w:widowControl/>
        <w:ind w:firstLine="180" w:firstLineChars="100"/>
        <w:rPr>
          <w:rFonts w:ascii="微软雅黑" w:hAnsi="微软雅黑" w:eastAsia="微软雅黑" w:cs="微软雅黑"/>
          <w:sz w:val="18"/>
          <w:szCs w:val="18"/>
          <w:lang w:bidi="zh-CN"/>
        </w:rPr>
      </w:pPr>
      <w:r>
        <w:rPr>
          <w:rFonts w:hint="eastAsia" w:ascii="Times New Roman" w:hAnsi="Times New Roman" w:eastAsia="微软雅黑" w:cs="Times New Roman"/>
          <w:sz w:val="18"/>
          <w:szCs w:val="18"/>
          <w:lang w:eastAsia="zh-CN"/>
        </w:rPr>
        <w:t xml:space="preserve">{%if </w:t>
      </w:r>
      <w:r>
        <w:rPr>
          <w:rFonts w:hint="eastAsia" w:ascii="Times New Roman" w:hAnsi="Times New Roman" w:eastAsia="微软雅黑" w:cs="Times New Roman"/>
          <w:bCs/>
          <w:sz w:val="18"/>
          <w:szCs w:val="18"/>
          <w:lang w:eastAsia="zh-CN"/>
        </w:rPr>
        <w:t>PDInfo.superscript_remark == True %</w:t>
      </w:r>
      <w:r>
        <w:rPr>
          <w:rFonts w:hint="eastAsia" w:ascii="Times New Roman" w:hAnsi="Times New Roman" w:eastAsia="微软雅黑" w:cs="Times New Roman"/>
          <w:sz w:val="18"/>
          <w:szCs w:val="18"/>
          <w:lang w:eastAsia="zh-CN"/>
        </w:rPr>
        <w:t>}</w:t>
      </w:r>
      <w:r>
        <w:rPr>
          <w:rFonts w:hint="eastAsia" w:ascii="微软雅黑" w:hAnsi="微软雅黑" w:eastAsia="微软雅黑" w:cs="微软雅黑"/>
          <w:sz w:val="18"/>
          <w:szCs w:val="18"/>
          <w:lang w:bidi="zh-CN"/>
        </w:rPr>
        <w:t>[1]实体肿瘤</w:t>
      </w:r>
      <w:r>
        <w:rPr>
          <w:rFonts w:ascii="Times New Roman" w:hAnsi="Times New Roman" w:eastAsia="微软雅黑" w:cs="Times New Roman"/>
          <w:sz w:val="18"/>
          <w:szCs w:val="18"/>
          <w:lang w:bidi="zh-CN"/>
        </w:rPr>
        <w:t>PD-L1</w:t>
      </w:r>
      <w:r>
        <w:rPr>
          <w:rFonts w:hint="eastAsia" w:ascii="微软雅黑" w:hAnsi="微软雅黑" w:eastAsia="微软雅黑" w:cs="微软雅黑"/>
          <w:sz w:val="18"/>
          <w:szCs w:val="18"/>
          <w:lang w:bidi="zh-CN"/>
        </w:rPr>
        <w:t>免疫组织化学检测专家共识（</w:t>
      </w:r>
      <w:r>
        <w:rPr>
          <w:rFonts w:ascii="Times New Roman" w:hAnsi="Times New Roman" w:eastAsia="微软雅黑" w:cs="Times New Roman"/>
          <w:sz w:val="18"/>
          <w:szCs w:val="18"/>
          <w:lang w:bidi="zh-CN"/>
        </w:rPr>
        <w:t>2021</w:t>
      </w:r>
      <w:r>
        <w:rPr>
          <w:rFonts w:hint="eastAsia" w:ascii="微软雅黑" w:hAnsi="微软雅黑" w:eastAsia="微软雅黑" w:cs="微软雅黑"/>
          <w:sz w:val="18"/>
          <w:szCs w:val="18"/>
          <w:lang w:bidi="zh-CN"/>
        </w:rPr>
        <w:t>版）</w:t>
      </w:r>
      <w:r>
        <w:rPr>
          <w:rFonts w:hint="eastAsia" w:ascii="Times New Roman" w:hAnsi="Times New Roman" w:eastAsia="微软雅黑" w:cs="Times New Roman"/>
          <w:bCs/>
          <w:sz w:val="18"/>
          <w:szCs w:val="18"/>
          <w:lang w:eastAsia="zh-CN"/>
        </w:rPr>
        <w:t>{% endif %}</w:t>
      </w:r>
    </w:p>
    <w:p w14:paraId="049B801F">
      <w:pPr>
        <w:widowControl/>
        <w:ind w:firstLine="180" w:firstLineChars="100"/>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注：NMPA：国家药品监督管理局；FDA：美国食品药品管理局。信息来源：FDA/NMPA官网、药企官网发布信息。</w:t>
      </w:r>
    </w:p>
    <w:p w14:paraId="760ADF55">
      <w:pPr>
        <w:rPr>
          <w:rFonts w:ascii="Times New Roman" w:hAnsi="Times New Roman" w:eastAsia="微软雅黑" w:cs="Times New Roman"/>
          <w:b/>
          <w:color w:val="00B050"/>
          <w:sz w:val="24"/>
          <w:szCs w:val="24"/>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endif %}{% endif %}</w:t>
      </w:r>
      <w:r>
        <w:rPr>
          <w:rFonts w:hint="eastAsia" w:ascii="Times New Roman" w:hAnsi="Times New Roman" w:eastAsia="微软雅黑" w:cs="Times New Roman"/>
          <w:bCs/>
          <w:sz w:val="24"/>
          <w:szCs w:val="24"/>
          <w:lang w:eastAsia="zh-CN"/>
        </w:rPr>
        <w:t>{% for ia in immuneAll %}</w:t>
      </w:r>
    </w:p>
    <w:tbl>
      <w:tblPr>
        <w:tblStyle w:val="14"/>
        <w:tblW w:w="9864" w:type="dxa"/>
        <w:jc w:val="center"/>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Layout w:type="fixed"/>
        <w:tblCellMar>
          <w:top w:w="0" w:type="dxa"/>
          <w:left w:w="0" w:type="dxa"/>
          <w:bottom w:w="0" w:type="dxa"/>
          <w:right w:w="0" w:type="dxa"/>
        </w:tblCellMar>
      </w:tblPr>
      <w:tblGrid>
        <w:gridCol w:w="3471"/>
        <w:gridCol w:w="3332"/>
        <w:gridCol w:w="3061"/>
      </w:tblGrid>
      <w:tr w14:paraId="4368662C">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63" w:hRule="atLeast"/>
          <w:jc w:val="center"/>
        </w:trPr>
        <w:tc>
          <w:tcPr>
            <w:tcW w:w="3471" w:type="dxa"/>
            <w:tcBorders>
              <w:tl2br w:val="nil"/>
              <w:tr2bl w:val="nil"/>
            </w:tcBorders>
            <w:shd w:val="clear" w:color="auto" w:fill="62BC41"/>
            <w:vAlign w:val="center"/>
          </w:tcPr>
          <w:p w14:paraId="36BCC964">
            <w:pPr>
              <w:spacing w:line="240" w:lineRule="exact"/>
              <w:ind w:left="9"/>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sz w:val="18"/>
                <w:szCs w:val="18"/>
                <w:lang w:eastAsia="zh-CN"/>
              </w:rPr>
              <w:t>{%tc for immune in ia.immuneList %}</w:t>
            </w:r>
          </w:p>
        </w:tc>
        <w:tc>
          <w:tcPr>
            <w:tcW w:w="3332" w:type="dxa"/>
            <w:tcBorders>
              <w:tl2br w:val="nil"/>
              <w:tr2bl w:val="nil"/>
            </w:tcBorders>
            <w:shd w:val="clear" w:color="auto" w:fill="62BC41"/>
            <w:vAlign w:val="center"/>
          </w:tcPr>
          <w:p w14:paraId="466B0852">
            <w:pPr>
              <w:spacing w:line="240" w:lineRule="exact"/>
              <w:ind w:left="9"/>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b/>
                <w:color w:val="FFFFFF"/>
                <w:lang w:eastAsia="zh-CN"/>
              </w:rPr>
              <w:t>{% hm %}</w:t>
            </w:r>
            <w:r>
              <w:rPr>
                <w:rFonts w:ascii="Times New Roman" w:hAnsi="Times New Roman" w:eastAsia="微软雅黑" w:cs="Times New Roman"/>
                <w:b/>
                <w:color w:val="FFFFFF"/>
                <w:lang w:eastAsia="zh-CN"/>
              </w:rPr>
              <w:t>目前各癌种已批准的免疫治疗药物</w:t>
            </w:r>
          </w:p>
        </w:tc>
        <w:tc>
          <w:tcPr>
            <w:tcW w:w="3061" w:type="dxa"/>
            <w:tcBorders>
              <w:tl2br w:val="nil"/>
              <w:tr2bl w:val="nil"/>
            </w:tcBorders>
            <w:shd w:val="clear" w:color="auto" w:fill="62BC41"/>
            <w:vAlign w:val="center"/>
          </w:tcPr>
          <w:p w14:paraId="1C7CAE37">
            <w:pPr>
              <w:spacing w:line="240" w:lineRule="exact"/>
              <w:ind w:left="9"/>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sz w:val="18"/>
                <w:szCs w:val="18"/>
                <w:lang w:eastAsia="zh-CN"/>
              </w:rPr>
              <w:t>{%tc endfor %}</w:t>
            </w:r>
          </w:p>
        </w:tc>
      </w:tr>
      <w:tr w14:paraId="6ED62F2E">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6326A03A">
            <w:pPr>
              <w:spacing w:line="240" w:lineRule="exact"/>
              <w:ind w:left="8"/>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lang w:eastAsia="zh-CN"/>
              </w:rPr>
              <w:t>{%tr for key in ia.immuneTableKey %}</w:t>
            </w:r>
          </w:p>
        </w:tc>
      </w:tr>
      <w:tr w14:paraId="2E2BE342">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54ECF8FA">
            <w:pPr>
              <w:spacing w:line="240" w:lineRule="exact"/>
              <w:ind w:left="8"/>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lang w:eastAsia="zh-CN"/>
              </w:rPr>
              <w:t>{%tr if key == ‘desc1’ or key == ‘desc2’ or key == ‘desc3’ or key == ‘desc4’ %}</w:t>
            </w:r>
          </w:p>
        </w:tc>
      </w:tr>
      <w:tr w14:paraId="3E7C184B">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3471" w:type="dxa"/>
            <w:tcBorders>
              <w:tl2br w:val="nil"/>
              <w:tr2bl w:val="nil"/>
            </w:tcBorders>
            <w:shd w:val="clear" w:color="auto" w:fill="62BC41"/>
            <w:vAlign w:val="center"/>
          </w:tcPr>
          <w:p w14:paraId="6664F0A6">
            <w:pPr>
              <w:spacing w:line="240" w:lineRule="exact"/>
              <w:ind w:left="8"/>
              <w:jc w:val="center"/>
              <w:rPr>
                <w:rFonts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eastAsia="zh-CN"/>
              </w:rPr>
              <w:t>{%tc for immune in ia.immuneList %}</w:t>
            </w:r>
          </w:p>
        </w:tc>
        <w:tc>
          <w:tcPr>
            <w:tcW w:w="3332" w:type="dxa"/>
            <w:tcBorders>
              <w:tl2br w:val="nil"/>
              <w:tr2bl w:val="nil"/>
            </w:tcBorders>
            <w:shd w:val="clear" w:color="auto" w:fill="62BC41"/>
            <w:vAlign w:val="center"/>
          </w:tcPr>
          <w:p w14:paraId="5644BE9A">
            <w:pPr>
              <w:spacing w:line="240" w:lineRule="exact"/>
              <w:ind w:left="8"/>
              <w:jc w:val="center"/>
              <w:rPr>
                <w:rFonts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eastAsia="zh-CN"/>
              </w:rPr>
              <w:t>{% for i in immune[key] | nl() %}{%if loop.last%}{{ i }}{%else%}{{ i }}</w:t>
            </w:r>
          </w:p>
          <w:p w14:paraId="70078886">
            <w:pPr>
              <w:spacing w:line="240" w:lineRule="exact"/>
              <w:ind w:left="8"/>
              <w:jc w:val="center"/>
              <w:rPr>
                <w:rFonts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eastAsia="zh-CN"/>
              </w:rPr>
              <w:t>{%endif%}{% endfor%}</w:t>
            </w:r>
          </w:p>
        </w:tc>
        <w:tc>
          <w:tcPr>
            <w:tcW w:w="3061" w:type="dxa"/>
            <w:tcBorders>
              <w:tl2br w:val="nil"/>
              <w:tr2bl w:val="nil"/>
            </w:tcBorders>
            <w:shd w:val="clear" w:color="auto" w:fill="62BC41"/>
            <w:vAlign w:val="center"/>
          </w:tcPr>
          <w:p w14:paraId="33B4DE3B">
            <w:pPr>
              <w:spacing w:line="240" w:lineRule="exact"/>
              <w:ind w:left="8"/>
              <w:jc w:val="center"/>
              <w:rPr>
                <w:rFonts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eastAsia="zh-CN"/>
              </w:rPr>
              <w:t>{%tc endfor %}</w:t>
            </w:r>
          </w:p>
        </w:tc>
      </w:tr>
      <w:tr w14:paraId="4CD34178">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4AEE097D">
            <w:pPr>
              <w:spacing w:line="240" w:lineRule="exact"/>
              <w:ind w:left="8"/>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else %}</w:t>
            </w:r>
          </w:p>
        </w:tc>
      </w:tr>
      <w:tr w14:paraId="102D157B">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3471" w:type="dxa"/>
            <w:tcBorders>
              <w:tl2br w:val="nil"/>
              <w:tr2bl w:val="nil"/>
            </w:tcBorders>
            <w:shd w:val="clear" w:color="auto" w:fill="auto"/>
            <w:vAlign w:val="center"/>
          </w:tcPr>
          <w:p w14:paraId="60C8F8C5">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{%tc for imm</w:t>
            </w:r>
            <w:r>
              <w:rPr>
                <w:rFonts w:hint="eastAsia" w:ascii="Times New Roman" w:hAnsi="Times New Roman" w:eastAsia="微软雅黑" w:cs="Times New Roman"/>
                <w:sz w:val="18"/>
                <w:szCs w:val="18"/>
                <w:lang w:eastAsia="zh-CN"/>
              </w:rPr>
              <w:t xml:space="preserve">une in ia.immuneList </w:t>
            </w:r>
            <w:r>
              <w:rPr>
                <w:rFonts w:hint="eastAsia" w:ascii="Times New Roman" w:hAnsi="Times New Roman" w:eastAsia="微软雅黑" w:cs="Times New Roman"/>
                <w:sz w:val="18"/>
                <w:lang w:eastAsia="zh-CN"/>
              </w:rPr>
              <w:t>%}</w:t>
            </w:r>
          </w:p>
        </w:tc>
        <w:tc>
          <w:tcPr>
            <w:tcW w:w="3332" w:type="dxa"/>
            <w:tcBorders>
              <w:tl2br w:val="nil"/>
              <w:tr2bl w:val="nil"/>
            </w:tcBorders>
            <w:shd w:val="clear" w:color="auto" w:fill="auto"/>
            <w:vAlign w:val="center"/>
          </w:tcPr>
          <w:p w14:paraId="5C5F4B78">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 for i in immune[key] | nl() %}{%if loop.last%}{{ i }}{%else%}{{ i }}</w:t>
            </w:r>
          </w:p>
          <w:p w14:paraId="4832A68D">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{%endif%}{% endfor%}</w:t>
            </w:r>
          </w:p>
        </w:tc>
        <w:tc>
          <w:tcPr>
            <w:tcW w:w="3061" w:type="dxa"/>
            <w:tcBorders>
              <w:tl2br w:val="nil"/>
              <w:tr2bl w:val="nil"/>
            </w:tcBorders>
            <w:shd w:val="clear" w:color="auto" w:fill="auto"/>
            <w:vAlign w:val="center"/>
          </w:tcPr>
          <w:p w14:paraId="31392B66">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{%tc endfor %}</w:t>
            </w:r>
          </w:p>
        </w:tc>
      </w:tr>
      <w:tr w14:paraId="0B09468D">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9864" w:type="dxa"/>
            <w:gridSpan w:val="3"/>
            <w:tcBorders>
              <w:tl2br w:val="nil"/>
              <w:tr2bl w:val="nil"/>
            </w:tcBorders>
            <w:shd w:val="clear" w:color="auto" w:fill="auto"/>
            <w:vAlign w:val="center"/>
          </w:tcPr>
          <w:p w14:paraId="690AF769">
            <w:pPr>
              <w:spacing w:line="240" w:lineRule="exact"/>
              <w:ind w:left="8"/>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endif %}</w:t>
            </w:r>
          </w:p>
        </w:tc>
      </w:tr>
      <w:tr w14:paraId="692C7FE7">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9864" w:type="dxa"/>
            <w:gridSpan w:val="3"/>
            <w:tcBorders>
              <w:tl2br w:val="nil"/>
              <w:tr2bl w:val="nil"/>
            </w:tcBorders>
            <w:shd w:val="clear" w:color="auto" w:fill="auto"/>
            <w:vAlign w:val="center"/>
          </w:tcPr>
          <w:p w14:paraId="5DAE64ED">
            <w:pPr>
              <w:spacing w:line="240" w:lineRule="exact"/>
              <w:ind w:left="8"/>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endfor %}</w:t>
            </w:r>
          </w:p>
        </w:tc>
      </w:tr>
    </w:tbl>
    <w:p w14:paraId="015C6854">
      <w:p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注：</w:t>
      </w:r>
      <w:r>
        <w:rPr>
          <w:rFonts w:hint="eastAsia" w:ascii="Times New Roman" w:hAnsi="Times New Roman" w:eastAsia="微软雅黑" w:cs="Times New Roman"/>
          <w:sz w:val="18"/>
          <w:szCs w:val="18"/>
          <w:lang w:eastAsia="zh-CN"/>
        </w:rPr>
        <w:t>表中已获批药物包括单药获批药物和联药获批药物。信息来源：FDA/NMPA官网、药企官网发布信息</w:t>
      </w:r>
      <w:r>
        <w:rPr>
          <w:rFonts w:ascii="Times New Roman" w:hAnsi="Times New Roman" w:eastAsia="微软雅黑" w:cs="Times New Roman"/>
          <w:sz w:val="18"/>
          <w:szCs w:val="18"/>
          <w:lang w:eastAsia="zh-CN"/>
        </w:rPr>
        <w:t>。</w:t>
      </w:r>
    </w:p>
    <w:p w14:paraId="118FED39">
      <w:p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br w:type="page"/>
      </w:r>
      <w:r>
        <w:rPr>
          <w:rFonts w:hint="eastAsia" w:ascii="Times New Roman" w:hAnsi="Times New Roman" w:eastAsia="微软雅黑" w:cs="Times New Roman"/>
          <w:sz w:val="24"/>
          <w:szCs w:val="24"/>
          <w:lang w:eastAsia="zh-CN"/>
        </w:rPr>
        <w:t>{% endfor %}</w:t>
      </w:r>
    </w:p>
    <w:bookmarkEnd w:id="52"/>
    <w:bookmarkEnd w:id="53"/>
    <w:bookmarkEnd w:id="54"/>
    <w:bookmarkEnd w:id="55"/>
    <w:bookmarkEnd w:id="56"/>
    <w:bookmarkEnd w:id="57"/>
    <w:p w14:paraId="22646D53">
      <w:pPr>
        <w:pStyle w:val="2"/>
        <w:numPr>
          <w:ilvl w:val="255"/>
          <w:numId w:val="0"/>
        </w:numPr>
        <w:jc w:val="left"/>
        <w:rPr>
          <w:color w:val="62B541"/>
          <w:sz w:val="32"/>
          <w14:shadow w14:blurRad="50800" w14:dist="38100" w14:dir="10800000" w14:sx="100000" w14:sy="100000" w14:kx="0" w14:ky="0" w14:algn="r">
            <w14:srgbClr w14:val="62B541">
              <w14:alpha w14:val="60000"/>
            </w14:srgbClr>
          </w14:shadow>
        </w:rPr>
      </w:pPr>
      <w:bookmarkStart w:id="71" w:name="_Toc23846_WPSOffice_Level1"/>
      <w:bookmarkStart w:id="72" w:name="_Toc23251"/>
      <w:bookmarkStart w:id="73" w:name="_Toc23461"/>
      <w:bookmarkStart w:id="74" w:name="_Toc4331_WPSOffice_Level1"/>
      <w:bookmarkStart w:id="75" w:name="_Toc180"/>
      <w:bookmarkStart w:id="76" w:name="_Toc25727"/>
      <w:bookmarkStart w:id="77" w:name="_Toc32443_WPSOffice_Level1"/>
      <w:bookmarkStart w:id="78" w:name="_Toc23903"/>
      <w:r>
        <w:rPr>
          <w:color w:val="62B541"/>
          <w:sz w:val="32"/>
          <w14:shadow w14:blurRad="50800" w14:dist="38100" w14:dir="10800000" w14:sx="100000" w14:sy="100000" w14:kx="0" w14:ky="0" w14:algn="r">
            <w14:srgbClr w14:val="62B541">
              <w14:alpha w14:val="60000"/>
            </w14:srgbClr>
          </w14:shadow>
        </w:rPr>
        <w:t>基因检测结果解析</w:t>
      </w:r>
      <w:bookmarkEnd w:id="71"/>
      <w:bookmarkEnd w:id="72"/>
      <w:bookmarkEnd w:id="73"/>
      <w:bookmarkEnd w:id="74"/>
      <w:bookmarkEnd w:id="75"/>
      <w:bookmarkEnd w:id="76"/>
      <w:bookmarkEnd w:id="77"/>
      <w:bookmarkEnd w:id="78"/>
    </w:p>
    <w:p w14:paraId="73C8526E">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BodyDrugDrugDetectionStr or unknownVarAnalysisStr %}</w:t>
      </w:r>
    </w:p>
    <w:p w14:paraId="5C0FB8EB">
      <w:pPr>
        <w:pStyle w:val="3"/>
        <w:numPr>
          <w:ilvl w:val="255"/>
          <w:numId w:val="0"/>
        </w:numPr>
        <w:jc w:val="left"/>
        <w:rPr>
          <w:rFonts w:hint="eastAsia"/>
          <w:color w:val="auto"/>
          <w:sz w:val="30"/>
          <w:lang w:eastAsia="zh-CN"/>
        </w:rPr>
      </w:pPr>
      <w:bookmarkStart w:id="79" w:name="_Toc32443_WPSOffice_Level2"/>
      <w:bookmarkStart w:id="80" w:name="_Toc32302"/>
      <w:bookmarkStart w:id="81" w:name="_Toc14125"/>
      <w:bookmarkStart w:id="82" w:name="_Toc23606"/>
      <w:bookmarkStart w:id="83" w:name="_Toc4331_WPSOffice_Level2"/>
      <w:bookmarkStart w:id="84" w:name="_Toc3030"/>
      <w:bookmarkStart w:id="85" w:name="_Toc26395"/>
      <w:r>
        <w:rPr>
          <w:rFonts w:hint="eastAsia"/>
          <w:color w:val="auto"/>
          <w:sz w:val="30"/>
          <w:lang w:eastAsia="zh-CN"/>
        </w:rPr>
        <w:t>体细胞变异结果解析</w:t>
      </w:r>
      <w:bookmarkEnd w:id="79"/>
      <w:bookmarkEnd w:id="80"/>
      <w:bookmarkEnd w:id="81"/>
      <w:bookmarkEnd w:id="82"/>
      <w:bookmarkEnd w:id="83"/>
      <w:bookmarkEnd w:id="84"/>
    </w:p>
    <w:p w14:paraId="545143A2">
      <w:pPr>
        <w:rPr>
          <w:rFonts w:hint="eastAsia"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for tdd in BodyDrugNoComplexStr</w:t>
      </w:r>
      <w:r>
        <w:rPr>
          <w:rFonts w:hint="eastAsia" w:ascii="Times New Roman" w:hAnsi="Times New Roman" w:eastAsia="微软雅黑" w:cs="Times New Roman"/>
          <w:b/>
          <w:sz w:val="24"/>
          <w:szCs w:val="24"/>
          <w:lang w:val="en-US" w:eastAsia="zh-CN"/>
        </w:rPr>
        <w:t xml:space="preserve"> </w:t>
      </w:r>
      <w:r>
        <w:rPr>
          <w:rFonts w:hint="eastAsia" w:ascii="Times New Roman" w:hAnsi="Times New Roman" w:eastAsia="微软雅黑" w:cs="Times New Roman"/>
          <w:b/>
          <w:sz w:val="24"/>
          <w:szCs w:val="24"/>
          <w:lang w:eastAsia="zh-CN"/>
        </w:rPr>
        <w:t>%}</w:t>
      </w:r>
    </w:p>
    <w:p w14:paraId="7579E66B">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tdd.gene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4D2454F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119D398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2B87168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241D33C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2CD2E38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highlight w:val="none"/>
                <w:lang w:eastAsia="zh-CN"/>
                <w14:textFill>
                  <w14:solidFill>
                    <w14:schemeClr w14:val="bg1"/>
                  </w14:solidFill>
                </w14:textFill>
              </w:rPr>
              <w:t>{{ tdd.mutFreq</w:t>
            </w:r>
            <w:r>
              <w:rPr>
                <w:rFonts w:hint="eastAsia" w:ascii="Times New Roman" w:hAnsi="Times New Roman" w:eastAsia="微软雅黑" w:cs="Times New Roman"/>
                <w:b/>
                <w:color w:val="FFFFFF" w:themeColor="background1"/>
                <w:sz w:val="18"/>
                <w:szCs w:val="18"/>
                <w:highlight w:val="none"/>
                <w:lang w:val="en-US" w:eastAsia="zh-CN"/>
                <w14:textFill>
                  <w14:solidFill>
                    <w14:schemeClr w14:val="bg1"/>
                  </w14:solidFill>
                </w14:textFill>
              </w:rPr>
              <w:t>Type</w:t>
            </w:r>
            <w:r>
              <w:rPr>
                <w:rFonts w:hint="eastAsia" w:ascii="Times New Roman" w:hAnsi="Times New Roman" w:eastAsia="微软雅黑" w:cs="Times New Roman"/>
                <w:b/>
                <w:color w:val="FFFFFF" w:themeColor="background1"/>
                <w:sz w:val="18"/>
                <w:szCs w:val="18"/>
                <w:highlight w:val="none"/>
                <w:lang w:eastAsia="zh-CN"/>
                <w14:textFill>
                  <w14:solidFill>
                    <w14:schemeClr w14:val="bg1"/>
                  </w14:solidFill>
                </w14:textFill>
              </w:rPr>
              <w:t xml:space="preserve"> }}</w:t>
            </w:r>
          </w:p>
        </w:tc>
        <w:tc>
          <w:tcPr>
            <w:tcW w:w="8247" w:type="dxa"/>
            <w:tcBorders>
              <w:top w:val="single" w:color="A4A4A4" w:sz="4" w:space="0"/>
              <w:left w:val="nil"/>
              <w:bottom w:val="single" w:color="A4A4A4" w:sz="4" w:space="0"/>
              <w:right w:val="nil"/>
            </w:tcBorders>
            <w:vAlign w:val="center"/>
          </w:tcPr>
          <w:p w14:paraId="02CB140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5B7920F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16307AD9">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3A2EC13">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55362FB8">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FFB1B4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69D7C20B">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4EF246D">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5006616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533121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3FD8229F">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FD695A1">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3EF48A0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C50EAB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310CA70C">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C4CC0FE">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39EDDDF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7A6BD4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33C0785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1E95FB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160686A5">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1C08A1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49FD668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61D4D0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2E2D03C6">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DC8BA1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11E0227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7247D9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66BEE4B5">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66BB52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28A3D73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84AC56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1A00D681">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C60041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7E08E7D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13853FF6">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5340B104">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091F4606">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67F41FE9">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0A08204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6A0FE50E">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3D5A7E48">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66D8874F">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5598B7AE">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110923A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51C07FC4">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5F272C7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1A1EC304">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61BCFF30">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3F8ABC14">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19251A6E">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0F8EEFD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7601834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4D7E6DF7">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36C63CDA">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19B0B03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738CCAAF">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01553FA9">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74E9745D">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4F0F8BAE">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02CB89A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4FC5A404">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4C33DC9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7D5C0F3C">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583F8C02">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6EB75F46">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0EE49D80">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030BA2A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6DE23E9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5F124F58">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3304070F">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2798D71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6C7800A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0F6863B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05C2C72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0906189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34DFC0C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1F8319B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469FF67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523C158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43DFEF6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7580A07B">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53C9A1D6">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1BECFD2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1686D6F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72A2C234">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745E6E3D">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534E73EB">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1AE4AAD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250323DB">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157DCE43">
      <w:pPr>
        <w:pStyle w:val="26"/>
        <w:rPr>
          <w:color w:val="auto"/>
        </w:rPr>
      </w:pPr>
      <w:r>
        <w:rPr>
          <w:rFonts w:hint="eastAsia"/>
          <w:color w:val="auto"/>
        </w:rPr>
        <w:t>{% endif %}{% endfor %}{% for vus in unknownVarAnalysisStr %}</w:t>
      </w:r>
    </w:p>
    <w:p w14:paraId="63BF974F">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vus.gene}}</w:t>
      </w:r>
    </w:p>
    <w:tbl>
      <w:tblPr>
        <w:tblStyle w:val="14"/>
        <w:tblpPr w:leftFromText="180" w:rightFromText="180" w:vertAnchor="text" w:tblpXSpec="center" w:tblpY="1"/>
        <w:tblOverlap w:val="never"/>
        <w:tblW w:w="9870" w:type="dxa"/>
        <w:tblInd w:w="0" w:type="dxa"/>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843"/>
        <w:gridCol w:w="8027"/>
      </w:tblGrid>
      <w:tr w14:paraId="53BBDFC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329" w:hRule="atLeast"/>
        </w:trPr>
        <w:tc>
          <w:tcPr>
            <w:tcW w:w="1843" w:type="dxa"/>
            <w:tcBorders>
              <w:top w:val="nil"/>
              <w:left w:val="nil"/>
              <w:bottom w:val="single" w:color="FFFFFF" w:sz="18" w:space="0"/>
              <w:right w:val="nil"/>
            </w:tcBorders>
            <w:shd w:val="clear" w:color="auto" w:fill="62B541"/>
            <w:vAlign w:val="center"/>
          </w:tcPr>
          <w:p w14:paraId="314264CE">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027" w:type="dxa"/>
            <w:tcBorders>
              <w:top w:val="single" w:color="A4A4A4" w:sz="4" w:space="0"/>
              <w:left w:val="nil"/>
              <w:bottom w:val="single" w:color="A4A4A4" w:sz="4" w:space="0"/>
              <w:right w:val="nil"/>
            </w:tcBorders>
            <w:vAlign w:val="center"/>
          </w:tcPr>
          <w:p w14:paraId="0B36CA70">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vus.ori_variant }}</w:t>
            </w:r>
          </w:p>
        </w:tc>
      </w:tr>
      <w:tr w14:paraId="54356AB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single" w:color="FFFFFF" w:sz="18" w:space="0"/>
              <w:right w:val="nil"/>
            </w:tcBorders>
            <w:shd w:val="clear" w:color="auto" w:fill="62B541"/>
            <w:vAlign w:val="center"/>
          </w:tcPr>
          <w:p w14:paraId="6E42A459">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突变说明</w:t>
            </w:r>
          </w:p>
        </w:tc>
        <w:tc>
          <w:tcPr>
            <w:tcW w:w="8027" w:type="dxa"/>
            <w:tcBorders>
              <w:top w:val="single" w:color="A4A4A4" w:sz="4" w:space="0"/>
              <w:left w:val="nil"/>
              <w:bottom w:val="single" w:color="A4A4A4" w:sz="4" w:space="0"/>
              <w:right w:val="nil"/>
            </w:tcBorders>
            <w:vAlign w:val="center"/>
          </w:tcPr>
          <w:p w14:paraId="0F5716E9">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vus.mutDesc }}</w:t>
            </w:r>
          </w:p>
        </w:tc>
      </w:tr>
      <w:tr w14:paraId="256EAF4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nil"/>
              <w:right w:val="nil"/>
            </w:tcBorders>
            <w:shd w:val="clear" w:color="auto" w:fill="62B541"/>
            <w:vAlign w:val="center"/>
          </w:tcPr>
          <w:p w14:paraId="2E76EAB3">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基因说明</w:t>
            </w:r>
          </w:p>
        </w:tc>
        <w:tc>
          <w:tcPr>
            <w:tcW w:w="8027" w:type="dxa"/>
            <w:tcBorders>
              <w:top w:val="single" w:color="A4A4A4" w:sz="4" w:space="0"/>
              <w:left w:val="nil"/>
              <w:bottom w:val="single" w:color="A4A4A4" w:sz="4" w:space="0"/>
              <w:right w:val="nil"/>
            </w:tcBorders>
            <w:vAlign w:val="center"/>
          </w:tcPr>
          <w:p w14:paraId="51691B29">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vus.gene_description_chinese }}</w:t>
            </w:r>
          </w:p>
        </w:tc>
      </w:tr>
    </w:tbl>
    <w:p w14:paraId="04DEDABE">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endfor %}{% for tdd in ComplexDrugStr</w:t>
      </w:r>
      <w:r>
        <w:rPr>
          <w:rFonts w:hint="eastAsia" w:ascii="Times New Roman" w:hAnsi="Times New Roman" w:eastAsia="微软雅黑" w:cs="Times New Roman"/>
          <w:b/>
          <w:sz w:val="24"/>
          <w:szCs w:val="24"/>
          <w:lang w:val="en-US" w:eastAsia="zh-CN"/>
        </w:rPr>
        <w:t xml:space="preserve"> </w:t>
      </w:r>
      <w:r>
        <w:rPr>
          <w:rFonts w:hint="eastAsia" w:ascii="Times New Roman" w:hAnsi="Times New Roman" w:eastAsia="微软雅黑" w:cs="Times New Roman"/>
          <w:b/>
          <w:sz w:val="24"/>
          <w:szCs w:val="24"/>
          <w:lang w:eastAsia="zh-CN"/>
        </w:rPr>
        <w:t>%}</w:t>
      </w:r>
    </w:p>
    <w:p w14:paraId="295A6E3D">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tdd.comutation</w:t>
      </w:r>
      <w:r>
        <w:rPr>
          <w:rFonts w:hint="eastAsia" w:ascii="Times New Roman" w:hAnsi="Times New Roman" w:eastAsia="微软雅黑" w:cs="Times New Roman"/>
          <w:b/>
          <w:sz w:val="24"/>
          <w:szCs w:val="24"/>
          <w:lang w:val="en-US" w:eastAsia="zh-CN"/>
        </w:rPr>
        <w:t>1</w:t>
      </w:r>
      <w:r>
        <w:rPr>
          <w:rFonts w:hint="eastAsia" w:ascii="Times New Roman" w:hAnsi="Times New Roman" w:eastAsia="微软雅黑" w:cs="Times New Roman"/>
          <w:b/>
          <w:sz w:val="24"/>
          <w:szCs w:val="24"/>
          <w:lang w:eastAsia="zh-CN"/>
        </w:rPr>
        <w:t xml:space="preserve">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6ACD86C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673C329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05C9F64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val="en-US" w:eastAsia="zh-CN"/>
              </w:rPr>
              <w:t>{{tdd.comutation}}</w:t>
            </w:r>
          </w:p>
        </w:tc>
      </w:tr>
      <w:tr w14:paraId="296479E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47FB440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highlight w:val="none"/>
                <w:lang w:eastAsia="zh-CN"/>
                <w14:textFill>
                  <w14:solidFill>
                    <w14:schemeClr w14:val="bg1"/>
                  </w14:solidFill>
                </w14:textFill>
              </w:rPr>
              <w:t>{{ tdd.mutFreq</w:t>
            </w:r>
            <w:r>
              <w:rPr>
                <w:rFonts w:hint="eastAsia" w:ascii="Times New Roman" w:hAnsi="Times New Roman" w:eastAsia="微软雅黑" w:cs="Times New Roman"/>
                <w:b/>
                <w:color w:val="FFFFFF" w:themeColor="background1"/>
                <w:sz w:val="18"/>
                <w:szCs w:val="18"/>
                <w:highlight w:val="none"/>
                <w:lang w:val="en-US" w:eastAsia="zh-CN"/>
                <w14:textFill>
                  <w14:solidFill>
                    <w14:schemeClr w14:val="bg1"/>
                  </w14:solidFill>
                </w14:textFill>
              </w:rPr>
              <w:t>Type</w:t>
            </w:r>
            <w:r>
              <w:rPr>
                <w:rFonts w:hint="eastAsia" w:ascii="Times New Roman" w:hAnsi="Times New Roman" w:eastAsia="微软雅黑" w:cs="Times New Roman"/>
                <w:b/>
                <w:color w:val="FFFFFF" w:themeColor="background1"/>
                <w:sz w:val="18"/>
                <w:szCs w:val="18"/>
                <w:highlight w:val="none"/>
                <w:lang w:eastAsia="zh-CN"/>
                <w14:textFill>
                  <w14:solidFill>
                    <w14:schemeClr w14:val="bg1"/>
                  </w14:solidFill>
                </w14:textFill>
              </w:rPr>
              <w:t xml:space="preserve"> }}</w:t>
            </w:r>
          </w:p>
        </w:tc>
        <w:tc>
          <w:tcPr>
            <w:tcW w:w="8247" w:type="dxa"/>
            <w:tcBorders>
              <w:top w:val="single" w:color="A4A4A4" w:sz="4" w:space="0"/>
              <w:left w:val="nil"/>
              <w:bottom w:val="single" w:color="A4A4A4" w:sz="4" w:space="0"/>
              <w:right w:val="nil"/>
            </w:tcBorders>
            <w:vAlign w:val="center"/>
          </w:tcPr>
          <w:p w14:paraId="0F6FD7B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27A258C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0EB959AD">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F7DEFEC">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2716572A">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FCDF6F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02DD11B3">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4416DD2">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1D83F5C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4A0390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52D2C2CF">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E0C1A8B">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65EA890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159592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0053563A">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B989504">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7073FE9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D0135B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798DEF4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14BEA3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2002EBE7">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FCE518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621E64B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D7F752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201E7C31">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6B82B7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4806CC9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9F95B9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6918E604">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2D1FAA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07998F1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8A6257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337A8A5D">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E62F9F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55EAAC6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5EF13F3D">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78F3F4E2">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6EF83A41">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3329F4E6">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192E2FD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0D94ACB4">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6A82991E">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54ACDE66">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7B2E7670">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1181902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7F5AC0B0">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16D4E6F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0240CE3E">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55B0995B">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2F1CD7E1">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4FE5371F">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0DB5609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0607CA9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0E4205E9">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7F924B0B">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768B1A8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24DEB4F3">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5BE38B9F">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37F806A6">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6C4E6D99">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740879C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76F2A58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15AA8E2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71F26A2D">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56D4BEB8">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741F1F8D">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4FF144F5">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0C407DB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314D5A8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617CADCF">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59BCB05C">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2044EE8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1844EEC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35D56E2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3E90A2A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0E2411A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6F2CB5B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5593203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02701B5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3421FAE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55E486C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1C885B2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2F30A76C">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39C6E35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2FC460C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50AE9255">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62E9B79A">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2470587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376C256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177F83C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57C0223C">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 endfor %}</w:t>
      </w:r>
      <w:r>
        <w:rPr>
          <w:rFonts w:ascii="Times New Roman" w:hAnsi="Times New Roman" w:eastAsia="微软雅黑" w:cs="Times New Roman"/>
          <w:sz w:val="20"/>
          <w:szCs w:val="18"/>
          <w:lang w:eastAsia="zh-CN"/>
        </w:rPr>
        <w:br w:type="page"/>
      </w:r>
      <w:r>
        <w:rPr>
          <w:rFonts w:hint="eastAsia" w:ascii="Times New Roman" w:hAnsi="Times New Roman" w:eastAsia="微软雅黑" w:cs="Times New Roman"/>
          <w:b/>
          <w:sz w:val="24"/>
          <w:szCs w:val="24"/>
          <w:lang w:eastAsia="zh-CN"/>
        </w:rPr>
        <w:t>{% endif %}{%if geneticCancerRiskInfo %}</w:t>
      </w:r>
    </w:p>
    <w:p w14:paraId="2B86F4E5">
      <w:pPr>
        <w:pStyle w:val="3"/>
        <w:numPr>
          <w:ilvl w:val="255"/>
          <w:numId w:val="0"/>
        </w:numPr>
        <w:jc w:val="left"/>
        <w:rPr>
          <w:rFonts w:hint="eastAsia"/>
          <w:color w:val="auto"/>
          <w:sz w:val="30"/>
          <w:lang w:eastAsia="zh-CN"/>
        </w:rPr>
      </w:pPr>
      <w:bookmarkStart w:id="86" w:name="_Toc2779"/>
      <w:bookmarkStart w:id="87" w:name="_Toc4772"/>
      <w:r>
        <w:rPr>
          <w:rFonts w:hint="eastAsia"/>
          <w:color w:val="auto"/>
          <w:sz w:val="30"/>
          <w:lang w:eastAsia="zh-CN"/>
        </w:rPr>
        <w:t>胚系变异结果解析</w:t>
      </w:r>
      <w:bookmarkEnd w:id="86"/>
      <w:bookmarkEnd w:id="87"/>
    </w:p>
    <w:p w14:paraId="66737E94">
      <w:pPr>
        <w:numPr>
          <w:ilvl w:val="255"/>
          <w:numId w:val="0"/>
        </w:numPr>
        <w:jc w:val="left"/>
        <w:outlineLvl w:val="9"/>
        <w:rPr>
          <w:rFonts w:hint="eastAsia" w:ascii="Times New Roman" w:hAnsi="Times New Roman" w:eastAsia="微软雅黑" w:cs="Times New Roman"/>
          <w:b/>
          <w:bCs w:val="0"/>
          <w:color w:val="auto"/>
          <w:sz w:val="24"/>
          <w:szCs w:val="24"/>
          <w:lang w:val="en-US" w:eastAsia="zh-CN" w:bidi="ar-SA"/>
        </w:rPr>
      </w:pPr>
      <w:r>
        <w:rPr>
          <w:rFonts w:hint="eastAsia" w:ascii="Times New Roman" w:hAnsi="Times New Roman" w:eastAsia="微软雅黑" w:cs="Times New Roman"/>
          <w:b/>
          <w:bCs w:val="0"/>
          <w:color w:val="auto"/>
          <w:sz w:val="24"/>
          <w:szCs w:val="24"/>
          <w:lang w:val="en-US" w:eastAsia="zh-CN" w:bidi="ar-SA"/>
        </w:rPr>
        <w:t>{% for tdd in geneticCancerRiskInfo %}</w:t>
      </w:r>
    </w:p>
    <w:p w14:paraId="3E4756E9">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tdd.gene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6FB193C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2B0FFB9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00ABB75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4F87598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447D548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highlight w:val="none"/>
                <w:lang w:eastAsia="zh-CN"/>
                <w14:textFill>
                  <w14:solidFill>
                    <w14:schemeClr w14:val="bg1"/>
                  </w14:solidFill>
                </w14:textFill>
              </w:rPr>
              <w:t>{{ tdd.mutFreq</w:t>
            </w:r>
            <w:r>
              <w:rPr>
                <w:rFonts w:hint="eastAsia" w:ascii="Times New Roman" w:hAnsi="Times New Roman" w:eastAsia="微软雅黑" w:cs="Times New Roman"/>
                <w:b/>
                <w:color w:val="FFFFFF" w:themeColor="background1"/>
                <w:sz w:val="18"/>
                <w:szCs w:val="18"/>
                <w:highlight w:val="none"/>
                <w:lang w:val="en-US" w:eastAsia="zh-CN"/>
                <w14:textFill>
                  <w14:solidFill>
                    <w14:schemeClr w14:val="bg1"/>
                  </w14:solidFill>
                </w14:textFill>
              </w:rPr>
              <w:t>Type</w:t>
            </w:r>
            <w:r>
              <w:rPr>
                <w:rFonts w:hint="eastAsia" w:ascii="Times New Roman" w:hAnsi="Times New Roman" w:eastAsia="微软雅黑" w:cs="Times New Roman"/>
                <w:b/>
                <w:color w:val="FFFFFF" w:themeColor="background1"/>
                <w:sz w:val="18"/>
                <w:szCs w:val="18"/>
                <w:highlight w:val="none"/>
                <w:lang w:eastAsia="zh-CN"/>
                <w14:textFill>
                  <w14:solidFill>
                    <w14:schemeClr w14:val="bg1"/>
                  </w14:solidFill>
                </w14:textFill>
              </w:rPr>
              <w:t xml:space="preserve"> }}</w:t>
            </w:r>
          </w:p>
        </w:tc>
        <w:tc>
          <w:tcPr>
            <w:tcW w:w="8247" w:type="dxa"/>
            <w:tcBorders>
              <w:top w:val="single" w:color="A4A4A4" w:sz="4" w:space="0"/>
              <w:left w:val="nil"/>
              <w:bottom w:val="single" w:color="A4A4A4" w:sz="4" w:space="0"/>
              <w:right w:val="nil"/>
            </w:tcBorders>
            <w:vAlign w:val="center"/>
          </w:tcPr>
          <w:p w14:paraId="767CFE8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2372D07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3A339FBC">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5F89D18">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01885D6E">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4382CD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35E7BB76">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148DB5B">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4C82378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63DB74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2D1EEAF5">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BC210B7">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4518679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EB5B3F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2F56AABA">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9D899CE">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32B62F6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3C49A3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44D52BF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AD4EC1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21946832">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ADCEA7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7A420E6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2BBDB9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4D693D96">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8B2C44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7585038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9F67EF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1674CB59">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FB9F00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598E3CF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C4BC0D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27DC49B6">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3773F5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7C5A2ED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6CD669CD">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'变异解析</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0AEC1E08">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3739B519">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1C956135">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55BB1ED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0AC2DC23">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2D6CBA09">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4E73ABB2">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05932AB1">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48C2984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4A0473E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6C60B49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5B5AA573">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0CD3814B">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21741FE4">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71579191">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3833CB3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6AE33DE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49E63A4A">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7D048BFE">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4872D23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3B1546B4">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65577AD1">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0594AF48">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0C2AC86A">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78A4A04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23CCD991">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5273D85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375BE013">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3BECC60F">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4EEDA6A3">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5EE0D7BD">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3246D9F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1C1D251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36DBB931">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4D5F74F0">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73DD345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7C4F51D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7335723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04F000D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2BF9411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5E29B90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17E3194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010145A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1EBFD81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1DBC579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5217975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3483F4A8">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5F00A85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6536FD3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430D52A6">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277831EB">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2B4D510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37E3767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3E3C822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03A92308">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 endfor %}</w:t>
      </w:r>
      <w:r>
        <w:rPr>
          <w:sz w:val="16"/>
        </w:rPr>
        <w:br w:type="page"/>
      </w:r>
      <w:r>
        <w:rPr>
          <w:rFonts w:hint="eastAsia" w:ascii="Times New Roman" w:hAnsi="Times New Roman" w:eastAsia="微软雅黑" w:cs="Times New Roman"/>
          <w:b/>
          <w:sz w:val="24"/>
          <w:szCs w:val="24"/>
          <w:lang w:eastAsia="zh-CN"/>
        </w:rPr>
        <w:t>{% endif %}</w:t>
      </w:r>
    </w:p>
    <w:p w14:paraId="3014675E">
      <w:pPr>
        <w:pStyle w:val="3"/>
        <w:numPr>
          <w:ilvl w:val="255"/>
          <w:numId w:val="0"/>
        </w:numPr>
        <w:jc w:val="left"/>
        <w:rPr>
          <w:color w:val="auto"/>
          <w:sz w:val="30"/>
          <w:lang w:eastAsia="zh-CN"/>
        </w:rPr>
      </w:pPr>
      <w:bookmarkStart w:id="88" w:name="_Toc10921"/>
      <w:bookmarkStart w:id="89" w:name="_Toc18547"/>
      <w:r>
        <w:rPr>
          <w:rFonts w:hint="eastAsia"/>
          <w:color w:val="auto"/>
          <w:sz w:val="30"/>
          <w:lang w:eastAsia="zh-CN"/>
        </w:rPr>
        <w:t>免疫检测结果解析</w:t>
      </w:r>
      <w:bookmarkEnd w:id="88"/>
      <w:bookmarkEnd w:id="89"/>
    </w:p>
    <w:p w14:paraId="1483BD2B">
      <w:pPr>
        <w:spacing w:before="29"/>
        <w:rPr>
          <w:rFonts w:ascii="Times New Roman" w:hAnsi="Times New Roman" w:eastAsia="微软雅黑" w:cs="Times New Roman"/>
          <w:b/>
          <w:sz w:val="24"/>
          <w:szCs w:val="24"/>
          <w:lang w:eastAsia="zh-CN"/>
        </w:rPr>
      </w:pPr>
      <w:r>
        <w:rPr>
          <w:rFonts w:ascii="Times New Roman" w:hAnsi="Times New Roman" w:eastAsia="微软雅黑" w:cs="Times New Roman"/>
          <w:b/>
          <w:sz w:val="24"/>
          <w:szCs w:val="24"/>
          <w:lang w:eastAsia="zh-CN"/>
        </w:rPr>
        <w:t>肿瘤突变负荷（TMB）检测结果解析</w:t>
      </w:r>
    </w:p>
    <w:tbl>
      <w:tblPr>
        <w:tblStyle w:val="14"/>
        <w:tblW w:w="9836" w:type="dxa"/>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5141"/>
        <w:gridCol w:w="4695"/>
      </w:tblGrid>
      <w:tr w14:paraId="27CB35E0">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5141" w:type="dxa"/>
            <w:tcBorders>
              <w:top w:val="nil"/>
              <w:bottom w:val="nil"/>
              <w:right w:val="single" w:color="FFFFFF" w:sz="18" w:space="0"/>
            </w:tcBorders>
            <w:shd w:val="clear" w:color="auto" w:fill="62BC41"/>
            <w:vAlign w:val="center"/>
          </w:tcPr>
          <w:p w14:paraId="62717B61">
            <w:pPr>
              <w:spacing w:before="26"/>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检测项目</w:t>
            </w:r>
          </w:p>
        </w:tc>
        <w:tc>
          <w:tcPr>
            <w:tcW w:w="4695" w:type="dxa"/>
            <w:tcBorders>
              <w:top w:val="nil"/>
              <w:left w:val="single" w:color="FFFFFF" w:sz="18" w:space="0"/>
              <w:bottom w:val="nil"/>
            </w:tcBorders>
            <w:shd w:val="clear" w:color="auto" w:fill="62BC41"/>
            <w:vAlign w:val="center"/>
          </w:tcPr>
          <w:p w14:paraId="0428620E">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r>
      <w:tr w14:paraId="5C588493">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67" w:hRule="atLeast"/>
          <w:jc w:val="center"/>
        </w:trPr>
        <w:tc>
          <w:tcPr>
            <w:tcW w:w="5141" w:type="dxa"/>
            <w:tcBorders>
              <w:top w:val="nil"/>
              <w:bottom w:val="single" w:color="A4A4A4" w:themeColor="background1" w:themeShade="A5" w:sz="4" w:space="0"/>
            </w:tcBorders>
            <w:shd w:val="clear" w:color="auto" w:fill="auto"/>
            <w:vAlign w:val="center"/>
          </w:tcPr>
          <w:p w14:paraId="48CCFB93">
            <w:pPr>
              <w:spacing w:before="13" w:line="252" w:lineRule="auto"/>
              <w:ind w:right="174"/>
              <w:jc w:val="center"/>
              <w:rPr>
                <w:rFonts w:ascii="Times New Roman" w:hAnsi="Times New Roman" w:eastAsia="微软雅黑" w:cs="Times New Roman"/>
                <w:sz w:val="21"/>
                <w:szCs w:val="21"/>
                <w:lang w:eastAsia="zh-CN"/>
              </w:rPr>
            </w:pPr>
            <w:r>
              <w:rPr>
                <w:rFonts w:ascii="Times New Roman" w:hAnsi="Times New Roman" w:eastAsia="微软雅黑" w:cs="Times New Roman"/>
                <w:b/>
                <w:bCs/>
                <w:sz w:val="21"/>
                <w:szCs w:val="21"/>
                <w:lang w:eastAsia="zh-CN"/>
              </w:rPr>
              <w:t>肿瘤突变负荷（Tumor mutation burden</w:t>
            </w:r>
            <w:r>
              <w:rPr>
                <w:rFonts w:hint="eastAsia" w:ascii="微软雅黑" w:hAnsi="微软雅黑" w:eastAsia="微软雅黑" w:cs="微软雅黑"/>
                <w:b/>
                <w:bCs/>
                <w:sz w:val="21"/>
                <w:szCs w:val="21"/>
                <w:lang w:eastAsia="zh-CN"/>
              </w:rPr>
              <w:t>，</w:t>
            </w:r>
            <w:r>
              <w:rPr>
                <w:rFonts w:ascii="Times New Roman" w:hAnsi="Times New Roman" w:eastAsia="微软雅黑" w:cs="Times New Roman"/>
                <w:b/>
                <w:bCs/>
                <w:sz w:val="21"/>
                <w:szCs w:val="21"/>
                <w:lang w:eastAsia="zh-CN"/>
              </w:rPr>
              <w:t>TMB）</w:t>
            </w:r>
          </w:p>
        </w:tc>
        <w:tc>
          <w:tcPr>
            <w:tcW w:w="4695" w:type="dxa"/>
            <w:tcBorders>
              <w:top w:val="nil"/>
              <w:bottom w:val="single" w:color="A4A4A4" w:themeColor="background1" w:themeShade="A5" w:sz="4" w:space="0"/>
            </w:tcBorders>
            <w:shd w:val="clear" w:color="auto" w:fill="auto"/>
            <w:vAlign w:val="center"/>
          </w:tcPr>
          <w:p w14:paraId="74D8D51D">
            <w:pP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summaryOfRresults.tmb_status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TMB-H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Fonts w:ascii="Times New Roman" w:hAnsi="Times New Roman" w:eastAsia="微软雅黑" w:cs="Times New Roman"/>
                <w:sz w:val="21"/>
                <w:szCs w:val="21"/>
                <w:lang w:eastAsia="zh-CN"/>
              </w:rPr>
              <w:t>肿瘤</w:t>
            </w:r>
            <w:r>
              <w:rPr>
                <w:rFonts w:hint="eastAsia" w:ascii="Times New Roman" w:hAnsi="Times New Roman" w:eastAsia="微软雅黑" w:cs="Times New Roman"/>
                <w:sz w:val="21"/>
                <w:szCs w:val="21"/>
                <w:lang w:eastAsia="zh-CN"/>
              </w:rPr>
              <w:t>突变</w:t>
            </w:r>
            <w:r>
              <w:rPr>
                <w:rFonts w:ascii="Times New Roman" w:hAnsi="Times New Roman" w:eastAsia="微软雅黑" w:cs="Times New Roman"/>
                <w:sz w:val="21"/>
                <w:szCs w:val="21"/>
                <w:lang w:eastAsia="zh-CN"/>
              </w:rPr>
              <w:t>负荷高</w:t>
            </w:r>
            <w:r>
              <w:rPr>
                <w:rFonts w:hint="eastAsia" w:ascii="Times New Roman" w:hAnsi="Times New Roman" w:eastAsia="微软雅黑" w:cs="Times New Roman"/>
                <w:sz w:val="21"/>
                <w:szCs w:val="21"/>
                <w:lang w:eastAsia="zh-CN"/>
              </w:rPr>
              <w:t>{% else %}</w:t>
            </w:r>
            <w:r>
              <w:rPr>
                <w:rFonts w:ascii="Times New Roman" w:hAnsi="Times New Roman" w:eastAsia="微软雅黑" w:cs="Times New Roman"/>
                <w:sz w:val="21"/>
                <w:szCs w:val="21"/>
                <w:lang w:eastAsia="zh-CN"/>
              </w:rPr>
              <w:t>肿瘤突变负荷低</w:t>
            </w:r>
            <w:r>
              <w:rPr>
                <w:rFonts w:hint="eastAsia" w:ascii="Times New Roman" w:hAnsi="Times New Roman" w:eastAsia="微软雅黑" w:cs="Times New Roman"/>
                <w:sz w:val="21"/>
                <w:szCs w:val="21"/>
                <w:lang w:eastAsia="zh-CN"/>
              </w:rPr>
              <w:t>{% endif %}（{{ summaryOfRresults.tmb_status}}，{{ summaryOfRresults.tmb }}Muts/Mb）</w:t>
            </w:r>
          </w:p>
        </w:tc>
      </w:tr>
      <w:tr w14:paraId="2E5C99DC">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51" w:hRule="atLeast"/>
          <w:jc w:val="center"/>
        </w:trPr>
        <w:tc>
          <w:tcPr>
            <w:tcW w:w="5141" w:type="dxa"/>
            <w:tcBorders>
              <w:top w:val="nil"/>
              <w:bottom w:val="nil"/>
              <w:right w:val="nil"/>
            </w:tcBorders>
            <w:shd w:val="clear" w:color="auto" w:fill="auto"/>
          </w:tcPr>
          <w:p w14:paraId="6B7BB780">
            <w:pPr>
              <w:rPr>
                <w:rFonts w:ascii="Times New Roman" w:hAnsi="Times New Roman" w:eastAsia="微软雅黑" w:cs="Times New Roman"/>
                <w:sz w:val="21"/>
                <w:szCs w:val="21"/>
                <w:lang w:eastAsia="zh-CN"/>
              </w:rPr>
            </w:pPr>
            <w:r>
              <w:rPr>
                <w:rFonts w:hint="eastAsia" w:ascii="Times New Roman" w:hAnsi="Times New Roman" w:eastAsia="微软雅黑" w:cs="Times New Roman"/>
                <w:b/>
                <w:sz w:val="21"/>
                <w:szCs w:val="21"/>
                <w:lang w:eastAsia="zh-CN"/>
              </w:rPr>
              <w:t>{{ summaryOfRresults.tmb_PIC | ci(216.7,171.7) }}</w:t>
            </w:r>
          </w:p>
        </w:tc>
        <w:tc>
          <w:tcPr>
            <w:tcW w:w="4695" w:type="dxa"/>
            <w:tcBorders>
              <w:top w:val="nil"/>
              <w:left w:val="nil"/>
              <w:bottom w:val="nil"/>
            </w:tcBorders>
            <w:shd w:val="clear" w:color="auto" w:fill="auto"/>
          </w:tcPr>
          <w:p w14:paraId="1CECC8CB">
            <w:pPr>
              <w:spacing w:line="276" w:lineRule="auto"/>
              <w:jc w:val="both"/>
              <w:rPr>
                <w:rFonts w:ascii="Times New Roman" w:hAnsi="Times New Roman" w:eastAsia="微软雅黑" w:cs="Times New Roman"/>
                <w:sz w:val="11"/>
                <w:szCs w:val="16"/>
                <w:shd w:val="clear" w:color="auto" w:fill="FFFFFF"/>
                <w:lang w:eastAsia="zh-CN"/>
              </w:rPr>
            </w:pPr>
          </w:p>
          <w:p w14:paraId="64507690">
            <w:pPr>
              <w:spacing w:line="276" w:lineRule="auto"/>
              <w:jc w:val="both"/>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图1.TMB在本类癌种人群中的频率分布图</w:t>
            </w:r>
          </w:p>
          <w:p w14:paraId="4FA8E8A5">
            <w:pPr>
              <w:spacing w:line="276" w:lineRule="auto"/>
              <w:ind w:firstLine="360" w:firstLineChars="200"/>
              <w:jc w:val="both"/>
              <w:rPr>
                <w:rFonts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根据大数据统计结果，肿瘤突变负荷数据分布如左图蓝色部分所示，横坐标为每Mb测序数据中突变数目，即突变负荷；纵坐标为概率密度函数值；密度图峰值为大多数人TMB值的集中位置。红色虚线表示本次检测中该样本的TMB值及其在大数据TMB分布中所处的位置。</w:t>
            </w:r>
          </w:p>
          <w:p w14:paraId="704FFDCB">
            <w:pPr>
              <w:spacing w:line="276" w:lineRule="auto"/>
              <w:jc w:val="both"/>
              <w:rPr>
                <w:rFonts w:ascii="Times New Roman" w:hAnsi="Times New Roman" w:eastAsia="微软雅黑" w:cs="Times New Roman"/>
                <w:sz w:val="18"/>
                <w:shd w:val="clear" w:color="auto" w:fill="FFFFFF"/>
                <w:lang w:eastAsia="zh-CN"/>
              </w:rPr>
            </w:pPr>
          </w:p>
          <w:p w14:paraId="37853F0E">
            <w:pPr>
              <w:spacing w:line="276" w:lineRule="auto"/>
              <w:jc w:val="both"/>
              <w:rPr>
                <w:rFonts w:ascii="Times New Roman" w:hAnsi="Times New Roman" w:eastAsia="微软雅黑" w:cs="Times New Roman"/>
                <w:sz w:val="21"/>
                <w:szCs w:val="21"/>
                <w:lang w:eastAsia="zh-CN"/>
              </w:rPr>
            </w:pPr>
            <w:r>
              <w:rPr>
                <w:rFonts w:ascii="Times New Roman" w:hAnsi="Times New Roman" w:eastAsia="微软雅黑" w:cs="Times New Roman"/>
                <w:sz w:val="18"/>
                <w:shd w:val="clear" w:color="auto" w:fill="FFFFFF"/>
                <w:lang w:eastAsia="zh-CN"/>
              </w:rPr>
              <w:t>注：该分布图仅提供该样本在本癌种类型人群中TMB的分布位置。</w:t>
            </w:r>
          </w:p>
        </w:tc>
      </w:tr>
      <w:tr w14:paraId="1D2B899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640" w:hRule="atLeast"/>
          <w:jc w:val="center"/>
        </w:trPr>
        <w:tc>
          <w:tcPr>
            <w:tcW w:w="9836" w:type="dxa"/>
            <w:gridSpan w:val="2"/>
            <w:tcBorders>
              <w:top w:val="nil"/>
              <w:bottom w:val="nil"/>
            </w:tcBorders>
            <w:shd w:val="clear" w:color="auto" w:fill="auto"/>
          </w:tcPr>
          <w:p w14:paraId="4908B679">
            <w:pPr>
              <w:spacing w:line="240" w:lineRule="auto"/>
              <w:jc w:val="both"/>
              <w:rPr>
                <w:rFonts w:ascii="Times New Roman" w:hAnsi="Times New Roman" w:eastAsia="微软雅黑" w:cs="Times New Roman"/>
                <w:b/>
                <w:sz w:val="18"/>
                <w:szCs w:val="18"/>
                <w:shd w:val="clear" w:color="auto" w:fill="FFFFFF"/>
                <w:lang w:eastAsia="zh-CN"/>
              </w:rPr>
            </w:pPr>
            <w:r>
              <w:rPr>
                <w:rFonts w:hint="eastAsia" w:ascii="Times New Roman" w:hAnsi="Times New Roman" w:eastAsia="微软雅黑" w:cs="Times New Roman"/>
                <w:b/>
                <w:sz w:val="18"/>
                <w:szCs w:val="18"/>
                <w:shd w:val="clear" w:color="auto" w:fill="FFFFFF"/>
                <w:lang w:eastAsia="zh-CN"/>
              </w:rPr>
              <w:t>指标解析：</w:t>
            </w:r>
          </w:p>
          <w:p w14:paraId="09A86A5D">
            <w:pPr>
              <w:spacing w:line="240" w:lineRule="auto"/>
              <w:ind w:firstLine="360" w:firstLineChars="200"/>
              <w:jc w:val="both"/>
              <w:rPr>
                <w:rFonts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肿瘤突变负荷（TMB）指肿瘤基因组中平均1Mb范围内所包含的基因变异数量（非同义突变、插入/缺失）。TMB可以由多种因素影响，包括但不限于紫外照射[PMID: 15748635; PMID: 23875803]，吸烟[PMID: 12379884; PMID: 25765070]、POLE/POLD1基因突变[PMID: 23636398; PMID: 23447401; PMID: 24583393; PMID: 22810696; PMID: 25568919]和微卫星不稳定（MSI）[PMID: 23636398; PMID: 22810696; PMID: 25568919]等因素。</w:t>
            </w:r>
          </w:p>
          <w:p w14:paraId="5C2069DA">
            <w:pPr>
              <w:spacing w:line="240" w:lineRule="auto"/>
              <w:jc w:val="both"/>
              <w:rPr>
                <w:rFonts w:ascii="Times New Roman" w:hAnsi="Times New Roman" w:eastAsia="微软雅黑" w:cs="Times New Roman"/>
                <w:b/>
                <w:sz w:val="18"/>
                <w:szCs w:val="18"/>
                <w:shd w:val="clear" w:color="auto" w:fill="FFFFFF"/>
                <w:lang w:eastAsia="zh-CN"/>
              </w:rPr>
            </w:pPr>
            <w:r>
              <w:rPr>
                <w:rFonts w:hint="eastAsia" w:ascii="Times New Roman" w:hAnsi="Times New Roman" w:eastAsia="微软雅黑" w:cs="Times New Roman"/>
                <w:b/>
                <w:sz w:val="18"/>
                <w:szCs w:val="18"/>
                <w:shd w:val="clear" w:color="auto" w:fill="FFFFFF"/>
                <w:lang w:eastAsia="zh-CN"/>
              </w:rPr>
              <w:t>临床意义：</w:t>
            </w:r>
          </w:p>
          <w:p w14:paraId="3CFB0FA2">
            <w:pPr>
              <w:keepNext w:val="0"/>
              <w:keepLines w:val="0"/>
              <w:pageBreakBefore w:val="0"/>
              <w:widowControl w:val="0"/>
              <w:kinsoku/>
              <w:wordWrap/>
              <w:overflowPunct/>
              <w:topLinePunct w:val="0"/>
              <w:autoSpaceDE w:val="0"/>
              <w:autoSpaceDN/>
              <w:bidi w:val="0"/>
              <w:adjustRightInd/>
              <w:snapToGrid/>
              <w:spacing w:line="240" w:lineRule="auto"/>
              <w:ind w:firstLine="360" w:firstLineChars="200"/>
              <w:jc w:val="both"/>
              <w:textAlignment w:val="auto"/>
              <w:rPr>
                <w:rFonts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 if summaryOfRresults.type == “tissue” %}{% for i in rk.tmb_clinical_significance | nl() %}{%if loop.last%}{{ i }}{%else%}{{ i }}</w:t>
            </w:r>
          </w:p>
          <w:p w14:paraId="1653C637">
            <w:pPr>
              <w:keepNext w:val="0"/>
              <w:keepLines w:val="0"/>
              <w:pageBreakBefore w:val="0"/>
              <w:widowControl w:val="0"/>
              <w:kinsoku/>
              <w:wordWrap/>
              <w:overflowPunct/>
              <w:topLinePunct w:val="0"/>
              <w:autoSpaceDE w:val="0"/>
              <w:autoSpaceDN/>
              <w:bidi w:val="0"/>
              <w:adjustRightInd/>
              <w:snapToGrid/>
              <w:spacing w:line="240" w:lineRule="auto"/>
              <w:ind w:firstLine="360" w:firstLineChars="200"/>
              <w:jc w:val="both"/>
              <w:textAlignment w:val="auto"/>
              <w:rPr>
                <w:rFonts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{%endif%}{% endfor%}{% else %}{% for i in rk.btmb_clinical_significance | nl() %}{%if loop.last%}{{ i }}{%else%}{{ i }}</w:t>
            </w:r>
          </w:p>
          <w:p w14:paraId="4878DB1E">
            <w:pPr>
              <w:keepNext w:val="0"/>
              <w:keepLines w:val="0"/>
              <w:pageBreakBefore w:val="0"/>
              <w:widowControl w:val="0"/>
              <w:kinsoku/>
              <w:wordWrap/>
              <w:overflowPunct/>
              <w:topLinePunct w:val="0"/>
              <w:autoSpaceDE w:val="0"/>
              <w:autoSpaceDN/>
              <w:bidi w:val="0"/>
              <w:adjustRightInd/>
              <w:snapToGrid/>
              <w:spacing w:line="240" w:lineRule="auto"/>
              <w:ind w:firstLine="360" w:firstLineChars="200"/>
              <w:jc w:val="both"/>
              <w:textAlignment w:val="auto"/>
              <w:rPr>
                <w:rFonts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{%endif%}{% endfor%}{% endif %}</w:t>
            </w:r>
          </w:p>
          <w:p w14:paraId="4214B280">
            <w:pPr>
              <w:spacing w:line="240" w:lineRule="auto"/>
              <w:rPr>
                <w:rFonts w:ascii="Times New Roman" w:hAnsi="Times New Roman" w:eastAsia="微软雅黑" w:cs="Times New Roman"/>
                <w:b/>
                <w:sz w:val="18"/>
                <w:szCs w:val="18"/>
                <w:shd w:val="clear" w:color="auto" w:fill="FFFFFF"/>
                <w:lang w:eastAsia="zh-CN"/>
              </w:rPr>
            </w:pPr>
            <w:r>
              <w:rPr>
                <w:rFonts w:ascii="Times New Roman" w:hAnsi="Times New Roman" w:eastAsia="微软雅黑" w:cs="Times New Roman"/>
                <w:b/>
                <w:sz w:val="18"/>
                <w:szCs w:val="18"/>
                <w:shd w:val="clear" w:color="auto" w:fill="FFFFFF"/>
                <w:lang w:eastAsia="zh-CN"/>
              </w:rPr>
              <w:t>注：</w:t>
            </w:r>
          </w:p>
          <w:p w14:paraId="7E3E4E09">
            <w:pPr>
              <w:numPr>
                <w:ilvl w:val="0"/>
                <w:numId w:val="15"/>
              </w:numPr>
              <w:spacing w:line="240" w:lineRule="auto"/>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不同的检测技术和测序区域，其对应的TMB阈值标准不完全相同，本次检测结果参考本机构长期积累的中国人群TMB数据库，采用四分位法划定的不同癌种的TMB阈值。</w:t>
            </w:r>
          </w:p>
          <w:p w14:paraId="33B102FB">
            <w:pPr>
              <w:numPr>
                <w:ilvl w:val="0"/>
                <w:numId w:val="15"/>
              </w:numPr>
              <w:spacing w:line="240" w:lineRule="auto"/>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本检测仅限于基因水平的突变检测，未进行PD-L1表达量检测。</w:t>
            </w:r>
          </w:p>
          <w:p w14:paraId="6141426B">
            <w:pPr>
              <w:numPr>
                <w:ilvl w:val="0"/>
                <w:numId w:val="15"/>
              </w:numPr>
              <w:spacing w:line="240" w:lineRule="auto"/>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由于肿瘤异质性、样本类型不同、肿瘤细胞占比、取样时间等因素，同一个被检测者的多个样本TMB值可能不同，需要结合多因素综合考虑。TMB值预测免疫检查点抑制剂治疗疗效处于临床研究阶段，证据尚不充分，报告仅供临床参考。</w:t>
            </w:r>
            <w:r>
              <w:rPr>
                <w:rFonts w:ascii="Times New Roman" w:hAnsi="Times New Roman" w:eastAsia="微软雅黑" w:cs="Times New Roman"/>
                <w:b/>
                <w:bCs/>
                <w:color w:val="0070C0"/>
                <w:sz w:val="28"/>
                <w:szCs w:val="28"/>
                <w:lang w:eastAsia="zh-CN"/>
              </w:rPr>
              <w:br w:type="page"/>
            </w:r>
          </w:p>
        </w:tc>
      </w:tr>
    </w:tbl>
    <w:p w14:paraId="0693BF01">
      <w:pPr>
        <w:numPr>
          <w:ilvl w:val="0"/>
          <w:numId w:val="16"/>
        </w:numPr>
        <w:rPr>
          <w:rFonts w:ascii="Times New Roman" w:hAnsi="Times New Roman" w:eastAsia="微软雅黑" w:cs="Times New Roman"/>
          <w:b/>
          <w:bCs/>
          <w:color w:val="0070C0"/>
          <w:sz w:val="28"/>
          <w:szCs w:val="28"/>
          <w:lang w:eastAsia="zh-CN"/>
        </w:rPr>
      </w:pPr>
      <w:r>
        <w:rPr>
          <w:rFonts w:ascii="Times New Roman" w:hAnsi="Times New Roman" w:eastAsia="微软雅黑" w:cs="Times New Roman"/>
          <w:b/>
          <w:bCs/>
          <w:color w:val="0070C0"/>
          <w:sz w:val="28"/>
          <w:szCs w:val="28"/>
          <w:lang w:eastAsia="zh-CN"/>
        </w:rPr>
        <w:br w:type="page"/>
      </w:r>
    </w:p>
    <w:p w14:paraId="46E885AB">
      <w:pPr>
        <w:spacing w:before="29"/>
        <w:rPr>
          <w:rFonts w:ascii="Times New Roman" w:hAnsi="Times New Roman" w:eastAsia="微软雅黑" w:cs="Times New Roman"/>
          <w:b/>
          <w:sz w:val="24"/>
          <w:szCs w:val="24"/>
          <w:lang w:eastAsia="zh-CN"/>
        </w:rPr>
      </w:pPr>
      <w:bookmarkStart w:id="90" w:name="_Toc11562_WPSOffice_Level3"/>
      <w:r>
        <w:rPr>
          <w:rFonts w:ascii="Times New Roman" w:hAnsi="Times New Roman" w:eastAsia="微软雅黑" w:cs="Times New Roman"/>
          <w:b/>
          <w:sz w:val="24"/>
          <w:szCs w:val="24"/>
          <w:lang w:eastAsia="zh-CN"/>
        </w:rPr>
        <w:t>微卫星不稳定（MSI）检测结果解析</w:t>
      </w:r>
    </w:p>
    <w:tbl>
      <w:tblPr>
        <w:tblStyle w:val="14"/>
        <w:tblW w:w="9837" w:type="dxa"/>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5543"/>
        <w:gridCol w:w="4294"/>
      </w:tblGrid>
      <w:tr w14:paraId="2ACE52D2">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5543" w:type="dxa"/>
            <w:tcBorders>
              <w:top w:val="nil"/>
              <w:bottom w:val="nil"/>
              <w:right w:val="single" w:color="FFFFFF" w:sz="18" w:space="0"/>
            </w:tcBorders>
            <w:shd w:val="clear" w:color="auto" w:fill="62BC41"/>
            <w:vAlign w:val="center"/>
          </w:tcPr>
          <w:p w14:paraId="544CD511">
            <w:pPr>
              <w:spacing w:before="26"/>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检测项目</w:t>
            </w:r>
          </w:p>
        </w:tc>
        <w:tc>
          <w:tcPr>
            <w:tcW w:w="4294" w:type="dxa"/>
            <w:tcBorders>
              <w:top w:val="nil"/>
              <w:left w:val="single" w:color="FFFFFF" w:sz="18" w:space="0"/>
              <w:bottom w:val="nil"/>
            </w:tcBorders>
            <w:shd w:val="clear" w:color="auto" w:fill="62BC41"/>
            <w:vAlign w:val="center"/>
          </w:tcPr>
          <w:p w14:paraId="18502E01">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r>
      <w:tr w14:paraId="76987804">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67" w:hRule="atLeast"/>
          <w:jc w:val="center"/>
        </w:trPr>
        <w:tc>
          <w:tcPr>
            <w:tcW w:w="5543" w:type="dxa"/>
            <w:tcBorders>
              <w:top w:val="nil"/>
              <w:bottom w:val="single" w:color="A4A4A4" w:themeColor="background1" w:themeShade="A5" w:sz="4" w:space="0"/>
            </w:tcBorders>
            <w:shd w:val="clear" w:color="auto" w:fill="auto"/>
            <w:vAlign w:val="center"/>
          </w:tcPr>
          <w:p w14:paraId="1D8C1482">
            <w:pPr>
              <w:spacing w:before="13" w:line="252" w:lineRule="auto"/>
              <w:ind w:right="174"/>
              <w:jc w:val="center"/>
              <w:rPr>
                <w:rFonts w:ascii="Times New Roman" w:hAnsi="Times New Roman" w:eastAsia="微软雅黑" w:cs="Times New Roman"/>
                <w:sz w:val="21"/>
                <w:szCs w:val="21"/>
                <w:lang w:eastAsia="zh-CN"/>
              </w:rPr>
            </w:pPr>
            <w:r>
              <w:rPr>
                <w:rFonts w:ascii="Times New Roman" w:hAnsi="Times New Roman" w:eastAsia="微软雅黑" w:cs="Times New Roman"/>
                <w:b/>
                <w:bCs/>
                <w:sz w:val="21"/>
                <w:szCs w:val="21"/>
                <w:lang w:eastAsia="zh-CN"/>
              </w:rPr>
              <w:t>微卫星不稳定（microsatellite</w:t>
            </w:r>
            <w:r>
              <w:rPr>
                <w:rFonts w:hint="eastAsia" w:ascii="Times New Roman" w:hAnsi="Times New Roman" w:eastAsia="微软雅黑" w:cs="Times New Roman"/>
                <w:b/>
                <w:bCs/>
                <w:sz w:val="21"/>
                <w:szCs w:val="21"/>
                <w:lang w:eastAsia="zh-CN"/>
              </w:rPr>
              <w:t xml:space="preserve"> </w:t>
            </w:r>
            <w:r>
              <w:rPr>
                <w:rFonts w:ascii="Times New Roman" w:hAnsi="Times New Roman" w:eastAsia="微软雅黑" w:cs="Times New Roman"/>
                <w:b/>
                <w:bCs/>
                <w:sz w:val="21"/>
                <w:szCs w:val="21"/>
                <w:lang w:eastAsia="zh-CN"/>
              </w:rPr>
              <w:t>instability</w:t>
            </w:r>
            <w:r>
              <w:rPr>
                <w:rFonts w:hint="eastAsia" w:ascii="Times New Roman" w:hAnsi="Times New Roman" w:eastAsia="微软雅黑" w:cs="Times New Roman"/>
                <w:b/>
                <w:bCs/>
                <w:sz w:val="21"/>
                <w:szCs w:val="21"/>
                <w:lang w:eastAsia="zh-CN"/>
              </w:rPr>
              <w:t>，</w:t>
            </w:r>
            <w:r>
              <w:rPr>
                <w:rFonts w:ascii="Times New Roman" w:hAnsi="Times New Roman" w:eastAsia="微软雅黑" w:cs="Times New Roman"/>
                <w:b/>
                <w:bCs/>
                <w:sz w:val="21"/>
                <w:szCs w:val="21"/>
                <w:lang w:eastAsia="zh-CN"/>
              </w:rPr>
              <w:t>MSI）</w:t>
            </w:r>
          </w:p>
        </w:tc>
        <w:tc>
          <w:tcPr>
            <w:tcW w:w="4294" w:type="dxa"/>
            <w:tcBorders>
              <w:top w:val="nil"/>
              <w:bottom w:val="single" w:color="A4A4A4" w:themeColor="background1" w:themeShade="A5" w:sz="4" w:space="0"/>
            </w:tcBorders>
            <w:shd w:val="clear" w:color="auto" w:fill="auto"/>
            <w:vAlign w:val="center"/>
          </w:tcPr>
          <w:p w14:paraId="38E3407A">
            <w:pP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summaryOfRresults.</w:t>
            </w:r>
            <w:r>
              <w:rPr>
                <w:rFonts w:hint="eastAsia" w:ascii="Times New Roman" w:hAnsi="Times New Roman" w:eastAsia="微软雅黑" w:cs="黑体"/>
                <w:sz w:val="21"/>
                <w:lang w:eastAsia="zh-CN"/>
              </w:rPr>
              <w:t>msi_status_state</w:t>
            </w:r>
            <w:r>
              <w:rPr>
                <w:rFonts w:hint="eastAsia" w:ascii="Times New Roman" w:hAnsi="Times New Roman" w:eastAsia="微软雅黑" w:cs="Times New Roman"/>
                <w:sz w:val="21"/>
                <w:szCs w:val="21"/>
                <w:lang w:eastAsia="zh-CN"/>
              </w:rPr>
              <w:t xml:space="preserve"> }}</w:t>
            </w:r>
          </w:p>
        </w:tc>
      </w:tr>
      <w:tr w14:paraId="1F1D3F24">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jc w:val="center"/>
        </w:trPr>
        <w:tc>
          <w:tcPr>
            <w:tcW w:w="5543" w:type="dxa"/>
            <w:tcBorders>
              <w:top w:val="single" w:color="A4A4A4" w:themeColor="background1" w:themeShade="A5" w:sz="4" w:space="0"/>
              <w:left w:val="single" w:color="FFFFFF" w:sz="4" w:space="0"/>
              <w:bottom w:val="nil"/>
              <w:right w:val="single" w:color="FFFFFF" w:sz="4" w:space="0"/>
            </w:tcBorders>
            <w:shd w:val="clear" w:color="auto" w:fill="auto"/>
            <w:vAlign w:val="center"/>
          </w:tcPr>
          <w:p w14:paraId="67D98B01">
            <w:pPr>
              <w:spacing w:before="13" w:line="252" w:lineRule="auto"/>
              <w:ind w:right="174"/>
              <w:jc w:val="center"/>
              <w:rPr>
                <w:rFonts w:ascii="Times New Roman" w:hAnsi="Times New Roman" w:eastAsia="微软雅黑" w:cs="Times New Roman"/>
                <w:b/>
                <w:bCs/>
                <w:sz w:val="21"/>
                <w:szCs w:val="21"/>
                <w:lang w:eastAsia="zh-CN"/>
              </w:rPr>
            </w:pPr>
          </w:p>
        </w:tc>
        <w:tc>
          <w:tcPr>
            <w:tcW w:w="4294" w:type="dxa"/>
            <w:tcBorders>
              <w:top w:val="single" w:color="A4A4A4" w:themeColor="background1" w:themeShade="A5" w:sz="4" w:space="0"/>
              <w:left w:val="single" w:color="FFFFFF" w:sz="4" w:space="0"/>
              <w:bottom w:val="nil"/>
              <w:right w:val="single" w:color="FFFFFF" w:sz="4" w:space="0"/>
            </w:tcBorders>
            <w:shd w:val="clear" w:color="auto" w:fill="auto"/>
            <w:vAlign w:val="center"/>
          </w:tcPr>
          <w:p w14:paraId="77CD9FB8">
            <w:pPr>
              <w:spacing w:before="13" w:line="252" w:lineRule="auto"/>
              <w:ind w:right="174"/>
              <w:jc w:val="center"/>
              <w:rPr>
                <w:rFonts w:ascii="Times New Roman" w:hAnsi="Times New Roman" w:eastAsia="微软雅黑" w:cs="Times New Roman"/>
                <w:sz w:val="21"/>
                <w:szCs w:val="21"/>
                <w:lang w:eastAsia="zh-CN"/>
              </w:rPr>
            </w:pPr>
          </w:p>
        </w:tc>
      </w:tr>
      <w:tr w14:paraId="52589D2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90" w:hRule="atLeast"/>
          <w:jc w:val="center"/>
        </w:trPr>
        <w:tc>
          <w:tcPr>
            <w:tcW w:w="9837" w:type="dxa"/>
            <w:gridSpan w:val="2"/>
            <w:tcBorders>
              <w:top w:val="nil"/>
              <w:bottom w:val="nil"/>
            </w:tcBorders>
            <w:shd w:val="clear" w:color="auto" w:fill="auto"/>
            <w:vAlign w:val="center"/>
          </w:tcPr>
          <w:p w14:paraId="367CB2EF">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指标解析：</w:t>
            </w:r>
          </w:p>
          <w:p w14:paraId="32705819">
            <w:pPr>
              <w:ind w:firstLine="360" w:firstLineChars="200"/>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微卫星不稳定（MSI）是由于在DNA复制时插入或缺失突变引起的微卫星序列长度改变的现象。</w:t>
            </w:r>
            <w:r>
              <w:rPr>
                <w:rFonts w:hint="eastAsia" w:ascii="Times New Roman" w:hAnsi="Times New Roman" w:eastAsia="微软雅黑" w:cs="Times New Roman"/>
                <w:sz w:val="18"/>
                <w:shd w:val="clear" w:color="auto" w:fill="FFFFFF"/>
                <w:lang w:eastAsia="zh-CN"/>
              </w:rPr>
              <w:t>MSI结果</w:t>
            </w:r>
            <w:r>
              <w:rPr>
                <w:rFonts w:ascii="Times New Roman" w:hAnsi="Times New Roman" w:eastAsia="微软雅黑" w:cs="Times New Roman"/>
                <w:sz w:val="18"/>
                <w:shd w:val="clear" w:color="auto" w:fill="FFFFFF"/>
                <w:lang w:eastAsia="zh-CN"/>
              </w:rPr>
              <w:t>可以分为微卫星稳定型（MSS）、微卫星不稳定型（MSI-H）。MSI-H型结直肠癌、胃癌、子宫内膜癌、胆管癌及胰腺癌等患者可能从免疫治疗PD-1抑制剂类药物中获益。</w:t>
            </w:r>
          </w:p>
          <w:p w14:paraId="003B9669">
            <w:pPr>
              <w:rPr>
                <w:rFonts w:ascii="Times New Roman" w:hAnsi="Times New Roman" w:eastAsia="微软雅黑" w:cs="Times New Roman"/>
                <w:sz w:val="18"/>
                <w:shd w:val="clear" w:color="auto" w:fill="FFFFFF"/>
                <w:lang w:eastAsia="zh-CN"/>
              </w:rPr>
            </w:pPr>
          </w:p>
          <w:p w14:paraId="433B90E0">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临床意义：</w:t>
            </w:r>
          </w:p>
          <w:p w14:paraId="081AA9B6">
            <w:pPr>
              <w:numPr>
                <w:ilvl w:val="0"/>
                <w:numId w:val="17"/>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FDA批准伊匹木单抗与纳武利尤单抗联用治疗在氟嘧啶、奥沙利铂和伊立替康治疗后有进展且微卫星不稳定性高（MSI-H）或错配修复缺陷（dMMR）的转移性结直肠癌成人和12岁及以上儿童患者。</w:t>
            </w:r>
          </w:p>
          <w:p w14:paraId="085B9AFD">
            <w:pPr>
              <w:numPr>
                <w:ilvl w:val="0"/>
                <w:numId w:val="17"/>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FDA批准帕博利珠单抗用于患有不可切除或转移性，微卫星不稳定性高（MSI-H）或错配修复缺陷的实体瘤成年和儿童患者，这些患者在既往治疗后病情进展，并且没有令人满意的替代治疗方案选择。</w:t>
            </w:r>
          </w:p>
          <w:p w14:paraId="1EA6A6AC">
            <w:pPr>
              <w:numPr>
                <w:ilvl w:val="0"/>
                <w:numId w:val="17"/>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1、用于患有不可切除或转移性，微卫星不稳定性高（MSI-H）或错配修复缺陷的结直肠癌成年和儿童患者，并且这些患者在氟嘧啶，奥沙利铂和伊立替康治疗后疾病进展；2、一线治疗不可切除或转移性微卫星不稳定性高（MSI-H）或错配修复缺陷（dMMR）结直肠癌患者。NMPA批准帕博利珠单抗单药用于KRAS、NRAS和BRAF基因均为野生型、不可切除或转移性高微卫星不稳定性（MSI-H）或错配修复基因缺陷型（dMMR）结直肠癌（CRC）患者的一线治疗。</w:t>
            </w:r>
          </w:p>
          <w:p w14:paraId="29FAC4E6">
            <w:pPr>
              <w:numPr>
                <w:ilvl w:val="0"/>
                <w:numId w:val="17"/>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FDA批准帕博利珠单抗单药用于治疗既往在任何情况下接受系统治疗后疾病进展、不适合根治性手术或放疗、经FDA批准的试验确定MSI-H或dMMR的晚期子宫内膜癌患者。</w:t>
            </w:r>
          </w:p>
          <w:p w14:paraId="05ECDB16">
            <w:pPr>
              <w:numPr>
                <w:ilvl w:val="0"/>
                <w:numId w:val="17"/>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FDA批准纳武利尤单抗单药用于具有MSI-H或者dMMR特征，并已经接受过氟尿嘧啶、奥沙利铂、伊利替康治疗后疾病进展的成年或者儿童（12岁以上）转移性结直肠癌患者。</w:t>
            </w:r>
          </w:p>
          <w:p w14:paraId="6ACE8350">
            <w:pPr>
              <w:numPr>
                <w:ilvl w:val="0"/>
                <w:numId w:val="17"/>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NMPA批准恩沃利单抗用于不可切除或转移性微卫星高度不稳定（MSI-H）或错配修复基因缺陷型（dMMR）的成人晚期实体瘤患者的治疗，包括既往经过氟尿嘧啶类、奥沙利铂和伊立替康治疗后出现疾病进展的晚期结直肠癌患者以及既往治疗后出现疾病进展且无满意替代治疗方案的其他晚期实体瘤患者。</w:t>
            </w:r>
          </w:p>
          <w:p w14:paraId="3DEAA4A3">
            <w:pPr>
              <w:numPr>
                <w:ilvl w:val="0"/>
                <w:numId w:val="17"/>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NMPA批准</w:t>
            </w:r>
            <w:r>
              <w:rPr>
                <w:rFonts w:hint="eastAsia" w:ascii="Times New Roman" w:hAnsi="Times New Roman" w:eastAsia="微软雅黑" w:cs="Times New Roman"/>
                <w:sz w:val="18"/>
                <w:shd w:val="clear" w:color="auto" w:fill="FFFFFF"/>
                <w:lang w:eastAsia="zh-CN"/>
              </w:rPr>
              <w:t>替雷利珠单抗</w:t>
            </w:r>
            <w:r>
              <w:rPr>
                <w:rFonts w:ascii="Times New Roman" w:hAnsi="Times New Roman" w:eastAsia="微软雅黑" w:cs="Times New Roman"/>
                <w:sz w:val="18"/>
                <w:shd w:val="clear" w:color="auto" w:fill="FFFFFF"/>
                <w:lang w:eastAsia="zh-CN"/>
              </w:rPr>
              <w:t>用于治疗不可切除或转移性微卫星高度不稳定型（MSI-H）或错配修复基因缺陷型</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dMMR</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的成人晚期实体瘤患者，包括既往接受过氟尿嘧啶类、奥沙利铂和伊立替康治疗后出现疾病进展的晚期结直肠癌患者；既往治疗后出现疾病进展且无满意替代治疗方案的其他晚期实体瘤患者。</w:t>
            </w:r>
          </w:p>
          <w:p w14:paraId="23E85B81">
            <w:pPr>
              <w:numPr>
                <w:ilvl w:val="0"/>
                <w:numId w:val="17"/>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N</w:t>
            </w:r>
            <w:r>
              <w:rPr>
                <w:rFonts w:ascii="Times New Roman" w:hAnsi="Times New Roman" w:eastAsia="微软雅黑" w:cs="Times New Roman"/>
                <w:sz w:val="18"/>
                <w:shd w:val="clear" w:color="auto" w:fill="FFFFFF"/>
                <w:lang w:eastAsia="zh-CN"/>
              </w:rPr>
              <w:t>MPA批准</w:t>
            </w:r>
            <w:r>
              <w:rPr>
                <w:rFonts w:hint="eastAsia" w:ascii="Times New Roman" w:hAnsi="Times New Roman" w:eastAsia="微软雅黑" w:cs="Times New Roman"/>
                <w:sz w:val="18"/>
                <w:shd w:val="clear" w:color="auto" w:fill="FFFFFF"/>
                <w:lang w:eastAsia="zh-CN"/>
              </w:rPr>
              <w:t>特普利单抗</w:t>
            </w:r>
            <w:r>
              <w:rPr>
                <w:rFonts w:ascii="Times New Roman" w:hAnsi="Times New Roman" w:eastAsia="微软雅黑" w:cs="Times New Roman"/>
                <w:sz w:val="18"/>
                <w:shd w:val="clear" w:color="auto" w:fill="FFFFFF"/>
                <w:lang w:eastAsia="zh-CN"/>
              </w:rPr>
              <w:t>用于不可切除或转移性的高度微卫星不稳定型（MSI-H）或错配修复缺陷型（dMMR）的晚期实体瘤患者，包括既往经过氟尿嘧啶类、奥沙利铂和伊立替康治疗后出现疾病进展的晚期结直肠癌患者；既往至少一线治疗后出现疾病进展且无满意替代治疗方案的其他晚期实体瘤患者。</w:t>
            </w:r>
          </w:p>
          <w:p w14:paraId="035A7227">
            <w:pPr>
              <w:numPr>
                <w:ilvl w:val="0"/>
                <w:numId w:val="17"/>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NMPA批准</w:t>
            </w:r>
            <w:r>
              <w:rPr>
                <w:rFonts w:hint="eastAsia" w:ascii="Times New Roman" w:hAnsi="Times New Roman" w:eastAsia="微软雅黑" w:cs="Times New Roman"/>
                <w:sz w:val="18"/>
                <w:shd w:val="clear" w:color="auto" w:fill="FFFFFF"/>
                <w:lang w:eastAsia="zh-CN"/>
              </w:rPr>
              <w:t>斯鲁利单抗</w:t>
            </w:r>
            <w:r>
              <w:rPr>
                <w:rFonts w:ascii="Times New Roman" w:hAnsi="Times New Roman" w:eastAsia="微软雅黑" w:cs="Times New Roman"/>
                <w:sz w:val="18"/>
                <w:shd w:val="clear" w:color="auto" w:fill="FFFFFF"/>
                <w:lang w:eastAsia="zh-CN"/>
              </w:rPr>
              <w:t>用于不可切除或转移性微卫星高度不稳定</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MSI-</w:t>
            </w:r>
            <w:r>
              <w:rPr>
                <w:rFonts w:hint="eastAsia" w:ascii="Times New Roman" w:hAnsi="Times New Roman" w:eastAsia="微软雅黑" w:cs="Times New Roman"/>
                <w:sz w:val="18"/>
                <w:shd w:val="clear" w:color="auto" w:fill="FFFFFF"/>
                <w:lang w:eastAsia="zh-CN"/>
              </w:rPr>
              <w:t>H）</w:t>
            </w:r>
            <w:r>
              <w:rPr>
                <w:rFonts w:ascii="Times New Roman" w:hAnsi="Times New Roman" w:eastAsia="微软雅黑" w:cs="Times New Roman"/>
                <w:sz w:val="18"/>
                <w:shd w:val="clear" w:color="auto" w:fill="FFFFFF"/>
                <w:lang w:eastAsia="zh-CN"/>
              </w:rPr>
              <w:t>成人晚期实体瘤患者，包括既往经过氟尿嘧啶类、奥沙利铂和伊立替康治疗后出现疾病进展的晚期结直肠癌患者；既往至少二线治疗后出现疾病进展且无满意替代治疗方案晚期胃癌患者；既往至少一线治疗后出现疾病进展且无满意替代治疗方案其他晚期实体瘤</w:t>
            </w:r>
            <w:r>
              <w:rPr>
                <w:rFonts w:hint="eastAsia" w:ascii="Times New Roman" w:hAnsi="Times New Roman" w:eastAsia="微软雅黑" w:cs="Times New Roman"/>
                <w:sz w:val="18"/>
                <w:shd w:val="clear" w:color="auto" w:fill="FFFFFF"/>
                <w:lang w:eastAsia="zh-CN"/>
              </w:rPr>
              <w:t>患者。</w:t>
            </w:r>
          </w:p>
          <w:p w14:paraId="1283FC88">
            <w:pPr>
              <w:numPr>
                <w:ilvl w:val="0"/>
                <w:numId w:val="17"/>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FDA批准Dostarlimab：1、用于具有错配修复缺陷（dMMR）的复发性或晚期子宫内膜癌成人患者，这些患者在接受含铂化疗期间或之后病情进展且不适合治疗性手术或放射治疗；2、联合卡铂和紫杉醇，随后单药物用于错配修复缺陷（dMMR）或微卫星高度不稳定性（MSI-H）成人原发性晚期或复发性子宫内膜癌。</w:t>
            </w:r>
          </w:p>
          <w:p w14:paraId="4008D933">
            <w:pPr>
              <w:numPr>
                <w:ilvl w:val="0"/>
                <w:numId w:val="17"/>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FDA批准</w:t>
            </w:r>
            <w:r>
              <w:rPr>
                <w:rFonts w:hint="eastAsia" w:ascii="Times New Roman" w:hAnsi="Times New Roman" w:eastAsia="微软雅黑" w:cs="Times New Roman"/>
                <w:sz w:val="18"/>
                <w:shd w:val="clear" w:color="auto" w:fill="FFFFFF"/>
                <w:lang w:eastAsia="zh-CN"/>
              </w:rPr>
              <w:t>帕博利珠单抗</w:t>
            </w:r>
            <w:r>
              <w:rPr>
                <w:rFonts w:ascii="Times New Roman" w:hAnsi="Times New Roman" w:eastAsia="微软雅黑" w:cs="Times New Roman"/>
                <w:sz w:val="18"/>
                <w:shd w:val="clear" w:color="auto" w:fill="FFFFFF"/>
                <w:lang w:eastAsia="zh-CN"/>
              </w:rPr>
              <w:t>联合仑伐替尼用于治疗既往在任何情况下接受系统治疗后疾病进展、不适合根治性手术或放疗、经检测证实不是微卫星高不稳定性（MSI-H）或不是错配修复缺陷（dMMR）的晚期子宫内膜癌（EC）患者。</w:t>
            </w:r>
          </w:p>
          <w:p w14:paraId="7DB9D84D">
            <w:pPr>
              <w:rPr>
                <w:rFonts w:ascii="Times New Roman" w:hAnsi="Times New Roman" w:eastAsia="微软雅黑" w:cs="Times New Roman"/>
                <w:b/>
                <w:sz w:val="18"/>
                <w:shd w:val="clear" w:color="auto" w:fill="FFFFFF"/>
                <w:lang w:eastAsia="zh-CN"/>
              </w:rPr>
            </w:pPr>
          </w:p>
          <w:p w14:paraId="3036397C">
            <w:pPr>
              <w:rPr>
                <w:rFonts w:ascii="Times New Roman" w:hAnsi="Times New Roman" w:eastAsia="微软雅黑" w:cs="Times New Roman"/>
                <w:b/>
                <w:sz w:val="18"/>
                <w:shd w:val="clear" w:color="auto" w:fill="FFFFFF"/>
              </w:rPr>
            </w:pPr>
            <w:r>
              <w:rPr>
                <w:rFonts w:ascii="Times New Roman" w:hAnsi="Times New Roman" w:eastAsia="微软雅黑" w:cs="Times New Roman"/>
                <w:b/>
                <w:sz w:val="18"/>
                <w:shd w:val="clear" w:color="auto" w:fill="FFFFFF"/>
              </w:rPr>
              <w:t>注：</w:t>
            </w:r>
          </w:p>
          <w:p w14:paraId="4AD41981">
            <w:pPr>
              <w:numPr>
                <w:ilvl w:val="0"/>
                <w:numId w:val="18"/>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本次检测使用NGS技术结合生物信息学算法，基于内部验证数据，通过微卫星位点的长度分布评估判断MSI状态。</w:t>
            </w:r>
          </w:p>
          <w:p w14:paraId="4F0E9469">
            <w:pPr>
              <w:numPr>
                <w:ilvl w:val="0"/>
                <w:numId w:val="18"/>
              </w:numP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shd w:val="clear" w:color="auto" w:fill="FFFFFF"/>
                <w:lang w:eastAsia="zh-CN"/>
              </w:rPr>
              <w:t>血液MSI值预测免疫检查点抑制剂治疗疗效处于临床研究阶段，证据尚不充分，报告仅供临床参考。</w:t>
            </w:r>
          </w:p>
        </w:tc>
      </w:tr>
      <w:bookmarkEnd w:id="90"/>
    </w:tbl>
    <w:p w14:paraId="23FD4E49">
      <w:pPr>
        <w:widowControl/>
        <w:rPr>
          <w:rFonts w:ascii="Times New Roman" w:hAnsi="Times New Roman" w:eastAsia="微软雅黑" w:cs="Times New Roman"/>
          <w:b/>
          <w:bCs/>
          <w:color w:val="0070C0"/>
          <w:sz w:val="28"/>
          <w:szCs w:val="28"/>
          <w:lang w:eastAsia="zh-CN"/>
        </w:rPr>
      </w:pPr>
      <w:r>
        <w:rPr>
          <w:rFonts w:ascii="Times New Roman" w:hAnsi="Times New Roman" w:eastAsia="微软雅黑" w:cs="Times New Roman"/>
          <w:b/>
          <w:bCs/>
          <w:color w:val="0070C0"/>
          <w:sz w:val="28"/>
          <w:szCs w:val="28"/>
          <w:lang w:eastAsia="zh-CN"/>
        </w:rPr>
        <w:br w:type="page"/>
      </w:r>
    </w:p>
    <w:p w14:paraId="58497051">
      <w:pPr>
        <w:spacing w:before="29"/>
        <w:rPr>
          <w:rFonts w:ascii="Times New Roman" w:hAnsi="Times New Roman" w:eastAsia="微软雅黑" w:cs="Times New Roman"/>
          <w:b/>
          <w:sz w:val="24"/>
          <w:szCs w:val="24"/>
          <w:lang w:eastAsia="zh-CN"/>
        </w:rPr>
      </w:pPr>
      <w:bookmarkStart w:id="91" w:name="_Toc7307_WPSOffice_Level3"/>
      <w:r>
        <w:rPr>
          <w:rFonts w:hint="eastAsia" w:ascii="Times New Roman" w:hAnsi="Times New Roman" w:eastAsia="微软雅黑" w:cs="Times New Roman"/>
          <w:b/>
          <w:sz w:val="24"/>
          <w:szCs w:val="24"/>
          <w:lang w:eastAsia="zh-CN"/>
        </w:rPr>
        <w:t>错配修复（MMR）相关基因检测结果</w:t>
      </w:r>
    </w:p>
    <w:bookmarkEnd w:id="91"/>
    <w:tbl>
      <w:tblPr>
        <w:tblStyle w:val="14"/>
        <w:tblW w:w="9837"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240"/>
        <w:gridCol w:w="3117"/>
        <w:gridCol w:w="1849"/>
        <w:gridCol w:w="2631"/>
      </w:tblGrid>
      <w:tr w14:paraId="7E634C0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2240" w:type="dxa"/>
            <w:tcBorders>
              <w:top w:val="nil"/>
              <w:bottom w:val="nil"/>
              <w:right w:val="single" w:color="FFFFFF" w:sz="18" w:space="0"/>
            </w:tcBorders>
            <w:shd w:val="clear" w:color="auto" w:fill="62BC41"/>
            <w:vAlign w:val="center"/>
          </w:tcPr>
          <w:p w14:paraId="50787DF5">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基因名称</w:t>
            </w:r>
          </w:p>
        </w:tc>
        <w:tc>
          <w:tcPr>
            <w:tcW w:w="3117" w:type="dxa"/>
            <w:tcBorders>
              <w:top w:val="nil"/>
              <w:left w:val="single" w:color="FFFFFF" w:sz="18" w:space="0"/>
              <w:bottom w:val="nil"/>
              <w:right w:val="single" w:color="FFFFFF" w:sz="18" w:space="0"/>
            </w:tcBorders>
            <w:shd w:val="clear" w:color="auto" w:fill="62BC41"/>
            <w:vAlign w:val="center"/>
          </w:tcPr>
          <w:p w14:paraId="5FDF2CEE">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c>
          <w:tcPr>
            <w:tcW w:w="1849" w:type="dxa"/>
            <w:tcBorders>
              <w:top w:val="nil"/>
              <w:left w:val="single" w:color="FFFFFF" w:sz="18" w:space="0"/>
              <w:bottom w:val="nil"/>
              <w:right w:val="single" w:color="FFFFFF" w:sz="18" w:space="0"/>
            </w:tcBorders>
            <w:shd w:val="clear" w:color="auto" w:fill="62BC41"/>
            <w:vAlign w:val="center"/>
          </w:tcPr>
          <w:p w14:paraId="2E418BA0">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变异丰度</w:t>
            </w:r>
          </w:p>
        </w:tc>
        <w:tc>
          <w:tcPr>
            <w:tcW w:w="2631" w:type="dxa"/>
            <w:tcBorders>
              <w:top w:val="nil"/>
              <w:left w:val="single" w:color="FFFFFF" w:sz="18" w:space="0"/>
              <w:bottom w:val="nil"/>
            </w:tcBorders>
            <w:shd w:val="clear" w:color="auto" w:fill="62BC41"/>
            <w:vAlign w:val="center"/>
          </w:tcPr>
          <w:p w14:paraId="41F79014">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r>
      <w:tr w14:paraId="273FE1F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9837" w:type="dxa"/>
            <w:gridSpan w:val="4"/>
            <w:tcBorders>
              <w:top w:val="nil"/>
            </w:tcBorders>
            <w:shd w:val="clear" w:color="auto" w:fill="auto"/>
            <w:vAlign w:val="center"/>
          </w:tcPr>
          <w:p w14:paraId="09C806B0">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{%tr for dmmr in dMMRinfo %}</w:t>
            </w:r>
          </w:p>
        </w:tc>
      </w:tr>
      <w:tr w14:paraId="303F627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2240" w:type="dxa"/>
            <w:tcBorders>
              <w:top w:val="nil"/>
            </w:tcBorders>
            <w:shd w:val="clear" w:color="auto" w:fill="auto"/>
            <w:vAlign w:val="center"/>
          </w:tcPr>
          <w:p w14:paraId="6D4D0FB1">
            <w:pPr>
              <w:spacing w:before="13" w:line="252" w:lineRule="auto"/>
              <w:ind w:right="174"/>
              <w:jc w:val="center"/>
              <w:rPr>
                <w:b/>
                <w:bCs/>
              </w:rPr>
            </w:pPr>
            <w:r>
              <w:rPr>
                <w:rFonts w:hint="eastAsia" w:ascii="Times New Roman" w:hAnsi="Times New Roman" w:eastAsia="微软雅黑" w:cs="Times New Roman"/>
                <w:b/>
                <w:bCs/>
                <w:sz w:val="21"/>
                <w:szCs w:val="21"/>
                <w:lang w:eastAsia="zh-CN"/>
              </w:rPr>
              <w:t>{{ dmmr.gene }}</w:t>
            </w:r>
          </w:p>
        </w:tc>
        <w:tc>
          <w:tcPr>
            <w:tcW w:w="3117" w:type="dxa"/>
            <w:tcBorders>
              <w:top w:val="nil"/>
            </w:tcBorders>
            <w:shd w:val="clear" w:color="auto" w:fill="auto"/>
            <w:vAlign w:val="center"/>
          </w:tcPr>
          <w:p w14:paraId="79E5DFE3">
            <w:pPr>
              <w:spacing w:before="13" w:line="252" w:lineRule="auto"/>
              <w:ind w:right="174"/>
              <w:jc w:val="center"/>
              <w:rPr>
                <w:lang w:eastAsia="zh-CN"/>
              </w:rPr>
            </w:pPr>
            <w:r>
              <w:rPr>
                <w:rFonts w:hint="eastAsia" w:ascii="Times New Roman" w:hAnsi="Times New Roman" w:eastAsia="微软雅黑" w:cs="Times New Roman"/>
                <w:sz w:val="21"/>
                <w:szCs w:val="21"/>
                <w:lang w:eastAsia="zh-CN"/>
              </w:rPr>
              <w:t>{{ dmmr.ori_variant}}</w:t>
            </w:r>
          </w:p>
        </w:tc>
        <w:tc>
          <w:tcPr>
            <w:tcW w:w="1849" w:type="dxa"/>
            <w:tcBorders>
              <w:top w:val="nil"/>
            </w:tcBorders>
            <w:shd w:val="clear" w:color="auto" w:fill="auto"/>
            <w:vAlign w:val="center"/>
          </w:tcPr>
          <w:p w14:paraId="47962716">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 dmmr.mutFreq}}</w:t>
            </w:r>
          </w:p>
        </w:tc>
        <w:tc>
          <w:tcPr>
            <w:tcW w:w="2631" w:type="dxa"/>
            <w:tcBorders>
              <w:top w:val="nil"/>
            </w:tcBorders>
            <w:shd w:val="clear" w:color="auto" w:fill="auto"/>
            <w:vAlign w:val="center"/>
          </w:tcPr>
          <w:p w14:paraId="2E580DB6">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 dmmr.mut_type}}</w:t>
            </w:r>
          </w:p>
        </w:tc>
      </w:tr>
      <w:tr w14:paraId="04F9CDB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9837" w:type="dxa"/>
            <w:gridSpan w:val="4"/>
            <w:tcBorders>
              <w:top w:val="nil"/>
            </w:tcBorders>
            <w:shd w:val="clear" w:color="auto" w:fill="auto"/>
            <w:vAlign w:val="center"/>
          </w:tcPr>
          <w:p w14:paraId="2562202C">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{%tr endfor %}</w:t>
            </w:r>
          </w:p>
        </w:tc>
      </w:tr>
      <w:tr w14:paraId="6B8CF7D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8" w:hRule="atLeast"/>
          <w:jc w:val="center"/>
        </w:trPr>
        <w:tc>
          <w:tcPr>
            <w:tcW w:w="2240" w:type="dxa"/>
            <w:tcBorders>
              <w:top w:val="nil"/>
              <w:left w:val="single" w:color="FFFFFF" w:sz="4" w:space="0"/>
              <w:bottom w:val="nil"/>
              <w:right w:val="single" w:color="FFFFFF" w:sz="4" w:space="0"/>
            </w:tcBorders>
            <w:shd w:val="clear" w:color="auto" w:fill="auto"/>
            <w:vAlign w:val="center"/>
          </w:tcPr>
          <w:p w14:paraId="7993A319">
            <w:pPr>
              <w:spacing w:before="13" w:line="252" w:lineRule="auto"/>
              <w:ind w:right="174"/>
              <w:jc w:val="center"/>
              <w:rPr>
                <w:rFonts w:ascii="Times New Roman" w:hAnsi="Times New Roman" w:eastAsia="微软雅黑" w:cs="Times New Roman"/>
                <w:b/>
                <w:bCs/>
                <w:sz w:val="21"/>
                <w:szCs w:val="21"/>
                <w:lang w:eastAsia="zh-CN"/>
              </w:rPr>
            </w:pPr>
          </w:p>
        </w:tc>
        <w:tc>
          <w:tcPr>
            <w:tcW w:w="3117" w:type="dxa"/>
            <w:tcBorders>
              <w:top w:val="nil"/>
              <w:left w:val="single" w:color="FFFFFF" w:sz="4" w:space="0"/>
              <w:bottom w:val="nil"/>
              <w:right w:val="single" w:color="FFFFFF" w:sz="4" w:space="0"/>
            </w:tcBorders>
            <w:shd w:val="clear" w:color="auto" w:fill="auto"/>
            <w:vAlign w:val="center"/>
          </w:tcPr>
          <w:p w14:paraId="319D0842">
            <w:pPr>
              <w:spacing w:before="13" w:line="252" w:lineRule="auto"/>
              <w:ind w:right="174"/>
              <w:jc w:val="center"/>
              <w:rPr>
                <w:rFonts w:ascii="Times New Roman" w:hAnsi="Times New Roman" w:eastAsia="微软雅黑" w:cs="Times New Roman"/>
                <w:b/>
                <w:bCs/>
                <w:sz w:val="21"/>
                <w:szCs w:val="21"/>
                <w:lang w:eastAsia="zh-CN"/>
              </w:rPr>
            </w:pPr>
          </w:p>
        </w:tc>
        <w:tc>
          <w:tcPr>
            <w:tcW w:w="1849" w:type="dxa"/>
            <w:tcBorders>
              <w:top w:val="nil"/>
              <w:left w:val="single" w:color="FFFFFF" w:sz="4" w:space="0"/>
              <w:bottom w:val="nil"/>
              <w:right w:val="single" w:color="FFFFFF" w:sz="4" w:space="0"/>
            </w:tcBorders>
            <w:shd w:val="clear" w:color="auto" w:fill="auto"/>
            <w:vAlign w:val="center"/>
          </w:tcPr>
          <w:p w14:paraId="1DE4BF80">
            <w:pPr>
              <w:spacing w:before="13" w:line="252" w:lineRule="auto"/>
              <w:ind w:right="174"/>
              <w:jc w:val="center"/>
              <w:rPr>
                <w:rFonts w:ascii="Times New Roman" w:hAnsi="Times New Roman" w:eastAsia="微软雅黑" w:cs="Times New Roman"/>
                <w:b/>
                <w:bCs/>
                <w:sz w:val="21"/>
                <w:szCs w:val="21"/>
                <w:lang w:eastAsia="zh-CN"/>
              </w:rPr>
            </w:pPr>
          </w:p>
        </w:tc>
        <w:tc>
          <w:tcPr>
            <w:tcW w:w="2631" w:type="dxa"/>
            <w:tcBorders>
              <w:top w:val="nil"/>
              <w:left w:val="single" w:color="FFFFFF" w:sz="4" w:space="0"/>
              <w:bottom w:val="nil"/>
              <w:right w:val="single" w:color="FFFFFF" w:sz="4" w:space="0"/>
            </w:tcBorders>
            <w:shd w:val="clear" w:color="auto" w:fill="auto"/>
            <w:vAlign w:val="center"/>
          </w:tcPr>
          <w:p w14:paraId="43F04846">
            <w:pPr>
              <w:spacing w:before="13" w:line="252" w:lineRule="auto"/>
              <w:ind w:right="174"/>
              <w:jc w:val="center"/>
              <w:rPr>
                <w:rFonts w:ascii="Times New Roman" w:hAnsi="Times New Roman" w:eastAsia="微软雅黑" w:cs="Times New Roman"/>
                <w:b/>
                <w:bCs/>
                <w:sz w:val="21"/>
                <w:szCs w:val="21"/>
                <w:lang w:eastAsia="zh-CN"/>
              </w:rPr>
            </w:pPr>
          </w:p>
        </w:tc>
      </w:tr>
      <w:tr w14:paraId="41CFF3F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642" w:hRule="atLeast"/>
          <w:jc w:val="center"/>
        </w:trPr>
        <w:tc>
          <w:tcPr>
            <w:tcW w:w="9837" w:type="dxa"/>
            <w:gridSpan w:val="4"/>
            <w:tcBorders>
              <w:top w:val="nil"/>
              <w:bottom w:val="nil"/>
            </w:tcBorders>
            <w:shd w:val="clear" w:color="auto" w:fill="auto"/>
            <w:vAlign w:val="center"/>
          </w:tcPr>
          <w:p w14:paraId="7214405A">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指标解析：</w:t>
            </w:r>
          </w:p>
          <w:p w14:paraId="150B34E2">
            <w:pPr>
              <w:ind w:firstLine="360" w:firstLineChars="200"/>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MLH1、MSH2、MSH6和PMS2胚系突变常导致林奇综合征，结直肠癌、胃癌、子宫内膜癌等多种癌症的风险增高。同时，多项回顾性研究表明，MMR基因的体细胞突变同样可以造成dMMR/MSI-H，与散发性结直肠癌和子宫内膜癌发生相关[PMID: 24333619; PMID: 25194673]。</w:t>
            </w:r>
          </w:p>
          <w:p w14:paraId="14A9797E">
            <w:pPr>
              <w:ind w:firstLine="360" w:firstLineChars="200"/>
              <w:rPr>
                <w:rFonts w:ascii="Times New Roman" w:hAnsi="Times New Roman" w:eastAsia="微软雅黑" w:cs="Times New Roman"/>
                <w:sz w:val="18"/>
                <w:shd w:val="clear" w:color="auto" w:fill="FFFFFF"/>
                <w:lang w:eastAsia="zh-CN"/>
              </w:rPr>
            </w:pPr>
          </w:p>
          <w:p w14:paraId="54A89E27">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临床意义：</w:t>
            </w:r>
          </w:p>
          <w:p w14:paraId="59EED797">
            <w:pPr>
              <w:ind w:firstLine="360" w:firstLineChars="200"/>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一项临床研究表明，帕博利珠单抗用于dMMR/MSI-H的结直肠癌患者的客观缓解率（ORR）为36%，非结直肠癌患者的ORR为46%[FDAReferenceID: 4389012]。基于该研究，FDA已批准帕博利珠单抗用于dMMR/MSI-H的治疗进展后没有合适的替代治疗方案的儿童或者成年实体瘤患者的治疗；或者氟尿嘧啶、奥沙利铂和伊立替康治疗后进展的结直肠癌患者的治疗。CheckMate142的临床研究结果显示，纳武利尤单抗用于dMMR/MSI-H的结直肠癌患者的ORR为28%，包括1例完全缓解和14例部分缓解[PMID: 28734759]。基于该研究，FDA已批准纳武利尤单抗用于dMMR/MSI-H的氟尿嘧啶、奥沙利铂和伊立替康为基础治疗进展后的成人和儿童（12岁及以上）的晚期结直肠癌患者。检测MMR有助于：辅助临床评判MSI-H发生的原因；辅助临床判断受检者是否患有林奇综合症（LynchSyndrome，LS）；预测肿瘤患者能否从抗PD-1中获益。</w:t>
            </w:r>
          </w:p>
          <w:p w14:paraId="7196C4A3">
            <w:pPr>
              <w:ind w:firstLine="360" w:firstLineChars="200"/>
              <w:rPr>
                <w:rFonts w:ascii="Times New Roman" w:hAnsi="Times New Roman" w:eastAsia="微软雅黑" w:cs="Times New Roman"/>
                <w:sz w:val="18"/>
                <w:shd w:val="clear" w:color="auto" w:fill="FFFFFF"/>
                <w:lang w:eastAsia="zh-CN"/>
              </w:rPr>
            </w:pPr>
          </w:p>
          <w:p w14:paraId="7076C2B6">
            <w:pPr>
              <w:rPr>
                <w:rFonts w:ascii="Times New Roman" w:hAnsi="Times New Roman" w:eastAsia="微软雅黑" w:cs="Times New Roman"/>
                <w:b/>
                <w:sz w:val="18"/>
                <w:shd w:val="clear" w:color="auto" w:fill="FFFFFF"/>
              </w:rPr>
            </w:pPr>
            <w:r>
              <w:rPr>
                <w:rFonts w:ascii="Times New Roman" w:hAnsi="Times New Roman" w:eastAsia="微软雅黑" w:cs="Times New Roman"/>
                <w:b/>
                <w:sz w:val="18"/>
                <w:shd w:val="clear" w:color="auto" w:fill="FFFFFF"/>
              </w:rPr>
              <w:t>注：</w:t>
            </w:r>
          </w:p>
          <w:p w14:paraId="5A248906">
            <w:pPr>
              <w:numPr>
                <w:ilvl w:val="0"/>
                <w:numId w:val="19"/>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错配修复（MMR）基因突变会导致错配修复缺陷（dMMR）；如果没有发生基因突变，则为正常（pMMR）。</w:t>
            </w:r>
          </w:p>
          <w:p w14:paraId="4B1E690E">
            <w:pPr>
              <w:numPr>
                <w:ilvl w:val="0"/>
                <w:numId w:val="19"/>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本次检测仅限于基因水平突变检测，未进行IHC表达检测，仅供参考。</w:t>
            </w:r>
          </w:p>
          <w:p w14:paraId="37793E8E">
            <w:pPr>
              <w:numPr>
                <w:ilvl w:val="0"/>
                <w:numId w:val="19"/>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MMR基因检测体系/胚系突变。</w:t>
            </w:r>
          </w:p>
          <w:p w14:paraId="71A4701A">
            <w:pPr>
              <w:numPr>
                <w:ilvl w:val="0"/>
                <w:numId w:val="19"/>
              </w:numP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shd w:val="clear" w:color="auto" w:fill="FFFFFF"/>
                <w:lang w:eastAsia="zh-CN"/>
              </w:rPr>
              <w:t>“-”表示本次检测未发现相关变异。</w:t>
            </w:r>
          </w:p>
        </w:tc>
      </w:tr>
    </w:tbl>
    <w:p w14:paraId="2F2DAC13">
      <w:pPr>
        <w:rPr>
          <w:rFonts w:ascii="微软雅黑" w:hAnsi="微软雅黑" w:eastAsia="微软雅黑" w:cs="微软雅黑"/>
          <w:sz w:val="18"/>
          <w:szCs w:val="18"/>
          <w:shd w:val="clear" w:color="auto" w:fill="FFFFFF"/>
          <w:lang w:eastAsia="zh-CN" w:bidi="ar"/>
        </w:rPr>
      </w:pPr>
      <w:r>
        <w:rPr>
          <w:rFonts w:ascii="微软雅黑" w:hAnsi="微软雅黑" w:eastAsia="微软雅黑" w:cs="微软雅黑"/>
          <w:sz w:val="18"/>
          <w:szCs w:val="18"/>
          <w:shd w:val="clear" w:color="auto" w:fill="FFFFFF"/>
          <w:lang w:eastAsia="zh-CN" w:bidi="ar"/>
        </w:rPr>
        <w:br w:type="page"/>
      </w:r>
    </w:p>
    <w:bookmarkEnd w:id="85"/>
    <w:p w14:paraId="64853680">
      <w:pPr>
        <w:spacing w:before="26" w:after="120" w:afterLines="50"/>
        <w:rPr>
          <w:rFonts w:ascii="Times New Roman" w:hAnsi="Times New Roman" w:eastAsia="微软雅黑" w:cs="Times New Roman"/>
          <w:b/>
          <w:sz w:val="20"/>
          <w:szCs w:val="20"/>
          <w:lang w:eastAsia="zh-CN"/>
        </w:rPr>
      </w:pPr>
      <w:r>
        <w:rPr>
          <w:rFonts w:hint="eastAsia" w:ascii="Times New Roman" w:hAnsi="Times New Roman" w:eastAsia="微软雅黑" w:cs="Times New Roman"/>
          <w:b/>
          <w:sz w:val="24"/>
          <w:szCs w:val="24"/>
          <w:lang w:eastAsia="zh-CN"/>
        </w:rPr>
        <w:t>{%if summaryOfRresults.positiveImmnueNum != 0%}{%if positiveImmnue!= [] %}</w:t>
      </w:r>
      <w:r>
        <w:rPr>
          <w:rFonts w:ascii="Times New Roman" w:hAnsi="Times New Roman" w:eastAsia="微软雅黑" w:cs="Times New Roman"/>
          <w:b/>
          <w:sz w:val="24"/>
          <w:lang w:eastAsia="zh-CN"/>
        </w:rPr>
        <w:t>免疫正相关基因检测结果解析</w:t>
      </w:r>
      <w:r>
        <w:rPr>
          <w:rFonts w:hint="eastAsia" w:ascii="Times New Roman" w:hAnsi="Times New Roman" w:eastAsia="微软雅黑" w:cs="Times New Roman"/>
          <w:b/>
          <w:sz w:val="20"/>
          <w:szCs w:val="20"/>
          <w:lang w:eastAsia="zh-CN"/>
        </w:rPr>
        <w:t>{% for tdd in positiveImmnue %}{% if tdd.varDesc !=</w:t>
      </w:r>
      <w:r>
        <w:rPr>
          <w:rFonts w:ascii="Times New Roman" w:hAnsi="Times New Roman" w:eastAsia="微软雅黑" w:cs="Times New Roman"/>
          <w:b/>
          <w:sz w:val="20"/>
          <w:szCs w:val="20"/>
          <w:lang w:eastAsia="zh-CN"/>
        </w:rPr>
        <w:t>”</w:t>
      </w:r>
      <w:r>
        <w:rPr>
          <w:rFonts w:hint="eastAsia" w:ascii="Times New Roman" w:hAnsi="Times New Roman" w:eastAsia="微软雅黑" w:cs="Times New Roman"/>
          <w:b/>
          <w:sz w:val="20"/>
          <w:szCs w:val="20"/>
          <w:lang w:eastAsia="zh-CN"/>
        </w:rPr>
        <w:t>/</w:t>
      </w:r>
      <w:r>
        <w:rPr>
          <w:rFonts w:ascii="Times New Roman" w:hAnsi="Times New Roman" w:eastAsia="微软雅黑" w:cs="Times New Roman"/>
          <w:b/>
          <w:sz w:val="20"/>
          <w:szCs w:val="20"/>
          <w:lang w:eastAsia="zh-CN"/>
        </w:rPr>
        <w:t>”</w:t>
      </w:r>
      <w:r>
        <w:rPr>
          <w:rFonts w:hint="eastAsia" w:ascii="Times New Roman" w:hAnsi="Times New Roman" w:eastAsia="微软雅黑" w:cs="Times New Roman"/>
          <w:b/>
          <w:sz w:val="20"/>
          <w:szCs w:val="20"/>
          <w:lang w:eastAsia="zh-CN"/>
        </w:rPr>
        <w:t xml:space="preserve"> %}</w:t>
      </w:r>
    </w:p>
    <w:p w14:paraId="6A22E097">
      <w:pPr>
        <w:keepNext/>
        <w:spacing w:before="240" w:beforeLines="100" w:line="360" w:lineRule="auto"/>
        <w:rPr>
          <w:rFonts w:ascii="Times New Roman" w:hAnsi="Times New Roman" w:eastAsia="微软雅黑" w:cs="Times New Roman"/>
          <w:b/>
          <w:sz w:val="20"/>
          <w:szCs w:val="20"/>
          <w:lang w:eastAsia="zh-CN"/>
        </w:rPr>
      </w:pPr>
      <w:r>
        <w:rPr>
          <w:rFonts w:hint="eastAsia" w:ascii="Times New Roman" w:hAnsi="Times New Roman" w:eastAsia="微软雅黑" w:cs="Times New Roman"/>
          <w:b/>
          <w:sz w:val="20"/>
          <w:szCs w:val="20"/>
          <w:lang w:eastAsia="zh-CN"/>
        </w:rPr>
        <w:t>{{ tdd.gene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23"/>
        <w:gridCol w:w="8247"/>
      </w:tblGrid>
      <w:tr w14:paraId="3238985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tcBorders>
              <w:top w:val="nil"/>
              <w:bottom w:val="single" w:color="FFFFFF" w:sz="18" w:space="0"/>
              <w:right w:val="nil"/>
            </w:tcBorders>
            <w:shd w:val="clear" w:color="auto" w:fill="62BC41"/>
            <w:vAlign w:val="center"/>
          </w:tcPr>
          <w:p w14:paraId="155DF56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A4A4A4" w:sz="4" w:space="0"/>
              <w:left w:val="nil"/>
              <w:bottom w:val="single" w:color="A4A4A4" w:sz="4" w:space="0"/>
            </w:tcBorders>
            <w:vAlign w:val="center"/>
          </w:tcPr>
          <w:p w14:paraId="3B3BC35B">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tdd.variant }}</w:t>
            </w:r>
          </w:p>
        </w:tc>
      </w:tr>
      <w:tr w14:paraId="756ACA9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62BC41"/>
            <w:vAlign w:val="center"/>
          </w:tcPr>
          <w:p w14:paraId="5285EFC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highlight w:val="none"/>
                <w:lang w:eastAsia="zh-CN"/>
                <w14:textFill>
                  <w14:solidFill>
                    <w14:schemeClr w14:val="bg1"/>
                  </w14:solidFill>
                </w14:textFill>
              </w:rPr>
              <w:t>{{ tdd.mutFreq</w:t>
            </w:r>
            <w:r>
              <w:rPr>
                <w:rFonts w:hint="eastAsia" w:ascii="Times New Roman" w:hAnsi="Times New Roman" w:eastAsia="微软雅黑" w:cs="Times New Roman"/>
                <w:b/>
                <w:color w:val="FFFFFF" w:themeColor="background1"/>
                <w:sz w:val="18"/>
                <w:szCs w:val="18"/>
                <w:highlight w:val="none"/>
                <w:lang w:val="en-US" w:eastAsia="zh-CN"/>
                <w14:textFill>
                  <w14:solidFill>
                    <w14:schemeClr w14:val="bg1"/>
                  </w14:solidFill>
                </w14:textFill>
              </w:rPr>
              <w:t>Type</w:t>
            </w:r>
            <w:r>
              <w:rPr>
                <w:rFonts w:hint="eastAsia" w:ascii="Times New Roman" w:hAnsi="Times New Roman" w:eastAsia="微软雅黑" w:cs="Times New Roman"/>
                <w:b/>
                <w:color w:val="FFFFFF" w:themeColor="background1"/>
                <w:sz w:val="18"/>
                <w:szCs w:val="18"/>
                <w:highlight w:val="none"/>
                <w:lang w:eastAsia="zh-CN"/>
                <w14:textFill>
                  <w14:solidFill>
                    <w14:schemeClr w14:val="bg1"/>
                  </w14:solidFill>
                </w14:textFill>
              </w:rPr>
              <w:t xml:space="preserve"> }}</w:t>
            </w:r>
          </w:p>
        </w:tc>
        <w:tc>
          <w:tcPr>
            <w:tcW w:w="8247" w:type="dxa"/>
            <w:tcBorders>
              <w:top w:val="single" w:color="A4A4A4" w:sz="4" w:space="0"/>
              <w:left w:val="nil"/>
              <w:bottom w:val="single" w:color="A4A4A4" w:sz="4" w:space="0"/>
            </w:tcBorders>
            <w:vAlign w:val="center"/>
          </w:tcPr>
          <w:p w14:paraId="3D470D8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25537C6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62BC41"/>
            <w:vAlign w:val="center"/>
          </w:tcPr>
          <w:p w14:paraId="779297C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循证医学证据</w:t>
            </w:r>
          </w:p>
        </w:tc>
        <w:tc>
          <w:tcPr>
            <w:tcW w:w="8247" w:type="dxa"/>
            <w:tcBorders>
              <w:top w:val="single" w:color="A4A4A4" w:sz="4" w:space="0"/>
              <w:left w:val="nil"/>
              <w:bottom w:val="single" w:color="A4A4A4" w:sz="4" w:space="0"/>
            </w:tcBorders>
            <w:vAlign w:val="center"/>
          </w:tcPr>
          <w:p w14:paraId="6D354E1E">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b/>
                <w:bCs/>
                <w:sz w:val="18"/>
                <w:szCs w:val="18"/>
                <w:lang w:eastAsia="zh-CN"/>
              </w:rPr>
              <w:t>免疫正相关说明:</w:t>
            </w:r>
            <w:r>
              <w:rPr>
                <w:rFonts w:hint="eastAsia" w:ascii="Times New Roman" w:hAnsi="Times New Roman" w:eastAsia="微软雅黑" w:cs="Times New Roman"/>
                <w:bCs/>
                <w:sz w:val="18"/>
                <w:szCs w:val="18"/>
                <w:lang w:eastAsia="zh-CN"/>
              </w:rPr>
              <w:t>{{ tdd.varDesc }}</w:t>
            </w:r>
          </w:p>
        </w:tc>
      </w:tr>
    </w:tbl>
    <w:p w14:paraId="2DEC39AD">
      <w:pPr>
        <w:rPr>
          <w:rFonts w:ascii="Times New Roman" w:hAnsi="Times New Roman" w:eastAsia="微软雅黑" w:cs="Times New Roman"/>
          <w:b/>
          <w:color w:val="000000" w:themeColor="text1"/>
          <w:sz w:val="20"/>
          <w:szCs w:val="20"/>
          <w:lang w:eastAsia="zh-CN"/>
          <w14:textFill>
            <w14:solidFill>
              <w14:schemeClr w14:val="tx1"/>
            </w14:solidFill>
          </w14:textFill>
        </w:rPr>
      </w:pPr>
      <w:r>
        <w:rPr>
          <w:rFonts w:hint="eastAsia" w:ascii="Times New Roman" w:hAnsi="Times New Roman" w:eastAsia="微软雅黑" w:cs="Times New Roman"/>
          <w:b/>
          <w:sz w:val="24"/>
          <w:szCs w:val="24"/>
          <w:lang w:eastAsia="zh-CN"/>
        </w:rPr>
        <w:t>{% endif %}{% endfor %}{% endif %}</w:t>
      </w:r>
      <w:r>
        <w:rPr>
          <w:rFonts w:ascii="微软雅黑" w:hAnsi="微软雅黑" w:eastAsia="微软雅黑" w:cs="微软雅黑"/>
          <w:b/>
          <w:sz w:val="24"/>
          <w:szCs w:val="24"/>
          <w:lang w:eastAsia="zh-CN" w:bidi="ar"/>
        </w:rPr>
        <w:br w:type="page"/>
      </w:r>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endif %}{%if summaryOfRresults.negativeImmnueNum != 0%}{%if negativeImmnue!= [] %}</w:t>
      </w:r>
      <w:r>
        <w:rPr>
          <w:rFonts w:ascii="Times New Roman" w:hAnsi="Times New Roman" w:eastAsia="微软雅黑" w:cs="Times New Roman"/>
          <w:b/>
          <w:color w:val="000000" w:themeColor="text1"/>
          <w:sz w:val="24"/>
          <w:lang w:eastAsia="zh-CN"/>
          <w14:textFill>
            <w14:solidFill>
              <w14:schemeClr w14:val="tx1"/>
            </w14:solidFill>
          </w14:textFill>
        </w:rPr>
        <w:t>免疫</w:t>
      </w:r>
      <w:r>
        <w:rPr>
          <w:rFonts w:hint="eastAsia" w:ascii="Times New Roman" w:hAnsi="Times New Roman" w:eastAsia="微软雅黑" w:cs="Times New Roman"/>
          <w:b/>
          <w:color w:val="000000" w:themeColor="text1"/>
          <w:sz w:val="24"/>
          <w:lang w:eastAsia="zh-CN"/>
          <w14:textFill>
            <w14:solidFill>
              <w14:schemeClr w14:val="tx1"/>
            </w14:solidFill>
          </w14:textFill>
        </w:rPr>
        <w:t>负</w:t>
      </w:r>
      <w:r>
        <w:rPr>
          <w:rFonts w:ascii="Times New Roman" w:hAnsi="Times New Roman" w:eastAsia="微软雅黑" w:cs="Times New Roman"/>
          <w:b/>
          <w:color w:val="000000" w:themeColor="text1"/>
          <w:sz w:val="24"/>
          <w:lang w:eastAsia="zh-CN"/>
          <w14:textFill>
            <w14:solidFill>
              <w14:schemeClr w14:val="tx1"/>
            </w14:solidFill>
          </w14:textFill>
        </w:rPr>
        <w:t>相关基因检测结果解析</w:t>
      </w:r>
      <w:r>
        <w:rPr>
          <w:rFonts w:hint="eastAsia" w:ascii="Times New Roman" w:hAnsi="Times New Roman" w:eastAsia="微软雅黑" w:cs="Times New Roman"/>
          <w:b/>
          <w:color w:val="000000" w:themeColor="text1"/>
          <w:sz w:val="20"/>
          <w:szCs w:val="20"/>
          <w:lang w:eastAsia="zh-CN"/>
          <w14:textFill>
            <w14:solidFill>
              <w14:schemeClr w14:val="tx1"/>
            </w14:solidFill>
          </w14:textFill>
        </w:rPr>
        <w:t>{% for tdd in negativeImmnue%}{% if tdd.varDesc !=</w:t>
      </w:r>
      <w:r>
        <w:rPr>
          <w:rFonts w:ascii="Times New Roman" w:hAnsi="Times New Roman" w:eastAsia="微软雅黑" w:cs="Times New Roman"/>
          <w:b/>
          <w:color w:val="000000" w:themeColor="text1"/>
          <w:sz w:val="20"/>
          <w:szCs w:val="20"/>
          <w:lang w:eastAsia="zh-CN"/>
          <w14:textFill>
            <w14:solidFill>
              <w14:schemeClr w14:val="tx1"/>
            </w14:solidFill>
          </w14:textFill>
        </w:rPr>
        <w:t>”</w:t>
      </w:r>
      <w:r>
        <w:rPr>
          <w:rFonts w:hint="eastAsia" w:ascii="Times New Roman" w:hAnsi="Times New Roman" w:eastAsia="微软雅黑" w:cs="Times New Roman"/>
          <w:b/>
          <w:color w:val="000000" w:themeColor="text1"/>
          <w:sz w:val="20"/>
          <w:szCs w:val="20"/>
          <w:lang w:eastAsia="zh-CN"/>
          <w14:textFill>
            <w14:solidFill>
              <w14:schemeClr w14:val="tx1"/>
            </w14:solidFill>
          </w14:textFill>
        </w:rPr>
        <w:t>/</w:t>
      </w:r>
      <w:r>
        <w:rPr>
          <w:rFonts w:ascii="Times New Roman" w:hAnsi="Times New Roman" w:eastAsia="微软雅黑" w:cs="Times New Roman"/>
          <w:b/>
          <w:color w:val="000000" w:themeColor="text1"/>
          <w:sz w:val="20"/>
          <w:szCs w:val="20"/>
          <w:lang w:eastAsia="zh-CN"/>
          <w14:textFill>
            <w14:solidFill>
              <w14:schemeClr w14:val="tx1"/>
            </w14:solidFill>
          </w14:textFill>
        </w:rPr>
        <w:t>”</w:t>
      </w:r>
      <w:r>
        <w:rPr>
          <w:rFonts w:hint="eastAsia" w:ascii="Times New Roman" w:hAnsi="Times New Roman" w:eastAsia="微软雅黑" w:cs="Times New Roman"/>
          <w:b/>
          <w:color w:val="000000" w:themeColor="text1"/>
          <w:sz w:val="20"/>
          <w:szCs w:val="20"/>
          <w:lang w:eastAsia="zh-CN"/>
          <w14:textFill>
            <w14:solidFill>
              <w14:schemeClr w14:val="tx1"/>
            </w14:solidFill>
          </w14:textFill>
        </w:rPr>
        <w:t xml:space="preserve"> %}</w:t>
      </w:r>
    </w:p>
    <w:p w14:paraId="24836368">
      <w:pPr>
        <w:keepNext/>
        <w:spacing w:before="240" w:beforeLines="100" w:line="360" w:lineRule="auto"/>
        <w:rPr>
          <w:rFonts w:ascii="Times New Roman" w:hAnsi="Times New Roman" w:eastAsia="微软雅黑" w:cs="Times New Roman"/>
          <w:b/>
          <w:color w:val="000000" w:themeColor="text1"/>
          <w:sz w:val="20"/>
          <w:szCs w:val="20"/>
          <w:lang w:eastAsia="zh-CN"/>
          <w14:textFill>
            <w14:solidFill>
              <w14:schemeClr w14:val="tx1"/>
            </w14:solidFill>
          </w14:textFill>
        </w:rPr>
      </w:pPr>
      <w:r>
        <w:rPr>
          <w:rFonts w:hint="eastAsia" w:ascii="Times New Roman" w:hAnsi="Times New Roman" w:eastAsia="微软雅黑" w:cs="Times New Roman"/>
          <w:b/>
          <w:color w:val="000000" w:themeColor="text1"/>
          <w:sz w:val="20"/>
          <w:szCs w:val="20"/>
          <w:lang w:eastAsia="zh-CN"/>
          <w14:textFill>
            <w14:solidFill>
              <w14:schemeClr w14:val="tx1"/>
            </w14:solidFill>
          </w14:textFill>
        </w:rPr>
        <w:t>{{ tdd.gene }}</w:t>
      </w:r>
    </w:p>
    <w:tbl>
      <w:tblPr>
        <w:tblStyle w:val="14"/>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623"/>
        <w:gridCol w:w="8247"/>
      </w:tblGrid>
      <w:tr w14:paraId="53F2873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623" w:type="dxa"/>
            <w:tcBorders>
              <w:top w:val="nil"/>
              <w:bottom w:val="single" w:color="FFFFFF" w:sz="18" w:space="0"/>
              <w:right w:val="nil"/>
            </w:tcBorders>
            <w:shd w:val="clear" w:color="auto" w:fill="62BC41"/>
            <w:vAlign w:val="center"/>
          </w:tcPr>
          <w:p w14:paraId="19BEF76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left w:val="nil"/>
            </w:tcBorders>
            <w:vAlign w:val="center"/>
          </w:tcPr>
          <w:p w14:paraId="594D655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tdd.variant }}</w:t>
            </w:r>
          </w:p>
        </w:tc>
      </w:tr>
      <w:tr w14:paraId="2C08791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62BC41"/>
            <w:vAlign w:val="center"/>
          </w:tcPr>
          <w:p w14:paraId="3C94675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highlight w:val="none"/>
                <w:lang w:eastAsia="zh-CN"/>
                <w14:textFill>
                  <w14:solidFill>
                    <w14:schemeClr w14:val="bg1"/>
                  </w14:solidFill>
                </w14:textFill>
              </w:rPr>
              <w:t>{{ tdd.mutFreq</w:t>
            </w:r>
            <w:r>
              <w:rPr>
                <w:rFonts w:hint="eastAsia" w:ascii="Times New Roman" w:hAnsi="Times New Roman" w:eastAsia="微软雅黑" w:cs="Times New Roman"/>
                <w:b/>
                <w:color w:val="FFFFFF" w:themeColor="background1"/>
                <w:sz w:val="18"/>
                <w:szCs w:val="18"/>
                <w:highlight w:val="none"/>
                <w:lang w:val="en-US" w:eastAsia="zh-CN"/>
                <w14:textFill>
                  <w14:solidFill>
                    <w14:schemeClr w14:val="bg1"/>
                  </w14:solidFill>
                </w14:textFill>
              </w:rPr>
              <w:t>Type</w:t>
            </w:r>
            <w:r>
              <w:rPr>
                <w:rFonts w:hint="eastAsia" w:ascii="Times New Roman" w:hAnsi="Times New Roman" w:eastAsia="微软雅黑" w:cs="Times New Roman"/>
                <w:b/>
                <w:color w:val="FFFFFF" w:themeColor="background1"/>
                <w:sz w:val="18"/>
                <w:szCs w:val="18"/>
                <w:highlight w:val="none"/>
                <w:lang w:eastAsia="zh-CN"/>
                <w14:textFill>
                  <w14:solidFill>
                    <w14:schemeClr w14:val="bg1"/>
                  </w14:solidFill>
                </w14:textFill>
              </w:rPr>
              <w:t xml:space="preserve"> }}</w:t>
            </w:r>
          </w:p>
        </w:tc>
        <w:tc>
          <w:tcPr>
            <w:tcW w:w="8247" w:type="dxa"/>
            <w:tcBorders>
              <w:left w:val="nil"/>
            </w:tcBorders>
            <w:vAlign w:val="center"/>
          </w:tcPr>
          <w:p w14:paraId="0714163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439AE36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62BC41"/>
            <w:vAlign w:val="center"/>
          </w:tcPr>
          <w:p w14:paraId="662C72A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循证医学证据</w:t>
            </w:r>
          </w:p>
        </w:tc>
        <w:tc>
          <w:tcPr>
            <w:tcW w:w="8247" w:type="dxa"/>
            <w:tcBorders>
              <w:left w:val="nil"/>
            </w:tcBorders>
            <w:vAlign w:val="center"/>
          </w:tcPr>
          <w:p w14:paraId="27750F84">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b/>
                <w:bCs/>
                <w:sz w:val="18"/>
                <w:szCs w:val="18"/>
                <w:lang w:eastAsia="zh-CN"/>
              </w:rPr>
              <w:t>免疫负相关说明:</w:t>
            </w:r>
            <w:r>
              <w:rPr>
                <w:rFonts w:hint="eastAsia" w:ascii="Times New Roman" w:hAnsi="Times New Roman" w:eastAsia="微软雅黑" w:cs="Times New Roman"/>
                <w:bCs/>
                <w:sz w:val="18"/>
                <w:szCs w:val="18"/>
                <w:lang w:eastAsia="zh-CN"/>
              </w:rPr>
              <w:t>{{ tdd.varDesc }}</w:t>
            </w:r>
          </w:p>
        </w:tc>
      </w:tr>
    </w:tbl>
    <w:p w14:paraId="382648BF">
      <w:pPr>
        <w:rPr>
          <w:rFonts w:ascii="Times New Roman" w:hAnsi="Times New Roman" w:eastAsia="微软雅黑" w:cs="Times New Roman"/>
          <w:b/>
          <w:color w:val="000000" w:themeColor="text1"/>
          <w:sz w:val="20"/>
          <w:szCs w:val="20"/>
          <w:lang w:eastAsia="zh-CN"/>
          <w14:textFill>
            <w14:solidFill>
              <w14:schemeClr w14:val="tx1"/>
            </w14:solidFill>
          </w14:textFill>
        </w:rPr>
      </w:pPr>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endif %}{% endfor %}{% endif %}</w:t>
      </w:r>
      <w:r>
        <w:br w:type="page"/>
      </w:r>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endif %}{%if summaryOfRresults.hpdImmnueNum != 0%}{%if hpdImmnue!= [] %}</w:t>
      </w:r>
      <w:r>
        <w:rPr>
          <w:rFonts w:hint="eastAsia" w:ascii="Times New Roman" w:hAnsi="Times New Roman" w:eastAsia="微软雅黑" w:cs="Times New Roman"/>
          <w:b/>
          <w:color w:val="000000" w:themeColor="text1"/>
          <w:sz w:val="24"/>
          <w:lang w:eastAsia="zh-CN"/>
          <w14:textFill>
            <w14:solidFill>
              <w14:schemeClr w14:val="tx1"/>
            </w14:solidFill>
          </w14:textFill>
        </w:rPr>
        <w:t>免疫</w:t>
      </w:r>
      <w:r>
        <w:rPr>
          <w:rFonts w:ascii="Times New Roman" w:hAnsi="Times New Roman" w:eastAsia="微软雅黑" w:cs="Times New Roman"/>
          <w:b/>
          <w:color w:val="000000" w:themeColor="text1"/>
          <w:sz w:val="24"/>
          <w:lang w:eastAsia="zh-CN"/>
          <w14:textFill>
            <w14:solidFill>
              <w14:schemeClr w14:val="tx1"/>
            </w14:solidFill>
          </w14:textFill>
        </w:rPr>
        <w:t>超进展</w:t>
      </w:r>
      <w:r>
        <w:rPr>
          <w:rFonts w:hint="eastAsia" w:ascii="Times New Roman" w:hAnsi="Times New Roman" w:eastAsia="微软雅黑" w:cs="Times New Roman"/>
          <w:b/>
          <w:color w:val="000000" w:themeColor="text1"/>
          <w:sz w:val="24"/>
          <w:lang w:eastAsia="zh-CN"/>
          <w14:textFill>
            <w14:solidFill>
              <w14:schemeClr w14:val="tx1"/>
            </w14:solidFill>
          </w14:textFill>
        </w:rPr>
        <w:t>相关基因检测结果解析</w:t>
      </w:r>
      <w:r>
        <w:rPr>
          <w:rFonts w:hint="eastAsia" w:ascii="Times New Roman" w:hAnsi="Times New Roman" w:eastAsia="微软雅黑" w:cs="Times New Roman"/>
          <w:b/>
          <w:color w:val="000000" w:themeColor="text1"/>
          <w:sz w:val="20"/>
          <w:szCs w:val="20"/>
          <w:lang w:eastAsia="zh-CN"/>
          <w14:textFill>
            <w14:solidFill>
              <w14:schemeClr w14:val="tx1"/>
            </w14:solidFill>
          </w14:textFill>
        </w:rPr>
        <w:t>{% for tdd in hpdImmnue%}{% if tdd.varDesc !=</w:t>
      </w:r>
      <w:r>
        <w:rPr>
          <w:rFonts w:ascii="Times New Roman" w:hAnsi="Times New Roman" w:eastAsia="微软雅黑" w:cs="Times New Roman"/>
          <w:b/>
          <w:color w:val="000000" w:themeColor="text1"/>
          <w:sz w:val="20"/>
          <w:szCs w:val="20"/>
          <w:lang w:eastAsia="zh-CN"/>
          <w14:textFill>
            <w14:solidFill>
              <w14:schemeClr w14:val="tx1"/>
            </w14:solidFill>
          </w14:textFill>
        </w:rPr>
        <w:t>”</w:t>
      </w:r>
      <w:r>
        <w:rPr>
          <w:rFonts w:hint="eastAsia" w:ascii="Times New Roman" w:hAnsi="Times New Roman" w:eastAsia="微软雅黑" w:cs="Times New Roman"/>
          <w:b/>
          <w:color w:val="000000" w:themeColor="text1"/>
          <w:sz w:val="20"/>
          <w:szCs w:val="20"/>
          <w:lang w:eastAsia="zh-CN"/>
          <w14:textFill>
            <w14:solidFill>
              <w14:schemeClr w14:val="tx1"/>
            </w14:solidFill>
          </w14:textFill>
        </w:rPr>
        <w:t>/</w:t>
      </w:r>
      <w:r>
        <w:rPr>
          <w:rFonts w:ascii="Times New Roman" w:hAnsi="Times New Roman" w:eastAsia="微软雅黑" w:cs="Times New Roman"/>
          <w:b/>
          <w:color w:val="000000" w:themeColor="text1"/>
          <w:sz w:val="20"/>
          <w:szCs w:val="20"/>
          <w:lang w:eastAsia="zh-CN"/>
          <w14:textFill>
            <w14:solidFill>
              <w14:schemeClr w14:val="tx1"/>
            </w14:solidFill>
          </w14:textFill>
        </w:rPr>
        <w:t>”</w:t>
      </w:r>
      <w:r>
        <w:rPr>
          <w:rFonts w:hint="eastAsia" w:ascii="Times New Roman" w:hAnsi="Times New Roman" w:eastAsia="微软雅黑" w:cs="Times New Roman"/>
          <w:b/>
          <w:color w:val="000000" w:themeColor="text1"/>
          <w:sz w:val="20"/>
          <w:szCs w:val="20"/>
          <w:lang w:eastAsia="zh-CN"/>
          <w14:textFill>
            <w14:solidFill>
              <w14:schemeClr w14:val="tx1"/>
            </w14:solidFill>
          </w14:textFill>
        </w:rPr>
        <w:t xml:space="preserve"> %}</w:t>
      </w:r>
    </w:p>
    <w:p w14:paraId="6F783318">
      <w:pPr>
        <w:keepNext/>
        <w:spacing w:before="240" w:beforeLines="100" w:line="360" w:lineRule="auto"/>
        <w:rPr>
          <w:rFonts w:ascii="Times New Roman" w:hAnsi="Times New Roman" w:eastAsia="微软雅黑" w:cs="Times New Roman"/>
          <w:b/>
          <w:color w:val="000000" w:themeColor="text1"/>
          <w:sz w:val="20"/>
          <w:szCs w:val="20"/>
          <w:lang w:eastAsia="zh-CN"/>
          <w14:textFill>
            <w14:solidFill>
              <w14:schemeClr w14:val="tx1"/>
            </w14:solidFill>
          </w14:textFill>
        </w:rPr>
      </w:pPr>
      <w:r>
        <w:rPr>
          <w:rFonts w:hint="eastAsia" w:ascii="Times New Roman" w:hAnsi="Times New Roman" w:eastAsia="微软雅黑" w:cs="Times New Roman"/>
          <w:b/>
          <w:color w:val="000000" w:themeColor="text1"/>
          <w:sz w:val="20"/>
          <w:szCs w:val="20"/>
          <w:lang w:eastAsia="zh-CN"/>
          <w14:textFill>
            <w14:solidFill>
              <w14:schemeClr w14:val="tx1"/>
            </w14:solidFill>
          </w14:textFill>
        </w:rPr>
        <w:t>{{ tdd.gene }}</w:t>
      </w:r>
    </w:p>
    <w:tbl>
      <w:tblPr>
        <w:tblStyle w:val="14"/>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623"/>
        <w:gridCol w:w="8247"/>
      </w:tblGrid>
      <w:tr w14:paraId="4E35E1E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623" w:type="dxa"/>
            <w:tcBorders>
              <w:top w:val="nil"/>
              <w:bottom w:val="single" w:color="FFFFFF" w:sz="18" w:space="0"/>
              <w:right w:val="nil"/>
            </w:tcBorders>
            <w:shd w:val="clear" w:color="auto" w:fill="62BC41"/>
            <w:vAlign w:val="center"/>
          </w:tcPr>
          <w:p w14:paraId="4D2CF0C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left w:val="nil"/>
            </w:tcBorders>
            <w:vAlign w:val="center"/>
          </w:tcPr>
          <w:p w14:paraId="2360269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tdd.variant }}</w:t>
            </w:r>
          </w:p>
        </w:tc>
      </w:tr>
      <w:tr w14:paraId="3CC7AC3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62BC41"/>
            <w:vAlign w:val="center"/>
          </w:tcPr>
          <w:p w14:paraId="5998D7DB">
            <w:pPr>
              <w:keepNext/>
              <w:spacing w:before="26"/>
              <w:jc w:val="center"/>
              <w:rPr>
                <w:rFonts w:hint="default" w:ascii="Times New Roman" w:hAnsi="Times New Roman" w:eastAsia="微软雅黑" w:cs="Times New Roman"/>
                <w:b/>
                <w:color w:val="FFFFFF" w:themeColor="background1"/>
                <w:sz w:val="18"/>
                <w:szCs w:val="18"/>
                <w:lang w:val="en-US"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highlight w:val="none"/>
                <w:lang w:eastAsia="zh-CN"/>
                <w14:textFill>
                  <w14:solidFill>
                    <w14:schemeClr w14:val="bg1"/>
                  </w14:solidFill>
                </w14:textFill>
              </w:rPr>
              <w:t>{{ tdd.mutFreq</w:t>
            </w:r>
            <w:r>
              <w:rPr>
                <w:rFonts w:hint="eastAsia" w:ascii="Times New Roman" w:hAnsi="Times New Roman" w:eastAsia="微软雅黑" w:cs="Times New Roman"/>
                <w:b/>
                <w:color w:val="FFFFFF" w:themeColor="background1"/>
                <w:sz w:val="18"/>
                <w:szCs w:val="18"/>
                <w:highlight w:val="none"/>
                <w:lang w:val="en-US" w:eastAsia="zh-CN"/>
                <w14:textFill>
                  <w14:solidFill>
                    <w14:schemeClr w14:val="bg1"/>
                  </w14:solidFill>
                </w14:textFill>
              </w:rPr>
              <w:t>Type</w:t>
            </w:r>
            <w:r>
              <w:rPr>
                <w:rFonts w:hint="eastAsia" w:ascii="Times New Roman" w:hAnsi="Times New Roman" w:eastAsia="微软雅黑" w:cs="Times New Roman"/>
                <w:b/>
                <w:color w:val="FFFFFF" w:themeColor="background1"/>
                <w:sz w:val="18"/>
                <w:szCs w:val="18"/>
                <w:highlight w:val="none"/>
                <w:lang w:eastAsia="zh-CN"/>
                <w14:textFill>
                  <w14:solidFill>
                    <w14:schemeClr w14:val="bg1"/>
                  </w14:solidFill>
                </w14:textFill>
              </w:rPr>
              <w:t xml:space="preserve"> }}</w:t>
            </w:r>
          </w:p>
        </w:tc>
        <w:tc>
          <w:tcPr>
            <w:tcW w:w="8247" w:type="dxa"/>
            <w:tcBorders>
              <w:left w:val="nil"/>
            </w:tcBorders>
            <w:vAlign w:val="center"/>
          </w:tcPr>
          <w:p w14:paraId="12AD39D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51E7734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62BC41"/>
            <w:vAlign w:val="center"/>
          </w:tcPr>
          <w:p w14:paraId="196A64D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循证医学证据</w:t>
            </w:r>
          </w:p>
        </w:tc>
        <w:tc>
          <w:tcPr>
            <w:tcW w:w="8247" w:type="dxa"/>
            <w:tcBorders>
              <w:left w:val="nil"/>
            </w:tcBorders>
            <w:vAlign w:val="center"/>
          </w:tcPr>
          <w:p w14:paraId="16337B27">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b/>
                <w:bCs/>
                <w:sz w:val="18"/>
                <w:szCs w:val="18"/>
                <w:lang w:eastAsia="zh-CN"/>
              </w:rPr>
              <w:t>免疫超进展相关说明:</w:t>
            </w:r>
            <w:r>
              <w:rPr>
                <w:rFonts w:hint="eastAsia" w:ascii="Times New Roman" w:hAnsi="Times New Roman" w:eastAsia="微软雅黑" w:cs="Times New Roman"/>
                <w:bCs/>
                <w:sz w:val="18"/>
                <w:szCs w:val="18"/>
                <w:lang w:eastAsia="zh-CN"/>
              </w:rPr>
              <w:t>{{ tdd.varDesc }}</w:t>
            </w:r>
          </w:p>
        </w:tc>
      </w:tr>
    </w:tbl>
    <w:p w14:paraId="1295E707">
      <w:pPr>
        <w:spacing w:before="26"/>
        <w:rPr>
          <w:rFonts w:ascii="Times New Roman" w:hAnsi="Times New Roman" w:eastAsia="微软雅黑" w:cs="Times New Roman"/>
          <w:b/>
          <w:sz w:val="24"/>
          <w:szCs w:val="24"/>
          <w:lang w:eastAsia="zh-CN"/>
        </w:rPr>
      </w:pPr>
      <w:r>
        <w:rPr>
          <w:rFonts w:hint="eastAsia"/>
          <w:color w:val="000000" w:themeColor="text1"/>
          <w14:textFill>
            <w14:solidFill>
              <w14:schemeClr w14:val="tx1"/>
            </w14:solidFill>
          </w14:textFill>
        </w:rPr>
        <w:t>{% endif %}{% endfor %}{% endif %}</w:t>
      </w:r>
      <w:r>
        <w:br w:type="page"/>
      </w:r>
      <w:r>
        <w:rPr>
          <w:rFonts w:hint="eastAsia" w:ascii="Times New Roman" w:hAnsi="Times New Roman" w:eastAsia="微软雅黑" w:cs="Times New Roman"/>
          <w:b/>
          <w:sz w:val="24"/>
          <w:szCs w:val="24"/>
          <w:lang w:eastAsia="zh-CN"/>
        </w:rPr>
        <w:t xml:space="preserve">{% endif %}{%if urinaryProstateDisease != </w:t>
      </w:r>
      <w:r>
        <w:rPr>
          <w:rFonts w:ascii="Times New Roman" w:hAnsi="Times New Roman" w:eastAsia="微软雅黑" w:cs="Times New Roman"/>
          <w:b/>
          <w:sz w:val="24"/>
          <w:szCs w:val="24"/>
          <w:lang w:eastAsia="zh-CN"/>
        </w:rPr>
        <w:t>‘’</w:t>
      </w:r>
      <w:r>
        <w:rPr>
          <w:rFonts w:hint="eastAsia" w:ascii="Times New Roman" w:hAnsi="Times New Roman" w:eastAsia="微软雅黑" w:cs="Times New Roman"/>
          <w:b/>
          <w:sz w:val="24"/>
          <w:szCs w:val="24"/>
          <w:lang w:eastAsia="zh-CN"/>
        </w:rPr>
        <w:t>%}</w:t>
      </w:r>
    </w:p>
    <w:p w14:paraId="7BFA3419">
      <w:pPr>
        <w:pStyle w:val="3"/>
        <w:numPr>
          <w:ilvl w:val="255"/>
          <w:numId w:val="0"/>
        </w:numPr>
        <w:jc w:val="both"/>
        <w:rPr>
          <w:color w:val="auto"/>
          <w:sz w:val="30"/>
          <w:lang w:eastAsia="zh-CN"/>
        </w:rPr>
      </w:pPr>
      <w:bookmarkStart w:id="92" w:name="_Toc25457"/>
      <w:bookmarkStart w:id="93" w:name="_Toc28864"/>
      <w:bookmarkStart w:id="94" w:name="_Toc25534"/>
      <w:r>
        <w:rPr>
          <w:rFonts w:hint="eastAsia"/>
          <w:color w:val="auto"/>
          <w:sz w:val="30"/>
          <w:lang w:eastAsia="zh-CN"/>
        </w:rPr>
        <w:t>预后相关基因检测结果及解析</w:t>
      </w:r>
      <w:bookmarkEnd w:id="92"/>
      <w:bookmarkEnd w:id="93"/>
      <w:bookmarkEnd w:id="94"/>
    </w:p>
    <w:p w14:paraId="5283C055">
      <w:pPr>
        <w:spacing w:before="26"/>
        <w:rPr>
          <w:rFonts w:ascii="Times New Roman" w:hAnsi="Times New Roman" w:eastAsia="微软雅黑" w:cs="Times New Roman"/>
          <w:b/>
          <w:sz w:val="18"/>
          <w:szCs w:val="18"/>
          <w:lang w:eastAsia="zh-CN"/>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 xml:space="preserve">{%if urinaryProstateDisease </w:t>
      </w:r>
      <w:r>
        <w:rPr>
          <w:rFonts w:hint="eastAsia" w:cs="Times New Roman"/>
          <w:color w:val="000000" w:themeColor="text1"/>
          <w:sz w:val="18"/>
          <w:szCs w:val="18"/>
          <w:lang w:eastAsia="zh-CN"/>
          <w14:textFill>
            <w14:solidFill>
              <w14:schemeClr w14:val="tx1"/>
            </w14:solidFill>
          </w14:textFill>
        </w:rPr>
        <w:t>=</w:t>
      </w:r>
      <w:r>
        <w:rPr>
          <w:rFonts w:hint="eastAsia" w:ascii="Times New Roman" w:hAnsi="Times New Roman" w:eastAsia="微软雅黑" w:cs="Times New Roman"/>
          <w:color w:val="000000" w:themeColor="text1"/>
          <w:sz w:val="18"/>
          <w:szCs w:val="18"/>
          <w:lang w:eastAsia="zh-CN"/>
          <w14:textFill>
            <w14:solidFill>
              <w14:schemeClr w14:val="tx1"/>
            </w14:solidFill>
          </w14:textFill>
        </w:rPr>
        <w:t xml:space="preserve">= </w:t>
      </w:r>
      <w:r>
        <w:rPr>
          <w:rFonts w:ascii="Times New Roman" w:hAnsi="Times New Roman" w:eastAsia="微软雅黑" w:cs="Times New Roman"/>
          <w:color w:val="000000" w:themeColor="text1"/>
          <w:sz w:val="18"/>
          <w:szCs w:val="18"/>
          <w:lang w:eastAsia="zh-CN"/>
          <w14:textFill>
            <w14:solidFill>
              <w14:schemeClr w14:val="tx1"/>
            </w14:solidFill>
          </w14:textFill>
        </w:rPr>
        <w:t>‘</w:t>
      </w:r>
      <w:r>
        <w:rPr>
          <w:rFonts w:hint="eastAsia" w:ascii="Times New Roman" w:hAnsi="Times New Roman" w:eastAsia="微软雅黑" w:cs="Times New Roman"/>
          <w:color w:val="000000" w:themeColor="text1"/>
          <w:sz w:val="18"/>
          <w:szCs w:val="18"/>
          <w:lang w:eastAsia="zh-CN"/>
          <w14:textFill>
            <w14:solidFill>
              <w14:schemeClr w14:val="tx1"/>
            </w14:solidFill>
          </w14:textFill>
        </w:rPr>
        <w:t>肾癌</w:t>
      </w:r>
      <w:r>
        <w:rPr>
          <w:rFonts w:ascii="Times New Roman" w:hAnsi="Times New Roman" w:eastAsia="微软雅黑" w:cs="Times New Roman"/>
          <w:color w:val="000000" w:themeColor="text1"/>
          <w:sz w:val="18"/>
          <w:szCs w:val="18"/>
          <w:lang w:eastAsia="zh-CN"/>
          <w14:textFill>
            <w14:solidFill>
              <w14:schemeClr w14:val="tx1"/>
            </w14:solidFill>
          </w14:textFill>
        </w:rPr>
        <w:t>’</w:t>
      </w:r>
      <w:r>
        <w:rPr>
          <w:rFonts w:hint="eastAsia" w:ascii="Times New Roman" w:hAnsi="Times New Roman" w:eastAsia="微软雅黑" w:cs="Times New Roman"/>
          <w:color w:val="000000" w:themeColor="text1"/>
          <w:sz w:val="18"/>
          <w:szCs w:val="18"/>
          <w:lang w:eastAsia="zh-CN"/>
          <w14:textFill>
            <w14:solidFill>
              <w14:schemeClr w14:val="tx1"/>
            </w14:solidFill>
          </w14:textFill>
        </w:rPr>
        <w:t>%}</w:t>
      </w:r>
    </w:p>
    <w:tbl>
      <w:tblPr>
        <w:tblStyle w:val="14"/>
        <w:tblW w:w="5125" w:type="pct"/>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82"/>
        <w:gridCol w:w="1122"/>
        <w:gridCol w:w="1182"/>
        <w:gridCol w:w="5499"/>
        <w:gridCol w:w="1333"/>
      </w:tblGrid>
      <w:tr w14:paraId="1AE71CE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85" w:type="pct"/>
            <w:tcBorders>
              <w:top w:val="nil"/>
              <w:bottom w:val="nil"/>
              <w:right w:val="single" w:color="FFFFFF" w:sz="18" w:space="0"/>
            </w:tcBorders>
            <w:shd w:val="clear" w:color="auto" w:fill="62BC41"/>
            <w:vAlign w:val="center"/>
          </w:tcPr>
          <w:p w14:paraId="454F468F">
            <w:pPr>
              <w:spacing w:line="206"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分子标记物</w:t>
            </w:r>
          </w:p>
        </w:tc>
        <w:tc>
          <w:tcPr>
            <w:tcW w:w="554" w:type="pct"/>
            <w:tcBorders>
              <w:top w:val="nil"/>
              <w:left w:val="single" w:color="FFFFFF" w:sz="18" w:space="0"/>
              <w:bottom w:val="nil"/>
              <w:right w:val="single" w:color="FFFFFF" w:sz="18" w:space="0"/>
            </w:tcBorders>
            <w:shd w:val="clear" w:color="auto" w:fill="62BC41"/>
            <w:vAlign w:val="center"/>
          </w:tcPr>
          <w:p w14:paraId="71A4A4DD">
            <w:pPr>
              <w:spacing w:line="206"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癌种大类</w:t>
            </w:r>
          </w:p>
        </w:tc>
        <w:tc>
          <w:tcPr>
            <w:tcW w:w="584" w:type="pct"/>
            <w:tcBorders>
              <w:top w:val="nil"/>
              <w:left w:val="single" w:color="FFFFFF" w:sz="18" w:space="0"/>
              <w:bottom w:val="nil"/>
              <w:right w:val="single" w:color="FFFFFF" w:sz="18" w:space="0"/>
            </w:tcBorders>
            <w:shd w:val="clear" w:color="auto" w:fill="62BC41"/>
            <w:vAlign w:val="center"/>
          </w:tcPr>
          <w:p w14:paraId="5473B395">
            <w:pPr>
              <w:spacing w:line="206"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检测结果</w:t>
            </w:r>
          </w:p>
        </w:tc>
        <w:tc>
          <w:tcPr>
            <w:tcW w:w="2716" w:type="pct"/>
            <w:tcBorders>
              <w:top w:val="nil"/>
              <w:left w:val="single" w:color="FFFFFF" w:sz="18" w:space="0"/>
              <w:bottom w:val="nil"/>
              <w:right w:val="single" w:color="FFFFFF" w:sz="18" w:space="0"/>
            </w:tcBorders>
            <w:shd w:val="clear" w:color="auto" w:fill="62BC41"/>
            <w:vAlign w:val="center"/>
          </w:tcPr>
          <w:p w14:paraId="4ED056A1">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预后相关性</w:t>
            </w:r>
          </w:p>
        </w:tc>
        <w:tc>
          <w:tcPr>
            <w:tcW w:w="659" w:type="pct"/>
            <w:tcBorders>
              <w:top w:val="nil"/>
              <w:left w:val="single" w:color="FFFFFF" w:sz="18" w:space="0"/>
              <w:bottom w:val="nil"/>
            </w:tcBorders>
            <w:shd w:val="clear" w:color="auto" w:fill="62BC41"/>
            <w:vAlign w:val="center"/>
          </w:tcPr>
          <w:p w14:paraId="60F9D609">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参考依据</w:t>
            </w:r>
          </w:p>
        </w:tc>
      </w:tr>
      <w:tr w14:paraId="3682C2F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485" w:type="pct"/>
            <w:tcBorders>
              <w:top w:val="nil"/>
            </w:tcBorders>
            <w:shd w:val="clear" w:color="auto" w:fill="auto"/>
            <w:vAlign w:val="center"/>
          </w:tcPr>
          <w:p w14:paraId="1DBFEED2">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BAP1</w:t>
            </w:r>
          </w:p>
          <w:p w14:paraId="630B3BFF">
            <w:pPr>
              <w:spacing w:before="26"/>
              <w:jc w:val="center"/>
              <w:rPr>
                <w:rFonts w:ascii="Times New Roman" w:hAnsi="Times New Roman" w:eastAsia="微软雅黑"/>
                <w:sz w:val="18"/>
                <w:lang w:eastAsia="zh-CN"/>
              </w:rPr>
            </w:pPr>
            <w:r>
              <w:rPr>
                <w:rFonts w:hint="eastAsia" w:ascii="Times New Roman" w:hAnsi="Times New Roman" w:eastAsia="微软雅黑" w:cs="Times New Roman"/>
                <w:bCs/>
                <w:sz w:val="18"/>
                <w:szCs w:val="18"/>
                <w:lang w:eastAsia="zh-CN"/>
              </w:rPr>
              <w:t>突变</w:t>
            </w:r>
          </w:p>
        </w:tc>
        <w:tc>
          <w:tcPr>
            <w:tcW w:w="554" w:type="pct"/>
            <w:tcBorders>
              <w:top w:val="nil"/>
            </w:tcBorders>
            <w:shd w:val="clear" w:color="auto" w:fill="auto"/>
            <w:vAlign w:val="center"/>
          </w:tcPr>
          <w:p w14:paraId="265C7F61">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肾癌</w:t>
            </w:r>
          </w:p>
        </w:tc>
        <w:tc>
          <w:tcPr>
            <w:tcW w:w="584" w:type="pct"/>
            <w:tcBorders>
              <w:top w:val="nil"/>
            </w:tcBorders>
            <w:shd w:val="clear" w:color="auto" w:fill="auto"/>
            <w:vAlign w:val="center"/>
          </w:tcPr>
          <w:p w14:paraId="2C955ED4">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up.BAP1 }}</w:t>
            </w:r>
          </w:p>
        </w:tc>
        <w:tc>
          <w:tcPr>
            <w:tcW w:w="2716" w:type="pct"/>
            <w:tcBorders>
              <w:top w:val="nil"/>
            </w:tcBorders>
            <w:shd w:val="clear" w:color="auto" w:fill="auto"/>
            <w:vAlign w:val="center"/>
          </w:tcPr>
          <w:p w14:paraId="074748A5">
            <w:pPr>
              <w:spacing w:before="26"/>
              <w:ind w:left="110" w:leftChars="50" w:right="110" w:rightChars="50"/>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有研究发现从OS上评估，BAP1和TP53中一个突变或两个均突变（PBRM1无突变）的肾透明细胞癌（ccRCC）相较于野生型预后较差。</w:t>
            </w:r>
          </w:p>
        </w:tc>
        <w:tc>
          <w:tcPr>
            <w:tcW w:w="659" w:type="pct"/>
            <w:tcBorders>
              <w:top w:val="nil"/>
            </w:tcBorders>
            <w:shd w:val="clear" w:color="auto" w:fill="auto"/>
            <w:vAlign w:val="center"/>
          </w:tcPr>
          <w:p w14:paraId="0709BC19">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30416077</w:t>
            </w:r>
          </w:p>
          <w:p w14:paraId="7D8AE227">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29617669</w:t>
            </w:r>
          </w:p>
        </w:tc>
      </w:tr>
      <w:tr w14:paraId="000BA7D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485" w:type="pct"/>
            <w:shd w:val="clear" w:color="auto" w:fill="auto"/>
            <w:vAlign w:val="center"/>
          </w:tcPr>
          <w:p w14:paraId="5A675C60">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CDKN2A</w:t>
            </w:r>
          </w:p>
          <w:p w14:paraId="54206E7B">
            <w:pPr>
              <w:spacing w:before="26"/>
              <w:jc w:val="center"/>
              <w:rPr>
                <w:rFonts w:ascii="Times New Roman" w:hAnsi="Times New Roman" w:eastAsia="微软雅黑"/>
                <w:sz w:val="18"/>
                <w:lang w:eastAsia="zh-CN"/>
              </w:rPr>
            </w:pPr>
            <w:r>
              <w:rPr>
                <w:rFonts w:hint="eastAsia" w:ascii="Times New Roman" w:hAnsi="Times New Roman" w:eastAsia="微软雅黑" w:cs="Times New Roman"/>
                <w:bCs/>
                <w:sz w:val="18"/>
                <w:szCs w:val="18"/>
                <w:lang w:eastAsia="zh-CN"/>
              </w:rPr>
              <w:t>突变</w:t>
            </w:r>
          </w:p>
        </w:tc>
        <w:tc>
          <w:tcPr>
            <w:tcW w:w="554" w:type="pct"/>
            <w:shd w:val="clear" w:color="auto" w:fill="auto"/>
            <w:vAlign w:val="center"/>
          </w:tcPr>
          <w:p w14:paraId="7053B39C">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肾癌</w:t>
            </w:r>
          </w:p>
        </w:tc>
        <w:tc>
          <w:tcPr>
            <w:tcW w:w="584" w:type="pct"/>
            <w:shd w:val="clear" w:color="auto" w:fill="auto"/>
            <w:vAlign w:val="center"/>
          </w:tcPr>
          <w:p w14:paraId="57013237">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up.CDKN2A }}</w:t>
            </w:r>
          </w:p>
        </w:tc>
        <w:tc>
          <w:tcPr>
            <w:tcW w:w="2716" w:type="pct"/>
            <w:shd w:val="clear" w:color="auto" w:fill="auto"/>
            <w:vAlign w:val="center"/>
          </w:tcPr>
          <w:p w14:paraId="3F3D08E9">
            <w:pPr>
              <w:spacing w:before="26"/>
              <w:ind w:left="110" w:leftChars="50" w:right="110" w:rightChars="50"/>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CDKN2A 突变的 ccRCC、pRCC、chRCC 患者预后较差。</w:t>
            </w:r>
          </w:p>
        </w:tc>
        <w:tc>
          <w:tcPr>
            <w:tcW w:w="659" w:type="pct"/>
            <w:shd w:val="clear" w:color="auto" w:fill="auto"/>
            <w:vAlign w:val="center"/>
          </w:tcPr>
          <w:p w14:paraId="05ADC5CE">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29617669</w:t>
            </w:r>
          </w:p>
        </w:tc>
      </w:tr>
      <w:tr w14:paraId="492BF92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485" w:type="pct"/>
            <w:shd w:val="clear" w:color="auto" w:fill="auto"/>
            <w:vAlign w:val="center"/>
          </w:tcPr>
          <w:p w14:paraId="7B439750">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PBRM1</w:t>
            </w:r>
          </w:p>
          <w:p w14:paraId="51BEE53A">
            <w:pPr>
              <w:spacing w:before="26"/>
              <w:jc w:val="center"/>
              <w:rPr>
                <w:rFonts w:ascii="Times New Roman" w:hAnsi="Times New Roman" w:eastAsia="微软雅黑"/>
                <w:sz w:val="18"/>
                <w:lang w:eastAsia="zh-CN"/>
              </w:rPr>
            </w:pPr>
            <w:r>
              <w:rPr>
                <w:rFonts w:hint="eastAsia" w:ascii="Times New Roman" w:hAnsi="Times New Roman" w:eastAsia="微软雅黑" w:cs="Times New Roman"/>
                <w:bCs/>
                <w:sz w:val="18"/>
                <w:szCs w:val="18"/>
                <w:lang w:eastAsia="zh-CN"/>
              </w:rPr>
              <w:t>突变</w:t>
            </w:r>
          </w:p>
        </w:tc>
        <w:tc>
          <w:tcPr>
            <w:tcW w:w="554" w:type="pct"/>
            <w:shd w:val="clear" w:color="auto" w:fill="auto"/>
            <w:vAlign w:val="center"/>
          </w:tcPr>
          <w:p w14:paraId="22EF54F7">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肾癌</w:t>
            </w:r>
          </w:p>
        </w:tc>
        <w:tc>
          <w:tcPr>
            <w:tcW w:w="584" w:type="pct"/>
            <w:shd w:val="clear" w:color="auto" w:fill="auto"/>
            <w:vAlign w:val="center"/>
          </w:tcPr>
          <w:p w14:paraId="4D41C3C3">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up.PBRM1 }}</w:t>
            </w:r>
          </w:p>
        </w:tc>
        <w:tc>
          <w:tcPr>
            <w:tcW w:w="2716" w:type="pct"/>
            <w:shd w:val="clear" w:color="auto" w:fill="auto"/>
            <w:vAlign w:val="center"/>
          </w:tcPr>
          <w:p w14:paraId="4FEC3D30">
            <w:pPr>
              <w:spacing w:before="26"/>
              <w:ind w:left="110" w:leftChars="50" w:right="110" w:rightChars="50"/>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有研究发现从OS上评估，PBRM1突变的肾透明细胞癌（ccRCC）相较于野生型预后较好。另有研究发现，PBRM1突变的</w:t>
            </w:r>
            <w:r>
              <w:rPr>
                <w:rFonts w:ascii="Times New Roman" w:hAnsi="Times New Roman" w:eastAsia="微软雅黑" w:cs="Times New Roman"/>
                <w:bCs/>
                <w:sz w:val="18"/>
                <w:szCs w:val="18"/>
                <w:lang w:eastAsia="zh-CN"/>
              </w:rPr>
              <w:t>Ⅰ</w:t>
            </w:r>
            <w:r>
              <w:rPr>
                <w:rFonts w:hint="eastAsia" w:ascii="Times New Roman" w:hAnsi="Times New Roman" w:eastAsia="微软雅黑" w:cs="Times New Roman"/>
                <w:bCs/>
                <w:sz w:val="18"/>
                <w:szCs w:val="18"/>
                <w:lang w:eastAsia="zh-CN"/>
              </w:rPr>
              <w:t>型乳头状肾细胞癌（pRCC1）患者相较于野生型预后较差。</w:t>
            </w:r>
          </w:p>
        </w:tc>
        <w:tc>
          <w:tcPr>
            <w:tcW w:w="659" w:type="pct"/>
            <w:shd w:val="clear" w:color="auto" w:fill="auto"/>
            <w:vAlign w:val="center"/>
          </w:tcPr>
          <w:p w14:paraId="2A7B04F7">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30416077</w:t>
            </w:r>
          </w:p>
          <w:p w14:paraId="151FD901">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29617669</w:t>
            </w:r>
          </w:p>
        </w:tc>
      </w:tr>
      <w:tr w14:paraId="2568B99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485" w:type="pct"/>
            <w:shd w:val="clear" w:color="auto" w:fill="auto"/>
            <w:vAlign w:val="center"/>
          </w:tcPr>
          <w:p w14:paraId="4AFA3AE1">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PTEN</w:t>
            </w:r>
          </w:p>
          <w:p w14:paraId="596EF69F">
            <w:pPr>
              <w:spacing w:before="26"/>
              <w:jc w:val="center"/>
              <w:rPr>
                <w:rFonts w:ascii="Times New Roman" w:hAnsi="Times New Roman" w:eastAsia="微软雅黑"/>
                <w:sz w:val="18"/>
                <w:lang w:eastAsia="zh-CN"/>
              </w:rPr>
            </w:pPr>
            <w:r>
              <w:rPr>
                <w:rFonts w:hint="eastAsia" w:ascii="Times New Roman" w:hAnsi="Times New Roman" w:eastAsia="微软雅黑" w:cs="Times New Roman"/>
                <w:bCs/>
                <w:sz w:val="18"/>
                <w:szCs w:val="18"/>
                <w:lang w:eastAsia="zh-CN"/>
              </w:rPr>
              <w:t>突变</w:t>
            </w:r>
          </w:p>
        </w:tc>
        <w:tc>
          <w:tcPr>
            <w:tcW w:w="554" w:type="pct"/>
            <w:shd w:val="clear" w:color="auto" w:fill="auto"/>
            <w:vAlign w:val="center"/>
          </w:tcPr>
          <w:p w14:paraId="3FC3FA38">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肾癌</w:t>
            </w:r>
          </w:p>
        </w:tc>
        <w:tc>
          <w:tcPr>
            <w:tcW w:w="584" w:type="pct"/>
            <w:shd w:val="clear" w:color="auto" w:fill="auto"/>
            <w:vAlign w:val="center"/>
          </w:tcPr>
          <w:p w14:paraId="10C82A5C">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up.PTEN }}</w:t>
            </w:r>
          </w:p>
        </w:tc>
        <w:tc>
          <w:tcPr>
            <w:tcW w:w="2716" w:type="pct"/>
            <w:shd w:val="clear" w:color="auto" w:fill="auto"/>
            <w:vAlign w:val="center"/>
          </w:tcPr>
          <w:p w14:paraId="2399F1C9">
            <w:pPr>
              <w:spacing w:before="26"/>
              <w:ind w:left="110" w:leftChars="50" w:right="110" w:rightChars="50"/>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有研究发现从OS上评估，PTEN 突变的肾嫌色细胞癌（chRCC）相较于野生型预后较差。</w:t>
            </w:r>
          </w:p>
        </w:tc>
        <w:tc>
          <w:tcPr>
            <w:tcW w:w="659" w:type="pct"/>
            <w:shd w:val="clear" w:color="auto" w:fill="auto"/>
            <w:vAlign w:val="center"/>
          </w:tcPr>
          <w:p w14:paraId="2195EC06">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29617669</w:t>
            </w:r>
          </w:p>
        </w:tc>
      </w:tr>
      <w:tr w14:paraId="0FBA292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485" w:type="pct"/>
            <w:shd w:val="clear" w:color="auto" w:fill="auto"/>
            <w:vAlign w:val="center"/>
          </w:tcPr>
          <w:p w14:paraId="7FD99F2C">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TERT</w:t>
            </w:r>
          </w:p>
          <w:p w14:paraId="04C9C6C8">
            <w:pPr>
              <w:spacing w:before="26"/>
              <w:jc w:val="center"/>
              <w:rPr>
                <w:rFonts w:ascii="Times New Roman" w:hAnsi="Times New Roman" w:eastAsia="微软雅黑"/>
                <w:sz w:val="18"/>
                <w:lang w:eastAsia="zh-CN"/>
              </w:rPr>
            </w:pPr>
            <w:r>
              <w:rPr>
                <w:rFonts w:hint="eastAsia" w:ascii="Times New Roman" w:hAnsi="Times New Roman" w:eastAsia="微软雅黑" w:cs="Times New Roman"/>
                <w:bCs/>
                <w:sz w:val="18"/>
                <w:szCs w:val="18"/>
                <w:lang w:eastAsia="zh-CN"/>
              </w:rPr>
              <w:t>启动子突变</w:t>
            </w:r>
          </w:p>
        </w:tc>
        <w:tc>
          <w:tcPr>
            <w:tcW w:w="554" w:type="pct"/>
            <w:shd w:val="clear" w:color="auto" w:fill="auto"/>
            <w:vAlign w:val="center"/>
          </w:tcPr>
          <w:p w14:paraId="508BB8A0">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肾癌</w:t>
            </w:r>
          </w:p>
        </w:tc>
        <w:tc>
          <w:tcPr>
            <w:tcW w:w="584" w:type="pct"/>
            <w:shd w:val="clear" w:color="auto" w:fill="auto"/>
            <w:vAlign w:val="center"/>
          </w:tcPr>
          <w:p w14:paraId="6B1EF5E5">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up.TERT }}</w:t>
            </w:r>
          </w:p>
        </w:tc>
        <w:tc>
          <w:tcPr>
            <w:tcW w:w="2716" w:type="pct"/>
            <w:shd w:val="clear" w:color="auto" w:fill="auto"/>
            <w:vAlign w:val="center"/>
          </w:tcPr>
          <w:p w14:paraId="6A98C92A">
            <w:pPr>
              <w:spacing w:before="26"/>
              <w:ind w:left="110" w:leftChars="50" w:right="110" w:rightChars="50"/>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有研究称，在肾透明细胞癌（ccRCC）患者中，TERT启动子突变与一些较差的预后相关。</w:t>
            </w:r>
          </w:p>
        </w:tc>
        <w:tc>
          <w:tcPr>
            <w:tcW w:w="659" w:type="pct"/>
            <w:shd w:val="clear" w:color="auto" w:fill="auto"/>
            <w:vAlign w:val="center"/>
          </w:tcPr>
          <w:p w14:paraId="12B915D6">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28951115</w:t>
            </w:r>
          </w:p>
        </w:tc>
      </w:tr>
      <w:tr w14:paraId="38BB29A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485" w:type="pct"/>
            <w:shd w:val="clear" w:color="auto" w:fill="auto"/>
            <w:vAlign w:val="center"/>
          </w:tcPr>
          <w:p w14:paraId="16E03808">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TP53</w:t>
            </w:r>
          </w:p>
          <w:p w14:paraId="62C947EA">
            <w:pPr>
              <w:spacing w:before="26"/>
              <w:jc w:val="center"/>
              <w:rPr>
                <w:rFonts w:ascii="Times New Roman" w:hAnsi="Times New Roman" w:eastAsia="微软雅黑"/>
                <w:sz w:val="18"/>
                <w:lang w:eastAsia="zh-CN"/>
              </w:rPr>
            </w:pPr>
            <w:r>
              <w:rPr>
                <w:rFonts w:hint="eastAsia" w:ascii="Times New Roman" w:hAnsi="Times New Roman" w:eastAsia="微软雅黑" w:cs="Times New Roman"/>
                <w:bCs/>
                <w:sz w:val="18"/>
                <w:szCs w:val="18"/>
                <w:lang w:eastAsia="zh-CN"/>
              </w:rPr>
              <w:t>突变</w:t>
            </w:r>
          </w:p>
        </w:tc>
        <w:tc>
          <w:tcPr>
            <w:tcW w:w="554" w:type="pct"/>
            <w:shd w:val="clear" w:color="auto" w:fill="auto"/>
            <w:vAlign w:val="center"/>
          </w:tcPr>
          <w:p w14:paraId="4A2CE248">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肾癌</w:t>
            </w:r>
          </w:p>
        </w:tc>
        <w:tc>
          <w:tcPr>
            <w:tcW w:w="584" w:type="pct"/>
            <w:shd w:val="clear" w:color="auto" w:fill="auto"/>
            <w:vAlign w:val="center"/>
          </w:tcPr>
          <w:p w14:paraId="1BB82F51">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up.TP53 }}</w:t>
            </w:r>
          </w:p>
        </w:tc>
        <w:tc>
          <w:tcPr>
            <w:tcW w:w="2716" w:type="pct"/>
            <w:shd w:val="clear" w:color="auto" w:fill="auto"/>
            <w:vAlign w:val="center"/>
          </w:tcPr>
          <w:p w14:paraId="44BBCA21">
            <w:pPr>
              <w:spacing w:before="26"/>
              <w:ind w:left="110" w:leftChars="50" w:right="110" w:rightChars="50"/>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有研究发现，TP53 突变的肾透明细胞癌（ccRCC）及乳头状肾细胞癌（pRCC）预后可能较差。</w:t>
            </w:r>
          </w:p>
        </w:tc>
        <w:tc>
          <w:tcPr>
            <w:tcW w:w="659" w:type="pct"/>
            <w:shd w:val="clear" w:color="auto" w:fill="auto"/>
            <w:vAlign w:val="center"/>
          </w:tcPr>
          <w:p w14:paraId="4FB3367A">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28413127</w:t>
            </w:r>
          </w:p>
          <w:p w14:paraId="78F7F26C">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30416077</w:t>
            </w:r>
          </w:p>
          <w:p w14:paraId="06493342">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29617669</w:t>
            </w:r>
          </w:p>
        </w:tc>
      </w:tr>
    </w:tbl>
    <w:p w14:paraId="0E038101">
      <w:pPr>
        <w:spacing w:before="26"/>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 xml:space="preserve">{%elif urinaryProstateDisease == </w:t>
      </w:r>
      <w:r>
        <w:rPr>
          <w:rFonts w:ascii="Times New Roman" w:hAnsi="Times New Roman" w:eastAsia="微软雅黑" w:cs="Times New Roman"/>
          <w:color w:val="000000" w:themeColor="text1"/>
          <w:sz w:val="18"/>
          <w:szCs w:val="18"/>
          <w:lang w:eastAsia="zh-CN"/>
          <w14:textFill>
            <w14:solidFill>
              <w14:schemeClr w14:val="tx1"/>
            </w14:solidFill>
          </w14:textFill>
        </w:rPr>
        <w:t>‘</w:t>
      </w:r>
      <w:r>
        <w:rPr>
          <w:rFonts w:hint="eastAsia" w:ascii="Times New Roman" w:hAnsi="Times New Roman" w:eastAsia="微软雅黑" w:cs="Times New Roman"/>
          <w:color w:val="000000" w:themeColor="text1"/>
          <w:sz w:val="18"/>
          <w:szCs w:val="18"/>
          <w:lang w:eastAsia="zh-CN"/>
          <w14:textFill>
            <w14:solidFill>
              <w14:schemeClr w14:val="tx1"/>
            </w14:solidFill>
          </w14:textFill>
        </w:rPr>
        <w:t>前列腺癌</w:t>
      </w:r>
      <w:r>
        <w:rPr>
          <w:rFonts w:ascii="Times New Roman" w:hAnsi="Times New Roman" w:eastAsia="微软雅黑" w:cs="Times New Roman"/>
          <w:color w:val="000000" w:themeColor="text1"/>
          <w:sz w:val="18"/>
          <w:szCs w:val="18"/>
          <w:lang w:eastAsia="zh-CN"/>
          <w14:textFill>
            <w14:solidFill>
              <w14:schemeClr w14:val="tx1"/>
            </w14:solidFill>
          </w14:textFill>
        </w:rPr>
        <w:t>’</w:t>
      </w:r>
      <w:r>
        <w:rPr>
          <w:rFonts w:hint="eastAsia" w:ascii="Times New Roman" w:hAnsi="Times New Roman" w:eastAsia="微软雅黑" w:cs="Times New Roman"/>
          <w:color w:val="000000" w:themeColor="text1"/>
          <w:sz w:val="18"/>
          <w:szCs w:val="18"/>
          <w:lang w:eastAsia="zh-CN"/>
          <w14:textFill>
            <w14:solidFill>
              <w14:schemeClr w14:val="tx1"/>
            </w14:solidFill>
          </w14:textFill>
        </w:rPr>
        <w:t>%}</w:t>
      </w:r>
    </w:p>
    <w:tbl>
      <w:tblPr>
        <w:tblStyle w:val="14"/>
        <w:tblW w:w="5107" w:type="pct"/>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26"/>
        <w:gridCol w:w="926"/>
        <w:gridCol w:w="928"/>
        <w:gridCol w:w="6008"/>
        <w:gridCol w:w="1294"/>
      </w:tblGrid>
      <w:tr w14:paraId="2A006D9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59" w:type="pct"/>
            <w:tcBorders>
              <w:top w:val="nil"/>
              <w:bottom w:val="nil"/>
              <w:right w:val="single" w:color="FFFFFF" w:sz="18" w:space="0"/>
            </w:tcBorders>
            <w:shd w:val="clear" w:color="auto" w:fill="62BC41"/>
            <w:vAlign w:val="center"/>
          </w:tcPr>
          <w:p w14:paraId="03427049">
            <w:pPr>
              <w:spacing w:line="206"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分子标记物</w:t>
            </w:r>
          </w:p>
        </w:tc>
        <w:tc>
          <w:tcPr>
            <w:tcW w:w="459" w:type="pct"/>
            <w:tcBorders>
              <w:top w:val="nil"/>
              <w:left w:val="single" w:color="FFFFFF" w:sz="18" w:space="0"/>
              <w:bottom w:val="nil"/>
              <w:right w:val="single" w:color="FFFFFF" w:sz="18" w:space="0"/>
            </w:tcBorders>
            <w:shd w:val="clear" w:color="auto" w:fill="62BC41"/>
            <w:vAlign w:val="center"/>
          </w:tcPr>
          <w:p w14:paraId="56235895">
            <w:pPr>
              <w:spacing w:line="206"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癌种大类</w:t>
            </w:r>
          </w:p>
        </w:tc>
        <w:tc>
          <w:tcPr>
            <w:tcW w:w="460" w:type="pct"/>
            <w:tcBorders>
              <w:top w:val="nil"/>
              <w:left w:val="single" w:color="FFFFFF" w:sz="18" w:space="0"/>
              <w:bottom w:val="nil"/>
              <w:right w:val="single" w:color="FFFFFF" w:sz="18" w:space="0"/>
            </w:tcBorders>
            <w:shd w:val="clear" w:color="auto" w:fill="62BC41"/>
            <w:vAlign w:val="center"/>
          </w:tcPr>
          <w:p w14:paraId="50A37C6F">
            <w:pPr>
              <w:spacing w:line="206"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检测结果</w:t>
            </w:r>
          </w:p>
        </w:tc>
        <w:tc>
          <w:tcPr>
            <w:tcW w:w="2977" w:type="pct"/>
            <w:tcBorders>
              <w:top w:val="nil"/>
              <w:left w:val="single" w:color="FFFFFF" w:sz="18" w:space="0"/>
              <w:bottom w:val="nil"/>
              <w:right w:val="single" w:color="FFFFFF" w:sz="18" w:space="0"/>
            </w:tcBorders>
            <w:shd w:val="clear" w:color="auto" w:fill="62BC41"/>
            <w:vAlign w:val="center"/>
          </w:tcPr>
          <w:p w14:paraId="36FF5026">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预后相关性</w:t>
            </w:r>
          </w:p>
        </w:tc>
        <w:tc>
          <w:tcPr>
            <w:tcW w:w="642" w:type="pct"/>
            <w:tcBorders>
              <w:top w:val="nil"/>
              <w:left w:val="single" w:color="FFFFFF" w:sz="18" w:space="0"/>
              <w:bottom w:val="nil"/>
            </w:tcBorders>
            <w:shd w:val="clear" w:color="auto" w:fill="62BC41"/>
            <w:vAlign w:val="center"/>
          </w:tcPr>
          <w:p w14:paraId="7D058DB0">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参考依据</w:t>
            </w:r>
          </w:p>
        </w:tc>
      </w:tr>
      <w:tr w14:paraId="204A606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tcBorders>
              <w:top w:val="nil"/>
            </w:tcBorders>
            <w:shd w:val="clear" w:color="auto" w:fill="auto"/>
            <w:vAlign w:val="center"/>
          </w:tcPr>
          <w:p w14:paraId="3DE9FE42">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ATM</w:t>
            </w:r>
          </w:p>
          <w:p w14:paraId="3D7DB316">
            <w:pPr>
              <w:spacing w:before="26"/>
              <w:jc w:val="center"/>
              <w:rPr>
                <w:rFonts w:ascii="Times New Roman" w:hAnsi="Times New Roman" w:eastAsia="微软雅黑"/>
                <w:sz w:val="18"/>
                <w:lang w:eastAsia="zh-CN"/>
              </w:rPr>
            </w:pPr>
            <w:r>
              <w:rPr>
                <w:rFonts w:hint="eastAsia" w:ascii="Times New Roman" w:hAnsi="Times New Roman" w:eastAsia="微软雅黑" w:cs="Times New Roman"/>
                <w:bCs/>
                <w:sz w:val="18"/>
                <w:szCs w:val="18"/>
                <w:lang w:eastAsia="zh-CN"/>
              </w:rPr>
              <w:t>胚系突变</w:t>
            </w:r>
          </w:p>
        </w:tc>
        <w:tc>
          <w:tcPr>
            <w:tcW w:w="459" w:type="pct"/>
            <w:tcBorders>
              <w:top w:val="nil"/>
            </w:tcBorders>
            <w:shd w:val="clear" w:color="auto" w:fill="auto"/>
            <w:vAlign w:val="center"/>
          </w:tcPr>
          <w:p w14:paraId="30AA3E35">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前列腺癌</w:t>
            </w:r>
          </w:p>
        </w:tc>
        <w:tc>
          <w:tcPr>
            <w:tcW w:w="460" w:type="pct"/>
            <w:tcBorders>
              <w:top w:val="nil"/>
            </w:tcBorders>
            <w:shd w:val="clear" w:color="auto" w:fill="auto"/>
            <w:vAlign w:val="center"/>
          </w:tcPr>
          <w:p w14:paraId="29D2E8A3">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up.ATM }}</w:t>
            </w:r>
          </w:p>
        </w:tc>
        <w:tc>
          <w:tcPr>
            <w:tcW w:w="2977" w:type="pct"/>
            <w:tcBorders>
              <w:top w:val="nil"/>
            </w:tcBorders>
            <w:shd w:val="clear" w:color="auto" w:fill="auto"/>
            <w:vAlign w:val="center"/>
          </w:tcPr>
          <w:p w14:paraId="1558458A">
            <w:pPr>
              <w:spacing w:before="26"/>
              <w:ind w:left="110" w:leftChars="50" w:right="110" w:rightChars="50"/>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一项回顾性的临床研究发现，ATM胚系突变型前列腺癌患者可能预后较差。高危患者相较于低危患者BRCA1/2和ATM的胚系突变携带率更高，且BRCA1/2和ATM的胚系突变与更早的死亡年龄及更短的生存时间有关。</w:t>
            </w:r>
          </w:p>
        </w:tc>
        <w:tc>
          <w:tcPr>
            <w:tcW w:w="642" w:type="pct"/>
            <w:tcBorders>
              <w:top w:val="nil"/>
            </w:tcBorders>
            <w:shd w:val="clear" w:color="auto" w:fill="auto"/>
            <w:vAlign w:val="center"/>
          </w:tcPr>
          <w:p w14:paraId="52629FFA">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27989354</w:t>
            </w:r>
          </w:p>
        </w:tc>
      </w:tr>
      <w:tr w14:paraId="0B9CC54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shd w:val="clear" w:color="auto" w:fill="auto"/>
            <w:vAlign w:val="center"/>
          </w:tcPr>
          <w:p w14:paraId="3B64E93F">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BRCA1</w:t>
            </w:r>
          </w:p>
          <w:p w14:paraId="1EB639FF">
            <w:pPr>
              <w:spacing w:before="26"/>
              <w:jc w:val="center"/>
              <w:rPr>
                <w:rFonts w:ascii="Times New Roman" w:hAnsi="Times New Roman" w:eastAsia="微软雅黑"/>
                <w:sz w:val="18"/>
                <w:lang w:eastAsia="zh-CN"/>
              </w:rPr>
            </w:pPr>
            <w:r>
              <w:rPr>
                <w:rFonts w:hint="eastAsia" w:ascii="Times New Roman" w:hAnsi="Times New Roman" w:eastAsia="微软雅黑" w:cs="Times New Roman"/>
                <w:bCs/>
                <w:sz w:val="18"/>
                <w:szCs w:val="18"/>
                <w:lang w:eastAsia="zh-CN"/>
              </w:rPr>
              <w:t>胚系突变</w:t>
            </w:r>
          </w:p>
        </w:tc>
        <w:tc>
          <w:tcPr>
            <w:tcW w:w="459" w:type="pct"/>
            <w:shd w:val="clear" w:color="auto" w:fill="auto"/>
            <w:vAlign w:val="center"/>
          </w:tcPr>
          <w:p w14:paraId="582F8F28">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前列腺癌</w:t>
            </w:r>
          </w:p>
        </w:tc>
        <w:tc>
          <w:tcPr>
            <w:tcW w:w="460" w:type="pct"/>
            <w:shd w:val="clear" w:color="auto" w:fill="auto"/>
            <w:vAlign w:val="center"/>
          </w:tcPr>
          <w:p w14:paraId="621C3430">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up.BRCA1 }}</w:t>
            </w:r>
          </w:p>
        </w:tc>
        <w:tc>
          <w:tcPr>
            <w:tcW w:w="2977" w:type="pct"/>
            <w:shd w:val="clear" w:color="auto" w:fill="auto"/>
            <w:vAlign w:val="center"/>
          </w:tcPr>
          <w:p w14:paraId="288CB1E0">
            <w:pPr>
              <w:spacing w:before="26"/>
              <w:ind w:left="110" w:leftChars="50" w:right="110" w:rightChars="50"/>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一项回顾性的临床研究发现，高危患者相较于低危患者BRCA1/2和ATM的胚系突变携带率更高，且BRCA1/2和ATM的胚系突变与更早的死亡年龄及更短的生存时间有关。另有研究发现，BRCA1/2胚系突变的前列腺癌更具侵略性，有更高的淋巴结转移和远处转移的可能性。</w:t>
            </w:r>
          </w:p>
        </w:tc>
        <w:tc>
          <w:tcPr>
            <w:tcW w:w="642" w:type="pct"/>
            <w:shd w:val="clear" w:color="auto" w:fill="auto"/>
            <w:vAlign w:val="center"/>
          </w:tcPr>
          <w:p w14:paraId="159B3DA8">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27989354</w:t>
            </w:r>
          </w:p>
          <w:p w14:paraId="6C1780B9">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23569316</w:t>
            </w:r>
          </w:p>
        </w:tc>
      </w:tr>
      <w:tr w14:paraId="738FE50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shd w:val="clear" w:color="auto" w:fill="auto"/>
            <w:vAlign w:val="center"/>
          </w:tcPr>
          <w:p w14:paraId="47E5CF6C">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BRCA2</w:t>
            </w:r>
          </w:p>
          <w:p w14:paraId="01344820">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胚系突变</w:t>
            </w:r>
          </w:p>
        </w:tc>
        <w:tc>
          <w:tcPr>
            <w:tcW w:w="459" w:type="pct"/>
            <w:shd w:val="clear" w:color="auto" w:fill="auto"/>
            <w:vAlign w:val="center"/>
          </w:tcPr>
          <w:p w14:paraId="71FB545E">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前列腺癌</w:t>
            </w:r>
          </w:p>
        </w:tc>
        <w:tc>
          <w:tcPr>
            <w:tcW w:w="460" w:type="pct"/>
            <w:shd w:val="clear" w:color="auto" w:fill="auto"/>
            <w:vAlign w:val="center"/>
          </w:tcPr>
          <w:p w14:paraId="28E92A59">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up.BRCA2 }}</w:t>
            </w:r>
          </w:p>
        </w:tc>
        <w:tc>
          <w:tcPr>
            <w:tcW w:w="2977" w:type="pct"/>
            <w:shd w:val="clear" w:color="auto" w:fill="auto"/>
            <w:vAlign w:val="center"/>
          </w:tcPr>
          <w:p w14:paraId="3A675F74">
            <w:pPr>
              <w:spacing w:before="26"/>
              <w:ind w:left="110" w:leftChars="50" w:right="110" w:rightChars="50"/>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一项回顾性的临床研究发现，高危患者相较于低危患者BRCA1/2和ATM的胚系突变携带率更高，且BRCA1/2和ATM的胚系突变与更早的死亡年龄及更短的生存时间有关。另有研究发现，BRCA1/2胚系突变的前列腺癌更具侵略性，有更高的淋巴结转移和远处转移的可能性。还有研究称，携带BRCA2胚系突变的转移性去势抵抗性前列腺癌患者的特异性生存期（CSS）更短，可成为CSS的独立预后因子。</w:t>
            </w:r>
          </w:p>
        </w:tc>
        <w:tc>
          <w:tcPr>
            <w:tcW w:w="642" w:type="pct"/>
            <w:shd w:val="clear" w:color="auto" w:fill="auto"/>
            <w:vAlign w:val="center"/>
          </w:tcPr>
          <w:p w14:paraId="7710DF16">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27989354</w:t>
            </w:r>
          </w:p>
          <w:p w14:paraId="4914806B">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23569316</w:t>
            </w:r>
          </w:p>
          <w:p w14:paraId="271D1C87">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30625039</w:t>
            </w:r>
          </w:p>
        </w:tc>
      </w:tr>
      <w:tr w14:paraId="09CC011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shd w:val="clear" w:color="auto" w:fill="auto"/>
            <w:vAlign w:val="center"/>
          </w:tcPr>
          <w:p w14:paraId="5F11A2B2">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CDK12</w:t>
            </w:r>
          </w:p>
          <w:p w14:paraId="28B6B629">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突变</w:t>
            </w:r>
          </w:p>
        </w:tc>
        <w:tc>
          <w:tcPr>
            <w:tcW w:w="459" w:type="pct"/>
            <w:shd w:val="clear" w:color="auto" w:fill="auto"/>
            <w:vAlign w:val="center"/>
          </w:tcPr>
          <w:p w14:paraId="619ADEC2">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前列腺癌</w:t>
            </w:r>
          </w:p>
        </w:tc>
        <w:tc>
          <w:tcPr>
            <w:tcW w:w="460" w:type="pct"/>
            <w:shd w:val="clear" w:color="auto" w:fill="auto"/>
            <w:vAlign w:val="center"/>
          </w:tcPr>
          <w:p w14:paraId="45AF5527">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up.CDK12 }}</w:t>
            </w:r>
          </w:p>
        </w:tc>
        <w:tc>
          <w:tcPr>
            <w:tcW w:w="2977" w:type="pct"/>
            <w:shd w:val="clear" w:color="auto" w:fill="auto"/>
            <w:vAlign w:val="center"/>
          </w:tcPr>
          <w:p w14:paraId="23C3669D">
            <w:pPr>
              <w:spacing w:before="26"/>
              <w:ind w:left="110" w:leftChars="50" w:right="110" w:rightChars="50"/>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有临床研究发现，CDK12失活突变的患者无进展生存期（PFS）及总生存期（OS）更短，进展更快，更具侵袭性。</w:t>
            </w:r>
          </w:p>
        </w:tc>
        <w:tc>
          <w:tcPr>
            <w:tcW w:w="642" w:type="pct"/>
            <w:shd w:val="clear" w:color="auto" w:fill="auto"/>
            <w:vAlign w:val="center"/>
          </w:tcPr>
          <w:p w14:paraId="230A747E">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31134918</w:t>
            </w:r>
          </w:p>
          <w:p w14:paraId="5D770071">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31640893</w:t>
            </w:r>
          </w:p>
          <w:p w14:paraId="25038DEF">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32317181</w:t>
            </w:r>
          </w:p>
        </w:tc>
      </w:tr>
      <w:tr w14:paraId="5D7492D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shd w:val="clear" w:color="auto" w:fill="auto"/>
            <w:vAlign w:val="center"/>
          </w:tcPr>
          <w:p w14:paraId="759B5F0E">
            <w:pPr>
              <w:spacing w:before="26"/>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TMPRSS2</w:t>
            </w:r>
            <w:r>
              <w:rPr>
                <w:rFonts w:hint="eastAsia" w:ascii="Times New Roman" w:hAnsi="Times New Roman" w:eastAsia="微软雅黑" w:cs="Times New Roman"/>
                <w:color w:val="000000" w:themeColor="text1"/>
                <w:sz w:val="18"/>
                <w:szCs w:val="18"/>
                <w:lang w:val="en-US" w:eastAsia="zh-CN"/>
                <w14:textFill>
                  <w14:solidFill>
                    <w14:schemeClr w14:val="tx1"/>
                  </w14:solidFill>
                </w14:textFill>
              </w:rPr>
              <w:t>-</w:t>
            </w:r>
            <w:r>
              <w:rPr>
                <w:rFonts w:hint="eastAsia" w:ascii="Times New Roman" w:hAnsi="Times New Roman" w:eastAsia="微软雅黑" w:cs="Times New Roman"/>
                <w:color w:val="000000" w:themeColor="text1"/>
                <w:sz w:val="18"/>
                <w:szCs w:val="18"/>
                <w:lang w:eastAsia="zh-CN"/>
                <w14:textFill>
                  <w14:solidFill>
                    <w14:schemeClr w14:val="tx1"/>
                  </w14:solidFill>
                </w14:textFill>
              </w:rPr>
              <w:t>ERG</w:t>
            </w:r>
            <w:r>
              <w:rPr>
                <w:rFonts w:hint="eastAsia" w:ascii="Times New Roman" w:hAnsi="Times New Roman" w:eastAsia="微软雅黑" w:cs="微软雅黑"/>
                <w:color w:val="000000" w:themeColor="text1"/>
                <w:sz w:val="18"/>
                <w:szCs w:val="18"/>
                <w:lang w:eastAsia="zh-CN"/>
                <w14:textFill>
                  <w14:solidFill>
                    <w14:schemeClr w14:val="tx1"/>
                  </w14:solidFill>
                </w14:textFill>
              </w:rPr>
              <w:t>融合</w:t>
            </w:r>
          </w:p>
        </w:tc>
        <w:tc>
          <w:tcPr>
            <w:tcW w:w="459" w:type="pct"/>
            <w:shd w:val="clear" w:color="auto" w:fill="auto"/>
            <w:vAlign w:val="center"/>
          </w:tcPr>
          <w:p w14:paraId="637CC178">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前列腺癌</w:t>
            </w:r>
          </w:p>
        </w:tc>
        <w:tc>
          <w:tcPr>
            <w:tcW w:w="460" w:type="pct"/>
            <w:shd w:val="clear" w:color="auto" w:fill="auto"/>
            <w:vAlign w:val="center"/>
          </w:tcPr>
          <w:p w14:paraId="7EA5734A">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up.ERG }}</w:t>
            </w:r>
          </w:p>
        </w:tc>
        <w:tc>
          <w:tcPr>
            <w:tcW w:w="2977" w:type="pct"/>
            <w:shd w:val="clear" w:color="auto" w:fill="auto"/>
            <w:vAlign w:val="center"/>
          </w:tcPr>
          <w:p w14:paraId="44F63994">
            <w:pPr>
              <w:spacing w:before="26"/>
              <w:ind w:left="110" w:leftChars="50" w:right="110" w:rightChars="50"/>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临床研究提示，在血液中检测到TMPRSS2-ERG融合的前列腺癌患者，无进展生存期（PFS）和总生存期（OS）较短。</w:t>
            </w:r>
          </w:p>
        </w:tc>
        <w:tc>
          <w:tcPr>
            <w:tcW w:w="642" w:type="pct"/>
            <w:shd w:val="clear" w:color="auto" w:fill="auto"/>
            <w:vAlign w:val="center"/>
          </w:tcPr>
          <w:p w14:paraId="680F6618">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28520829</w:t>
            </w:r>
          </w:p>
          <w:p w14:paraId="63A5222A">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26948395</w:t>
            </w:r>
          </w:p>
        </w:tc>
      </w:tr>
      <w:tr w14:paraId="61882D7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shd w:val="clear" w:color="auto" w:fill="auto"/>
            <w:vAlign w:val="center"/>
          </w:tcPr>
          <w:p w14:paraId="41891182">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FOXA1</w:t>
            </w:r>
          </w:p>
          <w:p w14:paraId="03BA0C53">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突变</w:t>
            </w:r>
          </w:p>
        </w:tc>
        <w:tc>
          <w:tcPr>
            <w:tcW w:w="459" w:type="pct"/>
            <w:shd w:val="clear" w:color="auto" w:fill="auto"/>
            <w:vAlign w:val="center"/>
          </w:tcPr>
          <w:p w14:paraId="7370EB64">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前列腺癌</w:t>
            </w:r>
          </w:p>
        </w:tc>
        <w:tc>
          <w:tcPr>
            <w:tcW w:w="460" w:type="pct"/>
            <w:shd w:val="clear" w:color="auto" w:fill="auto"/>
            <w:vAlign w:val="center"/>
          </w:tcPr>
          <w:p w14:paraId="63AF6E75">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up.FOXA1 }}</w:t>
            </w:r>
          </w:p>
        </w:tc>
        <w:tc>
          <w:tcPr>
            <w:tcW w:w="2977" w:type="pct"/>
            <w:shd w:val="clear" w:color="auto" w:fill="auto"/>
            <w:vAlign w:val="center"/>
          </w:tcPr>
          <w:p w14:paraId="7667CBCF">
            <w:pPr>
              <w:spacing w:before="26"/>
              <w:ind w:left="110" w:leftChars="50" w:right="110" w:rightChars="50"/>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对上千例原发性前列腺癌数据回顾性分析发现，FOXA1突变相较于野生型，与更高的Gleason评分，更短的生化复发，更快的转移相关。</w:t>
            </w:r>
          </w:p>
        </w:tc>
        <w:tc>
          <w:tcPr>
            <w:tcW w:w="642" w:type="pct"/>
            <w:shd w:val="clear" w:color="auto" w:fill="auto"/>
            <w:vAlign w:val="center"/>
          </w:tcPr>
          <w:p w14:paraId="16BD4FC8">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31243370</w:t>
            </w:r>
          </w:p>
        </w:tc>
      </w:tr>
      <w:tr w14:paraId="66A2AD2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shd w:val="clear" w:color="auto" w:fill="auto"/>
            <w:vAlign w:val="center"/>
          </w:tcPr>
          <w:p w14:paraId="0BD7495E">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PIK3CA</w:t>
            </w:r>
          </w:p>
          <w:p w14:paraId="4F654F3E">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突变和扩增</w:t>
            </w:r>
          </w:p>
        </w:tc>
        <w:tc>
          <w:tcPr>
            <w:tcW w:w="459" w:type="pct"/>
            <w:shd w:val="clear" w:color="auto" w:fill="auto"/>
            <w:vAlign w:val="center"/>
          </w:tcPr>
          <w:p w14:paraId="13C2FAEB">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前列腺癌</w:t>
            </w:r>
          </w:p>
        </w:tc>
        <w:tc>
          <w:tcPr>
            <w:tcW w:w="460" w:type="pct"/>
            <w:shd w:val="clear" w:color="auto" w:fill="auto"/>
            <w:vAlign w:val="center"/>
          </w:tcPr>
          <w:p w14:paraId="7910A8AB">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up.PIK3CA }}</w:t>
            </w:r>
          </w:p>
        </w:tc>
        <w:tc>
          <w:tcPr>
            <w:tcW w:w="2977" w:type="pct"/>
            <w:shd w:val="clear" w:color="auto" w:fill="auto"/>
            <w:vAlign w:val="center"/>
          </w:tcPr>
          <w:p w14:paraId="10C1B536">
            <w:pPr>
              <w:spacing w:before="26"/>
              <w:ind w:left="110" w:leftChars="50" w:right="110" w:rightChars="50"/>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有研究发现，PIK3CA突变/扩增与较差的前列腺癌生存率、局部淋巴结转移、较高的原发肿瘤类别和较高的gleason评分相关。</w:t>
            </w:r>
          </w:p>
        </w:tc>
        <w:tc>
          <w:tcPr>
            <w:tcW w:w="642" w:type="pct"/>
            <w:shd w:val="clear" w:color="auto" w:fill="auto"/>
            <w:vAlign w:val="center"/>
          </w:tcPr>
          <w:p w14:paraId="496E271D">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29581176</w:t>
            </w:r>
          </w:p>
        </w:tc>
      </w:tr>
      <w:tr w14:paraId="3BBE52E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shd w:val="clear" w:color="auto" w:fill="auto"/>
            <w:vAlign w:val="center"/>
          </w:tcPr>
          <w:p w14:paraId="7309408F">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PTEN</w:t>
            </w:r>
          </w:p>
          <w:p w14:paraId="48E8E2EB">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突变</w:t>
            </w:r>
          </w:p>
        </w:tc>
        <w:tc>
          <w:tcPr>
            <w:tcW w:w="459" w:type="pct"/>
            <w:shd w:val="clear" w:color="auto" w:fill="auto"/>
            <w:vAlign w:val="center"/>
          </w:tcPr>
          <w:p w14:paraId="271C90F8">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前列腺癌</w:t>
            </w:r>
          </w:p>
        </w:tc>
        <w:tc>
          <w:tcPr>
            <w:tcW w:w="460" w:type="pct"/>
            <w:shd w:val="clear" w:color="auto" w:fill="auto"/>
            <w:vAlign w:val="center"/>
          </w:tcPr>
          <w:p w14:paraId="1781F482">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up.PTEN }}</w:t>
            </w:r>
          </w:p>
        </w:tc>
        <w:tc>
          <w:tcPr>
            <w:tcW w:w="2977" w:type="pct"/>
            <w:shd w:val="clear" w:color="auto" w:fill="auto"/>
            <w:vAlign w:val="center"/>
          </w:tcPr>
          <w:p w14:paraId="26C930C5">
            <w:pPr>
              <w:spacing w:before="26"/>
              <w:ind w:left="110" w:leftChars="50" w:right="110" w:rightChars="50"/>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PTEN功能缺失的去势前列腺癌总生存期（OS）更短，阿比特龙响应时间更短，疾病进展更快，生化复发时间更短。</w:t>
            </w:r>
          </w:p>
        </w:tc>
        <w:tc>
          <w:tcPr>
            <w:tcW w:w="642" w:type="pct"/>
            <w:shd w:val="clear" w:color="auto" w:fill="auto"/>
            <w:vAlign w:val="center"/>
          </w:tcPr>
          <w:p w14:paraId="0C8F8B2D">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25454616</w:t>
            </w:r>
          </w:p>
          <w:p w14:paraId="2D38EE4C">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30553611</w:t>
            </w:r>
          </w:p>
          <w:p w14:paraId="1EFDBAA4">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17700571</w:t>
            </w:r>
          </w:p>
        </w:tc>
      </w:tr>
      <w:tr w14:paraId="35C57A0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shd w:val="clear" w:color="auto" w:fill="auto"/>
            <w:vAlign w:val="center"/>
          </w:tcPr>
          <w:p w14:paraId="3C5E4616">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RB1</w:t>
            </w:r>
          </w:p>
          <w:p w14:paraId="3D37EBE1">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突变</w:t>
            </w:r>
          </w:p>
        </w:tc>
        <w:tc>
          <w:tcPr>
            <w:tcW w:w="459" w:type="pct"/>
            <w:shd w:val="clear" w:color="auto" w:fill="auto"/>
            <w:vAlign w:val="center"/>
          </w:tcPr>
          <w:p w14:paraId="1AC94F7A">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前列腺癌</w:t>
            </w:r>
          </w:p>
        </w:tc>
        <w:tc>
          <w:tcPr>
            <w:tcW w:w="460" w:type="pct"/>
            <w:shd w:val="clear" w:color="auto" w:fill="auto"/>
            <w:vAlign w:val="center"/>
          </w:tcPr>
          <w:p w14:paraId="2184EE34">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up.RB1 }}</w:t>
            </w:r>
          </w:p>
        </w:tc>
        <w:tc>
          <w:tcPr>
            <w:tcW w:w="2977" w:type="pct"/>
            <w:shd w:val="clear" w:color="auto" w:fill="auto"/>
            <w:vAlign w:val="center"/>
          </w:tcPr>
          <w:p w14:paraId="7AD2D85A">
            <w:pPr>
              <w:spacing w:before="26"/>
              <w:ind w:left="110" w:leftChars="50" w:right="110" w:rightChars="50"/>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有研究称，转移性去势抵抗性前列腺癌中RB1同时出现2个突变与更短的总生存期（OS）相关。另有研究发现，RB1失活突变的局部去势敏感性前列腺癌（L-CSPC）患者的无事件生存期（EFS）更短。TSG（PTEN，TP53，RB1）一个或多个失活突变的L-CSPC患者的EFS较短，转移性CSPC的死亡风险增加。</w:t>
            </w:r>
          </w:p>
        </w:tc>
        <w:tc>
          <w:tcPr>
            <w:tcW w:w="642" w:type="pct"/>
            <w:shd w:val="clear" w:color="auto" w:fill="auto"/>
            <w:vAlign w:val="center"/>
          </w:tcPr>
          <w:p w14:paraId="25A12F4E">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30928160</w:t>
            </w:r>
          </w:p>
          <w:p w14:paraId="0975BDC3">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30553611</w:t>
            </w:r>
          </w:p>
        </w:tc>
      </w:tr>
      <w:tr w14:paraId="3B71C0B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shd w:val="clear" w:color="auto" w:fill="auto"/>
            <w:vAlign w:val="center"/>
          </w:tcPr>
          <w:p w14:paraId="5DD07D3D">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TP53</w:t>
            </w:r>
          </w:p>
          <w:p w14:paraId="421FEED1">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突变</w:t>
            </w:r>
          </w:p>
        </w:tc>
        <w:tc>
          <w:tcPr>
            <w:tcW w:w="459" w:type="pct"/>
            <w:shd w:val="clear" w:color="auto" w:fill="auto"/>
            <w:vAlign w:val="center"/>
          </w:tcPr>
          <w:p w14:paraId="0187D290">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前列腺癌</w:t>
            </w:r>
          </w:p>
        </w:tc>
        <w:tc>
          <w:tcPr>
            <w:tcW w:w="460" w:type="pct"/>
            <w:shd w:val="clear" w:color="auto" w:fill="auto"/>
            <w:vAlign w:val="center"/>
          </w:tcPr>
          <w:p w14:paraId="553E04EE">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up.TP53 }}</w:t>
            </w:r>
          </w:p>
        </w:tc>
        <w:tc>
          <w:tcPr>
            <w:tcW w:w="2977" w:type="pct"/>
            <w:shd w:val="clear" w:color="auto" w:fill="auto"/>
            <w:vAlign w:val="center"/>
          </w:tcPr>
          <w:p w14:paraId="66F838DB">
            <w:pPr>
              <w:spacing w:before="26"/>
              <w:ind w:left="110" w:leftChars="50" w:right="110" w:rightChars="50"/>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临床研究提示，TP53突变的前列腺肿瘤患者的预后较差。研究发现TSG（PTEN，TP53，RB1）一个或多个失活突变的局部的去势敏感性前列腺癌（L-CSPC）患者的无事件生存期（EFS）较短，转移性CSPC的死亡风险增加。</w:t>
            </w:r>
          </w:p>
        </w:tc>
        <w:tc>
          <w:tcPr>
            <w:tcW w:w="642" w:type="pct"/>
            <w:shd w:val="clear" w:color="auto" w:fill="auto"/>
            <w:vAlign w:val="center"/>
          </w:tcPr>
          <w:p w14:paraId="5D46B2E1">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28059767</w:t>
            </w:r>
          </w:p>
          <w:p w14:paraId="65CD23D5">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30553611</w:t>
            </w:r>
          </w:p>
        </w:tc>
      </w:tr>
    </w:tbl>
    <w:p w14:paraId="08CDC0CD">
      <w:pPr>
        <w:spacing w:before="26"/>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 xml:space="preserve">{%elif urinaryProstateDisease == </w:t>
      </w:r>
      <w:r>
        <w:rPr>
          <w:rFonts w:ascii="Times New Roman" w:hAnsi="Times New Roman" w:eastAsia="微软雅黑" w:cs="Times New Roman"/>
          <w:color w:val="000000" w:themeColor="text1"/>
          <w:sz w:val="18"/>
          <w:szCs w:val="18"/>
          <w:lang w:eastAsia="zh-CN"/>
          <w14:textFill>
            <w14:solidFill>
              <w14:schemeClr w14:val="tx1"/>
            </w14:solidFill>
          </w14:textFill>
        </w:rPr>
        <w:t>‘</w:t>
      </w:r>
      <w:r>
        <w:rPr>
          <w:rFonts w:hint="eastAsia" w:ascii="Times New Roman" w:hAnsi="Times New Roman" w:eastAsia="微软雅黑" w:cs="Times New Roman"/>
          <w:color w:val="000000" w:themeColor="text1"/>
          <w:sz w:val="18"/>
          <w:szCs w:val="18"/>
          <w:lang w:eastAsia="zh-CN"/>
          <w14:textFill>
            <w14:solidFill>
              <w14:schemeClr w14:val="tx1"/>
            </w14:solidFill>
          </w14:textFill>
        </w:rPr>
        <w:t>尿路上皮癌/膀胱癌</w:t>
      </w:r>
      <w:r>
        <w:rPr>
          <w:rFonts w:ascii="Times New Roman" w:hAnsi="Times New Roman" w:eastAsia="微软雅黑" w:cs="Times New Roman"/>
          <w:color w:val="000000" w:themeColor="text1"/>
          <w:sz w:val="18"/>
          <w:szCs w:val="18"/>
          <w:lang w:eastAsia="zh-CN"/>
          <w14:textFill>
            <w14:solidFill>
              <w14:schemeClr w14:val="tx1"/>
            </w14:solidFill>
          </w14:textFill>
        </w:rPr>
        <w:t>’</w:t>
      </w:r>
      <w:r>
        <w:rPr>
          <w:rFonts w:hint="eastAsia" w:ascii="Times New Roman" w:hAnsi="Times New Roman" w:eastAsia="微软雅黑" w:cs="Times New Roman"/>
          <w:color w:val="000000" w:themeColor="text1"/>
          <w:sz w:val="18"/>
          <w:szCs w:val="18"/>
          <w:lang w:eastAsia="zh-CN"/>
          <w14:textFill>
            <w14:solidFill>
              <w14:schemeClr w14:val="tx1"/>
            </w14:solidFill>
          </w14:textFill>
        </w:rPr>
        <w:t>%}</w:t>
      </w:r>
    </w:p>
    <w:tbl>
      <w:tblPr>
        <w:tblStyle w:val="14"/>
        <w:tblW w:w="5141" w:type="pct"/>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33"/>
        <w:gridCol w:w="932"/>
        <w:gridCol w:w="934"/>
        <w:gridCol w:w="6037"/>
        <w:gridCol w:w="1313"/>
      </w:tblGrid>
      <w:tr w14:paraId="6641630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59" w:type="pct"/>
            <w:tcBorders>
              <w:top w:val="nil"/>
              <w:bottom w:val="nil"/>
              <w:right w:val="single" w:color="FFFFFF" w:sz="18" w:space="0"/>
            </w:tcBorders>
            <w:shd w:val="clear" w:color="auto" w:fill="62BC41"/>
            <w:vAlign w:val="center"/>
          </w:tcPr>
          <w:p w14:paraId="2D2577E3">
            <w:pPr>
              <w:spacing w:line="206"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分子标记物</w:t>
            </w:r>
          </w:p>
        </w:tc>
        <w:tc>
          <w:tcPr>
            <w:tcW w:w="459" w:type="pct"/>
            <w:tcBorders>
              <w:top w:val="nil"/>
              <w:left w:val="single" w:color="FFFFFF" w:sz="18" w:space="0"/>
              <w:bottom w:val="nil"/>
              <w:right w:val="single" w:color="FFFFFF" w:sz="18" w:space="0"/>
            </w:tcBorders>
            <w:shd w:val="clear" w:color="auto" w:fill="62BC41"/>
            <w:vAlign w:val="center"/>
          </w:tcPr>
          <w:p w14:paraId="16B065AC">
            <w:pPr>
              <w:spacing w:line="206" w:lineRule="exact"/>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癌种大类</w:t>
            </w:r>
          </w:p>
        </w:tc>
        <w:tc>
          <w:tcPr>
            <w:tcW w:w="460" w:type="pct"/>
            <w:tcBorders>
              <w:top w:val="nil"/>
              <w:left w:val="single" w:color="FFFFFF" w:sz="18" w:space="0"/>
              <w:bottom w:val="nil"/>
              <w:right w:val="single" w:color="FFFFFF" w:sz="18" w:space="0"/>
            </w:tcBorders>
            <w:shd w:val="clear" w:color="auto" w:fill="62BC41"/>
            <w:vAlign w:val="center"/>
          </w:tcPr>
          <w:p w14:paraId="198ED70A">
            <w:pPr>
              <w:spacing w:line="206"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检测结果</w:t>
            </w:r>
          </w:p>
        </w:tc>
        <w:tc>
          <w:tcPr>
            <w:tcW w:w="2972" w:type="pct"/>
            <w:tcBorders>
              <w:top w:val="nil"/>
              <w:left w:val="single" w:color="FFFFFF" w:sz="18" w:space="0"/>
              <w:bottom w:val="nil"/>
              <w:right w:val="single" w:color="FFFFFF" w:sz="18" w:space="0"/>
            </w:tcBorders>
            <w:shd w:val="clear" w:color="auto" w:fill="62BC41"/>
            <w:vAlign w:val="center"/>
          </w:tcPr>
          <w:p w14:paraId="04BCB5B3">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预后相关性</w:t>
            </w:r>
          </w:p>
        </w:tc>
        <w:tc>
          <w:tcPr>
            <w:tcW w:w="647" w:type="pct"/>
            <w:tcBorders>
              <w:top w:val="nil"/>
              <w:left w:val="single" w:color="FFFFFF" w:sz="18" w:space="0"/>
              <w:bottom w:val="nil"/>
            </w:tcBorders>
            <w:shd w:val="clear" w:color="auto" w:fill="62BC41"/>
            <w:vAlign w:val="center"/>
          </w:tcPr>
          <w:p w14:paraId="041B4DEF">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参考依据</w:t>
            </w:r>
          </w:p>
        </w:tc>
      </w:tr>
      <w:tr w14:paraId="54EADC3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tcBorders>
              <w:top w:val="nil"/>
            </w:tcBorders>
            <w:shd w:val="clear" w:color="auto" w:fill="auto"/>
            <w:vAlign w:val="center"/>
          </w:tcPr>
          <w:p w14:paraId="0C2A9876">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AKT1</w:t>
            </w:r>
          </w:p>
          <w:p w14:paraId="4984DB91">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突变</w:t>
            </w:r>
          </w:p>
        </w:tc>
        <w:tc>
          <w:tcPr>
            <w:tcW w:w="459" w:type="pct"/>
            <w:tcBorders>
              <w:top w:val="nil"/>
            </w:tcBorders>
            <w:shd w:val="clear" w:color="auto" w:fill="auto"/>
            <w:vAlign w:val="center"/>
          </w:tcPr>
          <w:p w14:paraId="3AB551AA">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尿路上皮癌/膀胱癌</w:t>
            </w:r>
          </w:p>
        </w:tc>
        <w:tc>
          <w:tcPr>
            <w:tcW w:w="460" w:type="pct"/>
            <w:tcBorders>
              <w:top w:val="nil"/>
            </w:tcBorders>
            <w:shd w:val="clear" w:color="auto" w:fill="auto"/>
            <w:vAlign w:val="center"/>
          </w:tcPr>
          <w:p w14:paraId="7E541730">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up.AKT1 }}</w:t>
            </w:r>
          </w:p>
        </w:tc>
        <w:tc>
          <w:tcPr>
            <w:tcW w:w="2972" w:type="pct"/>
            <w:tcBorders>
              <w:top w:val="nil"/>
            </w:tcBorders>
            <w:shd w:val="clear" w:color="auto" w:fill="auto"/>
            <w:vAlign w:val="center"/>
          </w:tcPr>
          <w:p w14:paraId="2DE51E23">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研究发现，携带与PI3K/Akt 通路相关的PIK3CA，PTEN，AKT1，TSC1，TSC2基因突变的尿路上皮癌患者，预后可能较好。</w:t>
            </w:r>
          </w:p>
        </w:tc>
        <w:tc>
          <w:tcPr>
            <w:tcW w:w="647" w:type="pct"/>
            <w:tcBorders>
              <w:top w:val="nil"/>
            </w:tcBorders>
            <w:shd w:val="clear" w:color="auto" w:fill="auto"/>
            <w:vAlign w:val="center"/>
          </w:tcPr>
          <w:p w14:paraId="0E2B741E">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25092538</w:t>
            </w:r>
          </w:p>
        </w:tc>
      </w:tr>
      <w:tr w14:paraId="06BB770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7E60D8EF">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ARID1A</w:t>
            </w:r>
          </w:p>
          <w:p w14:paraId="2D259A88">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突变</w:t>
            </w:r>
          </w:p>
        </w:tc>
        <w:tc>
          <w:tcPr>
            <w:tcW w:w="459" w:type="pct"/>
            <w:shd w:val="clear" w:color="auto" w:fill="auto"/>
            <w:vAlign w:val="center"/>
          </w:tcPr>
          <w:p w14:paraId="4EF23F39">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尿路上皮癌/膀胱癌</w:t>
            </w:r>
          </w:p>
        </w:tc>
        <w:tc>
          <w:tcPr>
            <w:tcW w:w="460" w:type="pct"/>
            <w:shd w:val="clear" w:color="auto" w:fill="auto"/>
            <w:vAlign w:val="center"/>
          </w:tcPr>
          <w:p w14:paraId="260ED94D">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up.ARID1A }}</w:t>
            </w:r>
          </w:p>
        </w:tc>
        <w:tc>
          <w:tcPr>
            <w:tcW w:w="2972" w:type="pct"/>
            <w:shd w:val="clear" w:color="auto" w:fill="auto"/>
            <w:vAlign w:val="center"/>
          </w:tcPr>
          <w:p w14:paraId="2F85D960">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有研究称，在有或没有辅助膀胱内治疗的100例患者接受TUR治疗组中，ARID1A 突变与肿瘤复发相关（HR=3.14, p=0.002）。</w:t>
            </w:r>
          </w:p>
        </w:tc>
        <w:tc>
          <w:tcPr>
            <w:tcW w:w="647" w:type="pct"/>
            <w:shd w:val="clear" w:color="auto" w:fill="auto"/>
            <w:vAlign w:val="center"/>
          </w:tcPr>
          <w:p w14:paraId="2876A426">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28583311</w:t>
            </w:r>
          </w:p>
        </w:tc>
      </w:tr>
      <w:tr w14:paraId="5721C7A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5C976854">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ATM</w:t>
            </w:r>
          </w:p>
          <w:p w14:paraId="5CE5AA1F">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体系突变</w:t>
            </w:r>
          </w:p>
        </w:tc>
        <w:tc>
          <w:tcPr>
            <w:tcW w:w="459" w:type="pct"/>
            <w:shd w:val="clear" w:color="auto" w:fill="auto"/>
            <w:vAlign w:val="center"/>
          </w:tcPr>
          <w:p w14:paraId="75854689">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7D8BEBA4">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up.ATM }}</w:t>
            </w:r>
          </w:p>
        </w:tc>
        <w:tc>
          <w:tcPr>
            <w:tcW w:w="2972" w:type="pct"/>
            <w:shd w:val="clear" w:color="auto" w:fill="auto"/>
            <w:vAlign w:val="center"/>
          </w:tcPr>
          <w:p w14:paraId="54A8D6F2">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研究提示，携带 ATM，ERCC2，FANCD2，PALB2，BRCA1，BRCA2体细胞突变的肌层浸润性膀胱癌患者早期治疗后的复发风险较低。</w:t>
            </w:r>
          </w:p>
        </w:tc>
        <w:tc>
          <w:tcPr>
            <w:tcW w:w="647" w:type="pct"/>
            <w:shd w:val="clear" w:color="auto" w:fill="auto"/>
            <w:vAlign w:val="center"/>
          </w:tcPr>
          <w:p w14:paraId="63A6269D">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25316812</w:t>
            </w:r>
          </w:p>
        </w:tc>
      </w:tr>
      <w:tr w14:paraId="1FD2C12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1039CEF8">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BRCA1</w:t>
            </w:r>
          </w:p>
          <w:p w14:paraId="240EB460">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体系突变</w:t>
            </w:r>
          </w:p>
        </w:tc>
        <w:tc>
          <w:tcPr>
            <w:tcW w:w="459" w:type="pct"/>
            <w:shd w:val="clear" w:color="auto" w:fill="auto"/>
            <w:vAlign w:val="center"/>
          </w:tcPr>
          <w:p w14:paraId="6A653444">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09C57FC2">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up.BRCA1 }}</w:t>
            </w:r>
          </w:p>
        </w:tc>
        <w:tc>
          <w:tcPr>
            <w:tcW w:w="2972" w:type="pct"/>
            <w:shd w:val="clear" w:color="auto" w:fill="auto"/>
            <w:vAlign w:val="center"/>
          </w:tcPr>
          <w:p w14:paraId="12CA93CC">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研究提示，携带 ATM，ERCC2，FANCD2，PALB2，BRCA1，BRCA2体细胞突变的肌层浸润性膀胱癌患者早期治疗后的复发风险较低。</w:t>
            </w:r>
          </w:p>
        </w:tc>
        <w:tc>
          <w:tcPr>
            <w:tcW w:w="647" w:type="pct"/>
            <w:shd w:val="clear" w:color="auto" w:fill="auto"/>
            <w:vAlign w:val="center"/>
          </w:tcPr>
          <w:p w14:paraId="4FA0504A">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25316812</w:t>
            </w:r>
          </w:p>
        </w:tc>
      </w:tr>
      <w:tr w14:paraId="36FBA33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2CE33676">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BRCA2</w:t>
            </w:r>
          </w:p>
          <w:p w14:paraId="4B179F75">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体系突变</w:t>
            </w:r>
          </w:p>
        </w:tc>
        <w:tc>
          <w:tcPr>
            <w:tcW w:w="459" w:type="pct"/>
            <w:shd w:val="clear" w:color="auto" w:fill="auto"/>
            <w:vAlign w:val="center"/>
          </w:tcPr>
          <w:p w14:paraId="3D361D44">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5125AB16">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up.BRCA2 }}</w:t>
            </w:r>
          </w:p>
        </w:tc>
        <w:tc>
          <w:tcPr>
            <w:tcW w:w="2972" w:type="pct"/>
            <w:shd w:val="clear" w:color="auto" w:fill="auto"/>
            <w:vAlign w:val="center"/>
          </w:tcPr>
          <w:p w14:paraId="29063A9A">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研究提示，携带 ATM，ERCC2，FANCD2，PALB2，BRCA1，BRCA2体细胞突变的肌层浸润性膀胱癌患者早期治疗后的复发风险较低。</w:t>
            </w:r>
          </w:p>
        </w:tc>
        <w:tc>
          <w:tcPr>
            <w:tcW w:w="647" w:type="pct"/>
            <w:shd w:val="clear" w:color="auto" w:fill="auto"/>
            <w:vAlign w:val="center"/>
          </w:tcPr>
          <w:p w14:paraId="7676C8D7">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25316812</w:t>
            </w:r>
          </w:p>
        </w:tc>
      </w:tr>
      <w:tr w14:paraId="0702856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2C038ED4">
            <w:pPr>
              <w:spacing w:before="26"/>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CCND1</w:t>
            </w:r>
          </w:p>
          <w:p w14:paraId="700F5BDA">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突变</w:t>
            </w:r>
          </w:p>
        </w:tc>
        <w:tc>
          <w:tcPr>
            <w:tcW w:w="459" w:type="pct"/>
            <w:shd w:val="clear" w:color="auto" w:fill="auto"/>
            <w:vAlign w:val="center"/>
          </w:tcPr>
          <w:p w14:paraId="7A11CA7E">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1B483F4A">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up.CCND1 }}</w:t>
            </w:r>
          </w:p>
        </w:tc>
        <w:tc>
          <w:tcPr>
            <w:tcW w:w="2972" w:type="pct"/>
            <w:shd w:val="clear" w:color="auto" w:fill="auto"/>
            <w:vAlign w:val="center"/>
          </w:tcPr>
          <w:p w14:paraId="58073A5B">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研究发现，携带FGFR3，KDM6A，CCND1和TP53基因突变的UTUC患者，提示可能预后较差。还有研究称，UTUC中，FGFR3，KDM6A和CCND1与较高的复发风险相关。</w:t>
            </w:r>
          </w:p>
        </w:tc>
        <w:tc>
          <w:tcPr>
            <w:tcW w:w="647" w:type="pct"/>
            <w:shd w:val="clear" w:color="auto" w:fill="auto"/>
            <w:vAlign w:val="center"/>
          </w:tcPr>
          <w:p w14:paraId="4DE624E1">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30352907</w:t>
            </w:r>
          </w:p>
          <w:p w14:paraId="2506DC2B">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30593515</w:t>
            </w:r>
          </w:p>
        </w:tc>
      </w:tr>
      <w:tr w14:paraId="5DBABF9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0BA64FD3">
            <w:pPr>
              <w:spacing w:before="26"/>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CDH1</w:t>
            </w:r>
          </w:p>
          <w:p w14:paraId="568083FA">
            <w:pPr>
              <w:spacing w:before="26"/>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突变</w:t>
            </w:r>
          </w:p>
        </w:tc>
        <w:tc>
          <w:tcPr>
            <w:tcW w:w="459" w:type="pct"/>
            <w:shd w:val="clear" w:color="auto" w:fill="auto"/>
            <w:vAlign w:val="center"/>
          </w:tcPr>
          <w:p w14:paraId="02F49660">
            <w:pPr>
              <w:spacing w:before="26"/>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尿路上皮癌/膀胱癌</w:t>
            </w:r>
          </w:p>
        </w:tc>
        <w:tc>
          <w:tcPr>
            <w:tcW w:w="937" w:type="dxa"/>
            <w:shd w:val="clear" w:color="auto" w:fill="auto"/>
            <w:vAlign w:val="center"/>
          </w:tcPr>
          <w:p w14:paraId="605E7416">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up.CDH1 }}</w:t>
            </w:r>
          </w:p>
        </w:tc>
        <w:tc>
          <w:tcPr>
            <w:tcW w:w="2972" w:type="pct"/>
            <w:shd w:val="clear" w:color="auto" w:fill="auto"/>
            <w:vAlign w:val="center"/>
          </w:tcPr>
          <w:p w14:paraId="3C511F43">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研究发现，携带CDKN2A，TP53，CDH1 基因突变的尿路上皮癌患者，预后可能较差。</w:t>
            </w:r>
          </w:p>
        </w:tc>
        <w:tc>
          <w:tcPr>
            <w:tcW w:w="647" w:type="pct"/>
            <w:shd w:val="clear" w:color="auto" w:fill="auto"/>
            <w:vAlign w:val="center"/>
          </w:tcPr>
          <w:p w14:paraId="61976081">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26901067</w:t>
            </w:r>
          </w:p>
        </w:tc>
      </w:tr>
      <w:tr w14:paraId="4093232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5D945F6D">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CDKN2A</w:t>
            </w:r>
          </w:p>
          <w:p w14:paraId="1A023F13">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突变</w:t>
            </w:r>
          </w:p>
        </w:tc>
        <w:tc>
          <w:tcPr>
            <w:tcW w:w="459" w:type="pct"/>
            <w:shd w:val="clear" w:color="auto" w:fill="auto"/>
            <w:vAlign w:val="center"/>
          </w:tcPr>
          <w:p w14:paraId="6261DEB1">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55E744A0">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up.CDKN2A }}</w:t>
            </w:r>
          </w:p>
        </w:tc>
        <w:tc>
          <w:tcPr>
            <w:tcW w:w="2972" w:type="pct"/>
            <w:shd w:val="clear" w:color="auto" w:fill="auto"/>
            <w:vAlign w:val="center"/>
          </w:tcPr>
          <w:p w14:paraId="11F8A02C">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研究发现，接受RC治疗的膀胱尿路上皮癌患者中，TP53和 CDKN2A 改变与预后不良相关；多变量分析中，CDKN2A改变的肿瘤患者的RFS较差。</w:t>
            </w:r>
          </w:p>
        </w:tc>
        <w:tc>
          <w:tcPr>
            <w:tcW w:w="647" w:type="pct"/>
            <w:shd w:val="clear" w:color="auto" w:fill="auto"/>
            <w:vAlign w:val="center"/>
          </w:tcPr>
          <w:p w14:paraId="0ECB69ED">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25092538</w:t>
            </w:r>
          </w:p>
        </w:tc>
      </w:tr>
      <w:tr w14:paraId="1FF0360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7EAAEAD8">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CREBBP</w:t>
            </w:r>
          </w:p>
          <w:p w14:paraId="2A492AAD">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突变</w:t>
            </w:r>
          </w:p>
        </w:tc>
        <w:tc>
          <w:tcPr>
            <w:tcW w:w="459" w:type="pct"/>
            <w:shd w:val="clear" w:color="auto" w:fill="auto"/>
            <w:vAlign w:val="center"/>
          </w:tcPr>
          <w:p w14:paraId="0F10E5B9">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62272ECA">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up.CREBBP }}</w:t>
            </w:r>
          </w:p>
        </w:tc>
        <w:tc>
          <w:tcPr>
            <w:tcW w:w="2972" w:type="pct"/>
            <w:shd w:val="clear" w:color="auto" w:fill="auto"/>
            <w:vAlign w:val="center"/>
          </w:tcPr>
          <w:p w14:paraId="4DDA6C86">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在一项研究中，复发发生率31%（22/72），具有CREBBP 突变的复发率更高（9/18，50%），高于没有CREBBP突变的肿瘤复发率（13/54，24%）。</w:t>
            </w:r>
          </w:p>
        </w:tc>
        <w:tc>
          <w:tcPr>
            <w:tcW w:w="647" w:type="pct"/>
            <w:shd w:val="clear" w:color="auto" w:fill="auto"/>
            <w:vAlign w:val="center"/>
          </w:tcPr>
          <w:p w14:paraId="6430D398">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30593515</w:t>
            </w:r>
          </w:p>
        </w:tc>
      </w:tr>
      <w:tr w14:paraId="3818198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6A28FDA7">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ERCC2</w:t>
            </w:r>
          </w:p>
          <w:p w14:paraId="369CBC58">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体系突变</w:t>
            </w:r>
          </w:p>
        </w:tc>
        <w:tc>
          <w:tcPr>
            <w:tcW w:w="459" w:type="pct"/>
            <w:shd w:val="clear" w:color="auto" w:fill="auto"/>
            <w:vAlign w:val="center"/>
          </w:tcPr>
          <w:p w14:paraId="77974A74">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7988299E">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up.ERCC2 }}</w:t>
            </w:r>
          </w:p>
        </w:tc>
        <w:tc>
          <w:tcPr>
            <w:tcW w:w="2972" w:type="pct"/>
            <w:shd w:val="clear" w:color="auto" w:fill="auto"/>
            <w:vAlign w:val="center"/>
          </w:tcPr>
          <w:p w14:paraId="3618A3E1">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研究提示，携带 ATM，ERCC2，FANCD2，PALB2，BRCA1，BRCA2体细胞突变的肌层浸润性膀胱癌患者早期治疗后的复发风险较低。</w:t>
            </w:r>
          </w:p>
        </w:tc>
        <w:tc>
          <w:tcPr>
            <w:tcW w:w="647" w:type="pct"/>
            <w:shd w:val="clear" w:color="auto" w:fill="auto"/>
            <w:vAlign w:val="center"/>
          </w:tcPr>
          <w:p w14:paraId="33961D97">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25316812</w:t>
            </w:r>
          </w:p>
        </w:tc>
      </w:tr>
      <w:tr w14:paraId="0D923D5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193F4EAF">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FGFR3</w:t>
            </w:r>
          </w:p>
          <w:p w14:paraId="76318C6E">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突变</w:t>
            </w:r>
          </w:p>
        </w:tc>
        <w:tc>
          <w:tcPr>
            <w:tcW w:w="459" w:type="pct"/>
            <w:shd w:val="clear" w:color="auto" w:fill="auto"/>
            <w:vAlign w:val="center"/>
          </w:tcPr>
          <w:p w14:paraId="7E1B544F">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640A7A92">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up.FGFR3 }}</w:t>
            </w:r>
          </w:p>
        </w:tc>
        <w:tc>
          <w:tcPr>
            <w:tcW w:w="2972" w:type="pct"/>
            <w:shd w:val="clear" w:color="auto" w:fill="auto"/>
            <w:vAlign w:val="center"/>
          </w:tcPr>
          <w:p w14:paraId="3819D868">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研究发现，携带FGFR3，KDM6A，CCND1和TP53基因突变的UTUC患者，提示可能预后较差。还有研究称，UTUC中，FGFR3，KDM6A和CCND1与较高的复发风险相关；在高级别UTUC患者中，FGFR3，PIK3CA和EP300的突变与较差的OS相关。</w:t>
            </w:r>
          </w:p>
        </w:tc>
        <w:tc>
          <w:tcPr>
            <w:tcW w:w="647" w:type="pct"/>
            <w:shd w:val="clear" w:color="auto" w:fill="auto"/>
            <w:vAlign w:val="center"/>
          </w:tcPr>
          <w:p w14:paraId="2E95F073">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30352907</w:t>
            </w:r>
          </w:p>
          <w:p w14:paraId="610D8C2C">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30593515</w:t>
            </w:r>
          </w:p>
        </w:tc>
      </w:tr>
      <w:tr w14:paraId="3889313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775C0509">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PALB2</w:t>
            </w:r>
          </w:p>
          <w:p w14:paraId="0B0BE729">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体系突变</w:t>
            </w:r>
          </w:p>
        </w:tc>
        <w:tc>
          <w:tcPr>
            <w:tcW w:w="459" w:type="pct"/>
            <w:shd w:val="clear" w:color="auto" w:fill="auto"/>
            <w:vAlign w:val="center"/>
          </w:tcPr>
          <w:p w14:paraId="39567449">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0F54881E">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up.PALB2 }}</w:t>
            </w:r>
          </w:p>
        </w:tc>
        <w:tc>
          <w:tcPr>
            <w:tcW w:w="2972" w:type="pct"/>
            <w:shd w:val="clear" w:color="auto" w:fill="auto"/>
            <w:vAlign w:val="center"/>
          </w:tcPr>
          <w:p w14:paraId="0E1DFA17">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研究提示，携带 ATM，ERCC2，FANCD2，PALB2，BRCA1，BRCA2体细胞突变的肌层浸润性膀胱癌患者早期治疗后的复发风险较低。</w:t>
            </w:r>
          </w:p>
        </w:tc>
        <w:tc>
          <w:tcPr>
            <w:tcW w:w="647" w:type="pct"/>
            <w:shd w:val="clear" w:color="auto" w:fill="auto"/>
            <w:vAlign w:val="center"/>
          </w:tcPr>
          <w:p w14:paraId="367BF3A1">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25316812</w:t>
            </w:r>
          </w:p>
        </w:tc>
      </w:tr>
      <w:tr w14:paraId="1FEA56A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01D8B26B">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PIK3CA</w:t>
            </w:r>
          </w:p>
          <w:p w14:paraId="4708E4FA">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突变</w:t>
            </w:r>
          </w:p>
        </w:tc>
        <w:tc>
          <w:tcPr>
            <w:tcW w:w="459" w:type="pct"/>
            <w:shd w:val="clear" w:color="auto" w:fill="auto"/>
            <w:vAlign w:val="center"/>
          </w:tcPr>
          <w:p w14:paraId="5D8364A9">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79C829AC">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up.PIK3CA }}</w:t>
            </w:r>
          </w:p>
        </w:tc>
        <w:tc>
          <w:tcPr>
            <w:tcW w:w="2972" w:type="pct"/>
            <w:shd w:val="clear" w:color="auto" w:fill="auto"/>
            <w:vAlign w:val="center"/>
          </w:tcPr>
          <w:p w14:paraId="6B3CA214">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研究发现，接受RC治疗的膀胱尿路上皮癌患者中，PIK3CA突变与良好的预后相关；也有研究称，在高级别上尿路上皮癌症患者中，FGFR3，PIK3CA和EP300的突变与较差的OS相关。</w:t>
            </w:r>
          </w:p>
        </w:tc>
        <w:tc>
          <w:tcPr>
            <w:tcW w:w="647" w:type="pct"/>
            <w:shd w:val="clear" w:color="auto" w:fill="auto"/>
            <w:vAlign w:val="center"/>
          </w:tcPr>
          <w:p w14:paraId="2AD0114F">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25092538</w:t>
            </w:r>
          </w:p>
          <w:p w14:paraId="7CF9475E">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30593515</w:t>
            </w:r>
          </w:p>
        </w:tc>
      </w:tr>
      <w:tr w14:paraId="4A4804A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3E9AA41C">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PTEN</w:t>
            </w:r>
          </w:p>
          <w:p w14:paraId="2614DFB6">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突变</w:t>
            </w:r>
          </w:p>
        </w:tc>
        <w:tc>
          <w:tcPr>
            <w:tcW w:w="459" w:type="pct"/>
            <w:shd w:val="clear" w:color="auto" w:fill="auto"/>
            <w:vAlign w:val="center"/>
          </w:tcPr>
          <w:p w14:paraId="3024BB6B">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尿路上皮癌/膀胱癌</w:t>
            </w:r>
          </w:p>
        </w:tc>
        <w:tc>
          <w:tcPr>
            <w:tcW w:w="460" w:type="pct"/>
            <w:shd w:val="clear" w:color="auto" w:fill="auto"/>
            <w:vAlign w:val="center"/>
          </w:tcPr>
          <w:p w14:paraId="7D7940F0">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up.PTEN }}</w:t>
            </w:r>
          </w:p>
        </w:tc>
        <w:tc>
          <w:tcPr>
            <w:tcW w:w="2972" w:type="pct"/>
            <w:shd w:val="clear" w:color="auto" w:fill="auto"/>
            <w:vAlign w:val="center"/>
          </w:tcPr>
          <w:p w14:paraId="26702288">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研究发现，携带与PI3K/Akt 通路相关的PIK3CA，PTEN，AKT1，TSC1，TSC2 基因突变的尿路上皮癌患者，预后可能较好。</w:t>
            </w:r>
          </w:p>
        </w:tc>
        <w:tc>
          <w:tcPr>
            <w:tcW w:w="647" w:type="pct"/>
            <w:shd w:val="clear" w:color="auto" w:fill="auto"/>
            <w:vAlign w:val="center"/>
          </w:tcPr>
          <w:p w14:paraId="5EAFF614">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25092538</w:t>
            </w:r>
          </w:p>
        </w:tc>
      </w:tr>
      <w:tr w14:paraId="5E3E150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3460AAC8">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TP53</w:t>
            </w:r>
          </w:p>
          <w:p w14:paraId="5917DCE1">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突变</w:t>
            </w:r>
          </w:p>
        </w:tc>
        <w:tc>
          <w:tcPr>
            <w:tcW w:w="459" w:type="pct"/>
            <w:shd w:val="clear" w:color="auto" w:fill="auto"/>
            <w:vAlign w:val="center"/>
          </w:tcPr>
          <w:p w14:paraId="45FFEB90">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尿路上皮癌/膀胱癌</w:t>
            </w:r>
          </w:p>
        </w:tc>
        <w:tc>
          <w:tcPr>
            <w:tcW w:w="460" w:type="pct"/>
            <w:shd w:val="clear" w:color="auto" w:fill="auto"/>
            <w:vAlign w:val="center"/>
          </w:tcPr>
          <w:p w14:paraId="10C10E79">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up.TP53 }}</w:t>
            </w:r>
          </w:p>
        </w:tc>
        <w:tc>
          <w:tcPr>
            <w:tcW w:w="2972" w:type="pct"/>
            <w:shd w:val="clear" w:color="auto" w:fill="auto"/>
            <w:vAlign w:val="center"/>
          </w:tcPr>
          <w:p w14:paraId="0DD440F5">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研究发现，携带FGFR3，KDM6A，CCND1和TP53基因突变的UTUC患者，提示可能预后较差。也有研究称，接受RC治疗的膀胱尿路上皮癌患者中，TP53和 CDKN2A 改变与预后不良相关。</w:t>
            </w:r>
          </w:p>
        </w:tc>
        <w:tc>
          <w:tcPr>
            <w:tcW w:w="647" w:type="pct"/>
            <w:shd w:val="clear" w:color="auto" w:fill="auto"/>
            <w:vAlign w:val="center"/>
          </w:tcPr>
          <w:p w14:paraId="7C0572DC">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30352907</w:t>
            </w:r>
          </w:p>
          <w:p w14:paraId="69434AF3">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25092538</w:t>
            </w:r>
          </w:p>
        </w:tc>
      </w:tr>
      <w:tr w14:paraId="576C44F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3C2EE47F">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TSC1</w:t>
            </w:r>
          </w:p>
          <w:p w14:paraId="7A5C5412">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突变</w:t>
            </w:r>
          </w:p>
        </w:tc>
        <w:tc>
          <w:tcPr>
            <w:tcW w:w="459" w:type="pct"/>
            <w:shd w:val="clear" w:color="auto" w:fill="auto"/>
            <w:vAlign w:val="center"/>
          </w:tcPr>
          <w:p w14:paraId="05884140">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尿路上皮癌/膀胱癌</w:t>
            </w:r>
          </w:p>
        </w:tc>
        <w:tc>
          <w:tcPr>
            <w:tcW w:w="460" w:type="pct"/>
            <w:shd w:val="clear" w:color="auto" w:fill="auto"/>
            <w:vAlign w:val="center"/>
          </w:tcPr>
          <w:p w14:paraId="18FE5DAC">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up.TSC1 }}</w:t>
            </w:r>
          </w:p>
        </w:tc>
        <w:tc>
          <w:tcPr>
            <w:tcW w:w="2972" w:type="pct"/>
            <w:shd w:val="clear" w:color="auto" w:fill="auto"/>
            <w:vAlign w:val="center"/>
          </w:tcPr>
          <w:p w14:paraId="23465EC6">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研究发现，携带与PI3K/Akt通路相关的PIK3CA，PTEN，AKT1，TSC1，TSC2基因突变的尿路上皮癌患者，预后可能较好。</w:t>
            </w:r>
          </w:p>
        </w:tc>
        <w:tc>
          <w:tcPr>
            <w:tcW w:w="647" w:type="pct"/>
            <w:shd w:val="clear" w:color="auto" w:fill="auto"/>
            <w:vAlign w:val="center"/>
          </w:tcPr>
          <w:p w14:paraId="0680DBE7">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25092538</w:t>
            </w:r>
          </w:p>
        </w:tc>
      </w:tr>
      <w:tr w14:paraId="19EC99C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0B4AD4EE">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TSC2</w:t>
            </w:r>
          </w:p>
          <w:p w14:paraId="6E43E5C5">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突变</w:t>
            </w:r>
          </w:p>
        </w:tc>
        <w:tc>
          <w:tcPr>
            <w:tcW w:w="459" w:type="pct"/>
            <w:shd w:val="clear" w:color="auto" w:fill="auto"/>
            <w:vAlign w:val="center"/>
          </w:tcPr>
          <w:p w14:paraId="759D8BC3">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尿路上皮癌/膀胱癌</w:t>
            </w:r>
          </w:p>
        </w:tc>
        <w:tc>
          <w:tcPr>
            <w:tcW w:w="460" w:type="pct"/>
            <w:shd w:val="clear" w:color="auto" w:fill="auto"/>
            <w:vAlign w:val="center"/>
          </w:tcPr>
          <w:p w14:paraId="17E0F604">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up.TSC2 }}</w:t>
            </w:r>
          </w:p>
        </w:tc>
        <w:tc>
          <w:tcPr>
            <w:tcW w:w="2972" w:type="pct"/>
            <w:shd w:val="clear" w:color="auto" w:fill="auto"/>
            <w:vAlign w:val="center"/>
          </w:tcPr>
          <w:p w14:paraId="41BC3D78">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研究发现，携带与PI3K/Akt通路相关的PIK3CA，PTEN，AKT1，TSC1，TSC2基因突变的尿路上皮癌患者，预后可能较好。</w:t>
            </w:r>
          </w:p>
        </w:tc>
        <w:tc>
          <w:tcPr>
            <w:tcW w:w="647" w:type="pct"/>
            <w:shd w:val="clear" w:color="auto" w:fill="auto"/>
            <w:vAlign w:val="center"/>
          </w:tcPr>
          <w:p w14:paraId="37E2AE84">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25092538</w:t>
            </w:r>
          </w:p>
        </w:tc>
      </w:tr>
    </w:tbl>
    <w:p w14:paraId="1B10D37C">
      <w:pPr>
        <w:pStyle w:val="31"/>
        <w:tabs>
          <w:tab w:val="left" w:pos="1317"/>
        </w:tabs>
        <w:kinsoku w:val="0"/>
        <w:overflowPunct w:val="0"/>
        <w:spacing w:before="1" w:line="187" w:lineRule="auto"/>
        <w:ind w:left="0" w:right="1131" w:firstLine="0"/>
        <w:rPr>
          <w:rFonts w:ascii="微软雅黑" w:hAnsi="微软雅黑" w:eastAsia="微软雅黑"/>
          <w:b/>
          <w:bCs/>
          <w:sz w:val="18"/>
          <w:lang w:eastAsia="zh-CN"/>
        </w:rPr>
      </w:pPr>
      <w:r>
        <w:rPr>
          <w:rFonts w:hint="eastAsia" w:ascii="Times New Roman" w:hAnsi="Times New Roman" w:eastAsia="微软雅黑" w:cs="Times New Roman"/>
          <w:bCs/>
          <w:color w:val="000000" w:themeColor="text1"/>
          <w:sz w:val="18"/>
          <w:szCs w:val="18"/>
          <w:lang w:eastAsia="zh-CN"/>
          <w14:textFill>
            <w14:solidFill>
              <w14:schemeClr w14:val="tx1"/>
            </w14:solidFill>
          </w14:textFill>
        </w:rPr>
        <w:t>{% endif %}</w:t>
      </w:r>
      <w:r>
        <w:rPr>
          <w:rFonts w:hint="eastAsia" w:ascii="微软雅黑" w:hAnsi="微软雅黑" w:eastAsia="微软雅黑"/>
          <w:b/>
          <w:bCs/>
          <w:sz w:val="18"/>
          <w:lang w:eastAsia="zh-CN"/>
        </w:rPr>
        <w:t>注：</w:t>
      </w:r>
    </w:p>
    <w:p w14:paraId="16FBF8A4">
      <w:pPr>
        <w:numPr>
          <w:ilvl w:val="0"/>
          <w:numId w:val="20"/>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预后情况与多种临床因素相关，提示信息仅供参考。</w:t>
      </w:r>
    </w:p>
    <w:p w14:paraId="57E337EE">
      <w:pPr>
        <w:numPr>
          <w:ilvl w:val="0"/>
          <w:numId w:val="20"/>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本列表中基因的检测范围涵盖但不限于上表中列出的变异类型。良性变异、或疑似良性变异不在此“检出”范围内。</w:t>
      </w:r>
    </w:p>
    <w:p w14:paraId="05062782">
      <w:pPr>
        <w:pStyle w:val="26"/>
        <w:rPr>
          <w:color w:val="000000" w:themeColor="text1"/>
          <w14:textFill>
            <w14:solidFill>
              <w14:schemeClr w14:val="tx1"/>
            </w14:solidFill>
          </w14:textFill>
        </w:rPr>
      </w:pPr>
      <w:r>
        <w:rPr>
          <w:color w:val="000000" w:themeColor="text1"/>
          <w14:textFill>
            <w14:solidFill>
              <w14:schemeClr w14:val="tx1"/>
            </w14:solidFill>
          </w14:textFill>
        </w:rPr>
        <w:br w:type="page"/>
      </w:r>
      <w:r>
        <w:rPr>
          <w:rFonts w:hint="eastAsia"/>
          <w:color w:val="000000" w:themeColor="text1"/>
          <w14:textFill>
            <w14:solidFill>
              <w14:schemeClr w14:val="tx1"/>
            </w14:solidFill>
          </w14:textFill>
        </w:rPr>
        <w:t>{% endif %}{% if gastrointestinalStromalTumor == True %}</w:t>
      </w:r>
    </w:p>
    <w:p w14:paraId="794B7A43">
      <w:pPr>
        <w:pStyle w:val="3"/>
        <w:numPr>
          <w:ilvl w:val="255"/>
          <w:numId w:val="0"/>
        </w:numPr>
        <w:jc w:val="both"/>
        <w:rPr>
          <w:color w:val="auto"/>
          <w:sz w:val="30"/>
          <w:lang w:eastAsia="zh-CN"/>
        </w:rPr>
      </w:pPr>
      <w:bookmarkStart w:id="95" w:name="_Toc16347"/>
      <w:bookmarkStart w:id="96" w:name="_Toc21764_WPSOffice_Level2"/>
      <w:bookmarkStart w:id="97" w:name="_Toc26649"/>
      <w:bookmarkStart w:id="98" w:name="_Toc12157"/>
      <w:bookmarkStart w:id="99" w:name="_Toc24089"/>
      <w:bookmarkStart w:id="100" w:name="_Toc14132"/>
      <w:bookmarkStart w:id="101" w:name="_Toc1707_WPSOffice_Level2"/>
      <w:r>
        <w:rPr>
          <w:color w:val="auto"/>
          <w:sz w:val="30"/>
          <w:lang w:eastAsia="zh-CN"/>
        </w:rPr>
        <w:t>化疗药物检测解析</w:t>
      </w:r>
      <w:bookmarkEnd w:id="95"/>
      <w:bookmarkEnd w:id="96"/>
      <w:bookmarkEnd w:id="97"/>
      <w:bookmarkEnd w:id="98"/>
      <w:bookmarkEnd w:id="99"/>
      <w:bookmarkEnd w:id="100"/>
      <w:bookmarkEnd w:id="101"/>
    </w:p>
    <w:p w14:paraId="2B5FFA56">
      <w:pPr>
        <w:spacing w:before="26" w:after="120" w:afterLines="50"/>
        <w:rPr>
          <w:lang w:eastAsia="zh-CN"/>
        </w:rPr>
      </w:pPr>
      <w:bookmarkStart w:id="102" w:name="_Toc28240"/>
      <w:bookmarkStart w:id="103" w:name="_Toc1707_WPSOffice_Level1"/>
      <w:bookmarkStart w:id="104" w:name="_Toc27302"/>
      <w:bookmarkStart w:id="105" w:name="_Toc13698"/>
      <w:bookmarkStart w:id="106" w:name="_Toc13196_WPSOffice_Level1"/>
      <w:bookmarkStart w:id="107" w:name="_Toc21764_WPSOffice_Level1"/>
      <w:r>
        <w:rPr>
          <w:rFonts w:ascii="Times New Roman" w:hAnsi="Times New Roman" w:eastAsia="微软雅黑" w:cs="Times New Roman"/>
          <w:b/>
          <w:sz w:val="24"/>
          <w:lang w:eastAsia="zh-CN"/>
        </w:rPr>
        <w:t>化疗药物用药提示</w:t>
      </w:r>
    </w:p>
    <w:tbl>
      <w:tblPr>
        <w:tblStyle w:val="15"/>
        <w:tblW w:w="9870"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499"/>
        <w:gridCol w:w="8371"/>
      </w:tblGrid>
      <w:tr w14:paraId="7289DC4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1" w:hRule="atLeast"/>
          <w:jc w:val="center"/>
        </w:trPr>
        <w:tc>
          <w:tcPr>
            <w:tcW w:w="1339" w:type="dxa"/>
            <w:vMerge w:val="restart"/>
            <w:tcBorders>
              <w:top w:val="nil"/>
              <w:left w:val="nil"/>
              <w:bottom w:val="single" w:color="FFFFFF" w:sz="18" w:space="0"/>
              <w:right w:val="nil"/>
            </w:tcBorders>
            <w:shd w:val="clear" w:color="auto" w:fill="62BC41"/>
            <w:vAlign w:val="center"/>
          </w:tcPr>
          <w:p w14:paraId="77A69E3F">
            <w:pPr>
              <w:widowControl/>
              <w:jc w:val="cente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pPr>
            <w: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t>本癌种</w:t>
            </w:r>
          </w:p>
        </w:tc>
        <w:tc>
          <w:tcPr>
            <w:tcW w:w="7480" w:type="dxa"/>
            <w:tcBorders>
              <w:top w:val="single" w:color="A4A4A4" w:sz="4" w:space="0"/>
              <w:left w:val="nil"/>
              <w:bottom w:val="single" w:color="A4A4A4" w:sz="4" w:space="0"/>
              <w:right w:val="nil"/>
              <w:tl2br w:val="nil"/>
              <w:tr2bl w:val="nil"/>
            </w:tcBorders>
            <w:vAlign w:val="center"/>
          </w:tcPr>
          <w:p w14:paraId="55C1ACE9">
            <w:pPr>
              <w:widowControl/>
              <w:jc w:val="both"/>
              <w:rPr>
                <w:rFonts w:ascii="Times New Roman" w:hAnsi="Times New Roman" w:eastAsia="微软雅黑" w:cs="Times New Roman"/>
                <w:color w:val="4F4F4F"/>
                <w:sz w:val="18"/>
                <w:szCs w:val="18"/>
                <w:lang w:eastAsia="zh-CN" w:bidi="ar"/>
              </w:rPr>
            </w:pPr>
            <w:r>
              <w:rPr>
                <w:rFonts w:hint="eastAsia" w:ascii="Times New Roman" w:hAnsi="Times New Roman" w:eastAsia="微软雅黑" w:cs="Times New Roman"/>
                <w:bCs/>
                <w:sz w:val="18"/>
                <w:szCs w:val="18"/>
                <w:lang w:eastAsia="zh-CN"/>
              </w:rPr>
              <w:t>{{ chemoSummary.certain_cancer_eff</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4381183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1" w:hRule="atLeast"/>
          <w:jc w:val="center"/>
        </w:trPr>
        <w:tc>
          <w:tcPr>
            <w:tcW w:w="1339" w:type="dxa"/>
            <w:vMerge w:val="continue"/>
            <w:tcBorders>
              <w:top w:val="single" w:color="FFFFFF" w:sz="18" w:space="0"/>
              <w:left w:val="nil"/>
              <w:bottom w:val="single" w:color="FFFFFF" w:sz="18" w:space="0"/>
              <w:right w:val="nil"/>
            </w:tcBorders>
            <w:shd w:val="clear" w:color="auto" w:fill="62BC41"/>
            <w:vAlign w:val="center"/>
          </w:tcPr>
          <w:p w14:paraId="0063F3EA">
            <w:pPr>
              <w:widowControl/>
              <w:jc w:val="cente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pPr>
          </w:p>
        </w:tc>
        <w:tc>
          <w:tcPr>
            <w:tcW w:w="7480" w:type="dxa"/>
            <w:tcBorders>
              <w:top w:val="single" w:color="A4A4A4" w:sz="4" w:space="0"/>
              <w:left w:val="nil"/>
              <w:bottom w:val="single" w:color="A4A4A4" w:sz="4" w:space="0"/>
              <w:right w:val="nil"/>
              <w:tl2br w:val="nil"/>
              <w:tr2bl w:val="nil"/>
            </w:tcBorders>
            <w:vAlign w:val="center"/>
          </w:tcPr>
          <w:p w14:paraId="1073F03D">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chemoSummary.certain_cancer_tox</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5393A25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21" w:hRule="atLeast"/>
          <w:jc w:val="center"/>
        </w:trPr>
        <w:tc>
          <w:tcPr>
            <w:tcW w:w="1339" w:type="dxa"/>
            <w:vMerge w:val="restart"/>
            <w:tcBorders>
              <w:top w:val="single" w:color="FFFFFF" w:sz="18" w:space="0"/>
              <w:left w:val="nil"/>
              <w:bottom w:val="nil"/>
              <w:right w:val="nil"/>
            </w:tcBorders>
            <w:shd w:val="clear" w:color="auto" w:fill="62BC41"/>
            <w:vAlign w:val="center"/>
          </w:tcPr>
          <w:p w14:paraId="49C2DE09">
            <w:pPr>
              <w:widowControl/>
              <w:jc w:val="cente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pPr>
            <w: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t>其他癌种</w:t>
            </w:r>
          </w:p>
        </w:tc>
        <w:tc>
          <w:tcPr>
            <w:tcW w:w="7480" w:type="dxa"/>
            <w:tcBorders>
              <w:top w:val="single" w:color="A4A4A4" w:sz="4" w:space="0"/>
              <w:left w:val="nil"/>
              <w:bottom w:val="single" w:color="A4A4A4" w:sz="4" w:space="0"/>
              <w:right w:val="nil"/>
              <w:tl2br w:val="nil"/>
              <w:tr2bl w:val="nil"/>
            </w:tcBorders>
            <w:vAlign w:val="center"/>
          </w:tcPr>
          <w:p w14:paraId="2D6226AF">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chemoSummary.other_cancer_eff</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5BE2F2A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41" w:hRule="atLeast"/>
          <w:jc w:val="center"/>
        </w:trPr>
        <w:tc>
          <w:tcPr>
            <w:tcW w:w="1339" w:type="dxa"/>
            <w:vMerge w:val="continue"/>
            <w:tcBorders>
              <w:top w:val="nil"/>
              <w:left w:val="nil"/>
              <w:bottom w:val="nil"/>
              <w:right w:val="nil"/>
              <w:tl2br w:val="nil"/>
              <w:tr2bl w:val="nil"/>
            </w:tcBorders>
            <w:shd w:val="clear" w:color="auto" w:fill="62BC41"/>
            <w:vAlign w:val="center"/>
          </w:tcPr>
          <w:p w14:paraId="57543B44">
            <w:pPr>
              <w:widowControl/>
              <w:jc w:val="center"/>
              <w:rPr>
                <w:rFonts w:ascii="Times New Roman" w:hAnsi="Times New Roman" w:eastAsia="微软雅黑" w:cs="Times New Roman"/>
                <w:color w:val="4F4F4F"/>
                <w:sz w:val="18"/>
                <w:szCs w:val="18"/>
                <w:lang w:eastAsia="zh-CN" w:bidi="ar"/>
              </w:rPr>
            </w:pPr>
          </w:p>
        </w:tc>
        <w:tc>
          <w:tcPr>
            <w:tcW w:w="7480" w:type="dxa"/>
            <w:tcBorders>
              <w:top w:val="single" w:color="A4A4A4" w:sz="4" w:space="0"/>
              <w:left w:val="nil"/>
              <w:bottom w:val="single" w:color="A4A4A4" w:sz="4" w:space="0"/>
              <w:right w:val="nil"/>
              <w:tl2br w:val="nil"/>
              <w:tr2bl w:val="nil"/>
            </w:tcBorders>
            <w:vAlign w:val="center"/>
          </w:tcPr>
          <w:p w14:paraId="70255A30">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w:t>
            </w:r>
            <w:r>
              <w:rPr>
                <w:rFonts w:ascii="Times New Roman" w:hAnsi="Times New Roman" w:eastAsia="微软雅黑" w:cs="Times New Roman"/>
                <w:bCs/>
                <w:sz w:val="18"/>
                <w:szCs w:val="18"/>
                <w:lang w:eastAsia="zh-CN"/>
              </w:rPr>
              <w:t>other_cancer_toxStr</w:t>
            </w:r>
            <w:r>
              <w:rPr>
                <w:rFonts w:hint="eastAsia" w:ascii="Times New Roman" w:hAnsi="Times New Roman" w:eastAsia="微软雅黑" w:cs="Times New Roman"/>
                <w:bCs/>
                <w:sz w:val="18"/>
                <w:szCs w:val="18"/>
                <w:lang w:eastAsia="zh-CN"/>
              </w:rPr>
              <w:t xml:space="preserve"> }}</w:t>
            </w:r>
          </w:p>
        </w:tc>
      </w:tr>
    </w:tbl>
    <w:p w14:paraId="2EBE2409">
      <w:pPr>
        <w:rPr>
          <w:rFonts w:ascii="Times New Roman" w:hAnsi="Times New Roman" w:eastAsia="微软雅黑" w:cs="Times New Roman"/>
        </w:rPr>
      </w:pPr>
      <w:r>
        <w:rPr>
          <w:rFonts w:ascii="Times New Roman" w:hAnsi="Times New Roman" w:eastAsia="微软雅黑" w:cs="Times New Roman"/>
          <w:b/>
          <w:sz w:val="18"/>
          <w:szCs w:val="18"/>
          <w:lang w:eastAsia="zh-CN" w:bidi="ar"/>
        </w:rPr>
        <w:t>注：</w:t>
      </w:r>
    </w:p>
    <w:p w14:paraId="290B96C8">
      <w:pPr>
        <w:numPr>
          <w:ilvl w:val="0"/>
          <w:numId w:val="21"/>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本癌种化疗药物的毒副风险和敏感性预测参考纳入人群为本癌种患者的研究文献。</w:t>
      </w:r>
    </w:p>
    <w:p w14:paraId="74CCB3B8">
      <w:pPr>
        <w:numPr>
          <w:ilvl w:val="0"/>
          <w:numId w:val="21"/>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更详细的化疗基因多态性和药物信息参见</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化疗药物用药解析</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w:t>
      </w:r>
    </w:p>
    <w:p w14:paraId="08B9538F">
      <w:pPr>
        <w:numPr>
          <w:ilvl w:val="0"/>
          <w:numId w:val="21"/>
        </w:numPr>
        <w:rPr>
          <w:rFonts w:ascii="Times New Roman" w:hAnsi="Times New Roman" w:eastAsia="微软雅黑" w:cs="Times New Roman"/>
          <w:sz w:val="18"/>
          <w:lang w:eastAsia="zh-CN"/>
        </w:rPr>
      </w:pP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位点</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指和化疗药物或方案的有效性、毒副作用等药效学相关的，位于基因组上的多态性位点，通常用rs号表示；单个</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位点</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上的遗传变异，在人群中会组合出多个</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基因型</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，不同基因型患者的药物反应在临床上可能会有所差异。</w:t>
      </w:r>
    </w:p>
    <w:p w14:paraId="3BC6F471">
      <w:pPr>
        <w:numPr>
          <w:ilvl w:val="0"/>
          <w:numId w:val="21"/>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PharmGKB是美国国立卫生研究院资助的提供人类基因变异与药物反应相关关系的知识库。</w:t>
      </w:r>
    </w:p>
    <w:p w14:paraId="192A6CD6">
      <w:pPr>
        <w:numPr>
          <w:ilvl w:val="0"/>
          <w:numId w:val="21"/>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临床证据等级来源于PharmGKBClinicalAnnotationLevelsofEvidence(https://www.pharmgkb.org/page/clinAnnLevels)，证据等级1A、1B、2A、2B、3、4分别代表证据支持程度依次降低：</w:t>
      </w:r>
    </w:p>
    <w:p w14:paraId="1029C0E4">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1A：由临床药物基因组学实施联盟(CPIC)或遗传药理学指南认可，或在遗传药理学研究网络(PGRN)或某些重大卫生系统认可。</w:t>
      </w:r>
    </w:p>
    <w:p w14:paraId="301687F4">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1B：相关性基于多项有统计显著性的研究，此相关性必须在多于一个群体的研究中被重复，且显著性较强。</w:t>
      </w:r>
    </w:p>
    <w:p w14:paraId="25C9321C">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2A：PharmGKB定义的2B级之上的有VIP（VeryImportantPharmacogene，非常重要的用药相关基因）的变异。2A级变异为已知用药相关基因，与2B级相比功能相关性更显著。</w:t>
      </w:r>
    </w:p>
    <w:p w14:paraId="7489C72E">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2B：相关性基于多项重复性研究所得的中等程度证据，但其中某些研究可能缺乏统计学显著性或规模效应较小。</w:t>
      </w:r>
    </w:p>
    <w:p w14:paraId="43E2675D">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3：相关性基于单一显著性（尚无重复性）研究或多项缺乏明确证据的研究。</w:t>
      </w:r>
    </w:p>
    <w:p w14:paraId="11D3A426">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4：注释仅基于少量病例、非权威研究或体外的分子功能研究。</w:t>
      </w:r>
    </w:p>
    <w:p w14:paraId="40540322">
      <w:pPr>
        <w:numPr>
          <w:ilvl w:val="0"/>
          <w:numId w:val="21"/>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化疗药物检测结果仅从基因角度进行分析，化疗药物的药效及毒副作用还会受到多种临床因素影响，用药上会存在个体差异，所以实际临床用药方案需临床医生综合判断。</w:t>
      </w:r>
    </w:p>
    <w:p w14:paraId="6CAAE06E">
      <w:pPr>
        <w:rPr>
          <w:rFonts w:ascii="Times New Roman" w:hAnsi="Times New Roman" w:eastAsia="微软雅黑" w:cs="Times New Roman"/>
          <w:sz w:val="18"/>
          <w:szCs w:val="18"/>
          <w:lang w:eastAsia="zh-CN" w:bidi="ar"/>
        </w:rPr>
      </w:pPr>
      <w:r>
        <w:rPr>
          <w:rFonts w:ascii="Times New Roman" w:hAnsi="Times New Roman" w:eastAsia="微软雅黑" w:cs="Times New Roman"/>
          <w:sz w:val="18"/>
          <w:szCs w:val="18"/>
          <w:lang w:eastAsia="zh-CN" w:bidi="ar"/>
        </w:rPr>
        <w:br w:type="page"/>
      </w:r>
    </w:p>
    <w:p w14:paraId="00F807B9">
      <w:pPr>
        <w:spacing w:before="26" w:after="120" w:afterLines="50"/>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化疗药物用药解析</w:t>
      </w:r>
    </w:p>
    <w:tbl>
      <w:tblPr>
        <w:tblStyle w:val="14"/>
        <w:tblW w:w="4953" w:type="pct"/>
        <w:jc w:val="center"/>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757"/>
        <w:gridCol w:w="2779"/>
        <w:gridCol w:w="1406"/>
        <w:gridCol w:w="1153"/>
        <w:gridCol w:w="916"/>
        <w:gridCol w:w="1186"/>
        <w:gridCol w:w="1025"/>
        <w:gridCol w:w="556"/>
      </w:tblGrid>
      <w:tr w14:paraId="0E1F5229">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387" w:type="pct"/>
            <w:tcBorders>
              <w:top w:val="nil"/>
              <w:bottom w:val="nil"/>
              <w:right w:val="single" w:color="FFFFFF" w:sz="18" w:space="0"/>
            </w:tcBorders>
            <w:shd w:val="clear" w:color="auto" w:fill="62BC41"/>
            <w:vAlign w:val="center"/>
          </w:tcPr>
          <w:p w14:paraId="03F1D2A6">
            <w:pPr>
              <w:spacing w:line="206"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药物类别</w:t>
            </w:r>
          </w:p>
        </w:tc>
        <w:tc>
          <w:tcPr>
            <w:tcW w:w="1421" w:type="pct"/>
            <w:tcBorders>
              <w:top w:val="nil"/>
              <w:bottom w:val="nil"/>
              <w:right w:val="single" w:color="FFFFFF" w:sz="18" w:space="0"/>
            </w:tcBorders>
            <w:shd w:val="clear" w:color="auto" w:fill="62BC41"/>
            <w:vAlign w:val="center"/>
          </w:tcPr>
          <w:p w14:paraId="7E60BF24">
            <w:pPr>
              <w:spacing w:line="206" w:lineRule="exact"/>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化疗药物</w:t>
            </w:r>
          </w:p>
        </w:tc>
        <w:tc>
          <w:tcPr>
            <w:tcW w:w="718" w:type="pct"/>
            <w:tcBorders>
              <w:top w:val="nil"/>
              <w:left w:val="single" w:color="FFFFFF" w:sz="18" w:space="0"/>
              <w:bottom w:val="nil"/>
              <w:right w:val="single" w:color="FFFFFF" w:sz="18" w:space="0"/>
            </w:tcBorders>
            <w:shd w:val="clear" w:color="auto" w:fill="62BC41"/>
            <w:vAlign w:val="center"/>
          </w:tcPr>
          <w:p w14:paraId="4284271E">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检测基因</w:t>
            </w:r>
          </w:p>
        </w:tc>
        <w:tc>
          <w:tcPr>
            <w:tcW w:w="589" w:type="pct"/>
            <w:tcBorders>
              <w:top w:val="nil"/>
              <w:left w:val="single" w:color="FFFFFF" w:sz="18" w:space="0"/>
              <w:bottom w:val="nil"/>
              <w:right w:val="single" w:color="FFFFFF" w:sz="18" w:space="0"/>
            </w:tcBorders>
            <w:shd w:val="clear" w:color="auto" w:fill="62BC41"/>
            <w:vAlign w:val="center"/>
          </w:tcPr>
          <w:p w14:paraId="6DAAC368">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检测位点</w:t>
            </w:r>
          </w:p>
        </w:tc>
        <w:tc>
          <w:tcPr>
            <w:tcW w:w="468" w:type="pct"/>
            <w:tcBorders>
              <w:top w:val="nil"/>
              <w:left w:val="single" w:color="FFFFFF" w:sz="18" w:space="0"/>
              <w:bottom w:val="nil"/>
              <w:right w:val="single" w:color="FFFFFF" w:sz="18" w:space="0"/>
            </w:tcBorders>
            <w:shd w:val="clear" w:color="auto" w:fill="62BC41"/>
            <w:vAlign w:val="center"/>
          </w:tcPr>
          <w:p w14:paraId="5DAF93D2">
            <w:pPr>
              <w:spacing w:line="204"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检测结果</w:t>
            </w:r>
          </w:p>
        </w:tc>
        <w:tc>
          <w:tcPr>
            <w:tcW w:w="606" w:type="pct"/>
            <w:tcBorders>
              <w:top w:val="nil"/>
              <w:left w:val="single" w:color="FFFFFF" w:sz="18" w:space="0"/>
              <w:bottom w:val="nil"/>
            </w:tcBorders>
            <w:shd w:val="clear" w:color="auto" w:fill="62BC41"/>
            <w:vAlign w:val="center"/>
          </w:tcPr>
          <w:p w14:paraId="4A0A5679">
            <w:pPr>
              <w:spacing w:line="204"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毒副作用风险</w:t>
            </w:r>
          </w:p>
        </w:tc>
        <w:tc>
          <w:tcPr>
            <w:tcW w:w="524" w:type="pct"/>
            <w:tcBorders>
              <w:top w:val="nil"/>
              <w:left w:val="single" w:color="FFFFFF" w:sz="18" w:space="0"/>
              <w:bottom w:val="nil"/>
            </w:tcBorders>
            <w:shd w:val="clear" w:color="auto" w:fill="62BC41"/>
            <w:vAlign w:val="center"/>
          </w:tcPr>
          <w:p w14:paraId="7C91842A">
            <w:pPr>
              <w:spacing w:line="204"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药物敏感性</w:t>
            </w:r>
          </w:p>
        </w:tc>
        <w:tc>
          <w:tcPr>
            <w:tcW w:w="284" w:type="pct"/>
            <w:tcBorders>
              <w:top w:val="nil"/>
              <w:left w:val="single" w:color="FFFFFF" w:sz="18" w:space="0"/>
              <w:bottom w:val="nil"/>
            </w:tcBorders>
            <w:shd w:val="clear" w:color="auto" w:fill="62BC41"/>
            <w:vAlign w:val="center"/>
          </w:tcPr>
          <w:p w14:paraId="5AFF65AA">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等级</w:t>
            </w:r>
          </w:p>
        </w:tc>
      </w:tr>
      <w:tr w14:paraId="242C92AB">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779D3AB6">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for ca in chemoAnalysis%}</w:t>
            </w:r>
          </w:p>
        </w:tc>
      </w:tr>
      <w:tr w14:paraId="1F50CD39">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7BAD400A">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for c in ca %}</w:t>
            </w:r>
          </w:p>
        </w:tc>
      </w:tr>
      <w:tr w14:paraId="54B0B960">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2" w:hRule="atLeast"/>
          <w:jc w:val="center"/>
        </w:trPr>
        <w:tc>
          <w:tcPr>
            <w:tcW w:w="387" w:type="pct"/>
            <w:tcBorders>
              <w:top w:val="nil"/>
            </w:tcBorders>
            <w:shd w:val="clear" w:color="auto" w:fill="auto"/>
            <w:vAlign w:val="center"/>
          </w:tcPr>
          <w:p w14:paraId="449C89EC">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vm %}{{ c.drug_class }}</w:t>
            </w:r>
          </w:p>
        </w:tc>
        <w:tc>
          <w:tcPr>
            <w:tcW w:w="1421" w:type="pct"/>
            <w:tcBorders>
              <w:top w:val="nil"/>
            </w:tcBorders>
            <w:shd w:val="clear" w:color="auto" w:fill="auto"/>
            <w:vAlign w:val="center"/>
          </w:tcPr>
          <w:p w14:paraId="6F8F47A6">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c.drug_name_chinese }}</w:t>
            </w:r>
          </w:p>
        </w:tc>
        <w:tc>
          <w:tcPr>
            <w:tcW w:w="718" w:type="pct"/>
            <w:tcBorders>
              <w:top w:val="nil"/>
            </w:tcBorders>
            <w:shd w:val="clear" w:color="auto" w:fill="auto"/>
            <w:vAlign w:val="center"/>
          </w:tcPr>
          <w:p w14:paraId="011CAB1D">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c.gene }}</w:t>
            </w:r>
          </w:p>
        </w:tc>
        <w:tc>
          <w:tcPr>
            <w:tcW w:w="589" w:type="pct"/>
            <w:tcBorders>
              <w:top w:val="nil"/>
            </w:tcBorders>
            <w:shd w:val="clear" w:color="auto" w:fill="auto"/>
            <w:vAlign w:val="center"/>
          </w:tcPr>
          <w:p w14:paraId="0E9A2272">
            <w:pPr>
              <w:spacing w:line="206" w:lineRule="exact"/>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c.rs_id }}</w:t>
            </w:r>
          </w:p>
        </w:tc>
        <w:tc>
          <w:tcPr>
            <w:tcW w:w="468" w:type="pct"/>
            <w:tcBorders>
              <w:top w:val="nil"/>
            </w:tcBorders>
            <w:shd w:val="clear" w:color="auto" w:fill="auto"/>
            <w:vAlign w:val="center"/>
          </w:tcPr>
          <w:p w14:paraId="78AF3DA1">
            <w:pPr>
              <w:spacing w:line="206" w:lineRule="exact"/>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c.allele }}</w:t>
            </w:r>
          </w:p>
        </w:tc>
        <w:tc>
          <w:tcPr>
            <w:tcW w:w="606" w:type="pct"/>
            <w:tcBorders>
              <w:top w:val="nil"/>
            </w:tcBorders>
            <w:shd w:val="clear" w:color="auto" w:fill="auto"/>
            <w:vAlign w:val="center"/>
          </w:tcPr>
          <w:p w14:paraId="15946A1C">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c.tox }}</w:t>
            </w:r>
          </w:p>
        </w:tc>
        <w:tc>
          <w:tcPr>
            <w:tcW w:w="524" w:type="pct"/>
            <w:tcBorders>
              <w:top w:val="nil"/>
            </w:tcBorders>
            <w:shd w:val="clear" w:color="auto" w:fill="auto"/>
            <w:vAlign w:val="center"/>
          </w:tcPr>
          <w:p w14:paraId="760BA0C6">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c.eff }}</w:t>
            </w:r>
          </w:p>
        </w:tc>
        <w:tc>
          <w:tcPr>
            <w:tcW w:w="284" w:type="pct"/>
            <w:tcBorders>
              <w:top w:val="nil"/>
            </w:tcBorders>
            <w:shd w:val="clear" w:color="auto" w:fill="auto"/>
            <w:vAlign w:val="center"/>
          </w:tcPr>
          <w:p w14:paraId="216403E6">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c.evidence }}</w:t>
            </w:r>
          </w:p>
        </w:tc>
      </w:tr>
      <w:tr w14:paraId="0307BC1A">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2AD69661">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{%tr endfor %}</w:t>
            </w:r>
          </w:p>
        </w:tc>
      </w:tr>
      <w:tr w14:paraId="1F6EE054">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6503C9D8">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{%tr endfor %}</w:t>
            </w:r>
          </w:p>
        </w:tc>
      </w:tr>
    </w:tbl>
    <w:p w14:paraId="4371769D">
      <w:pPr>
        <w:pStyle w:val="31"/>
        <w:tabs>
          <w:tab w:val="left" w:pos="1317"/>
        </w:tabs>
        <w:kinsoku w:val="0"/>
        <w:overflowPunct w:val="0"/>
        <w:spacing w:before="1" w:line="187" w:lineRule="auto"/>
        <w:ind w:left="0" w:right="1131" w:firstLine="0"/>
        <w:rPr>
          <w:rFonts w:ascii="微软雅黑" w:hAnsi="微软雅黑" w:eastAsia="微软雅黑"/>
          <w:b/>
          <w:bCs/>
          <w:sz w:val="18"/>
          <w:lang w:eastAsia="zh-CN"/>
        </w:rPr>
      </w:pPr>
      <w:r>
        <w:rPr>
          <w:rFonts w:hint="eastAsia" w:ascii="微软雅黑" w:hAnsi="微软雅黑" w:eastAsia="微软雅黑"/>
          <w:b/>
          <w:bCs/>
          <w:sz w:val="18"/>
          <w:lang w:eastAsia="zh-CN"/>
        </w:rPr>
        <w:t>注：</w:t>
      </w:r>
    </w:p>
    <w:p w14:paraId="6121C8D7">
      <w:pPr>
        <w:numPr>
          <w:ilvl w:val="0"/>
          <w:numId w:val="22"/>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本报告中参考药物并非按照疗效排序。</w:t>
      </w:r>
    </w:p>
    <w:p w14:paraId="5BAD44AD">
      <w:pPr>
        <w:numPr>
          <w:ilvl w:val="0"/>
          <w:numId w:val="22"/>
        </w:numPr>
        <w:rPr>
          <w:rFonts w:ascii="Times New Roman" w:hAnsi="Times New Roman" w:eastAsia="微软雅黑" w:cs="Times New Roman"/>
          <w:sz w:val="18"/>
          <w:lang w:eastAsia="zh-CN"/>
        </w:rPr>
      </w:pP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未有研究报道或现有研究结论不一致。</w:t>
      </w:r>
    </w:p>
    <w:p w14:paraId="154A7FBA">
      <w:pPr>
        <w:rPr>
          <w:rFonts w:ascii="Times New Roman" w:hAnsi="Times New Roman" w:eastAsia="微软雅黑" w:cs="Times New Roman"/>
          <w:sz w:val="18"/>
          <w:lang w:eastAsia="zh-CN"/>
        </w:rPr>
      </w:pPr>
      <w:r>
        <w:rPr>
          <w:lang w:eastAsia="zh-CN"/>
        </w:rPr>
        <w:br w:type="page"/>
      </w:r>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endif %}</w:t>
      </w:r>
    </w:p>
    <w:p w14:paraId="313E7CEA">
      <w:pPr>
        <w:numPr>
          <w:ilvl w:val="255"/>
          <w:numId w:val="0"/>
        </w:numPr>
        <w:jc w:val="both"/>
        <w:outlineLvl w:val="0"/>
        <w:rPr>
          <w:rStyle w:val="36"/>
          <w:rFonts w:ascii="微软雅黑" w:hAnsi="微软雅黑" w:cs="微软雅黑"/>
          <w:color w:val="62B541"/>
          <w:sz w:val="32"/>
          <w:szCs w:val="32"/>
          <w14:shadow w14:blurRad="50800" w14:dist="38100" w14:dir="10800000" w14:sx="100000" w14:sy="100000" w14:kx="0" w14:ky="0" w14:algn="r">
            <w14:srgbClr w14:val="62B541">
              <w14:alpha w14:val="60000"/>
            </w14:srgbClr>
          </w14:shadow>
        </w:rPr>
      </w:pPr>
      <w:bookmarkStart w:id="108" w:name="_Toc30316"/>
      <w:bookmarkStart w:id="109" w:name="_Toc967"/>
      <w:r>
        <w:rPr>
          <w:rStyle w:val="36"/>
          <w:rFonts w:hint="eastAsia" w:ascii="微软雅黑" w:hAnsi="微软雅黑" w:cs="微软雅黑"/>
          <w:color w:val="62B541"/>
          <w:sz w:val="32"/>
          <w:szCs w:val="32"/>
          <w14:shadow w14:blurRad="50800" w14:dist="38100" w14:dir="10800000" w14:sx="100000" w14:sy="100000" w14:kx="0" w14:ky="0" w14:algn="r">
            <w14:srgbClr w14:val="62B541">
              <w14:alpha w14:val="60000"/>
            </w14:srgbClr>
          </w14:shadow>
        </w:rPr>
        <w:t>附录</w:t>
      </w:r>
      <w:bookmarkEnd w:id="102"/>
      <w:bookmarkEnd w:id="103"/>
      <w:bookmarkEnd w:id="104"/>
      <w:bookmarkEnd w:id="105"/>
      <w:bookmarkEnd w:id="106"/>
      <w:bookmarkEnd w:id="107"/>
      <w:bookmarkEnd w:id="108"/>
      <w:bookmarkEnd w:id="109"/>
    </w:p>
    <w:p w14:paraId="6CC79364">
      <w:pPr>
        <w:pStyle w:val="3"/>
        <w:numPr>
          <w:ilvl w:val="255"/>
          <w:numId w:val="0"/>
        </w:numPr>
        <w:jc w:val="left"/>
        <w:rPr>
          <w:color w:val="auto"/>
          <w:sz w:val="30"/>
          <w:lang w:eastAsia="zh-CN"/>
        </w:rPr>
      </w:pPr>
      <w:bookmarkStart w:id="110" w:name="_Toc3674"/>
      <w:bookmarkStart w:id="111" w:name="_Toc14255_WPSOffice_Level1"/>
      <w:bookmarkStart w:id="112" w:name="_Toc16969"/>
      <w:bookmarkStart w:id="113" w:name="_Toc15840_WPSOffice_Level1"/>
      <w:bookmarkStart w:id="114" w:name="_Toc24085_WPSOffice_Level1"/>
      <w:bookmarkStart w:id="115" w:name="_Toc4860"/>
      <w:r>
        <w:rPr>
          <w:rFonts w:hint="eastAsia"/>
          <w:color w:val="auto"/>
          <w:sz w:val="30"/>
          <w:lang w:eastAsia="zh-CN"/>
        </w:rPr>
        <w:t>样本质控情况</w:t>
      </w:r>
      <w:bookmarkEnd w:id="110"/>
      <w:bookmarkEnd w:id="111"/>
      <w:bookmarkEnd w:id="112"/>
      <w:bookmarkEnd w:id="113"/>
      <w:bookmarkEnd w:id="114"/>
      <w:bookmarkEnd w:id="115"/>
    </w:p>
    <w:p w14:paraId="1EC90733">
      <w:pPr>
        <w:pStyle w:val="6"/>
        <w:rPr>
          <w:b/>
          <w:sz w:val="6"/>
          <w:lang w:eastAsia="zh-CN"/>
        </w:rPr>
      </w:pPr>
    </w:p>
    <w:tbl>
      <w:tblPr>
        <w:tblStyle w:val="14"/>
        <w:tblW w:w="9810" w:type="dxa"/>
        <w:jc w:val="center"/>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Layout w:type="fixed"/>
        <w:tblCellMar>
          <w:top w:w="0" w:type="dxa"/>
          <w:left w:w="0" w:type="dxa"/>
          <w:bottom w:w="0" w:type="dxa"/>
          <w:right w:w="0" w:type="dxa"/>
        </w:tblCellMar>
      </w:tblPr>
      <w:tblGrid>
        <w:gridCol w:w="1984"/>
        <w:gridCol w:w="2717"/>
        <w:gridCol w:w="2378"/>
        <w:gridCol w:w="2712"/>
        <w:gridCol w:w="19"/>
      </w:tblGrid>
      <w:tr w14:paraId="6666117B">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3" w:hRule="atLeast"/>
          <w:jc w:val="center"/>
        </w:trPr>
        <w:tc>
          <w:tcPr>
            <w:tcW w:w="1984" w:type="dxa"/>
            <w:tcBorders>
              <w:top w:val="nil"/>
              <w:left w:val="nil"/>
              <w:bottom w:val="nil"/>
              <w:right w:val="single" w:color="FFFFFF" w:sz="18" w:space="0"/>
            </w:tcBorders>
            <w:shd w:val="clear" w:color="auto" w:fill="62BC41"/>
            <w:vAlign w:val="center"/>
          </w:tcPr>
          <w:p w14:paraId="287FE0A1">
            <w:pPr>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质控环节</w:t>
            </w:r>
          </w:p>
        </w:tc>
        <w:tc>
          <w:tcPr>
            <w:tcW w:w="2717" w:type="dxa"/>
            <w:tcBorders>
              <w:top w:val="nil"/>
              <w:left w:val="single" w:color="FFFFFF" w:sz="18" w:space="0"/>
              <w:bottom w:val="nil"/>
              <w:right w:val="single" w:color="FFFFFF" w:sz="18" w:space="0"/>
            </w:tcBorders>
            <w:shd w:val="clear" w:color="auto" w:fill="62BC41"/>
            <w:vAlign w:val="center"/>
          </w:tcPr>
          <w:p w14:paraId="3DC99830">
            <w:pPr>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质控参数</w:t>
            </w:r>
          </w:p>
        </w:tc>
        <w:tc>
          <w:tcPr>
            <w:tcW w:w="2378" w:type="dxa"/>
            <w:tcBorders>
              <w:top w:val="nil"/>
              <w:left w:val="single" w:color="FFFFFF" w:sz="18" w:space="0"/>
              <w:bottom w:val="nil"/>
              <w:right w:val="single" w:color="FFFFFF" w:sz="18" w:space="0"/>
            </w:tcBorders>
            <w:shd w:val="clear" w:color="auto" w:fill="62BC41"/>
            <w:vAlign w:val="center"/>
          </w:tcPr>
          <w:p w14:paraId="2F22FAA2">
            <w:pPr>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质控数值</w:t>
            </w:r>
          </w:p>
        </w:tc>
        <w:tc>
          <w:tcPr>
            <w:tcW w:w="2731" w:type="dxa"/>
            <w:gridSpan w:val="2"/>
            <w:tcBorders>
              <w:top w:val="nil"/>
              <w:left w:val="single" w:color="FFFFFF" w:sz="18" w:space="0"/>
              <w:bottom w:val="nil"/>
              <w:right w:val="nil"/>
            </w:tcBorders>
            <w:shd w:val="clear" w:color="auto" w:fill="62BC41"/>
            <w:vAlign w:val="center"/>
          </w:tcPr>
          <w:p w14:paraId="76F69D77">
            <w:pPr>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质控标准</w:t>
            </w:r>
          </w:p>
        </w:tc>
      </w:tr>
      <w:tr w14:paraId="61C96254">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tcBorders>
              <w:top w:val="nil"/>
              <w:left w:val="nil"/>
              <w:bottom w:val="single" w:color="A4A4A4" w:sz="4" w:space="0"/>
              <w:right w:val="single" w:color="A4A4A4" w:sz="4" w:space="0"/>
            </w:tcBorders>
            <w:shd w:val="clear" w:color="auto" w:fill="auto"/>
            <w:vAlign w:val="center"/>
          </w:tcPr>
          <w:p w14:paraId="53F2D6DF">
            <w:pPr>
              <w:autoSpaceDE w:val="0"/>
              <w:ind w:left="110"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病理评估</w:t>
            </w:r>
          </w:p>
        </w:tc>
        <w:tc>
          <w:tcPr>
            <w:tcW w:w="2717" w:type="dxa"/>
            <w:tcBorders>
              <w:top w:val="nil"/>
              <w:left w:val="single" w:color="A4A4A4" w:sz="4" w:space="0"/>
              <w:bottom w:val="single" w:color="A4A4A4" w:sz="4" w:space="0"/>
              <w:right w:val="single" w:color="A4A4A4" w:sz="4" w:space="0"/>
            </w:tcBorders>
            <w:shd w:val="clear" w:color="auto" w:fill="auto"/>
            <w:vAlign w:val="center"/>
          </w:tcPr>
          <w:p w14:paraId="3BE579B4">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肿瘤细胞含量</w:t>
            </w:r>
          </w:p>
        </w:tc>
        <w:tc>
          <w:tcPr>
            <w:tcW w:w="2378" w:type="dxa"/>
            <w:tcBorders>
              <w:top w:val="nil"/>
              <w:left w:val="single" w:color="A4A4A4" w:sz="4" w:space="0"/>
              <w:bottom w:val="single" w:color="A4A4A4" w:sz="4" w:space="0"/>
              <w:right w:val="single" w:color="A4A4A4" w:sz="4" w:space="0"/>
            </w:tcBorders>
            <w:shd w:val="clear" w:color="auto" w:fill="auto"/>
            <w:vAlign w:val="center"/>
          </w:tcPr>
          <w:p w14:paraId="504FDBB7">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tumorcellcontent</w:t>
            </w:r>
            <w:r>
              <w:rPr>
                <w:rFonts w:hint="eastAsia" w:ascii="Times New Roman" w:hAnsi="Times New Roman" w:eastAsia="微软雅黑" w:cs="Times New Roman"/>
                <w:sz w:val="21"/>
                <w:lang w:eastAsia="zh-CN"/>
              </w:rPr>
              <w:t xml:space="preserve"> }}</w:t>
            </w:r>
          </w:p>
        </w:tc>
        <w:tc>
          <w:tcPr>
            <w:tcW w:w="2731" w:type="dxa"/>
            <w:gridSpan w:val="2"/>
            <w:tcBorders>
              <w:top w:val="nil"/>
              <w:left w:val="single" w:color="A4A4A4" w:sz="4" w:space="0"/>
              <w:bottom w:val="single" w:color="A4A4A4" w:sz="4" w:space="0"/>
              <w:right w:val="nil"/>
            </w:tcBorders>
            <w:shd w:val="clear" w:color="auto" w:fill="auto"/>
            <w:vAlign w:val="center"/>
          </w:tcPr>
          <w:p w14:paraId="08F511CB">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1</w:t>
            </w:r>
            <w:r>
              <w:rPr>
                <w:rFonts w:ascii="Times New Roman" w:hAnsi="Times New Roman" w:eastAsia="微软雅黑" w:cs="Times New Roman"/>
                <w:sz w:val="21"/>
                <w:szCs w:val="21"/>
                <w:lang w:eastAsia="zh-CN" w:bidi="ar"/>
              </w:rPr>
              <w:t>0%</w:t>
            </w:r>
          </w:p>
        </w:tc>
      </w:tr>
      <w:tr w14:paraId="30E793D7">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vMerge w:val="restart"/>
            <w:tcBorders>
              <w:top w:val="single" w:color="A4A4A4" w:sz="4" w:space="0"/>
              <w:left w:val="nil"/>
              <w:bottom w:val="single" w:color="A4A4A4" w:sz="4" w:space="0"/>
              <w:right w:val="single" w:color="A4A4A4" w:sz="4" w:space="0"/>
            </w:tcBorders>
            <w:shd w:val="clear" w:color="auto" w:fill="auto"/>
            <w:vAlign w:val="center"/>
          </w:tcPr>
          <w:p w14:paraId="22DA3DF2">
            <w:pPr>
              <w:autoSpaceDE w:val="0"/>
              <w:ind w:left="110"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核酸质量评估</w:t>
            </w: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737CFD16">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DNA</w:t>
            </w:r>
            <w:r>
              <w:rPr>
                <w:rFonts w:hint="eastAsia" w:ascii="微软雅黑" w:hAnsi="微软雅黑" w:eastAsia="微软雅黑" w:cs="微软雅黑"/>
                <w:sz w:val="21"/>
                <w:szCs w:val="21"/>
                <w:lang w:eastAsia="zh-CN" w:bidi="ar"/>
              </w:rPr>
              <w:t>总量（</w:t>
            </w:r>
            <w:r>
              <w:rPr>
                <w:rFonts w:ascii="Times New Roman" w:hAnsi="Times New Roman" w:eastAsia="微软雅黑" w:cs="Times New Roman"/>
                <w:sz w:val="21"/>
                <w:szCs w:val="21"/>
                <w:lang w:eastAsia="zh-CN" w:bidi="ar"/>
              </w:rPr>
              <w:t>ng</w:t>
            </w:r>
            <w:r>
              <w:rPr>
                <w:rFonts w:hint="eastAsia" w:ascii="微软雅黑" w:hAnsi="微软雅黑" w:eastAsia="微软雅黑" w:cs="微软雅黑"/>
                <w:sz w:val="21"/>
                <w:szCs w:val="21"/>
                <w:lang w:eastAsia="zh-CN" w:bidi="ar"/>
              </w:rPr>
              <w:t>）</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A7635B8">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DNA_total</w:t>
            </w:r>
            <w:r>
              <w:rPr>
                <w:rFonts w:hint="eastAsia" w:ascii="Times New Roman" w:hAnsi="Times New Roman" w:eastAsia="微软雅黑" w:cs="Times New Roman"/>
                <w:sz w:val="21"/>
                <w:lang w:eastAsia="zh-CN"/>
              </w:rPr>
              <w:t xml:space="preserve">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10CF3162">
            <w:pPr>
              <w:jc w:val="center"/>
              <w:rPr>
                <w:rFonts w:ascii="Times New Roman" w:hAnsi="Times New Roman" w:eastAsia="微软雅黑" w:cs="Times New Roman"/>
                <w:sz w:val="21"/>
                <w:szCs w:val="21"/>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val="en-US" w:eastAsia="zh-CN" w:bidi="ar"/>
              </w:rPr>
              <w:t>5</w:t>
            </w:r>
            <w:r>
              <w:rPr>
                <w:rFonts w:ascii="Times New Roman" w:hAnsi="Times New Roman" w:eastAsia="微软雅黑" w:cs="Times New Roman"/>
                <w:sz w:val="21"/>
                <w:szCs w:val="21"/>
                <w:lang w:eastAsia="zh-CN" w:bidi="ar"/>
              </w:rPr>
              <w:t>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val="en-US" w:eastAsia="zh-CN" w:bidi="ar"/>
              </w:rPr>
              <w:t>1</w:t>
            </w:r>
            <w:r>
              <w:rPr>
                <w:rFonts w:ascii="Times New Roman" w:hAnsi="Times New Roman" w:eastAsia="微软雅黑" w:cs="Times New Roman"/>
                <w:sz w:val="21"/>
                <w:szCs w:val="21"/>
                <w:lang w:eastAsia="zh-CN" w:bidi="ar"/>
              </w:rPr>
              <w:t>0</w:t>
            </w:r>
            <w:r>
              <w:rPr>
                <w:rFonts w:hint="eastAsia" w:ascii="Times New Roman" w:hAnsi="Times New Roman" w:eastAsia="微软雅黑" w:cs="黑体"/>
                <w:sz w:val="21"/>
                <w:lang w:eastAsia="zh-CN"/>
              </w:rPr>
              <w:t>{% endif %}</w:t>
            </w:r>
          </w:p>
        </w:tc>
      </w:tr>
      <w:tr w14:paraId="44199F32">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0D6544A5">
            <w:pPr>
              <w:rPr>
                <w:rFonts w:ascii="Times New Roman" w:hAnsi="Times New Roman"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9B7DD60">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DNA</w:t>
            </w:r>
            <w:r>
              <w:rPr>
                <w:rFonts w:hint="eastAsia" w:ascii="微软雅黑" w:hAnsi="微软雅黑" w:eastAsia="微软雅黑" w:cs="微软雅黑"/>
                <w:sz w:val="21"/>
                <w:szCs w:val="21"/>
                <w:lang w:eastAsia="zh-CN" w:bidi="ar"/>
              </w:rPr>
              <w:t>降解程度</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ECEE16A">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DNA_degradation</w:t>
            </w:r>
            <w:r>
              <w:rPr>
                <w:rFonts w:hint="eastAsia" w:ascii="Times New Roman" w:hAnsi="Times New Roman" w:eastAsia="微软雅黑" w:cs="Times New Roman"/>
                <w:sz w:val="21"/>
                <w:lang w:eastAsia="zh-CN"/>
              </w:rPr>
              <w:t xml:space="preserve">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41B916F8">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lang w:val="en-US" w:eastAsia="zh-CN" w:bidi="ar"/>
              </w:rPr>
              <w:t>1-2</w:t>
            </w:r>
            <w:r>
              <w:rPr>
                <w:rFonts w:hint="eastAsia" w:ascii="微软雅黑" w:hAnsi="微软雅黑" w:eastAsia="微软雅黑" w:cs="微软雅黑"/>
                <w:sz w:val="21"/>
                <w:szCs w:val="21"/>
                <w:lang w:eastAsia="zh-CN" w:bidi="ar"/>
              </w:rPr>
              <w:t>级</w:t>
            </w:r>
          </w:p>
        </w:tc>
      </w:tr>
      <w:tr w14:paraId="4A732AFB">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5FE2CEF2">
            <w:pPr>
              <w:rPr>
                <w:rFonts w:ascii="Times New Roman" w:hAnsi="Times New Roman"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714471FC">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预文库总量（</w:t>
            </w:r>
            <w:r>
              <w:rPr>
                <w:rFonts w:ascii="Times New Roman" w:hAnsi="Times New Roman" w:eastAsia="微软雅黑" w:cs="Times New Roman"/>
                <w:sz w:val="21"/>
                <w:szCs w:val="21"/>
                <w:lang w:eastAsia="zh-CN" w:bidi="ar"/>
              </w:rPr>
              <w:t>ng</w:t>
            </w:r>
            <w:r>
              <w:rPr>
                <w:rFonts w:hint="eastAsia" w:ascii="微软雅黑" w:hAnsi="微软雅黑" w:eastAsia="微软雅黑" w:cs="微软雅黑"/>
                <w:sz w:val="21"/>
                <w:szCs w:val="21"/>
                <w:lang w:eastAsia="zh-CN" w:bidi="ar"/>
              </w:rPr>
              <w:t>）</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76F0FC19">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outbound_quantity</w:t>
            </w:r>
            <w:r>
              <w:rPr>
                <w:rFonts w:hint="eastAsia" w:ascii="Times New Roman" w:hAnsi="Times New Roman" w:eastAsia="微软雅黑" w:cs="Times New Roman"/>
                <w:sz w:val="21"/>
                <w:lang w:eastAsia="zh-CN"/>
              </w:rPr>
              <w:t xml:space="preserve">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630F5770">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val="en-US" w:eastAsia="zh-CN" w:bidi="ar"/>
              </w:rPr>
              <w:t>32</w:t>
            </w:r>
            <w:r>
              <w:rPr>
                <w:rFonts w:ascii="Times New Roman" w:hAnsi="Times New Roman" w:eastAsia="微软雅黑" w:cs="Times New Roman"/>
                <w:sz w:val="21"/>
                <w:szCs w:val="21"/>
                <w:lang w:eastAsia="zh-CN" w:bidi="ar"/>
              </w:rPr>
              <w:t>0</w:t>
            </w:r>
          </w:p>
        </w:tc>
      </w:tr>
      <w:tr w14:paraId="453B0933">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vMerge w:val="restart"/>
            <w:tcBorders>
              <w:top w:val="single" w:color="A4A4A4" w:sz="4" w:space="0"/>
              <w:left w:val="nil"/>
              <w:bottom w:val="single" w:color="A4A4A4" w:sz="4" w:space="0"/>
              <w:right w:val="single" w:color="A4A4A4" w:sz="4" w:space="0"/>
            </w:tcBorders>
            <w:shd w:val="clear" w:color="auto" w:fill="auto"/>
            <w:vAlign w:val="center"/>
          </w:tcPr>
          <w:p w14:paraId="76BE8F07">
            <w:pPr>
              <w:autoSpaceDE w:val="0"/>
              <w:ind w:left="110"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测序质量评估</w:t>
            </w: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6B4DED7A">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平均测序深度</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51D03A37">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sequencing_depth</w:t>
            </w:r>
            <w:r>
              <w:rPr>
                <w:rFonts w:hint="eastAsia" w:ascii="Times New Roman" w:hAnsi="Times New Roman" w:eastAsia="微软雅黑" w:cs="Times New Roman"/>
                <w:sz w:val="21"/>
                <w:lang w:eastAsia="zh-CN"/>
              </w:rPr>
              <w:t xml:space="preserve">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3BFD73D0">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cs="Times New Roman"/>
                <w:color w:val="000000"/>
                <w:sz w:val="21"/>
                <w:szCs w:val="21"/>
                <w:lang w:eastAsia="zh-CN"/>
              </w:rPr>
              <w:t>15</w:t>
            </w:r>
            <w:r>
              <w:rPr>
                <w:rFonts w:ascii="Times New Roman" w:hAnsi="Times New Roman" w:cs="Times New Roman"/>
                <w:color w:val="000000"/>
                <w:sz w:val="21"/>
                <w:szCs w:val="21"/>
              </w:rPr>
              <w:t>00</w:t>
            </w:r>
            <w:r>
              <w:rPr>
                <w:rFonts w:hint="eastAsia" w:ascii="Times New Roman" w:hAnsi="Times New Roman" w:eastAsia="微软雅黑" w:cs="黑体"/>
                <w:sz w:val="21"/>
                <w:lang w:eastAsia="zh-CN"/>
              </w:rPr>
              <w:t>{% endif %}</w:t>
            </w:r>
          </w:p>
        </w:tc>
      </w:tr>
      <w:tr w14:paraId="0E4D430C">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47C0444B">
            <w:pPr>
              <w:rPr>
                <w:rFonts w:ascii="Times New Roman" w:hAnsi="Times New Roman"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75C0A148">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覆盖均一性</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7DD8F0AD">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coverage_uniformity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05D1AD70">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90%</w:t>
            </w:r>
          </w:p>
        </w:tc>
      </w:tr>
      <w:tr w14:paraId="6C8DBE6C">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620"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7430F4FE">
            <w:pPr>
              <w:rPr>
                <w:rFonts w:ascii="Times New Roman" w:hAnsi="Times New Roman"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932BFB6">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基因组比对率</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6DC459A7">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genome_alignment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7782BC3C">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95%</w:t>
            </w:r>
          </w:p>
        </w:tc>
      </w:tr>
      <w:tr w14:paraId="2045FE5D">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620"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26DD66D9">
            <w:pPr>
              <w:rPr>
                <w:rFonts w:ascii="Times New Roman" w:hAnsi="Times New Roman"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7F6CC67E">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碱基质量</w:t>
            </w:r>
            <w:r>
              <w:rPr>
                <w:rFonts w:ascii="Times New Roman" w:hAnsi="Times New Roman" w:eastAsia="微软雅黑" w:cs="Times New Roman"/>
                <w:sz w:val="21"/>
                <w:szCs w:val="21"/>
                <w:lang w:eastAsia="zh-CN" w:bidi="ar"/>
              </w:rPr>
              <w:t>Q30</w:t>
            </w:r>
            <w:r>
              <w:rPr>
                <w:rFonts w:hint="eastAsia" w:ascii="微软雅黑" w:hAnsi="微软雅黑" w:eastAsia="微软雅黑" w:cs="微软雅黑"/>
                <w:sz w:val="21"/>
                <w:szCs w:val="21"/>
                <w:lang w:eastAsia="zh-CN" w:bidi="ar"/>
              </w:rPr>
              <w:t>占比</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67C9F144">
            <w:pPr>
              <w:autoSpaceDE w:val="0"/>
              <w:ind w:left="110" w:leftChars="50"/>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base_quality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2B387E16">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80%</w:t>
            </w:r>
          </w:p>
        </w:tc>
      </w:tr>
      <w:tr w14:paraId="1606B9B2">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gridAfter w:val="1"/>
          <w:wAfter w:w="19" w:type="dxa"/>
          <w:trHeight w:val="510" w:hRule="atLeast"/>
          <w:jc w:val="center"/>
        </w:trPr>
        <w:tc>
          <w:tcPr>
            <w:tcW w:w="1984" w:type="dxa"/>
            <w:tcBorders>
              <w:top w:val="single" w:color="A4A4A4" w:sz="4" w:space="0"/>
              <w:left w:val="nil"/>
              <w:bottom w:val="single" w:color="A4A4A4" w:sz="4" w:space="0"/>
              <w:right w:val="single" w:color="A4A4A4" w:sz="4" w:space="0"/>
            </w:tcBorders>
            <w:shd w:val="clear" w:color="auto" w:fill="F1F1F1"/>
            <w:vAlign w:val="center"/>
          </w:tcPr>
          <w:p w14:paraId="07C2A09D">
            <w:pPr>
              <w:autoSpaceDE w:val="0"/>
              <w:ind w:left="110"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总体质量评估</w:t>
            </w:r>
          </w:p>
        </w:tc>
        <w:tc>
          <w:tcPr>
            <w:tcW w:w="7807" w:type="dxa"/>
            <w:gridSpan w:val="3"/>
            <w:tcBorders>
              <w:top w:val="single" w:color="A4A4A4" w:sz="4" w:space="0"/>
              <w:left w:val="single" w:color="A4A4A4" w:sz="4" w:space="0"/>
              <w:bottom w:val="single" w:color="A4A4A4" w:sz="4" w:space="0"/>
              <w:right w:val="nil"/>
            </w:tcBorders>
            <w:shd w:val="clear" w:color="auto" w:fill="F1F1F1"/>
            <w:vAlign w:val="center"/>
          </w:tcPr>
          <w:p w14:paraId="4A20B857">
            <w:pPr>
              <w:autoSpaceDE w:val="0"/>
              <w:ind w:left="110" w:leftChars="50"/>
              <w:jc w:val="center"/>
              <w:rPr>
                <w:rFonts w:ascii="Times New Roman" w:hAnsi="Times New Roman" w:eastAsia="微软雅黑" w:cs="Times New Roman"/>
                <w:sz w:val="21"/>
                <w:szCs w:val="21"/>
                <w:lang w:eastAsia="zh-CN"/>
              </w:rPr>
            </w:pPr>
            <w:r>
              <w:rPr>
                <w:rFonts w:hint="eastAsia" w:ascii="Times New Roman" w:hAnsi="Times New Roman" w:eastAsia="微软雅黑" w:cs="黑体"/>
                <w:sz w:val="21"/>
                <w:lang w:eastAsia="zh-CN"/>
              </w:rPr>
              <w:t xml:space="preserve">{{ </w:t>
            </w:r>
            <w:r>
              <w:rPr>
                <w:rFonts w:ascii="Times New Roman" w:hAnsi="Times New Roman" w:eastAsia="微软雅黑" w:cs="黑体"/>
                <w:sz w:val="21"/>
                <w:lang w:eastAsia="zh-CN"/>
              </w:rPr>
              <w:t>overall_quality_assessment</w:t>
            </w:r>
            <w:r>
              <w:rPr>
                <w:rFonts w:hint="eastAsia" w:ascii="Times New Roman" w:hAnsi="Times New Roman" w:eastAsia="微软雅黑" w:cs="黑体"/>
                <w:sz w:val="21"/>
                <w:lang w:eastAsia="zh-CN"/>
              </w:rPr>
              <w:t xml:space="preserve"> }}</w:t>
            </w:r>
          </w:p>
        </w:tc>
      </w:tr>
    </w:tbl>
    <w:p w14:paraId="058049B6">
      <w:pPr>
        <w:spacing w:before="53" w:line="301" w:lineRule="exact"/>
        <w:rPr>
          <w:rFonts w:ascii="Times New Roman" w:hAnsi="Times New Roman" w:eastAsia="微软雅黑" w:cs="Times New Roman"/>
          <w:b/>
          <w:sz w:val="18"/>
          <w:lang w:eastAsia="zh-CN"/>
        </w:rPr>
      </w:pPr>
      <w:r>
        <w:rPr>
          <w:rFonts w:hint="eastAsia" w:ascii="Times New Roman" w:hAnsi="Times New Roman" w:eastAsia="微软雅黑" w:cs="Times New Roman"/>
          <w:b/>
          <w:sz w:val="18"/>
          <w:lang w:eastAsia="zh-CN"/>
        </w:rPr>
        <w:t>注：</w:t>
      </w:r>
    </w:p>
    <w:p w14:paraId="0ED08F51">
      <w:pPr>
        <w:numPr>
          <w:ilvl w:val="0"/>
          <w:numId w:val="23"/>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肿瘤细胞含量：送检样本经HE染色评估的肿瘤细胞含量。如送检样本不满足病理评估所需条件，则不进行此项评估。{% if summaryOfRresults.type == “blood” %}血浆cfDNA样本不做此项评估。{% endif %}</w:t>
      </w:r>
    </w:p>
    <w:p w14:paraId="6E29A911">
      <w:pPr>
        <w:numPr>
          <w:ilvl w:val="0"/>
          <w:numId w:val="23"/>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DNA总量：送检样本的DNA提取总量。</w:t>
      </w:r>
    </w:p>
    <w:p w14:paraId="277536BF">
      <w:pPr>
        <w:numPr>
          <w:ilvl w:val="0"/>
          <w:numId w:val="23"/>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DNA降解程度：1-2级别样本质量较好，3级不能满足检测要求{% if summaryOfRresults.type == “blood” %}；cfDNA样本不适用于此项评估{% endif %}。</w:t>
      </w:r>
    </w:p>
    <w:p w14:paraId="37D05719">
      <w:pPr>
        <w:numPr>
          <w:ilvl w:val="0"/>
          <w:numId w:val="23"/>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预文库总量：核酸片段经过接头连接和扩增纯化后中间产物的总量。</w:t>
      </w:r>
    </w:p>
    <w:p w14:paraId="66F2B3FA">
      <w:pPr>
        <w:numPr>
          <w:ilvl w:val="0"/>
          <w:numId w:val="23"/>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平均测序深度：目标区域每个碱基被测到的平均次数。</w:t>
      </w:r>
    </w:p>
    <w:p w14:paraId="72036DF7">
      <w:pPr>
        <w:numPr>
          <w:ilvl w:val="0"/>
          <w:numId w:val="23"/>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覆盖均一性：测序深度达到平均测序深度20%的碱基占比。</w:t>
      </w:r>
    </w:p>
    <w:p w14:paraId="2582B610">
      <w:pPr>
        <w:numPr>
          <w:ilvl w:val="0"/>
          <w:numId w:val="23"/>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基因组比对率：比对到参考基因组上的reads数目占比。</w:t>
      </w:r>
    </w:p>
    <w:p w14:paraId="31AE7D6D">
      <w:pPr>
        <w:numPr>
          <w:ilvl w:val="0"/>
          <w:numId w:val="23"/>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碱基质量Q30占比：测序数据中碱基质量在Q30以上（即碱基识别错误率在千分之一以下）的占比。</w:t>
      </w:r>
    </w:p>
    <w:p w14:paraId="4EBEB61F">
      <w:pPr>
        <w:numPr>
          <w:ilvl w:val="0"/>
          <w:numId w:val="23"/>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总体质量评估：根据 DNA 平均测序深度进行评估，分为“合格”、“警戒“、”不合格”三个等级。总体质量评估为“警戒“或者“不合格”时，均会影响检测的准确性和敏感性。</w:t>
      </w:r>
    </w:p>
    <w:p w14:paraId="7E392260">
      <w:pPr>
        <w:rPr>
          <w:rFonts w:ascii="Times New Roman" w:hAnsi="Times New Roman" w:eastAsia="微软雅黑" w:cs="Times New Roman"/>
          <w:lang w:eastAsia="zh-CN"/>
        </w:rPr>
      </w:pPr>
      <w:bookmarkStart w:id="320" w:name="_GoBack"/>
      <w:bookmarkEnd w:id="320"/>
      <w:r>
        <w:rPr>
          <w:rFonts w:ascii="Times New Roman" w:hAnsi="Times New Roman" w:eastAsia="微软雅黑" w:cs="Times New Roman"/>
          <w:lang w:eastAsia="zh-CN"/>
        </w:rPr>
        <w:br w:type="page"/>
      </w:r>
      <w:r>
        <w:rPr>
          <w:rFonts w:hint="eastAsia" w:ascii="Times New Roman" w:hAnsi="Times New Roman" w:eastAsia="微软雅黑" w:cs="Times New Roman"/>
          <w:sz w:val="24"/>
          <w:szCs w:val="24"/>
          <w:lang w:eastAsia="zh-CN"/>
        </w:rPr>
        <w:t>{% if endometrialCarcinoma == True %}</w:t>
      </w:r>
    </w:p>
    <w:bookmarkEnd w:id="9"/>
    <w:p w14:paraId="09310EA5">
      <w:pPr>
        <w:pStyle w:val="3"/>
        <w:numPr>
          <w:ilvl w:val="255"/>
          <w:numId w:val="0"/>
        </w:numPr>
        <w:jc w:val="left"/>
        <w:rPr>
          <w:color w:val="auto"/>
          <w:sz w:val="30"/>
        </w:rPr>
      </w:pPr>
      <w:bookmarkStart w:id="116" w:name="_Toc3454"/>
      <w:bookmarkStart w:id="117" w:name="_Toc17216"/>
      <w:bookmarkStart w:id="118" w:name="_Toc11446"/>
      <w:bookmarkStart w:id="119" w:name="_Toc106294408"/>
      <w:bookmarkStart w:id="120" w:name="_Toc27025"/>
      <w:bookmarkStart w:id="121" w:name="_Toc20832"/>
      <w:bookmarkStart w:id="122" w:name="_Toc28810_WPSOffice_Level1"/>
      <w:bookmarkStart w:id="123" w:name="_Toc11896_WPSOffice_Level1"/>
      <w:bookmarkStart w:id="124" w:name="_Toc11193_WPSOffice_Level1"/>
      <w:bookmarkStart w:id="125" w:name="_Toc7549"/>
      <w:bookmarkStart w:id="126" w:name="_Toc11722"/>
      <w:bookmarkStart w:id="127" w:name="_Toc28910_WPSOffice_Level1"/>
      <w:bookmarkStart w:id="128" w:name="_Toc22484_WPSOffice_Level1"/>
      <w:bookmarkStart w:id="129" w:name="_Toc16368_WPSOffice_Level1"/>
      <w:bookmarkStart w:id="130" w:name="_Toc19099"/>
      <w:r>
        <w:rPr>
          <w:rFonts w:hint="eastAsia"/>
          <w:color w:val="auto"/>
          <w:sz w:val="30"/>
        </w:rPr>
        <w:t>子宫内膜癌分子分型与预后的相关性</w:t>
      </w:r>
      <w:bookmarkEnd w:id="116"/>
      <w:bookmarkEnd w:id="117"/>
      <w:bookmarkEnd w:id="118"/>
      <w:bookmarkEnd w:id="119"/>
      <w:bookmarkEnd w:id="120"/>
      <w:bookmarkEnd w:id="121"/>
    </w:p>
    <w:p w14:paraId="6EF8FE3F">
      <w:pPr>
        <w:spacing w:after="120" w:afterLines="50" w:line="440" w:lineRule="exact"/>
        <w:ind w:firstLine="440" w:firstLineChars="200"/>
        <w:jc w:val="both"/>
        <w:rPr>
          <w:rFonts w:ascii="Times New Roman" w:hAnsi="Times New Roman" w:eastAsia="微软雅黑" w:cs="Times New Roman"/>
          <w:lang w:eastAsia="zh-CN"/>
        </w:rPr>
      </w:pPr>
      <w:r>
        <w:rPr>
          <w:rFonts w:hint="eastAsia" w:ascii="Times New Roman" w:hAnsi="Times New Roman" w:eastAsia="微软雅黑" w:cs="Times New Roman"/>
          <w:lang w:eastAsia="zh-CN"/>
        </w:rPr>
        <w:t>关于子宫内膜癌预后危险因素定义和分组以及对应的术后辅助治疗建议的具体描述见表1，不同分子分型命名对照见表2。</w:t>
      </w:r>
    </w:p>
    <w:p w14:paraId="77C7B25B">
      <w:pPr>
        <w:spacing w:after="120" w:afterLines="50" w:line="440" w:lineRule="exact"/>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表1. 预后危险因素定义和分组及术后辅助治疗方案</w:t>
      </w:r>
    </w:p>
    <w:tbl>
      <w:tblPr>
        <w:tblStyle w:val="15"/>
        <w:tblW w:w="0" w:type="auto"/>
        <w:tblInd w:w="111"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134"/>
        <w:gridCol w:w="2861"/>
        <w:gridCol w:w="2781"/>
        <w:gridCol w:w="3099"/>
      </w:tblGrid>
      <w:tr w14:paraId="2EB0402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trHeight w:val="510" w:hRule="atLeast"/>
        </w:trPr>
        <w:tc>
          <w:tcPr>
            <w:tcW w:w="1134" w:type="dxa"/>
            <w:tcBorders>
              <w:top w:val="nil"/>
              <w:left w:val="nil"/>
              <w:bottom w:val="nil"/>
              <w:right w:val="single" w:color="FFFFFF" w:themeColor="background1" w:sz="18" w:space="0"/>
            </w:tcBorders>
            <w:shd w:val="clear" w:color="auto" w:fill="62BC41"/>
            <w:vAlign w:val="center"/>
          </w:tcPr>
          <w:p w14:paraId="2C8ED1B1">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危险分期</w:t>
            </w:r>
          </w:p>
        </w:tc>
        <w:tc>
          <w:tcPr>
            <w:tcW w:w="2861" w:type="dxa"/>
            <w:tcBorders>
              <w:top w:val="nil"/>
              <w:left w:val="single" w:color="FFFFFF" w:themeColor="background1" w:sz="18" w:space="0"/>
              <w:bottom w:val="nil"/>
              <w:right w:val="single" w:color="FFFFFF" w:themeColor="background1" w:sz="18" w:space="0"/>
            </w:tcBorders>
            <w:shd w:val="clear" w:color="auto" w:fill="62BC41"/>
            <w:vAlign w:val="center"/>
          </w:tcPr>
          <w:p w14:paraId="52A8255E">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分子分型未知</w:t>
            </w:r>
          </w:p>
        </w:tc>
        <w:tc>
          <w:tcPr>
            <w:tcW w:w="2781" w:type="dxa"/>
            <w:tcBorders>
              <w:top w:val="nil"/>
              <w:left w:val="single" w:color="FFFFFF" w:themeColor="background1" w:sz="18" w:space="0"/>
              <w:bottom w:val="nil"/>
              <w:right w:val="nil"/>
            </w:tcBorders>
            <w:shd w:val="clear" w:color="auto" w:fill="62BC41"/>
            <w:vAlign w:val="center"/>
          </w:tcPr>
          <w:p w14:paraId="70680FE6">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分子分型已知△</w:t>
            </w:r>
          </w:p>
        </w:tc>
        <w:tc>
          <w:tcPr>
            <w:tcW w:w="3099" w:type="dxa"/>
            <w:tcBorders>
              <w:top w:val="nil"/>
              <w:left w:val="single" w:color="FFFFFF" w:themeColor="background1" w:sz="18" w:space="0"/>
              <w:bottom w:val="nil"/>
              <w:right w:val="nil"/>
            </w:tcBorders>
            <w:shd w:val="clear" w:color="auto" w:fill="62BC41"/>
            <w:vAlign w:val="center"/>
          </w:tcPr>
          <w:p w14:paraId="66ED5BA5">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辅助治疗方案</w:t>
            </w:r>
          </w:p>
        </w:tc>
      </w:tr>
      <w:tr w14:paraId="674D948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134" w:type="dxa"/>
            <w:tcBorders>
              <w:top w:val="nil"/>
              <w:left w:val="nil"/>
              <w:bottom w:val="single" w:color="BFBFBF" w:sz="4" w:space="0"/>
              <w:right w:val="single" w:color="BFBFBF" w:sz="4" w:space="0"/>
            </w:tcBorders>
            <w:vAlign w:val="center"/>
          </w:tcPr>
          <w:p w14:paraId="0995F505">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低危</w:t>
            </w:r>
          </w:p>
        </w:tc>
        <w:tc>
          <w:tcPr>
            <w:tcW w:w="2861" w:type="dxa"/>
            <w:tcBorders>
              <w:top w:val="nil"/>
              <w:left w:val="single" w:color="BFBFBF" w:sz="4" w:space="0"/>
              <w:bottom w:val="single" w:color="BFBFBF" w:sz="4" w:space="0"/>
              <w:right w:val="single" w:color="BFBFBF" w:sz="4" w:space="0"/>
            </w:tcBorders>
            <w:vAlign w:val="center"/>
          </w:tcPr>
          <w:p w14:paraId="125C90CA">
            <w:pPr>
              <w:widowControl/>
              <w:numPr>
                <w:ilvl w:val="0"/>
                <w:numId w:val="24"/>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ⅠA</w:t>
            </w:r>
            <w:r>
              <w:rPr>
                <w:rFonts w:hint="eastAsia" w:ascii="Times New Roman" w:hAnsi="Times New Roman" w:eastAsia="微软雅黑" w:cs="Times New Roman"/>
                <w:sz w:val="16"/>
                <w:szCs w:val="16"/>
                <w:lang w:eastAsia="zh-CN"/>
              </w:rPr>
              <w:t>期内膜样癌+低级别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w:t>
            </w:r>
          </w:p>
        </w:tc>
        <w:tc>
          <w:tcPr>
            <w:tcW w:w="2781" w:type="dxa"/>
            <w:tcBorders>
              <w:top w:val="nil"/>
              <w:left w:val="single" w:color="BFBFBF" w:sz="4" w:space="0"/>
              <w:bottom w:val="single" w:color="BFBFBF" w:sz="4" w:space="0"/>
              <w:right w:val="nil"/>
            </w:tcBorders>
            <w:vAlign w:val="center"/>
          </w:tcPr>
          <w:p w14:paraId="3C954163">
            <w:pPr>
              <w:widowControl/>
              <w:numPr>
                <w:ilvl w:val="0"/>
                <w:numId w:val="24"/>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sz w:val="16"/>
                <w:szCs w:val="16"/>
                <w:lang w:eastAsia="zh-CN"/>
              </w:rPr>
              <w:t>Ⅱ</w:t>
            </w:r>
            <w:r>
              <w:rPr>
                <w:rFonts w:hint="eastAsia" w:ascii="Times New Roman" w:hAnsi="Times New Roman" w:eastAsia="微软雅黑" w:cs="Times New Roman"/>
                <w:sz w:val="16"/>
                <w:szCs w:val="16"/>
                <w:lang w:eastAsia="zh-CN"/>
              </w:rPr>
              <w:t>期，</w:t>
            </w:r>
            <w:r>
              <w:rPr>
                <w:rFonts w:hint="eastAsia" w:ascii="Times New Roman" w:hAnsi="Times New Roman" w:eastAsia="微软雅黑" w:cs="Times New Roman"/>
                <w:b/>
                <w:bCs/>
                <w:i/>
                <w:iCs/>
                <w:sz w:val="16"/>
                <w:szCs w:val="16"/>
                <w:lang w:eastAsia="zh-CN"/>
              </w:rPr>
              <w:t>POLE</w:t>
            </w:r>
            <w:r>
              <w:rPr>
                <w:rFonts w:hint="eastAsia" w:ascii="Times New Roman" w:hAnsi="Times New Roman" w:eastAsia="微软雅黑" w:cs="Times New Roman"/>
                <w:b/>
                <w:bCs/>
                <w:sz w:val="16"/>
                <w:szCs w:val="16"/>
                <w:lang w:eastAsia="zh-CN"/>
              </w:rPr>
              <w:t xml:space="preserve"> mut</w:t>
            </w:r>
            <w:r>
              <w:rPr>
                <w:rFonts w:hint="eastAsia" w:ascii="Times New Roman" w:hAnsi="Times New Roman" w:eastAsia="微软雅黑" w:cs="Times New Roman"/>
                <w:sz w:val="16"/>
                <w:szCs w:val="16"/>
                <w:lang w:eastAsia="zh-CN"/>
              </w:rPr>
              <w:t>内膜样癌，无残留病灶</w:t>
            </w:r>
          </w:p>
          <w:p w14:paraId="4C8845F1">
            <w:pPr>
              <w:widowControl/>
              <w:numPr>
                <w:ilvl w:val="0"/>
                <w:numId w:val="24"/>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A期，</w:t>
            </w:r>
            <w:r>
              <w:rPr>
                <w:rFonts w:hint="eastAsia" w:ascii="Times New Roman" w:hAnsi="Times New Roman" w:eastAsia="微软雅黑" w:cs="Times New Roman"/>
                <w:b/>
                <w:bCs/>
                <w:sz w:val="16"/>
                <w:szCs w:val="16"/>
                <w:lang w:eastAsia="zh-CN"/>
              </w:rPr>
              <w:t>dMMR/NSMP</w:t>
            </w:r>
            <w:r>
              <w:rPr>
                <w:rFonts w:hint="eastAsia" w:ascii="Times New Roman" w:hAnsi="Times New Roman" w:eastAsia="微软雅黑" w:cs="Times New Roman"/>
                <w:sz w:val="16"/>
                <w:szCs w:val="16"/>
                <w:lang w:eastAsia="zh-CN"/>
              </w:rPr>
              <w:t>内膜样癌+低级别</w:t>
            </w:r>
            <w:r>
              <w:rPr>
                <w:rFonts w:hint="eastAsia" w:ascii="Times New Roman" w:hAnsi="Times New Roman" w:eastAsia="微软雅黑" w:cs="Times New Roman"/>
                <w:sz w:val="16"/>
                <w:szCs w:val="16"/>
                <w:vertAlign w:val="superscript"/>
                <w:lang w:eastAsia="zh-CN"/>
              </w:rPr>
              <w:t>*</w:t>
            </w:r>
            <w:r>
              <w:rPr>
                <w:rFonts w:hint="eastAsia" w:ascii="Times New Roman" w:hAnsi="Times New Roman" w:eastAsia="微软雅黑" w:cs="Times New Roman"/>
                <w:sz w:val="16"/>
                <w:szCs w:val="16"/>
                <w:lang w:eastAsia="zh-CN"/>
              </w:rPr>
              <w:t>+LVSI无或局灶</w:t>
            </w:r>
          </w:p>
        </w:tc>
        <w:tc>
          <w:tcPr>
            <w:tcW w:w="3099" w:type="dxa"/>
            <w:tcBorders>
              <w:top w:val="nil"/>
              <w:left w:val="single" w:color="BFBFBF" w:sz="4" w:space="0"/>
              <w:bottom w:val="single" w:color="BFBFBF" w:sz="4" w:space="0"/>
              <w:right w:val="nil"/>
            </w:tcBorders>
            <w:vAlign w:val="center"/>
          </w:tcPr>
          <w:p w14:paraId="37C1C743">
            <w:pPr>
              <w:widowControl/>
              <w:numPr>
                <w:ilvl w:val="0"/>
                <w:numId w:val="24"/>
              </w:numPr>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不推荐进行辅助治疗</w:t>
            </w:r>
          </w:p>
        </w:tc>
      </w:tr>
      <w:tr w14:paraId="4BC4008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134" w:type="dxa"/>
            <w:tcBorders>
              <w:top w:val="single" w:color="BFBFBF" w:sz="4" w:space="0"/>
              <w:left w:val="nil"/>
              <w:bottom w:val="single" w:color="BFBFBF" w:sz="4" w:space="0"/>
              <w:right w:val="single" w:color="BFBFBF" w:sz="4" w:space="0"/>
            </w:tcBorders>
            <w:vAlign w:val="center"/>
          </w:tcPr>
          <w:p w14:paraId="2A2ED2DB">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中危</w:t>
            </w:r>
          </w:p>
        </w:tc>
        <w:tc>
          <w:tcPr>
            <w:tcW w:w="2861" w:type="dxa"/>
            <w:tcBorders>
              <w:top w:val="single" w:color="BFBFBF" w:sz="4" w:space="0"/>
              <w:left w:val="single" w:color="BFBFBF" w:sz="4" w:space="0"/>
              <w:bottom w:val="single" w:color="BFBFBF" w:sz="4" w:space="0"/>
              <w:right w:val="single" w:color="BFBFBF" w:sz="4" w:space="0"/>
            </w:tcBorders>
            <w:vAlign w:val="center"/>
          </w:tcPr>
          <w:p w14:paraId="5FAF57F8">
            <w:pPr>
              <w:widowControl/>
              <w:numPr>
                <w:ilvl w:val="0"/>
                <w:numId w:val="24"/>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B期内膜样癌+低级别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 </w:t>
            </w:r>
          </w:p>
          <w:p w14:paraId="1B7B707E">
            <w:pPr>
              <w:widowControl/>
              <w:numPr>
                <w:ilvl w:val="0"/>
                <w:numId w:val="24"/>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ⅠA期内膜样癌+高级别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 </w:t>
            </w:r>
          </w:p>
          <w:p w14:paraId="03E6890A">
            <w:pPr>
              <w:widowControl/>
              <w:numPr>
                <w:ilvl w:val="0"/>
                <w:numId w:val="24"/>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ⅠA期非内膜样癌（浆液性癌、透明细胞癌、未分化癌、癌肉瘤、混合细胞癌）不伴肌层浸润</w:t>
            </w:r>
          </w:p>
        </w:tc>
        <w:tc>
          <w:tcPr>
            <w:tcW w:w="2781" w:type="dxa"/>
            <w:tcBorders>
              <w:top w:val="single" w:color="BFBFBF" w:sz="4" w:space="0"/>
              <w:left w:val="single" w:color="BFBFBF" w:sz="4" w:space="0"/>
              <w:bottom w:val="single" w:color="BFBFBF" w:sz="4" w:space="0"/>
              <w:right w:val="nil"/>
            </w:tcBorders>
            <w:vAlign w:val="center"/>
          </w:tcPr>
          <w:p w14:paraId="61B08C5D">
            <w:pPr>
              <w:widowControl/>
              <w:numPr>
                <w:ilvl w:val="0"/>
                <w:numId w:val="24"/>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B期，</w:t>
            </w:r>
            <w:r>
              <w:rPr>
                <w:rFonts w:hint="eastAsia" w:ascii="Times New Roman" w:hAnsi="Times New Roman" w:eastAsia="微软雅黑" w:cs="Times New Roman"/>
                <w:b/>
                <w:bCs/>
                <w:sz w:val="16"/>
                <w:szCs w:val="16"/>
                <w:lang w:eastAsia="zh-CN"/>
              </w:rPr>
              <w:t>dMMR/NSMP</w:t>
            </w:r>
            <w:r>
              <w:rPr>
                <w:rFonts w:hint="eastAsia" w:ascii="Times New Roman" w:hAnsi="Times New Roman" w:eastAsia="微软雅黑" w:cs="Times New Roman"/>
                <w:sz w:val="16"/>
                <w:szCs w:val="16"/>
                <w:lang w:eastAsia="zh-CN"/>
              </w:rPr>
              <w:t>内膜样癌+低级别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 </w:t>
            </w:r>
          </w:p>
          <w:p w14:paraId="1131BC7D">
            <w:pPr>
              <w:widowControl/>
              <w:numPr>
                <w:ilvl w:val="0"/>
                <w:numId w:val="24"/>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ⅠA期</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b/>
                <w:bCs/>
                <w:sz w:val="16"/>
                <w:szCs w:val="16"/>
                <w:lang w:eastAsia="zh-CN"/>
              </w:rPr>
              <w:t>dMMR/NSMP</w:t>
            </w:r>
            <w:r>
              <w:rPr>
                <w:rFonts w:ascii="Times New Roman" w:hAnsi="Times New Roman" w:eastAsia="微软雅黑" w:cs="Times New Roman"/>
                <w:sz w:val="16"/>
                <w:szCs w:val="16"/>
                <w:lang w:eastAsia="zh-CN"/>
              </w:rPr>
              <w:t>内膜样癌+高级别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 </w:t>
            </w:r>
          </w:p>
          <w:p w14:paraId="23CC3F38">
            <w:pPr>
              <w:widowControl/>
              <w:numPr>
                <w:ilvl w:val="0"/>
                <w:numId w:val="24"/>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ⅠA期</w:t>
            </w:r>
            <w:r>
              <w:rPr>
                <w:rFonts w:hint="eastAsia" w:ascii="Times New Roman" w:hAnsi="Times New Roman" w:eastAsia="微软雅黑" w:cs="Times New Roman"/>
                <w:sz w:val="16"/>
                <w:szCs w:val="16"/>
                <w:lang w:eastAsia="zh-CN"/>
              </w:rPr>
              <w:t>，</w:t>
            </w:r>
            <w:r>
              <w:rPr>
                <w:rFonts w:hint="eastAsia" w:ascii="Times New Roman" w:hAnsi="Times New Roman" w:eastAsia="微软雅黑" w:cs="Times New Roman"/>
                <w:b/>
                <w:bCs/>
                <w:sz w:val="16"/>
                <w:szCs w:val="16"/>
                <w:lang w:eastAsia="zh-CN"/>
              </w:rPr>
              <w:t>p</w:t>
            </w:r>
            <w:r>
              <w:rPr>
                <w:rFonts w:ascii="Times New Roman" w:hAnsi="Times New Roman" w:eastAsia="微软雅黑" w:cs="Times New Roman"/>
                <w:b/>
                <w:bCs/>
                <w:sz w:val="16"/>
                <w:szCs w:val="16"/>
                <w:lang w:eastAsia="zh-CN"/>
              </w:rPr>
              <w:t>53abn</w:t>
            </w:r>
            <w:r>
              <w:rPr>
                <w:rFonts w:ascii="Times New Roman" w:hAnsi="Times New Roman" w:eastAsia="微软雅黑" w:cs="Times New Roman"/>
                <w:sz w:val="16"/>
                <w:szCs w:val="16"/>
                <w:lang w:eastAsia="zh-CN"/>
              </w:rPr>
              <w:t>和（或）非内膜样癌（浆液性癌、透明细胞癌、未分化癌、癌肉瘤、混合细胞癌）不伴肌层浸润</w:t>
            </w:r>
          </w:p>
        </w:tc>
        <w:tc>
          <w:tcPr>
            <w:tcW w:w="3099" w:type="dxa"/>
            <w:tcBorders>
              <w:top w:val="single" w:color="BFBFBF" w:sz="4" w:space="0"/>
              <w:left w:val="single" w:color="BFBFBF" w:sz="4" w:space="0"/>
              <w:bottom w:val="single" w:color="BFBFBF" w:sz="4" w:space="0"/>
              <w:right w:val="nil"/>
            </w:tcBorders>
            <w:vAlign w:val="center"/>
          </w:tcPr>
          <w:p w14:paraId="68445981">
            <w:pPr>
              <w:widowControl/>
              <w:numPr>
                <w:ilvl w:val="0"/>
                <w:numId w:val="24"/>
              </w:numPr>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近距离腔内放疗可以减少中危子宫内膜癌患者的复发风险，对中危患者也可不进行辅助治疗，尤其是60岁以下的患者。已知分子分型后，</w:t>
            </w:r>
            <w:r>
              <w:rPr>
                <w:rFonts w:hint="eastAsia" w:ascii="Times New Roman" w:hAnsi="Times New Roman" w:eastAsia="微软雅黑" w:cs="Times New Roman"/>
                <w:b/>
                <w:bCs/>
                <w:sz w:val="16"/>
                <w:szCs w:val="16"/>
                <w:lang w:eastAsia="zh-CN"/>
              </w:rPr>
              <w:t>p53abn</w:t>
            </w:r>
            <w:r>
              <w:rPr>
                <w:rFonts w:hint="eastAsia" w:ascii="Times New Roman" w:hAnsi="Times New Roman" w:eastAsia="微软雅黑" w:cs="Times New Roman"/>
                <w:sz w:val="16"/>
                <w:szCs w:val="16"/>
                <w:lang w:eastAsia="zh-CN"/>
              </w:rPr>
              <w:t>内膜样癌局限于内膜层或不伴肌层浸润者，通常不建议辅助治疗。</w:t>
            </w:r>
          </w:p>
        </w:tc>
      </w:tr>
      <w:tr w14:paraId="74E2846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134" w:type="dxa"/>
            <w:tcBorders>
              <w:top w:val="single" w:color="BFBFBF" w:sz="4" w:space="0"/>
              <w:left w:val="nil"/>
              <w:bottom w:val="single" w:color="BFBFBF" w:sz="4" w:space="0"/>
              <w:right w:val="single" w:color="BFBFBF" w:sz="4" w:space="0"/>
            </w:tcBorders>
            <w:vAlign w:val="center"/>
          </w:tcPr>
          <w:p w14:paraId="3D854B01">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高-中危</w:t>
            </w:r>
          </w:p>
        </w:tc>
        <w:tc>
          <w:tcPr>
            <w:tcW w:w="2861" w:type="dxa"/>
            <w:tcBorders>
              <w:top w:val="single" w:color="BFBFBF" w:sz="4" w:space="0"/>
              <w:left w:val="single" w:color="BFBFBF" w:sz="4" w:space="0"/>
              <w:bottom w:val="single" w:color="BFBFBF" w:sz="4" w:space="0"/>
              <w:right w:val="single" w:color="BFBFBF" w:sz="4" w:space="0"/>
            </w:tcBorders>
            <w:vAlign w:val="center"/>
          </w:tcPr>
          <w:p w14:paraId="1C291F32">
            <w:pPr>
              <w:widowControl/>
              <w:numPr>
                <w:ilvl w:val="0"/>
                <w:numId w:val="24"/>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 xml:space="preserve">期内膜样癌+弥漫LVSI，无论级别与浸润深度 </w:t>
            </w:r>
          </w:p>
          <w:p w14:paraId="44D202E0">
            <w:pPr>
              <w:widowControl/>
              <w:numPr>
                <w:ilvl w:val="0"/>
                <w:numId w:val="24"/>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ⅠB期内膜样癌＋高级别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，无论LVSI状态 </w:t>
            </w:r>
          </w:p>
          <w:p w14:paraId="596A4352">
            <w:pPr>
              <w:widowControl/>
              <w:numPr>
                <w:ilvl w:val="0"/>
                <w:numId w:val="24"/>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Ⅱ期</w:t>
            </w:r>
          </w:p>
        </w:tc>
        <w:tc>
          <w:tcPr>
            <w:tcW w:w="2781" w:type="dxa"/>
            <w:tcBorders>
              <w:top w:val="single" w:color="BFBFBF" w:sz="4" w:space="0"/>
              <w:left w:val="single" w:color="BFBFBF" w:sz="4" w:space="0"/>
              <w:bottom w:val="single" w:color="BFBFBF" w:sz="4" w:space="0"/>
              <w:right w:val="nil"/>
            </w:tcBorders>
            <w:vAlign w:val="center"/>
          </w:tcPr>
          <w:p w14:paraId="0D18DFBE">
            <w:pPr>
              <w:widowControl/>
              <w:numPr>
                <w:ilvl w:val="0"/>
                <w:numId w:val="24"/>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期，</w:t>
            </w:r>
            <w:r>
              <w:rPr>
                <w:rFonts w:hint="eastAsia" w:ascii="Times New Roman" w:hAnsi="Times New Roman" w:eastAsia="微软雅黑" w:cs="Times New Roman"/>
                <w:b/>
                <w:bCs/>
                <w:sz w:val="16"/>
                <w:szCs w:val="16"/>
                <w:lang w:eastAsia="zh-CN"/>
              </w:rPr>
              <w:t>dMMR/NSMP</w:t>
            </w:r>
            <w:r>
              <w:rPr>
                <w:rFonts w:hint="eastAsia" w:ascii="Times New Roman" w:hAnsi="Times New Roman" w:eastAsia="微软雅黑" w:cs="Times New Roman"/>
                <w:sz w:val="16"/>
                <w:szCs w:val="16"/>
                <w:lang w:eastAsia="zh-CN"/>
              </w:rPr>
              <w:t xml:space="preserve">内膜样癌+弥漫LVSI，无论级别或浸润深度 </w:t>
            </w:r>
          </w:p>
          <w:p w14:paraId="1B5C1B7C">
            <w:pPr>
              <w:widowControl/>
              <w:numPr>
                <w:ilvl w:val="0"/>
                <w:numId w:val="24"/>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ⅠB期</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b/>
                <w:bCs/>
                <w:sz w:val="16"/>
                <w:szCs w:val="16"/>
                <w:lang w:eastAsia="zh-CN"/>
              </w:rPr>
              <w:t>dMMR/NSMP</w:t>
            </w:r>
            <w:r>
              <w:rPr>
                <w:rFonts w:ascii="Times New Roman" w:hAnsi="Times New Roman" w:eastAsia="微软雅黑" w:cs="Times New Roman"/>
                <w:sz w:val="16"/>
                <w:szCs w:val="16"/>
                <w:lang w:eastAsia="zh-CN"/>
              </w:rPr>
              <w:t>内膜样癌高级别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，无论LVSI状态 </w:t>
            </w:r>
          </w:p>
          <w:p w14:paraId="65AABBBE">
            <w:pPr>
              <w:widowControl/>
              <w:numPr>
                <w:ilvl w:val="0"/>
                <w:numId w:val="24"/>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Ⅱ期</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b/>
                <w:bCs/>
                <w:sz w:val="16"/>
                <w:szCs w:val="16"/>
                <w:lang w:eastAsia="zh-CN"/>
              </w:rPr>
              <w:t>dMMR/NSMP</w:t>
            </w:r>
            <w:r>
              <w:rPr>
                <w:rFonts w:ascii="Times New Roman" w:hAnsi="Times New Roman" w:eastAsia="微软雅黑" w:cs="Times New Roman"/>
                <w:sz w:val="16"/>
                <w:szCs w:val="16"/>
                <w:lang w:eastAsia="zh-CN"/>
              </w:rPr>
              <w:t>内膜样癌</w:t>
            </w:r>
          </w:p>
        </w:tc>
        <w:tc>
          <w:tcPr>
            <w:tcW w:w="3099" w:type="dxa"/>
            <w:tcBorders>
              <w:top w:val="single" w:color="BFBFBF" w:sz="4" w:space="0"/>
              <w:left w:val="single" w:color="BFBFBF" w:sz="4" w:space="0"/>
              <w:bottom w:val="single" w:color="BFBFBF" w:sz="4" w:space="0"/>
              <w:right w:val="nil"/>
            </w:tcBorders>
            <w:vAlign w:val="center"/>
          </w:tcPr>
          <w:p w14:paraId="51394895">
            <w:pPr>
              <w:widowControl/>
              <w:numPr>
                <w:ilvl w:val="0"/>
                <w:numId w:val="24"/>
              </w:numPr>
              <w:jc w:val="both"/>
              <w:rPr>
                <w:rFonts w:ascii="Times New Roman" w:hAnsi="Times New Roman" w:eastAsia="微软雅黑" w:cs="Times New Roman"/>
                <w:sz w:val="16"/>
                <w:szCs w:val="16"/>
                <w:lang w:eastAsia="zh-CN"/>
              </w:rPr>
            </w:pPr>
            <w:r>
              <w:rPr>
                <w:rFonts w:hint="eastAsia" w:ascii="Times New Roman" w:hAnsi="Times New Roman" w:eastAsia="微软雅黑" w:cs="Times New Roman"/>
                <w:sz w:val="16"/>
                <w:szCs w:val="16"/>
                <w:lang w:eastAsia="zh-CN"/>
              </w:rPr>
              <w:t>淋巴结分期为pN</w:t>
            </w:r>
            <w:r>
              <w:rPr>
                <w:rFonts w:hint="eastAsia" w:ascii="Times New Roman" w:hAnsi="Times New Roman" w:eastAsia="微软雅黑" w:cs="Times New Roman"/>
                <w:sz w:val="16"/>
                <w:szCs w:val="16"/>
                <w:vertAlign w:val="subscript"/>
                <w:lang w:eastAsia="zh-CN"/>
              </w:rPr>
              <w:t>0</w:t>
            </w:r>
            <w:r>
              <w:rPr>
                <w:rFonts w:hint="eastAsia" w:ascii="Times New Roman" w:hAnsi="Times New Roman" w:eastAsia="微软雅黑" w:cs="Times New Roman"/>
                <w:sz w:val="16"/>
                <w:szCs w:val="16"/>
                <w:lang w:eastAsia="zh-CN"/>
              </w:rPr>
              <w:t>患者，近距离放疗可减少高-中危子宫内膜癌的复发。弥漫LVSI和Ⅱ期患者可考虑辅助盆腔外照射，或考虑辅助化疗，特别是高级别和（或）弥漫LVSI的情况。患者如果能密切随访，也可以选择不进行辅助治疗。</w:t>
            </w:r>
          </w:p>
          <w:p w14:paraId="52CAA232">
            <w:pPr>
              <w:widowControl/>
              <w:numPr>
                <w:ilvl w:val="0"/>
                <w:numId w:val="24"/>
              </w:numPr>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未进行淋巴结分期手术（cN</w:t>
            </w:r>
            <w:r>
              <w:rPr>
                <w:rFonts w:hint="eastAsia" w:ascii="Times New Roman" w:hAnsi="Times New Roman" w:eastAsia="微软雅黑" w:cs="Times New Roman"/>
                <w:sz w:val="16"/>
                <w:szCs w:val="16"/>
                <w:vertAlign w:val="subscript"/>
                <w:lang w:eastAsia="zh-CN"/>
              </w:rPr>
              <w:t>0</w:t>
            </w:r>
            <w:r>
              <w:rPr>
                <w:rFonts w:hint="eastAsia" w:ascii="Times New Roman" w:hAnsi="Times New Roman" w:eastAsia="微软雅黑" w:cs="Times New Roman"/>
                <w:sz w:val="16"/>
                <w:szCs w:val="16"/>
                <w:lang w:eastAsia="zh-CN"/>
              </w:rPr>
              <w:t>/pN</w:t>
            </w:r>
            <w:r>
              <w:rPr>
                <w:rFonts w:hint="eastAsia" w:ascii="Times New Roman" w:hAnsi="Times New Roman" w:eastAsia="微软雅黑" w:cs="Times New Roman"/>
                <w:sz w:val="16"/>
                <w:szCs w:val="16"/>
                <w:vertAlign w:val="subscript"/>
                <w:lang w:eastAsia="zh-CN"/>
              </w:rPr>
              <w:t>x</w:t>
            </w:r>
            <w:r>
              <w:rPr>
                <w:rFonts w:hint="eastAsia" w:ascii="Times New Roman" w:hAnsi="Times New Roman" w:eastAsia="微软雅黑" w:cs="Times New Roman"/>
                <w:sz w:val="16"/>
                <w:szCs w:val="16"/>
                <w:lang w:eastAsia="zh-CN"/>
              </w:rPr>
              <w:t>）的高－中危患者，推荐术后进行盆腔外照射，尤其是弥漫LVSI和（或）Ⅱ期患者。除放疗外也可考虑增加辅助化疗，尤其是高级别和（或）弥漫LVSI时。对高级别不伴LVSI的患者以及Ⅱ期内膜样癌G1患者可选择单纯阴道近距离放疗。</w:t>
            </w:r>
          </w:p>
        </w:tc>
      </w:tr>
      <w:tr w14:paraId="465CAA5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134" w:type="dxa"/>
            <w:tcBorders>
              <w:top w:val="single" w:color="BFBFBF" w:sz="4" w:space="0"/>
              <w:left w:val="nil"/>
              <w:bottom w:val="single" w:color="BFBFBF" w:sz="4" w:space="0"/>
              <w:right w:val="single" w:color="BFBFBF" w:sz="4" w:space="0"/>
            </w:tcBorders>
            <w:vAlign w:val="center"/>
          </w:tcPr>
          <w:p w14:paraId="3FC3CC9D">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高危</w:t>
            </w:r>
          </w:p>
        </w:tc>
        <w:tc>
          <w:tcPr>
            <w:tcW w:w="2861" w:type="dxa"/>
            <w:tcBorders>
              <w:top w:val="single" w:color="BFBFBF" w:sz="4" w:space="0"/>
              <w:left w:val="single" w:color="BFBFBF" w:sz="4" w:space="0"/>
              <w:bottom w:val="single" w:color="BFBFBF" w:sz="4" w:space="0"/>
              <w:right w:val="single" w:color="BFBFBF" w:sz="4" w:space="0"/>
            </w:tcBorders>
            <w:vAlign w:val="center"/>
          </w:tcPr>
          <w:p w14:paraId="7163F4FB">
            <w:pPr>
              <w:widowControl/>
              <w:numPr>
                <w:ilvl w:val="0"/>
                <w:numId w:val="24"/>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Ⅲ~ⅣA</w:t>
            </w:r>
            <w:r>
              <w:rPr>
                <w:rFonts w:hint="eastAsia" w:ascii="Times New Roman" w:hAnsi="Times New Roman" w:eastAsia="微软雅黑" w:cs="Times New Roman"/>
                <w:sz w:val="16"/>
                <w:szCs w:val="16"/>
                <w:lang w:eastAsia="zh-CN"/>
              </w:rPr>
              <w:t xml:space="preserve">期，无残留病灶 </w:t>
            </w:r>
          </w:p>
          <w:p w14:paraId="13DF52E9">
            <w:pPr>
              <w:widowControl/>
              <w:numPr>
                <w:ilvl w:val="0"/>
                <w:numId w:val="24"/>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Ⅰ~ⅣA期，非内膜样癌（浆液性癌、透明细胞癌、未分化癌、癌肉瘤、混合细胞癌）伴肌层浸润，无残留病灶</w:t>
            </w:r>
          </w:p>
          <w:p w14:paraId="7E381336">
            <w:pPr>
              <w:widowControl/>
              <w:jc w:val="both"/>
              <w:rPr>
                <w:rFonts w:ascii="Times New Roman" w:hAnsi="Times New Roman" w:eastAsia="微软雅黑" w:cs="Times New Roman"/>
                <w:sz w:val="18"/>
                <w:szCs w:val="18"/>
                <w:lang w:eastAsia="zh-CN"/>
              </w:rPr>
            </w:pPr>
          </w:p>
        </w:tc>
        <w:tc>
          <w:tcPr>
            <w:tcW w:w="2781" w:type="dxa"/>
            <w:tcBorders>
              <w:top w:val="single" w:color="BFBFBF" w:sz="4" w:space="0"/>
              <w:left w:val="single" w:color="BFBFBF" w:sz="4" w:space="0"/>
              <w:bottom w:val="single" w:color="BFBFBF" w:sz="4" w:space="0"/>
              <w:right w:val="nil"/>
            </w:tcBorders>
            <w:vAlign w:val="center"/>
          </w:tcPr>
          <w:p w14:paraId="7B28DF56">
            <w:pPr>
              <w:widowControl/>
              <w:numPr>
                <w:ilvl w:val="0"/>
                <w:numId w:val="24"/>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Ⅲ</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sz w:val="16"/>
                <w:szCs w:val="16"/>
                <w:lang w:eastAsia="zh-CN"/>
              </w:rPr>
              <w:t>ⅣA</w:t>
            </w:r>
            <w:r>
              <w:rPr>
                <w:rFonts w:hint="eastAsia" w:ascii="Times New Roman" w:hAnsi="Times New Roman" w:eastAsia="微软雅黑" w:cs="Times New Roman"/>
                <w:sz w:val="16"/>
                <w:szCs w:val="16"/>
                <w:lang w:eastAsia="zh-CN"/>
              </w:rPr>
              <w:t>期，</w:t>
            </w:r>
            <w:r>
              <w:rPr>
                <w:rFonts w:hint="eastAsia" w:ascii="Times New Roman" w:hAnsi="Times New Roman" w:eastAsia="微软雅黑" w:cs="Times New Roman"/>
                <w:b/>
                <w:bCs/>
                <w:sz w:val="16"/>
                <w:szCs w:val="16"/>
                <w:lang w:eastAsia="zh-CN"/>
              </w:rPr>
              <w:t>dMMR/NSMP</w:t>
            </w:r>
            <w:r>
              <w:rPr>
                <w:rFonts w:hint="eastAsia" w:ascii="Times New Roman" w:hAnsi="Times New Roman" w:eastAsia="微软雅黑" w:cs="Times New Roman"/>
                <w:sz w:val="16"/>
                <w:szCs w:val="16"/>
                <w:lang w:eastAsia="zh-CN"/>
              </w:rPr>
              <w:t xml:space="preserve">内膜样癌无残留病灶 </w:t>
            </w:r>
          </w:p>
          <w:p w14:paraId="7D1E99C8">
            <w:pPr>
              <w:widowControl/>
              <w:numPr>
                <w:ilvl w:val="0"/>
                <w:numId w:val="24"/>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Ⅰ~ⅣA期，</w:t>
            </w:r>
            <w:r>
              <w:rPr>
                <w:rFonts w:hint="eastAsia" w:ascii="Times New Roman" w:hAnsi="Times New Roman" w:eastAsia="微软雅黑" w:cs="Times New Roman"/>
                <w:b/>
                <w:bCs/>
                <w:sz w:val="16"/>
                <w:szCs w:val="16"/>
                <w:lang w:eastAsia="zh-CN"/>
              </w:rPr>
              <w:t>p</w:t>
            </w:r>
            <w:r>
              <w:rPr>
                <w:rFonts w:ascii="Times New Roman" w:hAnsi="Times New Roman" w:eastAsia="微软雅黑" w:cs="Times New Roman"/>
                <w:b/>
                <w:bCs/>
                <w:sz w:val="16"/>
                <w:szCs w:val="16"/>
                <w:lang w:eastAsia="zh-CN"/>
              </w:rPr>
              <w:t>53abn</w:t>
            </w:r>
            <w:r>
              <w:rPr>
                <w:rFonts w:ascii="Times New Roman" w:hAnsi="Times New Roman" w:eastAsia="微软雅黑" w:cs="Times New Roman"/>
                <w:sz w:val="16"/>
                <w:szCs w:val="16"/>
                <w:lang w:eastAsia="zh-CN"/>
              </w:rPr>
              <w:t xml:space="preserve">内膜样癌伴肌层浸润，无残留病灶 </w:t>
            </w:r>
          </w:p>
          <w:p w14:paraId="51D9BCAC">
            <w:pPr>
              <w:widowControl/>
              <w:numPr>
                <w:ilvl w:val="0"/>
                <w:numId w:val="24"/>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Ⅰ~ⅣA期，</w:t>
            </w:r>
            <w:r>
              <w:rPr>
                <w:rFonts w:ascii="Times New Roman" w:hAnsi="Times New Roman" w:eastAsia="微软雅黑" w:cs="Times New Roman"/>
                <w:b/>
                <w:bCs/>
                <w:sz w:val="16"/>
                <w:szCs w:val="16"/>
                <w:lang w:eastAsia="zh-CN"/>
              </w:rPr>
              <w:t>dMMR/NSMP</w:t>
            </w:r>
            <w:r>
              <w:rPr>
                <w:rFonts w:ascii="Times New Roman" w:hAnsi="Times New Roman" w:eastAsia="微软雅黑" w:cs="Times New Roman"/>
                <w:sz w:val="16"/>
                <w:szCs w:val="16"/>
                <w:lang w:eastAsia="zh-CN"/>
              </w:rPr>
              <w:t>非内膜样癌（浆液性癌、未分化癌、癌肉瘤），伴肌层浸润，无残留病灶</w:t>
            </w:r>
          </w:p>
        </w:tc>
        <w:tc>
          <w:tcPr>
            <w:tcW w:w="3099" w:type="dxa"/>
            <w:tcBorders>
              <w:top w:val="single" w:color="BFBFBF" w:sz="4" w:space="0"/>
              <w:left w:val="single" w:color="BFBFBF" w:sz="4" w:space="0"/>
              <w:bottom w:val="single" w:color="BFBFBF" w:sz="4" w:space="0"/>
              <w:right w:val="nil"/>
            </w:tcBorders>
            <w:vAlign w:val="center"/>
          </w:tcPr>
          <w:p w14:paraId="4362F844">
            <w:pPr>
              <w:widowControl/>
              <w:numPr>
                <w:ilvl w:val="0"/>
                <w:numId w:val="24"/>
              </w:numPr>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推荐术后进行盆腔外照射联合化疗。单纯化疗可作为替代方案。癌肉瘤的术后治疗参照高危内膜癌治疗方案，而不是子宫肉瘤方案。</w:t>
            </w:r>
          </w:p>
        </w:tc>
      </w:tr>
      <w:tr w14:paraId="746910B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134" w:type="dxa"/>
            <w:tcBorders>
              <w:top w:val="single" w:color="BFBFBF" w:sz="4" w:space="0"/>
              <w:left w:val="nil"/>
              <w:bottom w:val="single" w:color="BFBFBF" w:sz="4" w:space="0"/>
              <w:right w:val="single" w:color="BFBFBF" w:sz="4" w:space="0"/>
            </w:tcBorders>
            <w:vAlign w:val="center"/>
          </w:tcPr>
          <w:p w14:paraId="0DBA6EC2">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晚期转移</w:t>
            </w:r>
          </w:p>
        </w:tc>
        <w:tc>
          <w:tcPr>
            <w:tcW w:w="2861" w:type="dxa"/>
            <w:tcBorders>
              <w:top w:val="single" w:color="BFBFBF" w:sz="4" w:space="0"/>
              <w:left w:val="single" w:color="BFBFBF" w:sz="4" w:space="0"/>
              <w:bottom w:val="single" w:color="BFBFBF" w:sz="4" w:space="0"/>
              <w:right w:val="single" w:color="BFBFBF" w:sz="4" w:space="0"/>
            </w:tcBorders>
            <w:vAlign w:val="center"/>
          </w:tcPr>
          <w:p w14:paraId="24244C7F">
            <w:pPr>
              <w:widowControl/>
              <w:numPr>
                <w:ilvl w:val="0"/>
                <w:numId w:val="24"/>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Ⅲ</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sz w:val="16"/>
                <w:szCs w:val="16"/>
                <w:lang w:eastAsia="zh-CN"/>
              </w:rPr>
              <w:t>ⅣA</w:t>
            </w:r>
            <w:r>
              <w:rPr>
                <w:rFonts w:hint="eastAsia" w:ascii="Times New Roman" w:hAnsi="Times New Roman" w:eastAsia="微软雅黑" w:cs="Times New Roman"/>
                <w:sz w:val="16"/>
                <w:szCs w:val="16"/>
                <w:lang w:eastAsia="zh-CN"/>
              </w:rPr>
              <w:t xml:space="preserve">期伴残留病灶 </w:t>
            </w:r>
          </w:p>
          <w:p w14:paraId="16BF2E2F">
            <w:pPr>
              <w:widowControl/>
              <w:numPr>
                <w:ilvl w:val="0"/>
                <w:numId w:val="24"/>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ⅣB期</w:t>
            </w:r>
          </w:p>
        </w:tc>
        <w:tc>
          <w:tcPr>
            <w:tcW w:w="2781" w:type="dxa"/>
            <w:tcBorders>
              <w:top w:val="single" w:color="BFBFBF" w:sz="4" w:space="0"/>
              <w:left w:val="single" w:color="BFBFBF" w:sz="4" w:space="0"/>
              <w:bottom w:val="single" w:color="BFBFBF" w:sz="4" w:space="0"/>
              <w:right w:val="nil"/>
            </w:tcBorders>
            <w:vAlign w:val="center"/>
          </w:tcPr>
          <w:p w14:paraId="49CDD49F">
            <w:pPr>
              <w:widowControl/>
              <w:numPr>
                <w:ilvl w:val="0"/>
                <w:numId w:val="24"/>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Ⅲ</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sz w:val="16"/>
                <w:szCs w:val="16"/>
                <w:lang w:eastAsia="zh-CN"/>
              </w:rPr>
              <w:t>ⅣA</w:t>
            </w:r>
            <w:r>
              <w:rPr>
                <w:rFonts w:hint="eastAsia" w:ascii="Times New Roman" w:hAnsi="Times New Roman" w:eastAsia="微软雅黑" w:cs="Times New Roman"/>
                <w:sz w:val="16"/>
                <w:szCs w:val="16"/>
                <w:lang w:eastAsia="zh-CN"/>
              </w:rPr>
              <w:t xml:space="preserve">期，伴残留病灶，任何分子分型 </w:t>
            </w:r>
          </w:p>
          <w:p w14:paraId="4BCC5788">
            <w:pPr>
              <w:widowControl/>
              <w:numPr>
                <w:ilvl w:val="0"/>
                <w:numId w:val="24"/>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ⅣB期，任何分子分型</w:t>
            </w:r>
          </w:p>
        </w:tc>
        <w:tc>
          <w:tcPr>
            <w:tcW w:w="3099" w:type="dxa"/>
            <w:tcBorders>
              <w:top w:val="single" w:color="BFBFBF" w:sz="4" w:space="0"/>
              <w:left w:val="single" w:color="BFBFBF" w:sz="4" w:space="0"/>
              <w:bottom w:val="single" w:color="BFBFBF" w:sz="4" w:space="0"/>
              <w:right w:val="nil"/>
            </w:tcBorders>
            <w:vAlign w:val="center"/>
          </w:tcPr>
          <w:p w14:paraId="27D40D5E">
            <w:pPr>
              <w:widowControl/>
              <w:numPr>
                <w:ilvl w:val="0"/>
                <w:numId w:val="24"/>
              </w:numPr>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接受手术治疗的</w:t>
            </w:r>
            <w:r>
              <w:rPr>
                <w:rFonts w:ascii="Times New Roman" w:hAnsi="Times New Roman" w:eastAsia="微软雅黑" w:cs="Times New Roman"/>
                <w:sz w:val="16"/>
                <w:szCs w:val="16"/>
                <w:lang w:eastAsia="zh-CN"/>
              </w:rPr>
              <w:t>Ⅲ/Ⅳ</w:t>
            </w:r>
            <w:r>
              <w:rPr>
                <w:rFonts w:hint="eastAsia" w:ascii="Times New Roman" w:hAnsi="Times New Roman" w:eastAsia="微软雅黑" w:cs="Times New Roman"/>
                <w:sz w:val="16"/>
                <w:szCs w:val="16"/>
                <w:lang w:eastAsia="zh-CN"/>
              </w:rPr>
              <w:t>期子宫内膜癌患者，如果术后有残留的转移淋巴结病灶、术后切缘阳性（包括阴道切缘阳性、盆侧壁受累）、或盆腔内病灶残留者，应经MDT讨论，采用化疗±放疗的个体化治疗方法。</w:t>
            </w:r>
          </w:p>
        </w:tc>
      </w:tr>
    </w:tbl>
    <w:p w14:paraId="1E9F0145">
      <w:pPr>
        <w:widowControl/>
        <w:spacing w:before="120" w:beforeLines="50"/>
        <w:rPr>
          <w:rFonts w:hint="eastAsia" w:ascii="Times New Roman" w:hAnsi="Times New Roman" w:eastAsia="微软雅黑" w:cs="Times New Roman"/>
          <w:sz w:val="16"/>
          <w:szCs w:val="16"/>
          <w:lang w:eastAsia="zh-CN"/>
        </w:rPr>
      </w:pPr>
      <w:r>
        <w:rPr>
          <w:rFonts w:hint="eastAsia" w:ascii="Times New Roman" w:hAnsi="Times New Roman" w:eastAsia="微软雅黑" w:cs="Times New Roman"/>
          <w:b/>
          <w:bCs/>
          <w:sz w:val="16"/>
          <w:szCs w:val="16"/>
          <w:lang w:eastAsia="zh-CN"/>
        </w:rPr>
        <w:t>注：</w:t>
      </w:r>
      <w:r>
        <w:rPr>
          <w:rFonts w:ascii="Times New Roman" w:hAnsi="Times New Roman" w:eastAsia="微软雅黑" w:cs="Times New Roman"/>
          <w:sz w:val="18"/>
          <w:szCs w:val="18"/>
          <w:vertAlign w:val="superscript"/>
          <w:lang w:eastAsia="zh-CN"/>
        </w:rPr>
        <w:t>△</w:t>
      </w:r>
      <w:r>
        <w:rPr>
          <w:rFonts w:ascii="Times New Roman" w:hAnsi="Times New Roman" w:eastAsia="微软雅黑" w:cs="Times New Roman"/>
          <w:sz w:val="16"/>
          <w:szCs w:val="16"/>
          <w:lang w:eastAsia="zh-CN"/>
        </w:rPr>
        <w:t>：对Ⅲ~ⅣA期POLEmut子宫内膜样癌和Ⅰ~ⅣA期dMMR或NSMP透明细胞癌伴肌层浸润者，没有充分的数据将这些患者分配到分子分型的预后危险组别中去。建议进行前瞻性登记；</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：根据FIGO分级两分类，G1和G2定义为低级别，G3为高级别</w:t>
      </w:r>
      <w:r>
        <w:rPr>
          <w:rFonts w:hint="eastAsia" w:ascii="Times New Roman" w:hAnsi="Times New Roman" w:eastAsia="微软雅黑" w:cs="Times New Roman"/>
          <w:sz w:val="16"/>
          <w:szCs w:val="16"/>
          <w:lang w:eastAsia="zh-CN"/>
        </w:rPr>
        <w:t>。</w:t>
      </w:r>
    </w:p>
    <w:p w14:paraId="4A688304">
      <w:pPr>
        <w:widowControl/>
        <w:spacing w:before="120" w:beforeLines="50"/>
        <w:rPr>
          <w:rFonts w:hint="eastAsia" w:ascii="Times New Roman" w:hAnsi="Times New Roman" w:eastAsia="微软雅黑" w:cs="Times New Roman"/>
          <w:sz w:val="16"/>
          <w:szCs w:val="16"/>
          <w:lang w:eastAsia="zh-CN"/>
        </w:rPr>
      </w:pPr>
    </w:p>
    <w:p w14:paraId="73F657E3">
      <w:pPr>
        <w:spacing w:after="120" w:afterLines="50" w:line="440" w:lineRule="exact"/>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表2 分子分型命名对照表</w:t>
      </w:r>
    </w:p>
    <w:tbl>
      <w:tblPr>
        <w:tblStyle w:val="15"/>
        <w:tblW w:w="0" w:type="auto"/>
        <w:tblInd w:w="111"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62"/>
        <w:gridCol w:w="1662"/>
        <w:gridCol w:w="1662"/>
        <w:gridCol w:w="1662"/>
        <w:gridCol w:w="1662"/>
        <w:gridCol w:w="1664"/>
      </w:tblGrid>
      <w:tr w14:paraId="30757F0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nil"/>
              <w:left w:val="nil"/>
              <w:bottom w:val="nil"/>
              <w:right w:val="single" w:color="FFFFFF" w:themeColor="background1" w:sz="18" w:space="0"/>
            </w:tcBorders>
            <w:shd w:val="clear" w:color="auto" w:fill="62BC41"/>
            <w:vAlign w:val="center"/>
          </w:tcPr>
          <w:p w14:paraId="7E22651E">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WHO</w:t>
            </w:r>
          </w:p>
        </w:tc>
        <w:tc>
          <w:tcPr>
            <w:tcW w:w="1662" w:type="dxa"/>
            <w:tcBorders>
              <w:top w:val="nil"/>
              <w:left w:val="single" w:color="FFFFFF" w:themeColor="background1" w:sz="18" w:space="0"/>
              <w:bottom w:val="nil"/>
              <w:right w:val="single" w:color="FFFFFF" w:themeColor="background1" w:sz="18" w:space="0"/>
            </w:tcBorders>
            <w:shd w:val="clear" w:color="auto" w:fill="62BC41"/>
            <w:vAlign w:val="center"/>
          </w:tcPr>
          <w:p w14:paraId="4AA897DC">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ESGO</w:t>
            </w:r>
          </w:p>
        </w:tc>
        <w:tc>
          <w:tcPr>
            <w:tcW w:w="1662" w:type="dxa"/>
            <w:tcBorders>
              <w:top w:val="nil"/>
              <w:left w:val="single" w:color="FFFFFF" w:themeColor="background1" w:sz="18" w:space="0"/>
              <w:bottom w:val="nil"/>
              <w:right w:val="single" w:color="FFFFFF" w:themeColor="background1" w:sz="18" w:space="0"/>
            </w:tcBorders>
            <w:shd w:val="clear" w:color="auto" w:fill="62BC41"/>
            <w:vAlign w:val="center"/>
          </w:tcPr>
          <w:p w14:paraId="3F8069C2">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NCCN</w:t>
            </w:r>
          </w:p>
        </w:tc>
        <w:tc>
          <w:tcPr>
            <w:tcW w:w="1662" w:type="dxa"/>
            <w:tcBorders>
              <w:top w:val="nil"/>
              <w:left w:val="single" w:color="FFFFFF" w:themeColor="background1" w:sz="18" w:space="0"/>
              <w:bottom w:val="nil"/>
              <w:right w:val="single" w:color="FFFFFF" w:themeColor="background1" w:sz="18" w:space="0"/>
            </w:tcBorders>
            <w:shd w:val="clear" w:color="auto" w:fill="62BC41"/>
            <w:vAlign w:val="center"/>
          </w:tcPr>
          <w:p w14:paraId="309558F5">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TCGA</w:t>
            </w:r>
          </w:p>
        </w:tc>
        <w:tc>
          <w:tcPr>
            <w:tcW w:w="1662" w:type="dxa"/>
            <w:tcBorders>
              <w:top w:val="nil"/>
              <w:left w:val="single" w:color="FFFFFF" w:themeColor="background1" w:sz="18" w:space="0"/>
              <w:bottom w:val="nil"/>
              <w:right w:val="single" w:color="FFFFFF" w:themeColor="background1" w:sz="18" w:space="0"/>
            </w:tcBorders>
            <w:shd w:val="clear" w:color="auto" w:fill="62BC41"/>
            <w:vAlign w:val="center"/>
          </w:tcPr>
          <w:p w14:paraId="5C749719">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ProMisE</w:t>
            </w:r>
          </w:p>
        </w:tc>
        <w:tc>
          <w:tcPr>
            <w:tcW w:w="1664" w:type="dxa"/>
            <w:tcBorders>
              <w:top w:val="nil"/>
              <w:left w:val="single" w:color="FFFFFF" w:themeColor="background1" w:sz="18" w:space="0"/>
              <w:bottom w:val="nil"/>
              <w:right w:val="nil"/>
            </w:tcBorders>
            <w:shd w:val="clear" w:color="auto" w:fill="62BC41"/>
            <w:vAlign w:val="center"/>
          </w:tcPr>
          <w:p w14:paraId="0F2F515B">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Trans-PORTEC</w:t>
            </w:r>
          </w:p>
        </w:tc>
      </w:tr>
      <w:tr w14:paraId="5B2F57A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nil"/>
              <w:left w:val="nil"/>
              <w:bottom w:val="single" w:color="BFBFBF" w:sz="4" w:space="0"/>
              <w:right w:val="single" w:color="BFBFBF" w:sz="4" w:space="0"/>
            </w:tcBorders>
            <w:vAlign w:val="center"/>
          </w:tcPr>
          <w:p w14:paraId="793E9834">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mut</w:t>
            </w:r>
          </w:p>
        </w:tc>
        <w:tc>
          <w:tcPr>
            <w:tcW w:w="1662" w:type="dxa"/>
            <w:tcBorders>
              <w:top w:val="nil"/>
              <w:left w:val="single" w:color="BFBFBF" w:sz="4" w:space="0"/>
              <w:bottom w:val="single" w:color="BFBFBF" w:sz="4" w:space="0"/>
              <w:right w:val="single" w:color="BFBFBF" w:sz="4" w:space="0"/>
            </w:tcBorders>
            <w:vAlign w:val="center"/>
          </w:tcPr>
          <w:p w14:paraId="4866B380">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mut</w:t>
            </w:r>
          </w:p>
        </w:tc>
        <w:tc>
          <w:tcPr>
            <w:tcW w:w="1662" w:type="dxa"/>
            <w:tcBorders>
              <w:top w:val="nil"/>
              <w:left w:val="single" w:color="BFBFBF" w:sz="4" w:space="0"/>
              <w:bottom w:val="single" w:color="BFBFBF" w:sz="4" w:space="0"/>
              <w:right w:val="single" w:color="BFBFBF" w:sz="4" w:space="0"/>
            </w:tcBorders>
            <w:vAlign w:val="center"/>
          </w:tcPr>
          <w:p w14:paraId="32D466C2">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i/>
                <w:iCs/>
                <w:sz w:val="18"/>
                <w:szCs w:val="18"/>
                <w:lang w:eastAsia="zh-CN"/>
              </w:rPr>
              <w:t>POLE</w:t>
            </w:r>
          </w:p>
        </w:tc>
        <w:tc>
          <w:tcPr>
            <w:tcW w:w="1662" w:type="dxa"/>
            <w:tcBorders>
              <w:top w:val="nil"/>
              <w:left w:val="single" w:color="BFBFBF" w:sz="4" w:space="0"/>
              <w:bottom w:val="single" w:color="BFBFBF" w:sz="4" w:space="0"/>
              <w:right w:val="single" w:color="BFBFBF" w:sz="4" w:space="0"/>
            </w:tcBorders>
            <w:vAlign w:val="center"/>
          </w:tcPr>
          <w:p w14:paraId="0DEBA1CC">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(ultramutated)</w:t>
            </w:r>
          </w:p>
        </w:tc>
        <w:tc>
          <w:tcPr>
            <w:tcW w:w="1662" w:type="dxa"/>
            <w:tcBorders>
              <w:top w:val="nil"/>
              <w:left w:val="single" w:color="BFBFBF" w:sz="4" w:space="0"/>
              <w:bottom w:val="single" w:color="BFBFBF" w:sz="4" w:space="0"/>
              <w:right w:val="single" w:color="BFBFBF" w:sz="4" w:space="0"/>
            </w:tcBorders>
            <w:vAlign w:val="center"/>
          </w:tcPr>
          <w:p w14:paraId="30A06836">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EDM</w:t>
            </w:r>
          </w:p>
        </w:tc>
        <w:tc>
          <w:tcPr>
            <w:tcW w:w="1664" w:type="dxa"/>
            <w:tcBorders>
              <w:top w:val="nil"/>
              <w:left w:val="single" w:color="BFBFBF" w:sz="4" w:space="0"/>
              <w:bottom w:val="single" w:color="BFBFBF" w:sz="4" w:space="0"/>
              <w:right w:val="nil"/>
            </w:tcBorders>
            <w:vAlign w:val="center"/>
          </w:tcPr>
          <w:p w14:paraId="0555EC87">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-mutant</w:t>
            </w:r>
          </w:p>
        </w:tc>
      </w:tr>
      <w:tr w14:paraId="7879DA0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single" w:color="BFBFBF" w:sz="4" w:space="0"/>
              <w:left w:val="nil"/>
              <w:bottom w:val="single" w:color="BFBFBF" w:sz="4" w:space="0"/>
              <w:right w:val="single" w:color="BFBFBF" w:sz="4" w:space="0"/>
            </w:tcBorders>
            <w:vAlign w:val="center"/>
          </w:tcPr>
          <w:p w14:paraId="01649B3A">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MMRd</w:t>
            </w:r>
          </w:p>
        </w:tc>
        <w:tc>
          <w:tcPr>
            <w:tcW w:w="1662" w:type="dxa"/>
            <w:tcBorders>
              <w:top w:val="single" w:color="BFBFBF" w:sz="4" w:space="0"/>
              <w:left w:val="single" w:color="BFBFBF" w:sz="4" w:space="0"/>
              <w:bottom w:val="single" w:color="BFBFBF" w:sz="4" w:space="0"/>
              <w:right w:val="single" w:color="BFBFBF" w:sz="4" w:space="0"/>
            </w:tcBorders>
            <w:vAlign w:val="center"/>
          </w:tcPr>
          <w:p w14:paraId="00517F78">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MMRd</w:t>
            </w:r>
          </w:p>
        </w:tc>
        <w:tc>
          <w:tcPr>
            <w:tcW w:w="1662" w:type="dxa"/>
            <w:tcBorders>
              <w:top w:val="single" w:color="BFBFBF" w:sz="4" w:space="0"/>
              <w:left w:val="single" w:color="BFBFBF" w:sz="4" w:space="0"/>
              <w:bottom w:val="single" w:color="BFBFBF" w:sz="4" w:space="0"/>
              <w:right w:val="single" w:color="BFBFBF" w:sz="4" w:space="0"/>
            </w:tcBorders>
            <w:vAlign w:val="center"/>
          </w:tcPr>
          <w:p w14:paraId="17D75CC7">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MSI-H</w:t>
            </w:r>
          </w:p>
        </w:tc>
        <w:tc>
          <w:tcPr>
            <w:tcW w:w="1662" w:type="dxa"/>
            <w:tcBorders>
              <w:top w:val="single" w:color="BFBFBF" w:sz="4" w:space="0"/>
              <w:left w:val="single" w:color="BFBFBF" w:sz="4" w:space="0"/>
              <w:bottom w:val="single" w:color="BFBFBF" w:sz="4" w:space="0"/>
              <w:right w:val="single" w:color="BFBFBF" w:sz="4" w:space="0"/>
            </w:tcBorders>
            <w:vAlign w:val="center"/>
          </w:tcPr>
          <w:p w14:paraId="006859C5">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MSI (hypermutated)</w:t>
            </w:r>
          </w:p>
        </w:tc>
        <w:tc>
          <w:tcPr>
            <w:tcW w:w="1662" w:type="dxa"/>
            <w:tcBorders>
              <w:top w:val="single" w:color="BFBFBF" w:sz="4" w:space="0"/>
              <w:left w:val="single" w:color="BFBFBF" w:sz="4" w:space="0"/>
              <w:bottom w:val="single" w:color="BFBFBF" w:sz="4" w:space="0"/>
              <w:right w:val="single" w:color="BFBFBF" w:sz="4" w:space="0"/>
            </w:tcBorders>
            <w:vAlign w:val="center"/>
          </w:tcPr>
          <w:p w14:paraId="39294641">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MMR-D</w:t>
            </w:r>
          </w:p>
        </w:tc>
        <w:tc>
          <w:tcPr>
            <w:tcW w:w="1664" w:type="dxa"/>
            <w:tcBorders>
              <w:top w:val="single" w:color="BFBFBF" w:sz="4" w:space="0"/>
              <w:left w:val="single" w:color="BFBFBF" w:sz="4" w:space="0"/>
              <w:bottom w:val="single" w:color="BFBFBF" w:sz="4" w:space="0"/>
              <w:right w:val="nil"/>
            </w:tcBorders>
            <w:vAlign w:val="center"/>
          </w:tcPr>
          <w:p w14:paraId="5A7D7EC6">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MSI</w:t>
            </w:r>
          </w:p>
        </w:tc>
      </w:tr>
      <w:tr w14:paraId="4B2837C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single" w:color="BFBFBF" w:sz="4" w:space="0"/>
              <w:left w:val="nil"/>
              <w:bottom w:val="single" w:color="BFBFBF" w:sz="4" w:space="0"/>
              <w:right w:val="single" w:color="BFBFBF" w:sz="4" w:space="0"/>
            </w:tcBorders>
            <w:vAlign w:val="center"/>
          </w:tcPr>
          <w:p w14:paraId="7A1011B6">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NSMP</w:t>
            </w:r>
          </w:p>
        </w:tc>
        <w:tc>
          <w:tcPr>
            <w:tcW w:w="1662" w:type="dxa"/>
            <w:tcBorders>
              <w:top w:val="single" w:color="BFBFBF" w:sz="4" w:space="0"/>
              <w:left w:val="single" w:color="BFBFBF" w:sz="4" w:space="0"/>
              <w:bottom w:val="single" w:color="BFBFBF" w:sz="4" w:space="0"/>
              <w:right w:val="single" w:color="BFBFBF" w:sz="4" w:space="0"/>
            </w:tcBorders>
            <w:vAlign w:val="center"/>
          </w:tcPr>
          <w:p w14:paraId="120A31BB">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NSMP</w:t>
            </w:r>
          </w:p>
        </w:tc>
        <w:tc>
          <w:tcPr>
            <w:tcW w:w="1662" w:type="dxa"/>
            <w:tcBorders>
              <w:top w:val="single" w:color="BFBFBF" w:sz="4" w:space="0"/>
              <w:left w:val="single" w:color="BFBFBF" w:sz="4" w:space="0"/>
              <w:bottom w:val="single" w:color="BFBFBF" w:sz="4" w:space="0"/>
              <w:right w:val="single" w:color="BFBFBF" w:sz="4" w:space="0"/>
            </w:tcBorders>
            <w:vAlign w:val="center"/>
          </w:tcPr>
          <w:p w14:paraId="782E9787">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Copy-number low</w:t>
            </w:r>
          </w:p>
        </w:tc>
        <w:tc>
          <w:tcPr>
            <w:tcW w:w="1662" w:type="dxa"/>
            <w:tcBorders>
              <w:top w:val="single" w:color="BFBFBF" w:sz="4" w:space="0"/>
              <w:left w:val="single" w:color="BFBFBF" w:sz="4" w:space="0"/>
              <w:bottom w:val="single" w:color="BFBFBF" w:sz="4" w:space="0"/>
              <w:right w:val="single" w:color="BFBFBF" w:sz="4" w:space="0"/>
            </w:tcBorders>
            <w:vAlign w:val="center"/>
          </w:tcPr>
          <w:p w14:paraId="5A7820B9">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Copy-number low (endometrioid)</w:t>
            </w:r>
          </w:p>
        </w:tc>
        <w:tc>
          <w:tcPr>
            <w:tcW w:w="1662" w:type="dxa"/>
            <w:tcBorders>
              <w:top w:val="single" w:color="BFBFBF" w:sz="4" w:space="0"/>
              <w:left w:val="single" w:color="BFBFBF" w:sz="4" w:space="0"/>
              <w:bottom w:val="single" w:color="BFBFBF" w:sz="4" w:space="0"/>
              <w:right w:val="single" w:color="BFBFBF" w:sz="4" w:space="0"/>
            </w:tcBorders>
            <w:vAlign w:val="center"/>
          </w:tcPr>
          <w:p w14:paraId="5F6C4F01">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wt</w:t>
            </w:r>
          </w:p>
        </w:tc>
        <w:tc>
          <w:tcPr>
            <w:tcW w:w="1664" w:type="dxa"/>
            <w:tcBorders>
              <w:top w:val="single" w:color="BFBFBF" w:sz="4" w:space="0"/>
              <w:left w:val="single" w:color="BFBFBF" w:sz="4" w:space="0"/>
              <w:bottom w:val="single" w:color="BFBFBF" w:sz="4" w:space="0"/>
              <w:right w:val="nil"/>
            </w:tcBorders>
            <w:vAlign w:val="center"/>
          </w:tcPr>
          <w:p w14:paraId="3F273413">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NSMP</w:t>
            </w:r>
          </w:p>
        </w:tc>
      </w:tr>
      <w:tr w14:paraId="6FF9516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single" w:color="BFBFBF" w:sz="4" w:space="0"/>
              <w:left w:val="nil"/>
              <w:bottom w:val="single" w:color="BFBFBF" w:sz="4" w:space="0"/>
              <w:right w:val="single" w:color="BFBFBF" w:sz="4" w:space="0"/>
            </w:tcBorders>
            <w:vAlign w:val="center"/>
          </w:tcPr>
          <w:p w14:paraId="4EA54D02">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abn</w:t>
            </w:r>
          </w:p>
        </w:tc>
        <w:tc>
          <w:tcPr>
            <w:tcW w:w="1662" w:type="dxa"/>
            <w:tcBorders>
              <w:top w:val="single" w:color="BFBFBF" w:sz="4" w:space="0"/>
              <w:left w:val="single" w:color="BFBFBF" w:sz="4" w:space="0"/>
              <w:bottom w:val="single" w:color="BFBFBF" w:sz="4" w:space="0"/>
              <w:right w:val="single" w:color="BFBFBF" w:sz="4" w:space="0"/>
            </w:tcBorders>
            <w:vAlign w:val="center"/>
          </w:tcPr>
          <w:p w14:paraId="05632736">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abn</w:t>
            </w:r>
          </w:p>
        </w:tc>
        <w:tc>
          <w:tcPr>
            <w:tcW w:w="1662" w:type="dxa"/>
            <w:tcBorders>
              <w:top w:val="single" w:color="BFBFBF" w:sz="4" w:space="0"/>
              <w:left w:val="single" w:color="BFBFBF" w:sz="4" w:space="0"/>
              <w:bottom w:val="single" w:color="BFBFBF" w:sz="4" w:space="0"/>
              <w:right w:val="single" w:color="BFBFBF" w:sz="4" w:space="0"/>
            </w:tcBorders>
            <w:vAlign w:val="center"/>
          </w:tcPr>
          <w:p w14:paraId="62CA0F7B">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Copy-number high</w:t>
            </w:r>
          </w:p>
        </w:tc>
        <w:tc>
          <w:tcPr>
            <w:tcW w:w="1662" w:type="dxa"/>
            <w:tcBorders>
              <w:top w:val="single" w:color="BFBFBF" w:sz="4" w:space="0"/>
              <w:left w:val="single" w:color="BFBFBF" w:sz="4" w:space="0"/>
              <w:bottom w:val="single" w:color="BFBFBF" w:sz="4" w:space="0"/>
              <w:right w:val="single" w:color="BFBFBF" w:sz="4" w:space="0"/>
            </w:tcBorders>
            <w:vAlign w:val="center"/>
          </w:tcPr>
          <w:p w14:paraId="6D666194">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Copy-number high (serous-like)</w:t>
            </w:r>
          </w:p>
        </w:tc>
        <w:tc>
          <w:tcPr>
            <w:tcW w:w="1662" w:type="dxa"/>
            <w:tcBorders>
              <w:top w:val="single" w:color="BFBFBF" w:sz="4" w:space="0"/>
              <w:left w:val="single" w:color="BFBFBF" w:sz="4" w:space="0"/>
              <w:bottom w:val="single" w:color="BFBFBF" w:sz="4" w:space="0"/>
              <w:right w:val="single" w:color="BFBFBF" w:sz="4" w:space="0"/>
            </w:tcBorders>
            <w:vAlign w:val="center"/>
          </w:tcPr>
          <w:p w14:paraId="481C2077">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abn</w:t>
            </w:r>
          </w:p>
        </w:tc>
        <w:tc>
          <w:tcPr>
            <w:tcW w:w="1664" w:type="dxa"/>
            <w:tcBorders>
              <w:top w:val="single" w:color="BFBFBF" w:sz="4" w:space="0"/>
              <w:left w:val="single" w:color="BFBFBF" w:sz="4" w:space="0"/>
              <w:bottom w:val="single" w:color="BFBFBF" w:sz="4" w:space="0"/>
              <w:right w:val="nil"/>
            </w:tcBorders>
            <w:vAlign w:val="center"/>
          </w:tcPr>
          <w:p w14:paraId="213A7152">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p53-mutant</w:t>
            </w:r>
          </w:p>
        </w:tc>
      </w:tr>
    </w:tbl>
    <w:p w14:paraId="3E921102">
      <w:pPr>
        <w:widowControl/>
        <w:spacing w:before="120" w:beforeLines="50"/>
        <w:rPr>
          <w:rFonts w:ascii="Times New Roman" w:hAnsi="Times New Roman" w:eastAsia="微软雅黑" w:cs="Times New Roman"/>
          <w:sz w:val="16"/>
          <w:szCs w:val="16"/>
          <w:lang w:eastAsia="zh-CN"/>
        </w:rPr>
      </w:pPr>
      <w:r>
        <w:rPr>
          <w:rFonts w:hint="eastAsia" w:ascii="Times New Roman" w:hAnsi="Times New Roman" w:eastAsia="微软雅黑" w:cs="Times New Roman"/>
          <w:sz w:val="16"/>
          <w:szCs w:val="16"/>
          <w:lang w:eastAsia="zh-CN"/>
        </w:rPr>
        <w:t>注：表1的预后危险因素定义和分组最初是引自ESGO/ESTRO/ESP 2020子宫内膜癌指南，它的分子分型方法与本报告采取的分子分型方法并非完全一致，所以对应的四组分型结果并不能保证完全重叠。因此，基于本报告的分子分型结果对应表1的预后风险信息仅供参考。</w:t>
      </w:r>
    </w:p>
    <w:p w14:paraId="69060D4F">
      <w:pPr>
        <w:rPr>
          <w:rFonts w:ascii="Times New Roman" w:hAnsi="Times New Roman" w:eastAsia="微软雅黑" w:cs="Times New Roman"/>
          <w:sz w:val="20"/>
          <w:szCs w:val="20"/>
          <w:lang w:eastAsia="zh-CN"/>
        </w:rPr>
      </w:pPr>
    </w:p>
    <w:p w14:paraId="4748B83C">
      <w:pPr>
        <w:rPr>
          <w:rFonts w:ascii="Times New Roman" w:hAnsi="Times New Roman" w:eastAsia="微软雅黑" w:cs="Times New Roman"/>
          <w:sz w:val="20"/>
          <w:szCs w:val="20"/>
          <w:lang w:eastAsia="zh-CN"/>
        </w:rPr>
      </w:pPr>
      <w:r>
        <w:rPr>
          <w:rFonts w:hint="eastAsia" w:ascii="Times New Roman" w:hAnsi="Times New Roman" w:eastAsia="微软雅黑" w:cs="Times New Roman"/>
          <w:sz w:val="20"/>
          <w:szCs w:val="20"/>
          <w:lang w:eastAsia="zh-CN"/>
        </w:rPr>
        <w:t>参考文献：</w:t>
      </w:r>
    </w:p>
    <w:p w14:paraId="0556C20A">
      <w:pPr>
        <w:numPr>
          <w:ilvl w:val="0"/>
          <w:numId w:val="25"/>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《ESGO／ESTRO／ESP指南：子宫内膜癌患者的管理（2020版）》；</w:t>
      </w:r>
    </w:p>
    <w:p w14:paraId="324FED3E">
      <w:pPr>
        <w:numPr>
          <w:ilvl w:val="0"/>
          <w:numId w:val="25"/>
        </w:numPr>
        <w:rPr>
          <w:rFonts w:ascii="Calibri" w:hAnsi="Calibri" w:eastAsia="微软雅黑" w:cs="Calibri"/>
          <w:sz w:val="18"/>
          <w:szCs w:val="18"/>
          <w:lang w:eastAsia="zh-CN"/>
        </w:rPr>
      </w:pPr>
      <w:r>
        <w:rPr>
          <w:rFonts w:hint="eastAsia" w:ascii="Times New Roman" w:hAnsi="Times New Roman" w:eastAsia="微软雅黑" w:cs="Times New Roman"/>
          <w:sz w:val="18"/>
          <w:szCs w:val="18"/>
          <w:lang w:eastAsia="zh-CN"/>
        </w:rPr>
        <w:t>《子宫内膜癌诊断与治疗指南（2021版）》；</w:t>
      </w:r>
    </w:p>
    <w:p w14:paraId="6F89560C">
      <w:pPr>
        <w:numPr>
          <w:ilvl w:val="0"/>
          <w:numId w:val="25"/>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《子宫内膜癌分子检测中国专家共识（2021版）》。</w:t>
      </w:r>
    </w:p>
    <w:p w14:paraId="5E6BDBC1">
      <w:pPr>
        <w:rPr>
          <w:rFonts w:ascii="Times New Roman" w:hAnsi="Times New Roman"/>
          <w:sz w:val="30"/>
          <w:lang w:eastAsia="zh-CN"/>
        </w:rPr>
      </w:pPr>
      <w:r>
        <w:rPr>
          <w:rFonts w:hint="eastAsia" w:ascii="Times New Roman" w:hAnsi="Times New Roman"/>
          <w:sz w:val="30"/>
          <w:lang w:eastAsia="zh-CN"/>
        </w:rPr>
        <w:br w:type="page"/>
      </w:r>
    </w:p>
    <w:p w14:paraId="4C8425FE">
      <w:pPr>
        <w:rPr>
          <w:rFonts w:ascii="Times New Roman" w:hAnsi="Times New Roman"/>
          <w:sz w:val="30"/>
          <w:lang w:eastAsia="zh-CN"/>
        </w:rPr>
      </w:pPr>
      <w:r>
        <w:rPr>
          <w:rFonts w:hint="eastAsia" w:ascii="Times New Roman" w:hAnsi="Times New Roman" w:eastAsia="微软雅黑" w:cs="Times New Roman"/>
          <w:sz w:val="24"/>
          <w:szCs w:val="24"/>
          <w:lang w:eastAsia="zh-CN"/>
        </w:rPr>
        <w:t>{% endif %}</w:t>
      </w:r>
    </w:p>
    <w:p w14:paraId="62A89C75">
      <w:pPr>
        <w:pStyle w:val="3"/>
        <w:numPr>
          <w:ilvl w:val="255"/>
          <w:numId w:val="0"/>
        </w:numPr>
        <w:jc w:val="left"/>
        <w:rPr>
          <w:color w:val="auto"/>
          <w:sz w:val="30"/>
          <w:lang w:eastAsia="zh-CN"/>
        </w:rPr>
      </w:pPr>
      <w:bookmarkStart w:id="131" w:name="_Toc19583"/>
      <w:bookmarkStart w:id="132" w:name="_Toc19434"/>
      <w:bookmarkStart w:id="133" w:name="_Toc11406"/>
      <w:r>
        <w:rPr>
          <w:rFonts w:hint="eastAsia"/>
          <w:color w:val="auto"/>
          <w:sz w:val="30"/>
          <w:lang w:eastAsia="zh-CN"/>
        </w:rPr>
        <w:t>常见靶向药物相关基因检测列表</w:t>
      </w:r>
      <w:bookmarkEnd w:id="122"/>
      <w:bookmarkEnd w:id="123"/>
      <w:bookmarkEnd w:id="124"/>
      <w:bookmarkEnd w:id="131"/>
      <w:bookmarkEnd w:id="132"/>
      <w:bookmarkEnd w:id="133"/>
    </w:p>
    <w:tbl>
      <w:tblPr>
        <w:tblStyle w:val="15"/>
        <w:tblpPr w:leftFromText="180" w:rightFromText="180" w:vertAnchor="text" w:horzAnchor="page" w:tblpXSpec="center" w:tblpY="224"/>
        <w:tblOverlap w:val="never"/>
        <w:tblW w:w="9815"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838"/>
        <w:gridCol w:w="611"/>
        <w:gridCol w:w="8366"/>
      </w:tblGrid>
      <w:tr w14:paraId="6571F5E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838" w:type="dxa"/>
            <w:tcBorders>
              <w:top w:val="nil"/>
              <w:bottom w:val="nil"/>
              <w:right w:val="single" w:color="FFFFFF" w:sz="18" w:space="0"/>
            </w:tcBorders>
            <w:shd w:val="clear" w:color="auto" w:fill="62BC41"/>
            <w:vAlign w:val="center"/>
          </w:tcPr>
          <w:p w14:paraId="3E07A427">
            <w:pPr>
              <w:spacing w:line="206" w:lineRule="exact"/>
              <w:ind w:leftChars="-4" w:hanging="9" w:hangingChars="5"/>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ascii="Times New Roman" w:hAnsi="Times New Roman" w:eastAsia="微软雅黑" w:cs="Times New Roman"/>
                <w:b/>
                <w:bCs/>
                <w:color w:val="FFFFFF" w:themeColor="background1"/>
                <w:sz w:val="18"/>
                <w:szCs w:val="18"/>
                <w14:textFill>
                  <w14:solidFill>
                    <w14:schemeClr w14:val="bg1"/>
                  </w14:solidFill>
                </w14:textFill>
              </w:rPr>
              <w:t>基因</w:t>
            </w:r>
          </w:p>
        </w:tc>
        <w:tc>
          <w:tcPr>
            <w:tcW w:w="611" w:type="dxa"/>
            <w:tcBorders>
              <w:top w:val="nil"/>
              <w:left w:val="single" w:color="FFFFFF" w:sz="18" w:space="0"/>
              <w:bottom w:val="nil"/>
              <w:right w:val="single" w:color="FFFFFF" w:sz="18" w:space="0"/>
            </w:tcBorders>
            <w:shd w:val="clear" w:color="auto" w:fill="62BC41"/>
            <w:vAlign w:val="center"/>
          </w:tcPr>
          <w:p w14:paraId="23F328DE">
            <w:pPr>
              <w:spacing w:line="206" w:lineRule="exact"/>
              <w:ind w:leftChars="-4" w:hanging="9" w:hangingChars="5"/>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ascii="Times New Roman" w:hAnsi="Times New Roman" w:eastAsia="微软雅黑" w:cs="Times New Roman"/>
                <w:b/>
                <w:bCs/>
                <w:color w:val="FFFFFF" w:themeColor="background1"/>
                <w:sz w:val="18"/>
                <w:szCs w:val="18"/>
                <w14:textFill>
                  <w14:solidFill>
                    <w14:schemeClr w14:val="bg1"/>
                  </w14:solidFill>
                </w14:textFill>
              </w:rPr>
              <w:t>检测内容</w:t>
            </w:r>
          </w:p>
        </w:tc>
        <w:tc>
          <w:tcPr>
            <w:tcW w:w="8366" w:type="dxa"/>
            <w:tcBorders>
              <w:top w:val="nil"/>
              <w:left w:val="single" w:color="FFFFFF" w:sz="18" w:space="0"/>
              <w:bottom w:val="nil"/>
            </w:tcBorders>
            <w:shd w:val="clear" w:color="auto" w:fill="62BC41"/>
            <w:vAlign w:val="center"/>
          </w:tcPr>
          <w:p w14:paraId="235684FC">
            <w:pPr>
              <w:spacing w:line="206" w:lineRule="exact"/>
              <w:ind w:leftChars="-4" w:hanging="9" w:hangingChars="5"/>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ascii="Times New Roman" w:hAnsi="Times New Roman" w:eastAsia="微软雅黑" w:cs="Times New Roman"/>
                <w:b/>
                <w:bCs/>
                <w:color w:val="FFFFFF" w:themeColor="background1"/>
                <w:sz w:val="18"/>
                <w:szCs w:val="18"/>
                <w14:textFill>
                  <w14:solidFill>
                    <w14:schemeClr w14:val="bg1"/>
                  </w14:solidFill>
                </w14:textFill>
              </w:rPr>
              <w:t>靶向药物</w:t>
            </w:r>
          </w:p>
        </w:tc>
      </w:tr>
      <w:tr w14:paraId="173FBE9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815" w:type="dxa"/>
            <w:gridSpan w:val="3"/>
            <w:tcBorders>
              <w:top w:val="nil"/>
              <w:tl2br w:val="nil"/>
              <w:tr2bl w:val="nil"/>
            </w:tcBorders>
            <w:vAlign w:val="center"/>
          </w:tcPr>
          <w:p w14:paraId="06D3810C">
            <w:pPr>
              <w:spacing w:before="19"/>
              <w:ind w:right="-6"/>
              <w:jc w:val="left"/>
              <w:rPr>
                <w:rFonts w:ascii="Times New Roman" w:hAnsi="Times New Roman" w:eastAsia="微软雅黑" w:cs="Times New Roman"/>
                <w:spacing w:val="-1"/>
                <w:sz w:val="18"/>
                <w:szCs w:val="18"/>
              </w:rPr>
            </w:pPr>
            <w:r>
              <w:rPr>
                <w:rFonts w:hint="eastAsia" w:ascii="Times New Roman" w:hAnsi="Times New Roman" w:eastAsia="微软雅黑" w:cs="Times New Roman"/>
                <w:sz w:val="18"/>
                <w:lang w:eastAsia="zh-CN"/>
              </w:rPr>
              <w:t>{%tr for ct in commonTargetedDrug %}</w:t>
            </w:r>
          </w:p>
        </w:tc>
      </w:tr>
      <w:tr w14:paraId="603AFEF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838" w:type="dxa"/>
            <w:vAlign w:val="center"/>
          </w:tcPr>
          <w:p w14:paraId="4D88253C">
            <w:pPr>
              <w:spacing w:line="206" w:lineRule="exact"/>
              <w:ind w:leftChars="-4" w:hanging="9" w:hangingChars="5"/>
              <w:jc w:val="center"/>
              <w:rPr>
                <w:rFonts w:ascii="Times New Roman" w:hAnsi="Times New Roman" w:eastAsia="微软雅黑" w:cs="Times New Roman"/>
                <w:b/>
                <w:bCs/>
                <w:sz w:val="18"/>
                <w:szCs w:val="18"/>
                <w:lang w:eastAsia="zh-CN"/>
              </w:rPr>
            </w:pPr>
            <w:r>
              <w:rPr>
                <w:rFonts w:hint="eastAsia" w:ascii="Times New Roman" w:hAnsi="Times New Roman" w:eastAsia="微软雅黑" w:cs="Times New Roman"/>
                <w:b/>
                <w:bCs/>
                <w:sz w:val="18"/>
                <w:szCs w:val="18"/>
                <w:lang w:eastAsia="zh-CN"/>
              </w:rPr>
              <w:t>{% for b in ct.gene | nl() %}{%if loop.last%}{{ b }}{%else%}{{ b }}</w:t>
            </w:r>
          </w:p>
          <w:p w14:paraId="00380AEE">
            <w:pPr>
              <w:spacing w:line="206" w:lineRule="exact"/>
              <w:ind w:leftChars="-4" w:hanging="9" w:hangingChars="5"/>
              <w:jc w:val="center"/>
              <w:rPr>
                <w:rFonts w:ascii="Times New Roman" w:hAnsi="Times New Roman" w:eastAsia="微软雅黑" w:cs="Times New Roman"/>
                <w:b/>
                <w:bCs/>
                <w:color w:val="416AAB"/>
                <w:sz w:val="18"/>
                <w:szCs w:val="18"/>
              </w:rPr>
            </w:pPr>
            <w:r>
              <w:rPr>
                <w:rFonts w:hint="eastAsia" w:ascii="Times New Roman" w:hAnsi="Times New Roman" w:eastAsia="微软雅黑" w:cs="Times New Roman"/>
                <w:b/>
                <w:bCs/>
                <w:sz w:val="18"/>
                <w:szCs w:val="18"/>
                <w:lang w:eastAsia="zh-CN"/>
              </w:rPr>
              <w:t>{%endif%}{% endfor%}</w:t>
            </w:r>
          </w:p>
        </w:tc>
        <w:tc>
          <w:tcPr>
            <w:tcW w:w="611" w:type="dxa"/>
            <w:vAlign w:val="center"/>
          </w:tcPr>
          <w:p w14:paraId="60751940">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b in ct.detection_content | nl() %}{%if loop.last%}{{ b }}{%else%}{{ b }}</w:t>
            </w:r>
          </w:p>
          <w:p w14:paraId="26AC1947">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lang w:eastAsia="zh-CN"/>
              </w:rPr>
              <w:t>{%endif%}{% endfor%}</w:t>
            </w:r>
          </w:p>
        </w:tc>
        <w:tc>
          <w:tcPr>
            <w:tcW w:w="8366" w:type="dxa"/>
            <w:vAlign w:val="center"/>
          </w:tcPr>
          <w:p w14:paraId="3AB72AE5">
            <w:pPr>
              <w:jc w:val="left"/>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b in ct.targeted_drug | nl() %}{%if loop.last%}{% for i in b | nb() %}{%if loop.index % 2 == 0%}</w:t>
            </w:r>
            <w:r>
              <w:rPr>
                <w:rFonts w:hint="eastAsia" w:ascii="Times New Roman" w:hAnsi="Times New Roman" w:eastAsia="微软雅黑" w:cs="Times New Roman"/>
                <w:b/>
                <w:bCs/>
                <w:sz w:val="18"/>
                <w:szCs w:val="18"/>
                <w:lang w:eastAsia="zh-CN"/>
              </w:rPr>
              <w:t>{{ i }}</w:t>
            </w:r>
            <w:r>
              <w:rPr>
                <w:rFonts w:hint="eastAsia" w:ascii="Times New Roman" w:hAnsi="Times New Roman" w:eastAsia="微软雅黑" w:cs="Times New Roman"/>
                <w:sz w:val="18"/>
                <w:szCs w:val="18"/>
                <w:lang w:eastAsia="zh-CN"/>
              </w:rPr>
              <w:t>{%else%}{{ i }}{%endif%}{% endfor%}{%else%}{% for i in b | nb() %}{%if loop.index % 2 == 0%}</w:t>
            </w:r>
            <w:r>
              <w:rPr>
                <w:rFonts w:hint="eastAsia" w:ascii="Times New Roman" w:hAnsi="Times New Roman" w:eastAsia="微软雅黑" w:cs="Times New Roman"/>
                <w:b/>
                <w:bCs/>
                <w:sz w:val="18"/>
                <w:szCs w:val="18"/>
                <w:lang w:eastAsia="zh-CN"/>
              </w:rPr>
              <w:t>{{ i }}</w:t>
            </w:r>
            <w:r>
              <w:rPr>
                <w:rFonts w:hint="eastAsia" w:ascii="Times New Roman" w:hAnsi="Times New Roman" w:eastAsia="微软雅黑" w:cs="Times New Roman"/>
                <w:sz w:val="18"/>
                <w:szCs w:val="18"/>
                <w:lang w:eastAsia="zh-CN"/>
              </w:rPr>
              <w:t>{%else%}{{ i }}{%endif%}{% endfor%}</w:t>
            </w:r>
          </w:p>
          <w:p w14:paraId="2DABF579">
            <w:pPr>
              <w:jc w:val="left"/>
              <w:rPr>
                <w:rFonts w:ascii="Times New Roman" w:hAnsi="Times New Roman" w:eastAsia="微软雅黑" w:cs="Times New Roman"/>
                <w:spacing w:val="-1"/>
                <w:sz w:val="18"/>
                <w:szCs w:val="18"/>
              </w:rPr>
            </w:pPr>
            <w:r>
              <w:rPr>
                <w:rFonts w:hint="eastAsia" w:ascii="Times New Roman" w:hAnsi="Times New Roman" w:eastAsia="微软雅黑" w:cs="Times New Roman"/>
                <w:sz w:val="18"/>
                <w:szCs w:val="18"/>
                <w:lang w:eastAsia="zh-CN"/>
              </w:rPr>
              <w:t>{%endif%}{% endfor%}</w:t>
            </w:r>
          </w:p>
        </w:tc>
      </w:tr>
      <w:tr w14:paraId="2534491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815" w:type="dxa"/>
            <w:gridSpan w:val="3"/>
            <w:vAlign w:val="center"/>
          </w:tcPr>
          <w:p w14:paraId="20ACEC77">
            <w:pPr>
              <w:spacing w:before="19"/>
              <w:ind w:right="-6"/>
              <w:jc w:val="left"/>
              <w:rPr>
                <w:rFonts w:ascii="Times New Roman" w:hAnsi="Times New Roman" w:eastAsia="微软雅黑" w:cs="Times New Roman"/>
                <w:spacing w:val="-1"/>
                <w:sz w:val="18"/>
                <w:szCs w:val="18"/>
              </w:rPr>
            </w:pPr>
            <w:r>
              <w:rPr>
                <w:rFonts w:hint="eastAsia" w:ascii="Times New Roman" w:hAnsi="Times New Roman" w:eastAsia="微软雅黑" w:cs="Times New Roman"/>
                <w:sz w:val="18"/>
                <w:lang w:eastAsia="zh-CN"/>
              </w:rPr>
              <w:t>{%tr endfor %}</w:t>
            </w:r>
          </w:p>
        </w:tc>
      </w:tr>
    </w:tbl>
    <w:p w14:paraId="334F17A0">
      <w:pPr>
        <w:rPr>
          <w:rFonts w:ascii="Times New Roman" w:hAnsi="Times New Roman" w:eastAsia="微软雅黑" w:cs="Times New Roman"/>
          <w:sz w:val="20"/>
          <w:szCs w:val="20"/>
          <w:lang w:eastAsia="zh-CN"/>
        </w:rPr>
      </w:pPr>
    </w:p>
    <w:p w14:paraId="6373B176">
      <w:pPr>
        <w:rPr>
          <w:rFonts w:ascii="Times New Roman" w:hAnsi="Times New Roman" w:eastAsia="微软雅黑" w:cs="Times New Roman"/>
          <w:sz w:val="24"/>
          <w:szCs w:val="24"/>
          <w:lang w:eastAsia="zh-CN"/>
        </w:rPr>
      </w:pPr>
      <w:r>
        <w:rPr>
          <w:rFonts w:ascii="Times New Roman" w:hAnsi="Times New Roman" w:eastAsia="微软雅黑" w:cs="Times New Roman"/>
          <w:sz w:val="24"/>
          <w:szCs w:val="24"/>
          <w:lang w:eastAsia="zh-CN"/>
        </w:rPr>
        <w:br w:type="page"/>
      </w:r>
    </w:p>
    <w:p w14:paraId="398D4F00">
      <w:pPr>
        <w:pStyle w:val="3"/>
        <w:numPr>
          <w:ilvl w:val="255"/>
          <w:numId w:val="0"/>
        </w:numPr>
        <w:jc w:val="left"/>
        <w:rPr>
          <w:color w:val="auto"/>
          <w:sz w:val="30"/>
          <w:lang w:eastAsia="zh-CN"/>
        </w:rPr>
      </w:pPr>
      <w:bookmarkStart w:id="134" w:name="_Toc21975"/>
      <w:bookmarkStart w:id="135" w:name="_Toc9564"/>
      <w:r>
        <w:rPr>
          <w:rFonts w:hint="eastAsia"/>
          <w:color w:val="auto"/>
          <w:sz w:val="30"/>
          <w:lang w:eastAsia="zh-CN"/>
        </w:rPr>
        <w:t>检测基因列表</w:t>
      </w:r>
      <w:bookmarkEnd w:id="125"/>
      <w:bookmarkEnd w:id="126"/>
      <w:bookmarkEnd w:id="127"/>
      <w:bookmarkEnd w:id="128"/>
      <w:bookmarkEnd w:id="129"/>
      <w:bookmarkEnd w:id="130"/>
      <w:bookmarkEnd w:id="134"/>
      <w:bookmarkEnd w:id="135"/>
    </w:p>
    <w:p w14:paraId="5465F076">
      <w:pPr>
        <w:spacing w:line="259" w:lineRule="exact"/>
        <w:ind w:left="3328" w:right="3328"/>
        <w:jc w:val="center"/>
        <w:rPr>
          <w:rFonts w:ascii="Times New Roman" w:hAnsi="Times New Roman" w:eastAsia="微软雅黑" w:cs="Times New Roman"/>
          <w:b/>
          <w:color w:val="62BC41"/>
          <w:sz w:val="24"/>
          <w:lang w:eastAsia="zh-CN"/>
        </w:rPr>
      </w:pPr>
      <w:bookmarkStart w:id="136" w:name="_Toc19280_WPSOffice_Level2"/>
      <w:bookmarkStart w:id="137" w:name="_Toc31515_WPSOffice_Level2"/>
      <w:bookmarkStart w:id="138" w:name="_Toc6304_WPSOffice_Level2"/>
      <w:bookmarkStart w:id="139" w:name="_Toc17111_WPSOffice_Level2"/>
      <w:bookmarkStart w:id="140" w:name="_Toc11193_WPSOffice_Level2"/>
      <w:bookmarkStart w:id="141" w:name="_Toc3488_WPSOffice_Level2"/>
      <w:bookmarkStart w:id="142" w:name="_Toc6931_WPSOffice_Level2"/>
      <w:bookmarkStart w:id="143" w:name="_Toc26985_WPSOffice_Level1"/>
      <w:bookmarkStart w:id="144" w:name="_Toc20170_WPSOffice_Level1"/>
      <w:bookmarkStart w:id="145" w:name="_Toc28454_WPSOffice_Level1"/>
      <w:bookmarkStart w:id="146" w:name="_Toc5476"/>
      <w:r>
        <w:rPr>
          <w:rFonts w:hint="eastAsia" w:ascii="Times New Roman" w:hAnsi="Times New Roman" w:eastAsia="微软雅黑" w:cs="Times New Roman"/>
          <w:sz w:val="18"/>
          <w:szCs w:val="18"/>
          <w:lang w:eastAsia="zh-CN"/>
        </w:rPr>
        <w:t xml:space="preserve">{%if gene.geneA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b/>
          <w:color w:val="62BC41"/>
          <w:sz w:val="24"/>
          <w:lang w:eastAsia="zh-CN"/>
        </w:rPr>
        <w:t>A</w:t>
      </w:r>
      <w:bookmarkEnd w:id="136"/>
      <w:bookmarkEnd w:id="137"/>
      <w:bookmarkEnd w:id="138"/>
      <w:bookmarkEnd w:id="139"/>
      <w:bookmarkEnd w:id="140"/>
      <w:bookmarkEnd w:id="141"/>
      <w:bookmarkEnd w:id="142"/>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6BB80240">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1F44FB9">
            <w:pPr>
              <w:widowControl/>
              <w:jc w:val="center"/>
              <w:textAlignment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gene.geneA</w:t>
            </w:r>
            <w:r>
              <w:rPr>
                <w:rFonts w:hint="eastAsia" w:ascii="Times New Roman" w:hAnsi="Times New Roman" w:eastAsia="微软雅黑" w:cs="Times New Roman"/>
                <w:sz w:val="18"/>
                <w:szCs w:val="18"/>
                <w:lang w:eastAsia="zh-CN"/>
              </w:rPr>
              <w:t xml:space="preserve"> | red(7,18,True) %}</w:t>
            </w:r>
          </w:p>
        </w:tc>
      </w:tr>
      <w:tr w14:paraId="4DDDF074">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008A4517">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59121E2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216B11A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040FF11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47C9C09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2F6B887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317A329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5BD44A84">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8447EC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4E280CDA">
      <w:pPr>
        <w:spacing w:line="259" w:lineRule="exact"/>
        <w:ind w:left="3328" w:right="3328"/>
        <w:jc w:val="center"/>
        <w:rPr>
          <w:rFonts w:ascii="Times New Roman" w:hAnsi="Times New Roman" w:eastAsia="微软雅黑" w:cs="Times New Roman"/>
          <w:color w:val="62BC41"/>
          <w:sz w:val="24"/>
          <w:szCs w:val="24"/>
        </w:rPr>
      </w:pPr>
      <w:bookmarkStart w:id="147" w:name="_Toc12087_WPSOffice_Level2"/>
      <w:bookmarkStart w:id="148" w:name="_Toc2822_WPSOffice_Level2"/>
      <w:bookmarkStart w:id="149" w:name="_Toc29205_WPSOffice_Level2"/>
      <w:bookmarkStart w:id="150" w:name="_Toc26578_WPSOffice_Level2"/>
      <w:bookmarkStart w:id="151" w:name="_Toc25864_WPSOffice_Level2"/>
      <w:bookmarkStart w:id="152" w:name="_Toc31138_WPSOffice_Level2"/>
      <w:bookmarkStart w:id="153" w:name="_Toc14645_WPSOffice_Level2"/>
      <w:r>
        <w:rPr>
          <w:rFonts w:hint="eastAsia" w:ascii="Times New Roman" w:hAnsi="Times New Roman" w:eastAsia="微软雅黑" w:cs="Times New Roman"/>
          <w:sz w:val="18"/>
          <w:szCs w:val="18"/>
          <w:lang w:eastAsia="zh-CN"/>
        </w:rPr>
        <w:t xml:space="preserve">{% endif %}{%if gene.geneB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B</w:t>
      </w:r>
      <w:bookmarkEnd w:id="147"/>
      <w:bookmarkEnd w:id="148"/>
      <w:bookmarkEnd w:id="149"/>
      <w:bookmarkEnd w:id="150"/>
      <w:bookmarkEnd w:id="151"/>
      <w:bookmarkEnd w:id="152"/>
      <w:bookmarkEnd w:id="153"/>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78E8DBB0">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73C230E">
            <w:pPr>
              <w:widowControl/>
              <w:jc w:val="center"/>
              <w:textAlignment w:val="center"/>
              <w:rPr>
                <w:rFonts w:ascii="Times New Roman" w:hAnsi="Times New Roman" w:eastAsia="微软雅黑" w:cs="Times New Roman"/>
                <w:i/>
                <w:iCs/>
                <w:sz w:val="18"/>
                <w:szCs w:val="18"/>
              </w:rPr>
            </w:pPr>
            <w:bookmarkStart w:id="154" w:name="_Toc3819_WPSOffice_Level2"/>
            <w:bookmarkStart w:id="155" w:name="_Toc5261_WPSOffice_Level2"/>
            <w:bookmarkStart w:id="156" w:name="_Toc23221_WPSOffice_Level2"/>
            <w:bookmarkStart w:id="157" w:name="_Toc5660_WPSOffice_Level2"/>
            <w:bookmarkStart w:id="158" w:name="_Toc17905_WPSOffice_Level2"/>
            <w:bookmarkStart w:id="159" w:name="_Toc31020_WPSOffice_Level2"/>
            <w:bookmarkStart w:id="160" w:name="_Toc18696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B | red(7,18,True) %}</w:t>
            </w:r>
          </w:p>
        </w:tc>
      </w:tr>
      <w:tr w14:paraId="69439B6B">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5C98826">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5EAC47C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463AEB4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59790DF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50669A3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39C1704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62A4979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35D69E07">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A01612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575A8CBC">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gene.geneC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C</w:t>
      </w:r>
      <w:bookmarkEnd w:id="154"/>
      <w:bookmarkEnd w:id="155"/>
      <w:bookmarkEnd w:id="156"/>
      <w:bookmarkEnd w:id="157"/>
      <w:bookmarkEnd w:id="158"/>
      <w:bookmarkEnd w:id="159"/>
      <w:bookmarkEnd w:id="160"/>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548D57CA">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DC0C054">
            <w:pPr>
              <w:widowControl/>
              <w:jc w:val="center"/>
              <w:textAlignment w:val="center"/>
              <w:rPr>
                <w:rFonts w:ascii="Times New Roman" w:hAnsi="Times New Roman" w:eastAsia="微软雅黑" w:cs="Times New Roman"/>
                <w:i/>
                <w:iCs/>
                <w:sz w:val="18"/>
                <w:szCs w:val="18"/>
              </w:rPr>
            </w:pPr>
            <w:bookmarkStart w:id="161" w:name="_Toc2588_WPSOffice_Level2"/>
            <w:bookmarkStart w:id="162" w:name="_Toc23388_WPSOffice_Level2"/>
            <w:bookmarkStart w:id="163" w:name="_Toc11554_WPSOffice_Level2"/>
            <w:bookmarkStart w:id="164" w:name="_Toc24626_WPSOffice_Level2"/>
            <w:bookmarkStart w:id="165" w:name="_Toc15300_WPSOffice_Level2"/>
            <w:bookmarkStart w:id="166" w:name="_Toc20683_WPSOffice_Level2"/>
            <w:bookmarkStart w:id="167" w:name="_Toc28235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C | red(7,18,True) %}</w:t>
            </w:r>
          </w:p>
        </w:tc>
      </w:tr>
      <w:tr w14:paraId="460BF4B9">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B9C2C2D">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679B4C2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17B4373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75ADDC0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097E4B8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30DB674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16C7747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6D0EB7FE">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AC9342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1FD9FA2C">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gene.geneD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D</w:t>
      </w:r>
      <w:bookmarkEnd w:id="161"/>
      <w:bookmarkEnd w:id="162"/>
      <w:bookmarkEnd w:id="163"/>
      <w:bookmarkEnd w:id="164"/>
      <w:bookmarkEnd w:id="165"/>
      <w:bookmarkEnd w:id="166"/>
      <w:bookmarkEnd w:id="167"/>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6F01AA2A">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56A933E">
            <w:pPr>
              <w:widowControl/>
              <w:jc w:val="center"/>
              <w:textAlignment w:val="center"/>
              <w:rPr>
                <w:rFonts w:ascii="Times New Roman" w:hAnsi="Times New Roman" w:eastAsia="微软雅黑" w:cs="Times New Roman"/>
                <w:i/>
                <w:iCs/>
                <w:sz w:val="18"/>
                <w:szCs w:val="18"/>
              </w:rPr>
            </w:pPr>
            <w:bookmarkStart w:id="168" w:name="_Toc31650_WPSOffice_Level2"/>
            <w:bookmarkStart w:id="169" w:name="_Toc30071_WPSOffice_Level2"/>
            <w:bookmarkStart w:id="170" w:name="_Toc18182_WPSOffice_Level2"/>
            <w:bookmarkStart w:id="171" w:name="_Toc16027_WPSOffice_Level2"/>
            <w:bookmarkStart w:id="172" w:name="_Toc22590_WPSOffice_Level2"/>
            <w:bookmarkStart w:id="173" w:name="_Toc12493_WPSOffice_Level2"/>
            <w:bookmarkStart w:id="174" w:name="_Toc19892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D | red(7,18,True) %}</w:t>
            </w:r>
          </w:p>
        </w:tc>
      </w:tr>
      <w:tr w14:paraId="6F6B336D">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23842F18">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318EB1A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7CE07D9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5F79386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1746983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1F6429D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4523A95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6F835F6B">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95F226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02137252">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E</w:t>
      </w:r>
      <w:bookmarkEnd w:id="168"/>
      <w:bookmarkEnd w:id="169"/>
      <w:bookmarkEnd w:id="170"/>
      <w:bookmarkEnd w:id="171"/>
      <w:bookmarkEnd w:id="172"/>
      <w:bookmarkEnd w:id="173"/>
      <w:bookmarkEnd w:id="174"/>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66416596">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84CCDC9">
            <w:pPr>
              <w:widowControl/>
              <w:jc w:val="center"/>
              <w:textAlignment w:val="center"/>
              <w:rPr>
                <w:rFonts w:ascii="Times New Roman" w:hAnsi="Times New Roman" w:eastAsia="微软雅黑" w:cs="Times New Roman"/>
                <w:i/>
                <w:iCs/>
                <w:sz w:val="18"/>
                <w:szCs w:val="18"/>
              </w:rPr>
            </w:pPr>
            <w:bookmarkStart w:id="175" w:name="_Toc20571_WPSOffice_Level2"/>
            <w:bookmarkStart w:id="176" w:name="_Toc28312_WPSOffice_Level2"/>
            <w:bookmarkStart w:id="177" w:name="_Toc28534_WPSOffice_Level2"/>
            <w:bookmarkStart w:id="178" w:name="_Toc8398_WPSOffice_Level2"/>
            <w:bookmarkStart w:id="179" w:name="_Toc19289_WPSOffice_Level2"/>
            <w:bookmarkStart w:id="180" w:name="_Toc31447_WPSOffice_Level2"/>
            <w:bookmarkStart w:id="181" w:name="_Toc11689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E | red(7,18,True) %}</w:t>
            </w:r>
          </w:p>
        </w:tc>
      </w:tr>
      <w:tr w14:paraId="282CC423">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27330FD4">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0DDDC94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6978693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4055BD5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482F7DD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1AB737C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26FCB8C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683E3C73">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A6F2AA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7A895B1F">
      <w:pPr>
        <w:spacing w:line="259" w:lineRule="exact"/>
        <w:ind w:left="3328" w:right="3328"/>
        <w:jc w:val="center"/>
        <w:rPr>
          <w:rFonts w:ascii="Times New Roman" w:hAnsi="Times New Roman" w:eastAsia="微软雅黑" w:cs="Times New Roman"/>
          <w:b/>
          <w:color w:val="62BC41"/>
          <w:sz w:val="24"/>
        </w:rPr>
      </w:pPr>
      <w:r>
        <w:rPr>
          <w:rFonts w:hint="eastAsia" w:ascii="Times New Roman" w:hAnsi="Times New Roman" w:eastAsia="微软雅黑" w:cs="Times New Roman"/>
          <w:sz w:val="18"/>
          <w:szCs w:val="18"/>
          <w:lang w:eastAsia="zh-CN"/>
        </w:rPr>
        <w:t xml:space="preserve">{% endif %}{%if gene.geneF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lang w:eastAsia="zh-CN"/>
        </w:rPr>
        <w:t>F</w:t>
      </w:r>
      <w:bookmarkEnd w:id="175"/>
      <w:bookmarkEnd w:id="176"/>
      <w:bookmarkEnd w:id="177"/>
      <w:bookmarkEnd w:id="178"/>
      <w:bookmarkEnd w:id="179"/>
      <w:bookmarkEnd w:id="180"/>
      <w:bookmarkEnd w:id="181"/>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540E2B35">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56E6C5C">
            <w:pPr>
              <w:widowControl/>
              <w:jc w:val="center"/>
              <w:textAlignment w:val="center"/>
              <w:rPr>
                <w:rFonts w:ascii="Times New Roman" w:hAnsi="Times New Roman" w:eastAsia="微软雅黑" w:cs="Times New Roman"/>
                <w:i/>
                <w:iCs/>
                <w:sz w:val="18"/>
                <w:szCs w:val="18"/>
              </w:rPr>
            </w:pPr>
            <w:bookmarkStart w:id="182" w:name="_Toc6863_WPSOffice_Level2"/>
            <w:bookmarkStart w:id="183" w:name="_Toc6170_WPSOffice_Level2"/>
            <w:bookmarkStart w:id="184" w:name="_Toc5423_WPSOffice_Level2"/>
            <w:bookmarkStart w:id="185" w:name="_Toc6645_WPSOffice_Level2"/>
            <w:bookmarkStart w:id="186" w:name="_Toc13225_WPSOffice_Level2"/>
            <w:bookmarkStart w:id="187" w:name="_Toc5164_WPSOffice_Level2"/>
            <w:bookmarkStart w:id="188" w:name="_Toc2683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F | red(7,18,True) %}</w:t>
            </w:r>
          </w:p>
        </w:tc>
      </w:tr>
      <w:tr w14:paraId="0119CD96">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1D5D364A">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73A7299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6A416DA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6E4FDAE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59C34BC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12AD9AB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25485A3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46A96176">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2B2A01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1C580647">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gene.geneG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G</w:t>
      </w:r>
      <w:bookmarkEnd w:id="182"/>
      <w:bookmarkEnd w:id="183"/>
      <w:bookmarkEnd w:id="184"/>
      <w:bookmarkEnd w:id="185"/>
      <w:bookmarkEnd w:id="186"/>
      <w:bookmarkEnd w:id="187"/>
      <w:bookmarkEnd w:id="188"/>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42D19DBE">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F190A8A">
            <w:pPr>
              <w:widowControl/>
              <w:jc w:val="center"/>
              <w:textAlignment w:val="center"/>
              <w:rPr>
                <w:rFonts w:ascii="Times New Roman" w:hAnsi="Times New Roman" w:eastAsia="微软雅黑" w:cs="Times New Roman"/>
                <w:i/>
                <w:iCs/>
                <w:sz w:val="18"/>
                <w:szCs w:val="18"/>
              </w:rPr>
            </w:pPr>
            <w:bookmarkStart w:id="189" w:name="_Toc6323_WPSOffice_Level2"/>
            <w:bookmarkStart w:id="190" w:name="_Toc13817_WPSOffice_Level2"/>
            <w:bookmarkStart w:id="191" w:name="_Toc29762_WPSOffice_Level2"/>
            <w:bookmarkStart w:id="192" w:name="_Toc5860_WPSOffice_Level2"/>
            <w:bookmarkStart w:id="193" w:name="_Toc24628_WPSOffice_Level2"/>
            <w:bookmarkStart w:id="194" w:name="_Toc12046_WPSOffice_Level2"/>
            <w:bookmarkStart w:id="195" w:name="_Toc3387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G | red(7,18,True) %}</w:t>
            </w:r>
          </w:p>
        </w:tc>
      </w:tr>
      <w:tr w14:paraId="5D254011">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600E9287">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41FAA26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5E2984C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6BD5F91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3EFFE77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14C745F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09B0FBF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0CE9AC92">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0A6F7F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3BC96E3A">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gene.geneH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H</w:t>
      </w:r>
      <w:bookmarkEnd w:id="189"/>
      <w:bookmarkEnd w:id="190"/>
      <w:bookmarkEnd w:id="191"/>
      <w:bookmarkEnd w:id="192"/>
      <w:bookmarkEnd w:id="193"/>
      <w:bookmarkEnd w:id="194"/>
      <w:bookmarkEnd w:id="195"/>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41E3E599">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9A76A8C">
            <w:pPr>
              <w:widowControl/>
              <w:jc w:val="center"/>
              <w:textAlignment w:val="center"/>
              <w:rPr>
                <w:rFonts w:ascii="Times New Roman" w:hAnsi="Times New Roman" w:eastAsia="微软雅黑" w:cs="Times New Roman"/>
                <w:i/>
                <w:iCs/>
                <w:sz w:val="18"/>
                <w:szCs w:val="18"/>
              </w:rPr>
            </w:pPr>
            <w:bookmarkStart w:id="196" w:name="_Toc708_WPSOffice_Level2"/>
            <w:bookmarkStart w:id="197" w:name="_Toc11082_WPSOffice_Level2"/>
            <w:bookmarkStart w:id="198" w:name="_Toc6004_WPSOffice_Level2"/>
            <w:bookmarkStart w:id="199" w:name="_Toc13244_WPSOffice_Level2"/>
            <w:bookmarkStart w:id="200" w:name="_Toc22500_WPSOffice_Level2"/>
            <w:bookmarkStart w:id="201" w:name="_Toc15619_WPSOffice_Level2"/>
            <w:bookmarkStart w:id="202" w:name="_Toc31905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H | red(7,18,True) %}</w:t>
            </w:r>
          </w:p>
        </w:tc>
      </w:tr>
      <w:tr w14:paraId="4E7A7BE7">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2451EA2B">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7163E8A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5AFB129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3CA80E4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3DBCC2E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1E1B718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2EC950B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131C49B6">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261CA0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61E16C37">
      <w:pPr>
        <w:spacing w:line="245"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gene.geneI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I</w:t>
      </w:r>
      <w:bookmarkEnd w:id="196"/>
      <w:bookmarkEnd w:id="197"/>
      <w:bookmarkEnd w:id="198"/>
      <w:bookmarkEnd w:id="199"/>
      <w:bookmarkEnd w:id="200"/>
      <w:bookmarkEnd w:id="201"/>
      <w:bookmarkEnd w:id="202"/>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34889D16">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DCDC3D5">
            <w:pPr>
              <w:widowControl/>
              <w:jc w:val="center"/>
              <w:textAlignment w:val="center"/>
              <w:rPr>
                <w:rFonts w:ascii="Times New Roman" w:hAnsi="Times New Roman" w:eastAsia="微软雅黑" w:cs="Times New Roman"/>
                <w:i/>
                <w:iCs/>
                <w:sz w:val="18"/>
                <w:szCs w:val="18"/>
              </w:rPr>
            </w:pPr>
            <w:bookmarkStart w:id="203" w:name="_Toc13664_WPSOffice_Level2"/>
            <w:bookmarkStart w:id="204" w:name="_Toc23443_WPSOffice_Level2"/>
            <w:bookmarkStart w:id="205" w:name="_Toc4042_WPSOffice_Level2"/>
            <w:bookmarkStart w:id="206" w:name="_Toc21560_WPSOffice_Level2"/>
            <w:bookmarkStart w:id="207" w:name="_Toc7586_WPSOffice_Level2"/>
            <w:bookmarkStart w:id="208" w:name="_Toc15479_WPSOffice_Level2"/>
            <w:bookmarkStart w:id="209" w:name="_Toc23537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I | red(7,18,True) %}</w:t>
            </w:r>
          </w:p>
        </w:tc>
      </w:tr>
      <w:tr w14:paraId="69E4867E">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5961E5DF">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5993324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44F173E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5E3192F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427D0E3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47FABE0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137F0CC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24F0E514">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1AC2D3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5931460D">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gene.geneJ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J</w:t>
      </w:r>
      <w:bookmarkEnd w:id="203"/>
      <w:bookmarkEnd w:id="204"/>
      <w:bookmarkEnd w:id="205"/>
      <w:bookmarkEnd w:id="206"/>
      <w:bookmarkEnd w:id="207"/>
      <w:bookmarkEnd w:id="208"/>
      <w:bookmarkEnd w:id="209"/>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0C8DB67A">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131D574">
            <w:pPr>
              <w:widowControl/>
              <w:jc w:val="center"/>
              <w:textAlignment w:val="center"/>
              <w:rPr>
                <w:rFonts w:ascii="Times New Roman" w:hAnsi="Times New Roman" w:eastAsia="微软雅黑" w:cs="Times New Roman"/>
                <w:i/>
                <w:iCs/>
                <w:sz w:val="18"/>
                <w:szCs w:val="18"/>
              </w:rPr>
            </w:pPr>
            <w:bookmarkStart w:id="210" w:name="_Toc22039_WPSOffice_Level2"/>
            <w:bookmarkStart w:id="211" w:name="_Toc11254_WPSOffice_Level2"/>
            <w:bookmarkStart w:id="212" w:name="_Toc29193_WPSOffice_Level2"/>
            <w:bookmarkStart w:id="213" w:name="_Toc5629_WPSOffice_Level2"/>
            <w:bookmarkStart w:id="214" w:name="_Toc2337_WPSOffice_Level2"/>
            <w:bookmarkStart w:id="215" w:name="_Toc10575_WPSOffice_Level2"/>
            <w:bookmarkStart w:id="216" w:name="_Toc28498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J | red(7,18,True) %}</w:t>
            </w:r>
          </w:p>
        </w:tc>
      </w:tr>
      <w:tr w14:paraId="3E548391">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5C298871">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1E396B9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19533D6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584A587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4E5490E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37943DF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0FBD5CC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0BE8AFE9">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20D789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315003E0">
      <w:pPr>
        <w:spacing w:line="259" w:lineRule="exact"/>
        <w:ind w:right="2"/>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gene.geneK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K</w:t>
      </w:r>
      <w:bookmarkEnd w:id="210"/>
      <w:bookmarkEnd w:id="211"/>
      <w:bookmarkEnd w:id="212"/>
      <w:bookmarkEnd w:id="213"/>
      <w:bookmarkEnd w:id="214"/>
      <w:bookmarkEnd w:id="215"/>
      <w:bookmarkEnd w:id="216"/>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627B3328">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1F3CFA4">
            <w:pPr>
              <w:widowControl/>
              <w:jc w:val="center"/>
              <w:textAlignment w:val="center"/>
              <w:rPr>
                <w:rFonts w:ascii="Times New Roman" w:hAnsi="Times New Roman" w:eastAsia="微软雅黑" w:cs="Times New Roman"/>
                <w:i/>
                <w:iCs/>
                <w:sz w:val="18"/>
                <w:szCs w:val="18"/>
              </w:rPr>
            </w:pPr>
            <w:bookmarkStart w:id="217" w:name="_Toc17621_WPSOffice_Level2"/>
            <w:bookmarkStart w:id="218" w:name="_Toc8985_WPSOffice_Level2"/>
            <w:bookmarkStart w:id="219" w:name="_Toc8519_WPSOffice_Level2"/>
            <w:bookmarkStart w:id="220" w:name="_Toc13246_WPSOffice_Level2"/>
            <w:bookmarkStart w:id="221" w:name="_Toc17668_WPSOffice_Level2"/>
            <w:bookmarkStart w:id="222" w:name="_Toc18866_WPSOffice_Level2"/>
            <w:bookmarkStart w:id="223" w:name="_Toc2613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K | red(7,18,True) %}</w:t>
            </w:r>
          </w:p>
        </w:tc>
      </w:tr>
      <w:tr w14:paraId="2BD5ADF7">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668D50BB">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349B703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2B7C36D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157C025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619142E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189B85C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3B0B597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26713B91">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E6FAB9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048677C6">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gene.geneL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L</w:t>
      </w:r>
      <w:bookmarkEnd w:id="217"/>
      <w:bookmarkEnd w:id="218"/>
      <w:bookmarkEnd w:id="219"/>
      <w:bookmarkEnd w:id="220"/>
      <w:bookmarkEnd w:id="221"/>
      <w:bookmarkEnd w:id="222"/>
      <w:bookmarkEnd w:id="223"/>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75BB06A1">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2F79C90">
            <w:pPr>
              <w:widowControl/>
              <w:jc w:val="center"/>
              <w:textAlignment w:val="center"/>
              <w:rPr>
                <w:rFonts w:ascii="Times New Roman" w:hAnsi="Times New Roman" w:eastAsia="微软雅黑" w:cs="Times New Roman"/>
                <w:i/>
                <w:iCs/>
                <w:sz w:val="18"/>
                <w:szCs w:val="18"/>
              </w:rPr>
            </w:pPr>
            <w:bookmarkStart w:id="224" w:name="_Toc12118_WPSOffice_Level2"/>
            <w:bookmarkStart w:id="225" w:name="_Toc2334_WPSOffice_Level2"/>
            <w:bookmarkStart w:id="226" w:name="_Toc6654_WPSOffice_Level2"/>
            <w:bookmarkStart w:id="227" w:name="_Toc23413_WPSOffice_Level2"/>
            <w:bookmarkStart w:id="228" w:name="_Toc12027_WPSOffice_Level2"/>
            <w:bookmarkStart w:id="229" w:name="_Toc24337_WPSOffice_Level2"/>
            <w:bookmarkStart w:id="230" w:name="_Toc25338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L | red(7,18,True) %}</w:t>
            </w:r>
          </w:p>
        </w:tc>
      </w:tr>
      <w:tr w14:paraId="35218352">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06FE3C9B">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5A931BA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69687A6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2452BAE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7653F60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2554B5F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39CF8AE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25682691">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11B941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5E24697D">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gene.geneM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M</w:t>
      </w:r>
      <w:bookmarkEnd w:id="224"/>
      <w:bookmarkEnd w:id="225"/>
      <w:bookmarkEnd w:id="226"/>
      <w:bookmarkEnd w:id="227"/>
      <w:bookmarkEnd w:id="228"/>
      <w:bookmarkEnd w:id="229"/>
      <w:bookmarkEnd w:id="230"/>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3E6CA231">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39092DD">
            <w:pPr>
              <w:widowControl/>
              <w:jc w:val="center"/>
              <w:textAlignment w:val="center"/>
              <w:rPr>
                <w:rFonts w:ascii="Times New Roman" w:hAnsi="Times New Roman" w:eastAsia="微软雅黑" w:cs="Times New Roman"/>
                <w:i/>
                <w:iCs/>
                <w:sz w:val="18"/>
                <w:szCs w:val="18"/>
              </w:rPr>
            </w:pPr>
            <w:bookmarkStart w:id="231" w:name="_Toc17254_WPSOffice_Level2"/>
            <w:bookmarkStart w:id="232" w:name="_Toc17711_WPSOffice_Level2"/>
            <w:bookmarkStart w:id="233" w:name="_Toc20736_WPSOffice_Level2"/>
            <w:bookmarkStart w:id="234" w:name="_Toc28807_WPSOffice_Level2"/>
            <w:bookmarkStart w:id="235" w:name="_Toc20271_WPSOffice_Level2"/>
            <w:bookmarkStart w:id="236" w:name="_Toc5840_WPSOffice_Level2"/>
            <w:bookmarkStart w:id="237" w:name="_Toc6074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M | red(7,18,True) %}</w:t>
            </w:r>
          </w:p>
        </w:tc>
      </w:tr>
      <w:tr w14:paraId="1867D5CE">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E3BD502">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7E25EE6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1AD5B4D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6B5AF47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196B656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081962C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5FD48D1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5B46C05A">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12513C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018978E3">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gene.geneN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N</w:t>
      </w:r>
      <w:bookmarkEnd w:id="231"/>
      <w:bookmarkEnd w:id="232"/>
      <w:bookmarkEnd w:id="233"/>
      <w:bookmarkEnd w:id="234"/>
      <w:bookmarkEnd w:id="235"/>
      <w:bookmarkEnd w:id="236"/>
      <w:bookmarkEnd w:id="237"/>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123A26BD">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0E68C24">
            <w:pPr>
              <w:widowControl/>
              <w:jc w:val="center"/>
              <w:textAlignment w:val="center"/>
              <w:rPr>
                <w:rFonts w:ascii="Times New Roman" w:hAnsi="Times New Roman" w:eastAsia="微软雅黑" w:cs="Times New Roman"/>
                <w:i/>
                <w:iCs/>
                <w:sz w:val="18"/>
                <w:szCs w:val="18"/>
              </w:rPr>
            </w:pPr>
            <w:bookmarkStart w:id="238" w:name="_Toc24586_WPSOffice_Level2"/>
            <w:bookmarkStart w:id="239" w:name="_Toc18295_WPSOffice_Level2"/>
            <w:bookmarkStart w:id="240" w:name="_Toc22623_WPSOffice_Level2"/>
            <w:bookmarkStart w:id="241" w:name="_Toc31683_WPSOffice_Level2"/>
            <w:bookmarkStart w:id="242" w:name="_Toc26031_WPSOffice_Level2"/>
            <w:bookmarkStart w:id="243" w:name="_Toc18784_WPSOffice_Level2"/>
            <w:bookmarkStart w:id="244" w:name="_Toc18813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N | red(7,18,True) %}</w:t>
            </w:r>
          </w:p>
        </w:tc>
      </w:tr>
      <w:tr w14:paraId="3A0D7AF7">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26941453">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3C74B85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503F204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0EBA99D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592EE94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1678945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6658119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16A98582">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25BF16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09E6FEE6">
      <w:pPr>
        <w:spacing w:line="259" w:lineRule="exact"/>
        <w:ind w:left="3328" w:right="3328"/>
        <w:jc w:val="center"/>
        <w:rPr>
          <w:rFonts w:ascii="Times New Roman" w:hAnsi="Times New Roman" w:eastAsia="微软雅黑" w:cs="Times New Roman"/>
          <w:b/>
          <w:color w:val="62BC41"/>
          <w:sz w:val="24"/>
        </w:rPr>
      </w:pPr>
      <w:r>
        <w:rPr>
          <w:rFonts w:hint="eastAsia" w:ascii="Times New Roman" w:hAnsi="Times New Roman" w:eastAsia="微软雅黑" w:cs="Times New Roman"/>
          <w:sz w:val="18"/>
          <w:szCs w:val="18"/>
          <w:lang w:eastAsia="zh-CN"/>
        </w:rPr>
        <w:t xml:space="preserve">{% endif %}{%if gene.geneO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b/>
          <w:color w:val="62BC41"/>
          <w:sz w:val="24"/>
          <w:lang w:eastAsia="zh-CN"/>
        </w:rPr>
        <w:t>O</w:t>
      </w:r>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720C27BA">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CD2910B">
            <w:pPr>
              <w:widowControl/>
              <w:jc w:val="center"/>
              <w:textAlignment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O | red(7,18,True) %}</w:t>
            </w:r>
          </w:p>
        </w:tc>
      </w:tr>
      <w:tr w14:paraId="11B73745">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3EEB87C">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7D78BB0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09F9C10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5D8444C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5B56011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7BF6D24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5D270DD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599C95AA">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E7C5BE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64090B20">
      <w:pPr>
        <w:spacing w:line="259" w:lineRule="exact"/>
        <w:ind w:left="3328" w:right="3328"/>
        <w:jc w:val="center"/>
        <w:rPr>
          <w:rFonts w:ascii="Times New Roman" w:hAnsi="Times New Roman" w:eastAsia="微软雅黑" w:cs="Times New Roman"/>
          <w:b/>
          <w:color w:val="62BC41"/>
          <w:sz w:val="24"/>
        </w:rPr>
      </w:pPr>
      <w:r>
        <w:rPr>
          <w:rFonts w:hint="eastAsia" w:ascii="Times New Roman" w:hAnsi="Times New Roman" w:eastAsia="微软雅黑" w:cs="Times New Roman"/>
          <w:sz w:val="18"/>
          <w:szCs w:val="18"/>
          <w:lang w:eastAsia="zh-CN"/>
        </w:rPr>
        <w:t xml:space="preserve">{% endif %}{%if gene.geneP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P</w:t>
      </w:r>
      <w:bookmarkEnd w:id="238"/>
      <w:bookmarkEnd w:id="239"/>
      <w:bookmarkEnd w:id="240"/>
      <w:bookmarkEnd w:id="241"/>
      <w:bookmarkEnd w:id="242"/>
      <w:bookmarkEnd w:id="243"/>
      <w:bookmarkEnd w:id="244"/>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12A90480">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98F3A63">
            <w:pPr>
              <w:widowControl/>
              <w:jc w:val="center"/>
              <w:textAlignment w:val="center"/>
              <w:rPr>
                <w:rFonts w:ascii="Times New Roman" w:hAnsi="Times New Roman" w:eastAsia="微软雅黑" w:cs="Times New Roman"/>
                <w:i/>
                <w:iCs/>
                <w:sz w:val="18"/>
                <w:szCs w:val="18"/>
              </w:rPr>
            </w:pPr>
            <w:bookmarkStart w:id="245" w:name="_Toc30144_WPSOffice_Level2"/>
            <w:bookmarkStart w:id="246" w:name="_Toc2455_WPSOffice_Level2"/>
            <w:bookmarkStart w:id="247" w:name="_Toc15930_WPSOffice_Level2"/>
            <w:bookmarkStart w:id="248" w:name="_Toc11576_WPSOffice_Level2"/>
            <w:bookmarkStart w:id="249" w:name="_Toc25837_WPSOffice_Level2"/>
            <w:bookmarkStart w:id="250" w:name="_Toc31152_WPSOffice_Level2"/>
            <w:bookmarkStart w:id="251" w:name="_Toc22167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P | red(7,18,True) %}</w:t>
            </w:r>
          </w:p>
        </w:tc>
      </w:tr>
      <w:tr w14:paraId="79710307">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74E7DB87">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185A6A9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5EBC751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73857DB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26799C4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0A8C7C0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4D483BA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444504E1">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E1A877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5153A167">
      <w:pPr>
        <w:spacing w:line="259" w:lineRule="exact"/>
        <w:ind w:left="3328" w:right="3328"/>
        <w:jc w:val="center"/>
        <w:rPr>
          <w:rFonts w:ascii="Times New Roman" w:hAnsi="Times New Roman" w:eastAsia="微软雅黑" w:cs="Times New Roman"/>
          <w:b/>
          <w:color w:val="62BC41"/>
          <w:sz w:val="24"/>
        </w:rPr>
      </w:pPr>
      <w:r>
        <w:rPr>
          <w:rFonts w:hint="eastAsia" w:ascii="Times New Roman" w:hAnsi="Times New Roman" w:eastAsia="微软雅黑" w:cs="Times New Roman"/>
          <w:sz w:val="18"/>
          <w:szCs w:val="18"/>
          <w:lang w:eastAsia="zh-CN"/>
        </w:rPr>
        <w:t xml:space="preserve">{% endif %}{%if gene.geneQ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lang w:eastAsia="zh-CN"/>
        </w:rPr>
        <w:t>Q</w:t>
      </w:r>
      <w:bookmarkEnd w:id="245"/>
      <w:bookmarkEnd w:id="246"/>
      <w:bookmarkEnd w:id="247"/>
      <w:bookmarkEnd w:id="248"/>
      <w:bookmarkEnd w:id="249"/>
      <w:bookmarkEnd w:id="250"/>
      <w:bookmarkEnd w:id="251"/>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5A8FBCC3">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44017DB">
            <w:pPr>
              <w:widowControl/>
              <w:jc w:val="center"/>
              <w:textAlignment w:val="center"/>
              <w:rPr>
                <w:rFonts w:ascii="Times New Roman" w:hAnsi="Times New Roman" w:eastAsia="微软雅黑" w:cs="Times New Roman"/>
                <w:i/>
                <w:iCs/>
                <w:sz w:val="18"/>
                <w:szCs w:val="18"/>
              </w:rPr>
            </w:pPr>
            <w:bookmarkStart w:id="252" w:name="_Toc21844_WPSOffice_Level2"/>
            <w:bookmarkStart w:id="253" w:name="_Toc18298_WPSOffice_Level2"/>
            <w:bookmarkStart w:id="254" w:name="_Toc17817_WPSOffice_Level2"/>
            <w:bookmarkStart w:id="255" w:name="_Toc21218_WPSOffice_Level2"/>
            <w:bookmarkStart w:id="256" w:name="_Toc24581_WPSOffice_Level2"/>
            <w:bookmarkStart w:id="257" w:name="_Toc10927_WPSOffice_Level2"/>
            <w:bookmarkStart w:id="258" w:name="_Toc6105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Q | red(7,18,True) %}</w:t>
            </w:r>
          </w:p>
        </w:tc>
      </w:tr>
      <w:tr w14:paraId="4E800567">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4EFB31EA">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386E3A9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2181A82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65DB2F3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4908F51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0A2B03D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44E57E0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7A5C767B">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BE596D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5F25FB61">
      <w:pPr>
        <w:spacing w:line="259" w:lineRule="exact"/>
        <w:ind w:left="3326"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gene.geneR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R</w:t>
      </w:r>
      <w:bookmarkEnd w:id="252"/>
      <w:bookmarkEnd w:id="253"/>
      <w:bookmarkEnd w:id="254"/>
      <w:bookmarkEnd w:id="255"/>
      <w:bookmarkEnd w:id="256"/>
      <w:bookmarkEnd w:id="257"/>
      <w:bookmarkEnd w:id="258"/>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41D35577">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4960AEB">
            <w:pPr>
              <w:widowControl/>
              <w:jc w:val="center"/>
              <w:textAlignment w:val="center"/>
              <w:rPr>
                <w:rFonts w:ascii="Times New Roman" w:hAnsi="Times New Roman" w:eastAsia="微软雅黑" w:cs="Times New Roman"/>
                <w:i/>
                <w:iCs/>
                <w:sz w:val="18"/>
                <w:szCs w:val="18"/>
              </w:rPr>
            </w:pPr>
            <w:bookmarkStart w:id="259" w:name="_Toc22953_WPSOffice_Level2"/>
            <w:bookmarkStart w:id="260" w:name="_Toc32618_WPSOffice_Level2"/>
            <w:bookmarkStart w:id="261" w:name="_Toc7518_WPSOffice_Level2"/>
            <w:bookmarkStart w:id="262" w:name="_Toc20673_WPSOffice_Level2"/>
            <w:bookmarkStart w:id="263" w:name="_Toc3881_WPSOffice_Level2"/>
            <w:bookmarkStart w:id="264" w:name="_Toc26632_WPSOffice_Level2"/>
            <w:bookmarkStart w:id="265" w:name="_Toc5805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R | red(7,18,True) %}</w:t>
            </w:r>
          </w:p>
        </w:tc>
      </w:tr>
      <w:tr w14:paraId="454F295B">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14F618CC">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0B8CF86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17FFC26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79C17CA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06984E5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2C95438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049DC2D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20B17D46">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487648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040BC0B4">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gene.geneS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S</w:t>
      </w:r>
      <w:bookmarkEnd w:id="259"/>
      <w:bookmarkEnd w:id="260"/>
      <w:bookmarkEnd w:id="261"/>
      <w:bookmarkEnd w:id="262"/>
      <w:bookmarkEnd w:id="263"/>
      <w:bookmarkEnd w:id="264"/>
      <w:bookmarkEnd w:id="265"/>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2AF9ACEE">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C58242F">
            <w:pPr>
              <w:widowControl/>
              <w:jc w:val="center"/>
              <w:textAlignment w:val="center"/>
              <w:rPr>
                <w:rFonts w:ascii="Times New Roman" w:hAnsi="Times New Roman" w:eastAsia="微软雅黑" w:cs="Times New Roman"/>
                <w:i/>
                <w:iCs/>
                <w:sz w:val="18"/>
                <w:szCs w:val="18"/>
              </w:rPr>
            </w:pPr>
            <w:bookmarkStart w:id="266" w:name="_Toc31722_WPSOffice_Level2"/>
            <w:bookmarkStart w:id="267" w:name="_Toc22629_WPSOffice_Level2"/>
            <w:bookmarkStart w:id="268" w:name="_Toc9505_WPSOffice_Level2"/>
            <w:bookmarkStart w:id="269" w:name="_Toc22431_WPSOffice_Level2"/>
            <w:bookmarkStart w:id="270" w:name="_Toc25299_WPSOffice_Level2"/>
            <w:bookmarkStart w:id="271" w:name="_Toc15940_WPSOffice_Level2"/>
            <w:bookmarkStart w:id="272" w:name="_Toc14661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S | red(7,18,True) %}</w:t>
            </w:r>
          </w:p>
        </w:tc>
      </w:tr>
      <w:tr w14:paraId="4BEB6C35">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292310BB">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434A94D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0B9CA2C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4D1C97F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7CFA6E5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51F06C9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08DD8C0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29DB9421">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B80E14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643F9FA8">
      <w:pPr>
        <w:spacing w:line="245"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gene.geneT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T</w:t>
      </w:r>
      <w:bookmarkEnd w:id="266"/>
      <w:bookmarkEnd w:id="267"/>
      <w:bookmarkEnd w:id="268"/>
      <w:bookmarkEnd w:id="269"/>
      <w:bookmarkEnd w:id="270"/>
      <w:bookmarkEnd w:id="271"/>
      <w:bookmarkEnd w:id="272"/>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58EFBCD3">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D5E8491">
            <w:pPr>
              <w:widowControl/>
              <w:jc w:val="center"/>
              <w:textAlignment w:val="center"/>
              <w:rPr>
                <w:rFonts w:ascii="Times New Roman" w:hAnsi="Times New Roman" w:eastAsia="微软雅黑" w:cs="Times New Roman"/>
                <w:i/>
                <w:iCs/>
                <w:sz w:val="18"/>
                <w:szCs w:val="18"/>
              </w:rPr>
            </w:pPr>
            <w:bookmarkStart w:id="273" w:name="_Toc4328_WPSOffice_Level2"/>
            <w:bookmarkStart w:id="274" w:name="_Toc20849_WPSOffice_Level2"/>
            <w:bookmarkStart w:id="275" w:name="_Toc27147_WPSOffice_Level2"/>
            <w:bookmarkStart w:id="276" w:name="_Toc24372_WPSOffice_Level2"/>
            <w:bookmarkStart w:id="277" w:name="_Toc5581_WPSOffice_Level2"/>
            <w:bookmarkStart w:id="278" w:name="_Toc7607_WPSOffice_Level2"/>
            <w:bookmarkStart w:id="279" w:name="_Toc27188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T | red(7,18,True) %}</w:t>
            </w:r>
          </w:p>
        </w:tc>
      </w:tr>
      <w:tr w14:paraId="69B869D6">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A196E1A">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21B6FDF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3439580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01A6916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4EE8D42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0CD2317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6F51FEC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219C3261">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91E805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48761174">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gene.geneU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U</w:t>
      </w:r>
      <w:bookmarkEnd w:id="273"/>
      <w:bookmarkEnd w:id="274"/>
      <w:bookmarkEnd w:id="275"/>
      <w:bookmarkEnd w:id="276"/>
      <w:bookmarkEnd w:id="277"/>
      <w:bookmarkEnd w:id="278"/>
      <w:bookmarkEnd w:id="279"/>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54B64E03">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808FDFD">
            <w:pPr>
              <w:widowControl/>
              <w:jc w:val="center"/>
              <w:textAlignment w:val="center"/>
              <w:rPr>
                <w:rFonts w:ascii="Times New Roman" w:hAnsi="Times New Roman" w:eastAsia="微软雅黑" w:cs="Times New Roman"/>
                <w:i/>
                <w:iCs/>
                <w:sz w:val="18"/>
                <w:szCs w:val="18"/>
              </w:rPr>
            </w:pPr>
            <w:bookmarkStart w:id="280" w:name="_Toc23457_WPSOffice_Level2"/>
            <w:bookmarkStart w:id="281" w:name="_Toc23854_WPSOffice_Level2"/>
            <w:bookmarkStart w:id="282" w:name="_Toc8746_WPSOffice_Level2"/>
            <w:bookmarkStart w:id="283" w:name="_Toc11511_WPSOffice_Level2"/>
            <w:bookmarkStart w:id="284" w:name="_Toc26466_WPSOffice_Level2"/>
            <w:bookmarkStart w:id="285" w:name="_Toc6343_WPSOffice_Level2"/>
            <w:bookmarkStart w:id="286" w:name="_Toc9066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U | red(7,18,True) %}</w:t>
            </w:r>
          </w:p>
        </w:tc>
      </w:tr>
      <w:tr w14:paraId="60CAE500">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1EC56BFD">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6F07AB9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3B57246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5B2E7C6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32FE9CB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165741E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762399E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25AFECC8">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38E0D7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4F6CC606">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gene.geneV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V</w:t>
      </w:r>
      <w:bookmarkEnd w:id="280"/>
      <w:bookmarkEnd w:id="281"/>
      <w:bookmarkEnd w:id="282"/>
      <w:bookmarkEnd w:id="283"/>
      <w:bookmarkEnd w:id="284"/>
      <w:bookmarkEnd w:id="285"/>
      <w:bookmarkEnd w:id="286"/>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26F1BD24">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96EAF52">
            <w:pPr>
              <w:widowControl/>
              <w:jc w:val="center"/>
              <w:textAlignment w:val="center"/>
              <w:rPr>
                <w:rFonts w:ascii="Times New Roman" w:hAnsi="Times New Roman" w:eastAsia="微软雅黑" w:cs="Times New Roman"/>
                <w:i/>
                <w:iCs/>
                <w:sz w:val="18"/>
                <w:szCs w:val="18"/>
              </w:rPr>
            </w:pPr>
            <w:bookmarkStart w:id="287" w:name="_Toc6069_WPSOffice_Level2"/>
            <w:bookmarkStart w:id="288" w:name="_Toc12685_WPSOffice_Level2"/>
            <w:bookmarkStart w:id="289" w:name="_Toc17938_WPSOffice_Level2"/>
            <w:bookmarkStart w:id="290" w:name="_Toc1557_WPSOffice_Level2"/>
            <w:bookmarkStart w:id="291" w:name="_Toc17440_WPSOffice_Level2"/>
            <w:bookmarkStart w:id="292" w:name="_Toc3049_WPSOffice_Level2"/>
            <w:bookmarkStart w:id="293" w:name="_Toc20319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V | red(7,18,True) %}</w:t>
            </w:r>
          </w:p>
        </w:tc>
      </w:tr>
      <w:tr w14:paraId="18D3DBC0">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270EF83B">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07F61ED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583BFCE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745CFED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4D83819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71668B6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33E4E50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780DA98B">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F52A54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23DC8A87">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gene.geneW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W</w:t>
      </w:r>
      <w:bookmarkEnd w:id="287"/>
      <w:bookmarkEnd w:id="288"/>
      <w:bookmarkEnd w:id="289"/>
      <w:bookmarkEnd w:id="290"/>
      <w:bookmarkEnd w:id="291"/>
      <w:bookmarkEnd w:id="292"/>
      <w:bookmarkEnd w:id="293"/>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041DFA83">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41B77B7">
            <w:pPr>
              <w:widowControl/>
              <w:jc w:val="center"/>
              <w:textAlignment w:val="center"/>
              <w:rPr>
                <w:rFonts w:ascii="Times New Roman" w:hAnsi="Times New Roman" w:eastAsia="微软雅黑" w:cs="Times New Roman"/>
                <w:i/>
                <w:iCs/>
                <w:sz w:val="18"/>
                <w:szCs w:val="18"/>
              </w:rPr>
            </w:pPr>
            <w:bookmarkStart w:id="294" w:name="_Toc28180_WPSOffice_Level2"/>
            <w:bookmarkStart w:id="295" w:name="_Toc18427_WPSOffice_Level2"/>
            <w:bookmarkStart w:id="296" w:name="_Toc27824_WPSOffice_Level2"/>
            <w:bookmarkStart w:id="297" w:name="_Toc29816_WPSOffice_Level2"/>
            <w:bookmarkStart w:id="298" w:name="_Toc21686_WPSOffice_Level2"/>
            <w:bookmarkStart w:id="299" w:name="_Toc19766_WPSOffice_Level2"/>
            <w:bookmarkStart w:id="300" w:name="_Toc25956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W | red(7,18,True) %}</w:t>
            </w:r>
          </w:p>
        </w:tc>
      </w:tr>
      <w:tr w14:paraId="0D819B08">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14717D25">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3A92DD0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439B21A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31139D6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45D3A5B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27D10D5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4E8EE97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1E33ABF3">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76111F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47F395A1">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gene.geneX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X</w:t>
      </w:r>
      <w:bookmarkEnd w:id="294"/>
      <w:bookmarkEnd w:id="295"/>
      <w:bookmarkEnd w:id="296"/>
      <w:bookmarkEnd w:id="297"/>
      <w:bookmarkEnd w:id="298"/>
      <w:bookmarkEnd w:id="299"/>
      <w:bookmarkEnd w:id="300"/>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360D5466">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90B98CD">
            <w:pPr>
              <w:widowControl/>
              <w:jc w:val="center"/>
              <w:textAlignment w:val="center"/>
              <w:rPr>
                <w:rFonts w:ascii="Times New Roman" w:hAnsi="Times New Roman" w:eastAsia="微软雅黑" w:cs="Times New Roman"/>
                <w:i/>
                <w:iCs/>
                <w:sz w:val="18"/>
                <w:szCs w:val="18"/>
              </w:rPr>
            </w:pPr>
            <w:bookmarkStart w:id="301" w:name="_Toc9870_WPSOffice_Level2"/>
            <w:bookmarkStart w:id="302" w:name="_Toc8959_WPSOffice_Level2"/>
            <w:bookmarkStart w:id="303" w:name="_Toc7268_WPSOffice_Level2"/>
            <w:bookmarkStart w:id="304" w:name="_Toc27941_WPSOffice_Level2"/>
            <w:bookmarkStart w:id="305" w:name="_Toc19658_WPSOffice_Level2"/>
            <w:bookmarkStart w:id="306" w:name="_Toc20570_WPSOffice_Level2"/>
            <w:bookmarkStart w:id="307" w:name="_Toc24661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X | red(7,18,True) %}</w:t>
            </w:r>
          </w:p>
        </w:tc>
      </w:tr>
      <w:tr w14:paraId="770E2E0B">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2EB0F9DD">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289A04E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4482FE8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29B74BA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5B63541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5B7C701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1444759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1E227CC2">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F158B0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7822B1E2">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gene.geneY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b/>
          <w:color w:val="62BC41"/>
          <w:sz w:val="24"/>
          <w:lang w:eastAsia="zh-CN"/>
        </w:rPr>
        <w:t>Y</w:t>
      </w:r>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263C9DA3">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B498B53">
            <w:pPr>
              <w:widowControl/>
              <w:jc w:val="center"/>
              <w:textAlignment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Y | red(7,18,True) %}</w:t>
            </w:r>
          </w:p>
        </w:tc>
      </w:tr>
      <w:tr w14:paraId="3445648F">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6526A70A">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1900339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72006E1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70ED246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1C47025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1B1617F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04C4896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4A492FDB">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85408A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0CE9153E">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gene.geneZ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Z</w:t>
      </w:r>
      <w:bookmarkEnd w:id="301"/>
      <w:bookmarkEnd w:id="302"/>
      <w:bookmarkEnd w:id="303"/>
      <w:bookmarkEnd w:id="304"/>
      <w:bookmarkEnd w:id="305"/>
      <w:bookmarkEnd w:id="306"/>
      <w:bookmarkEnd w:id="307"/>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0193E690">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6BD62B3">
            <w:pPr>
              <w:widowControl/>
              <w:jc w:val="center"/>
              <w:textAlignment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gene.geneZ</w:t>
            </w:r>
            <w:r>
              <w:rPr>
                <w:rFonts w:hint="eastAsia" w:ascii="Times New Roman" w:hAnsi="Times New Roman" w:eastAsia="微软雅黑" w:cs="Times New Roman"/>
                <w:sz w:val="18"/>
                <w:szCs w:val="18"/>
                <w:lang w:eastAsia="zh-CN"/>
              </w:rPr>
              <w:t xml:space="preserve"> | red(7,18,True) %}</w:t>
            </w:r>
          </w:p>
        </w:tc>
      </w:tr>
      <w:tr w14:paraId="31C57A11">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71334F8E">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1A05289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3417CF6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280FB65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2AB963D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2EFE4F6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5445458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7F8FCEEE">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CF5A68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2458A034">
      <w:pPr>
        <w:rPr>
          <w:rFonts w:hint="default" w:ascii="Times New Roman" w:hAnsi="Times New Roman" w:eastAsia="微软雅黑" w:cs="Times New Roman"/>
          <w:b/>
          <w:bCs/>
          <w:sz w:val="18"/>
          <w:szCs w:val="18"/>
          <w:lang w:eastAsia="zh-CN"/>
        </w:rPr>
      </w:pPr>
      <w:r>
        <w:rPr>
          <w:rFonts w:hint="eastAsia" w:ascii="Times New Roman" w:hAnsi="Times New Roman" w:eastAsia="微软雅黑" w:cs="Times New Roman"/>
          <w:sz w:val="18"/>
          <w:szCs w:val="18"/>
          <w:lang w:eastAsia="zh-CN"/>
        </w:rPr>
        <w:t>{% endif %}</w:t>
      </w:r>
      <w:r>
        <w:rPr>
          <w:rFonts w:hint="default" w:ascii="Times New Roman" w:hAnsi="Times New Roman" w:eastAsia="微软雅黑" w:cs="Times New Roman"/>
          <w:b/>
          <w:bCs/>
          <w:sz w:val="18"/>
          <w:szCs w:val="18"/>
          <w:lang w:eastAsia="zh-CN"/>
        </w:rPr>
        <w:t>注：</w:t>
      </w:r>
    </w:p>
    <w:p w14:paraId="0A0F1CB6">
      <w:pPr>
        <w:numPr>
          <w:ilvl w:val="0"/>
          <w:numId w:val="26"/>
        </w:numPr>
        <w:ind w:leftChars="0"/>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红色标注基因表示本次检出结果阳性，无红色标注基因表示本次检出结果阴性。</w:t>
      </w:r>
    </w:p>
    <w:p w14:paraId="56C7A751">
      <w:pPr>
        <w:numPr>
          <w:ilvl w:val="0"/>
          <w:numId w:val="26"/>
        </w:numPr>
        <w:ind w:leftChars="0"/>
        <w:rPr>
          <w:lang w:eastAsia="zh-CN"/>
        </w:rPr>
      </w:pPr>
      <w:r>
        <w:rPr>
          <w:rFonts w:hint="eastAsia" w:ascii="Times New Roman" w:hAnsi="Times New Roman" w:eastAsia="微软雅黑" w:cs="Times New Roman"/>
          <w:sz w:val="18"/>
          <w:szCs w:val="18"/>
          <w:highlight w:val="none"/>
          <w:lang w:val="en-US" w:eastAsia="zh-CN"/>
        </w:rPr>
        <w:t>仅BRCA1、BRCA2基因检测大片段缺失。</w:t>
      </w:r>
      <w:r>
        <w:rPr>
          <w:lang w:eastAsia="zh-CN"/>
        </w:rPr>
        <w:br w:type="page"/>
      </w:r>
    </w:p>
    <w:p w14:paraId="1D921F6C">
      <w:pPr>
        <w:pStyle w:val="3"/>
        <w:numPr>
          <w:ilvl w:val="255"/>
          <w:numId w:val="0"/>
        </w:numPr>
        <w:jc w:val="left"/>
        <w:rPr>
          <w:color w:val="auto"/>
          <w:sz w:val="30"/>
          <w:lang w:eastAsia="zh-CN"/>
        </w:rPr>
      </w:pPr>
      <w:bookmarkStart w:id="308" w:name="_Toc15114"/>
      <w:bookmarkStart w:id="309" w:name="_Toc16193"/>
      <w:bookmarkStart w:id="310" w:name="_Toc11799"/>
      <w:r>
        <w:rPr>
          <w:rFonts w:hint="eastAsia"/>
          <w:color w:val="auto"/>
          <w:sz w:val="30"/>
          <w:lang w:eastAsia="zh-CN"/>
        </w:rPr>
        <w:t>检测方法与局限性</w:t>
      </w:r>
      <w:bookmarkEnd w:id="308"/>
      <w:bookmarkEnd w:id="309"/>
      <w:bookmarkEnd w:id="310"/>
    </w:p>
    <w:p w14:paraId="7A02D74E">
      <w:pPr>
        <w:rPr>
          <w:highlight w:val="yellow"/>
          <w:lang w:eastAsia="zh-CN"/>
        </w:rPr>
      </w:pPr>
    </w:p>
    <w:p w14:paraId="0C108A01">
      <w:pPr>
        <w:spacing w:line="276" w:lineRule="auto"/>
        <w:ind w:right="448"/>
        <w:rPr>
          <w:rFonts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检测方法</w:t>
      </w:r>
    </w:p>
    <w:p w14:paraId="3170EC8D">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 for b in summaryOfRresults.productModularization.detection_method | nl() %}{%if loop.last%}{{ b }}{%else%}{{ b }}</w:t>
      </w:r>
    </w:p>
    <w:p w14:paraId="2D4BBEDC">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{%endif%}{% endfor%}</w:t>
      </w:r>
    </w:p>
    <w:p w14:paraId="6E93709F">
      <w:pPr>
        <w:rPr>
          <w:rFonts w:ascii="Times New Roman" w:hAnsi="Times New Roman" w:eastAsia="微软雅黑" w:cs="Times New Roman"/>
          <w:bCs/>
          <w:sz w:val="21"/>
          <w:szCs w:val="21"/>
          <w:lang w:eastAsia="zh-CN"/>
        </w:rPr>
      </w:pPr>
    </w:p>
    <w:p w14:paraId="761CEEBF">
      <w:pPr>
        <w:spacing w:line="276" w:lineRule="auto"/>
        <w:ind w:right="448"/>
        <w:rPr>
          <w:rFonts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局限性说明</w:t>
      </w:r>
    </w:p>
    <w:p w14:paraId="01F98DC2">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 for b in summaryOfRresults.productModularization.limitation_statement | nl() %}{%if loop.last%}{{ b }}{%else%}{{ b }}</w:t>
      </w:r>
    </w:p>
    <w:p w14:paraId="05626D25">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{%endif%}{% endfor%}</w:t>
      </w:r>
    </w:p>
    <w:p w14:paraId="77A427FF">
      <w:pPr>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br w:type="page"/>
      </w:r>
    </w:p>
    <w:bookmarkEnd w:id="143"/>
    <w:bookmarkEnd w:id="144"/>
    <w:bookmarkEnd w:id="145"/>
    <w:bookmarkEnd w:id="146"/>
    <w:p w14:paraId="153322A2">
      <w:pPr>
        <w:pStyle w:val="3"/>
        <w:numPr>
          <w:ilvl w:val="255"/>
          <w:numId w:val="0"/>
        </w:numPr>
        <w:jc w:val="left"/>
        <w:rPr>
          <w:color w:val="auto"/>
          <w:sz w:val="30"/>
          <w:lang w:eastAsia="zh-CN"/>
        </w:rPr>
      </w:pPr>
      <w:bookmarkStart w:id="311" w:name="_Toc20551"/>
      <w:bookmarkStart w:id="312" w:name="_Toc21361"/>
      <w:bookmarkStart w:id="313" w:name="_Toc14993"/>
      <w:bookmarkStart w:id="314" w:name="_Toc13275"/>
      <w:bookmarkStart w:id="315" w:name="_Toc14611_WPSOffice_Level1"/>
      <w:bookmarkStart w:id="316" w:name="_Toc22623"/>
      <w:bookmarkStart w:id="317" w:name="_Toc19584_WPSOffice_Level1"/>
      <w:bookmarkStart w:id="318" w:name="_Toc22162_WPSOffice_Level1"/>
      <w:bookmarkStart w:id="319" w:name="_Toc17792_WPSOffice_Level2"/>
      <w:r>
        <w:rPr>
          <w:rFonts w:hint="eastAsia"/>
          <w:color w:val="auto"/>
          <w:sz w:val="30"/>
          <w:lang w:eastAsia="zh-CN"/>
        </w:rPr>
        <w:t>参考文献</w:t>
      </w:r>
      <w:bookmarkEnd w:id="311"/>
      <w:bookmarkEnd w:id="312"/>
      <w:bookmarkEnd w:id="313"/>
    </w:p>
    <w:bookmarkEnd w:id="314"/>
    <w:bookmarkEnd w:id="315"/>
    <w:bookmarkEnd w:id="316"/>
    <w:bookmarkEnd w:id="317"/>
    <w:bookmarkEnd w:id="318"/>
    <w:bookmarkEnd w:id="319"/>
    <w:p w14:paraId="38DFD429">
      <w:pPr>
        <w:adjustRightInd w:val="0"/>
        <w:snapToGrid w:val="0"/>
        <w:spacing w:after="120" w:afterLines="50"/>
        <w:jc w:val="both"/>
        <w:rPr>
          <w:rFonts w:ascii="Times New Roman" w:hAnsi="Times New Roman" w:eastAsia="Segoe UI" w:cs="Times New Roman"/>
          <w:sz w:val="15"/>
          <w:szCs w:val="15"/>
          <w:shd w:val="clear" w:color="auto" w:fill="FFFFFF"/>
        </w:rPr>
      </w:pPr>
      <w:r>
        <w:rPr>
          <w:rFonts w:hint="eastAsia" w:ascii="Times New Roman" w:hAnsi="Times New Roman" w:eastAsia="Segoe UI" w:cs="Times New Roman"/>
          <w:sz w:val="15"/>
          <w:szCs w:val="15"/>
          <w:shd w:val="clear" w:color="auto" w:fill="FFFFFF"/>
          <w:lang w:eastAsia="zh-CN" w:bidi="ar"/>
        </w:rPr>
        <w:t xml:space="preserve">{% if urinaryProstateDisease == </w:t>
      </w:r>
      <w:r>
        <w:rPr>
          <w:rFonts w:ascii="Times New Roman" w:hAnsi="Times New Roman" w:eastAsia="Segoe UI" w:cs="Times New Roman"/>
          <w:sz w:val="15"/>
          <w:szCs w:val="15"/>
          <w:shd w:val="clear" w:color="auto" w:fill="FFFFFF"/>
          <w:lang w:eastAsia="zh-CN" w:bidi="ar"/>
        </w:rPr>
        <w:t>‘’</w:t>
      </w:r>
      <w:r>
        <w:rPr>
          <w:rFonts w:hint="eastAsia" w:ascii="Times New Roman" w:hAnsi="Times New Roman" w:eastAsia="Segoe UI" w:cs="Times New Roman"/>
          <w:sz w:val="15"/>
          <w:szCs w:val="15"/>
          <w:shd w:val="clear" w:color="auto" w:fill="FFFFFF"/>
          <w:lang w:eastAsia="zh-CN" w:bidi="ar"/>
        </w:rPr>
        <w:t xml:space="preserve"> %}</w:t>
      </w:r>
      <w:r>
        <w:rPr>
          <w:rFonts w:ascii="Times New Roman" w:hAnsi="Times New Roman" w:eastAsia="Segoe UI" w:cs="Times New Roman"/>
          <w:sz w:val="15"/>
          <w:szCs w:val="15"/>
          <w:shd w:val="clear" w:color="auto" w:fill="FFFFFF"/>
          <w:lang w:eastAsia="zh-CN" w:bidi="ar"/>
        </w:rPr>
        <w:t xml:space="preserve">Shaw AT, Bauer TM, de Marinis F, </w:t>
      </w:r>
      <w:r>
        <w:rPr>
          <w:rFonts w:ascii="Times New Roman" w:hAnsi="Times New Roman" w:cs="Times New Roman"/>
          <w:sz w:val="15"/>
          <w:szCs w:val="15"/>
          <w:shd w:val="clear" w:color="auto" w:fill="FFFFFF"/>
          <w:lang w:eastAsia="zh-CN" w:bidi="ar"/>
        </w:rPr>
        <w:t>et al</w:t>
      </w:r>
      <w:r>
        <w:rPr>
          <w:rFonts w:ascii="Times New Roman" w:hAnsi="Times New Roman" w:eastAsia="Segoe UI" w:cs="Times New Roman"/>
          <w:sz w:val="15"/>
          <w:szCs w:val="15"/>
          <w:shd w:val="clear" w:color="auto" w:fill="FFFFFF"/>
          <w:lang w:eastAsia="zh-CN" w:bidi="ar"/>
        </w:rPr>
        <w:t>. First-</w:t>
      </w:r>
      <w:r>
        <w:rPr>
          <w:rFonts w:ascii="Times New Roman" w:hAnsi="Times New Roman" w:cs="Times New Roman"/>
          <w:sz w:val="15"/>
          <w:szCs w:val="15"/>
          <w:shd w:val="clear" w:color="auto" w:fill="FFFFFF"/>
          <w:lang w:eastAsia="zh-CN" w:bidi="ar"/>
        </w:rPr>
        <w:t>l</w:t>
      </w:r>
      <w:r>
        <w:rPr>
          <w:rFonts w:ascii="Times New Roman" w:hAnsi="Times New Roman" w:eastAsia="Segoe UI" w:cs="Times New Roman"/>
          <w:sz w:val="15"/>
          <w:szCs w:val="15"/>
          <w:shd w:val="clear" w:color="auto" w:fill="FFFFFF"/>
          <w:lang w:eastAsia="zh-CN" w:bidi="ar"/>
        </w:rPr>
        <w:t xml:space="preserve">ine </w:t>
      </w:r>
      <w:r>
        <w:rPr>
          <w:rFonts w:ascii="Times New Roman" w:hAnsi="Times New Roman" w:cs="Times New Roman"/>
          <w:sz w:val="15"/>
          <w:szCs w:val="15"/>
          <w:shd w:val="clear" w:color="auto" w:fill="FFFFFF"/>
          <w:lang w:eastAsia="zh-CN" w:bidi="ar"/>
        </w:rPr>
        <w:t>l</w:t>
      </w:r>
      <w:r>
        <w:rPr>
          <w:rFonts w:ascii="Times New Roman" w:hAnsi="Times New Roman" w:eastAsia="Segoe UI" w:cs="Times New Roman"/>
          <w:sz w:val="15"/>
          <w:szCs w:val="15"/>
          <w:shd w:val="clear" w:color="auto" w:fill="FFFFFF"/>
          <w:lang w:eastAsia="zh-CN" w:bidi="ar"/>
        </w:rPr>
        <w:t xml:space="preserve">orlatinib or </w:t>
      </w:r>
      <w:r>
        <w:rPr>
          <w:rFonts w:ascii="Times New Roman" w:hAnsi="Times New Roman" w:cs="Times New Roman"/>
          <w:sz w:val="15"/>
          <w:szCs w:val="15"/>
          <w:shd w:val="clear" w:color="auto" w:fill="FFFFFF"/>
          <w:lang w:eastAsia="zh-CN" w:bidi="ar"/>
        </w:rPr>
        <w:t>c</w:t>
      </w:r>
      <w:r>
        <w:rPr>
          <w:rFonts w:ascii="Times New Roman" w:hAnsi="Times New Roman" w:eastAsia="Segoe UI" w:cs="Times New Roman"/>
          <w:sz w:val="15"/>
          <w:szCs w:val="15"/>
          <w:shd w:val="clear" w:color="auto" w:fill="FFFFFF"/>
          <w:lang w:eastAsia="zh-CN" w:bidi="ar"/>
        </w:rPr>
        <w:t xml:space="preserve">rizotinib in </w:t>
      </w:r>
      <w:r>
        <w:rPr>
          <w:rFonts w:ascii="Times New Roman" w:hAnsi="Times New Roman" w:cs="Times New Roman"/>
          <w:sz w:val="15"/>
          <w:szCs w:val="15"/>
          <w:shd w:val="clear" w:color="auto" w:fill="FFFFFF"/>
          <w:lang w:eastAsia="zh-CN" w:bidi="ar"/>
        </w:rPr>
        <w:t>a</w:t>
      </w:r>
      <w:r>
        <w:rPr>
          <w:rFonts w:ascii="Times New Roman" w:hAnsi="Times New Roman" w:eastAsia="Segoe UI" w:cs="Times New Roman"/>
          <w:sz w:val="15"/>
          <w:szCs w:val="15"/>
          <w:shd w:val="clear" w:color="auto" w:fill="FFFFFF"/>
          <w:lang w:eastAsia="zh-CN" w:bidi="ar"/>
        </w:rPr>
        <w:t>dvanced</w:t>
      </w:r>
      <w:r>
        <w:rPr>
          <w:rFonts w:hint="eastAsia" w:ascii="Times New Roman" w:hAnsi="Times New Roman" w:eastAsia="Segoe UI" w:cs="Times New Roman"/>
          <w:sz w:val="15"/>
          <w:szCs w:val="15"/>
          <w:shd w:val="clear" w:color="auto" w:fill="FFFFFF"/>
          <w:lang w:eastAsia="zh-CN" w:bidi="ar"/>
        </w:rPr>
        <w:t xml:space="preserve"> </w:t>
      </w:r>
      <w:r>
        <w:rPr>
          <w:rFonts w:ascii="Times New Roman" w:hAnsi="Times New Roman" w:eastAsia="Segoe UI" w:cs="Times New Roman"/>
          <w:sz w:val="15"/>
          <w:szCs w:val="15"/>
          <w:shd w:val="clear" w:color="auto" w:fill="FFFFFF"/>
          <w:lang w:eastAsia="zh-CN" w:bidi="ar"/>
        </w:rPr>
        <w:t>ALK-</w:t>
      </w:r>
      <w:r>
        <w:rPr>
          <w:rFonts w:ascii="Times New Roman" w:hAnsi="Times New Roman" w:cs="Times New Roman"/>
          <w:sz w:val="15"/>
          <w:szCs w:val="15"/>
          <w:shd w:val="clear" w:color="auto" w:fill="FFFFFF"/>
          <w:lang w:eastAsia="zh-CN" w:bidi="ar"/>
        </w:rPr>
        <w:t>p</w:t>
      </w:r>
      <w:r>
        <w:rPr>
          <w:rFonts w:ascii="Times New Roman" w:hAnsi="Times New Roman" w:eastAsia="Segoe UI" w:cs="Times New Roman"/>
          <w:sz w:val="15"/>
          <w:szCs w:val="15"/>
          <w:shd w:val="clear" w:color="auto" w:fill="FFFFFF"/>
          <w:lang w:eastAsia="zh-CN" w:bidi="ar"/>
        </w:rPr>
        <w:t xml:space="preserve">ositive </w:t>
      </w:r>
      <w:r>
        <w:rPr>
          <w:rFonts w:ascii="Times New Roman" w:hAnsi="Times New Roman" w:cs="Times New Roman"/>
          <w:sz w:val="15"/>
          <w:szCs w:val="15"/>
          <w:shd w:val="clear" w:color="auto" w:fill="FFFFFF"/>
          <w:lang w:eastAsia="zh-CN" w:bidi="ar"/>
        </w:rPr>
        <w:t>l</w:t>
      </w:r>
      <w:r>
        <w:rPr>
          <w:rFonts w:ascii="Times New Roman" w:hAnsi="Times New Roman" w:eastAsia="Segoe UI" w:cs="Times New Roman"/>
          <w:sz w:val="15"/>
          <w:szCs w:val="15"/>
          <w:shd w:val="clear" w:color="auto" w:fill="FFFFFF"/>
          <w:lang w:eastAsia="zh-CN" w:bidi="ar"/>
        </w:rPr>
        <w:t xml:space="preserve">ung </w:t>
      </w:r>
      <w:r>
        <w:rPr>
          <w:rFonts w:ascii="Times New Roman" w:hAnsi="Times New Roman" w:cs="Times New Roman"/>
          <w:sz w:val="15"/>
          <w:szCs w:val="15"/>
          <w:shd w:val="clear" w:color="auto" w:fill="FFFFFF"/>
          <w:lang w:eastAsia="zh-CN" w:bidi="ar"/>
        </w:rPr>
        <w:t>c</w:t>
      </w:r>
      <w:r>
        <w:rPr>
          <w:rFonts w:ascii="Times New Roman" w:hAnsi="Times New Roman" w:eastAsia="Segoe UI" w:cs="Times New Roman"/>
          <w:sz w:val="15"/>
          <w:szCs w:val="15"/>
          <w:shd w:val="clear" w:color="auto" w:fill="FFFFFF"/>
          <w:lang w:eastAsia="zh-CN" w:bidi="ar"/>
        </w:rPr>
        <w:t>ancer. N Engl J Med. 2020</w:t>
      </w:r>
      <w:r>
        <w:rPr>
          <w:rFonts w:ascii="Times New Roman" w:hAnsi="Times New Roman" w:cs="Times New Roman"/>
          <w:sz w:val="15"/>
          <w:szCs w:val="15"/>
          <w:shd w:val="clear" w:color="auto" w:fill="FFFFFF"/>
          <w:lang w:eastAsia="zh-CN" w:bidi="ar"/>
        </w:rPr>
        <w:t>;</w:t>
      </w:r>
      <w:r>
        <w:rPr>
          <w:rFonts w:ascii="Times New Roman" w:hAnsi="Times New Roman" w:eastAsia="Segoe UI" w:cs="Times New Roman"/>
          <w:sz w:val="15"/>
          <w:szCs w:val="15"/>
          <w:shd w:val="clear" w:color="auto" w:fill="FFFFFF"/>
          <w:lang w:eastAsia="zh-CN" w:bidi="ar"/>
        </w:rPr>
        <w:t xml:space="preserve">383(21):2018-2029. </w:t>
      </w:r>
      <w:r>
        <w:rPr>
          <w:rFonts w:ascii="Times New Roman" w:hAnsi="Times New Roman" w:cs="Times New Roman"/>
          <w:sz w:val="15"/>
          <w:szCs w:val="15"/>
          <w:shd w:val="clear" w:color="auto" w:fill="FFFFFF"/>
          <w:lang w:eastAsia="zh-CN" w:bidi="ar"/>
        </w:rPr>
        <w:t>[</w:t>
      </w:r>
      <w:r>
        <w:rPr>
          <w:rFonts w:ascii="Times New Roman" w:hAnsi="Times New Roman" w:eastAsia="Segoe UI" w:cs="Times New Roman"/>
          <w:sz w:val="15"/>
          <w:szCs w:val="15"/>
          <w:shd w:val="clear" w:color="auto" w:fill="FFFFFF"/>
          <w:lang w:eastAsia="zh-CN" w:bidi="ar"/>
        </w:rPr>
        <w:t>PMID: 33207094</w:t>
      </w:r>
      <w:r>
        <w:rPr>
          <w:rFonts w:ascii="Times New Roman" w:hAnsi="Times New Roman" w:cs="Times New Roman"/>
          <w:sz w:val="15"/>
          <w:szCs w:val="15"/>
          <w:shd w:val="clear" w:color="auto" w:fill="FFFFFF"/>
          <w:lang w:eastAsia="zh-CN" w:bidi="ar"/>
        </w:rPr>
        <w:t>]</w:t>
      </w:r>
    </w:p>
    <w:p w14:paraId="5F20F4A7">
      <w:pPr>
        <w:widowControl/>
        <w:adjustRightInd w:val="0"/>
        <w:snapToGrid w:val="0"/>
        <w:spacing w:after="120" w:afterLines="50"/>
        <w:jc w:val="both"/>
        <w:rPr>
          <w:rFonts w:ascii="Times New Roman" w:hAnsi="Times New Roman" w:cs="Times New Roman"/>
          <w:sz w:val="15"/>
          <w:szCs w:val="15"/>
          <w:lang w:eastAsia="zh-CN"/>
        </w:rPr>
      </w:pPr>
      <w:r>
        <w:rPr>
          <w:rFonts w:ascii="Times New Roman" w:hAnsi="Times New Roman" w:cs="Times New Roman"/>
          <w:sz w:val="15"/>
          <w:szCs w:val="15"/>
        </w:rPr>
        <w:t>Fangusaro J, Onar-Thomas A, Poussaint TY, et al. Selumetinib in paediatric patients with BRAFaberrant or neurofibromatosis type 1-associated recurrent, refractory, or progressive low-grade glioma: a multicentre, phase 2 trial. Lancet Oncol 2019;20:1011-1022</w:t>
      </w:r>
      <w:r>
        <w:rPr>
          <w:rFonts w:ascii="Times New Roman" w:hAnsi="Times New Roman" w:cs="Times New Roman"/>
          <w:sz w:val="15"/>
          <w:szCs w:val="15"/>
          <w:lang w:eastAsia="zh-CN"/>
        </w:rPr>
        <w:t>. [PMID: 31151904]</w:t>
      </w:r>
    </w:p>
    <w:p w14:paraId="49E439D2">
      <w:pPr>
        <w:widowControl/>
        <w:adjustRightInd w:val="0"/>
        <w:snapToGrid w:val="0"/>
        <w:spacing w:after="120" w:afterLines="50"/>
        <w:jc w:val="both"/>
        <w:rPr>
          <w:rFonts w:ascii="Times New Roman" w:hAnsi="Times New Roman" w:cs="Times New Roman"/>
          <w:sz w:val="15"/>
          <w:szCs w:val="15"/>
        </w:rPr>
      </w:pPr>
      <w:r>
        <w:rPr>
          <w:rFonts w:ascii="Times New Roman" w:hAnsi="Times New Roman" w:cs="Times New Roman"/>
          <w:sz w:val="15"/>
          <w:szCs w:val="15"/>
        </w:rPr>
        <w:t xml:space="preserve">Gutzmer R, Stroyakovskiy D, Gogas H, et al. Atezolizumab, </w:t>
      </w:r>
      <w:r>
        <w:rPr>
          <w:rFonts w:ascii="Times New Roman" w:hAnsi="Times New Roman" w:cs="Times New Roman"/>
          <w:sz w:val="15"/>
          <w:szCs w:val="15"/>
          <w:lang w:eastAsia="zh-CN"/>
        </w:rPr>
        <w:t>v</w:t>
      </w:r>
      <w:r>
        <w:rPr>
          <w:rFonts w:ascii="Times New Roman" w:hAnsi="Times New Roman" w:cs="Times New Roman"/>
          <w:sz w:val="15"/>
          <w:szCs w:val="15"/>
        </w:rPr>
        <w:t xml:space="preserve">emurafenib, and </w:t>
      </w:r>
      <w:r>
        <w:rPr>
          <w:rFonts w:ascii="Times New Roman" w:hAnsi="Times New Roman" w:cs="Times New Roman"/>
          <w:sz w:val="15"/>
          <w:szCs w:val="15"/>
          <w:lang w:eastAsia="zh-CN"/>
        </w:rPr>
        <w:t>c</w:t>
      </w:r>
      <w:r>
        <w:rPr>
          <w:rFonts w:ascii="Times New Roman" w:hAnsi="Times New Roman" w:cs="Times New Roman"/>
          <w:sz w:val="15"/>
          <w:szCs w:val="15"/>
        </w:rPr>
        <w:t xml:space="preserve">obimetinib as </w:t>
      </w:r>
      <w:r>
        <w:rPr>
          <w:rFonts w:ascii="Times New Roman" w:hAnsi="Times New Roman" w:cs="Times New Roman"/>
          <w:sz w:val="15"/>
          <w:szCs w:val="15"/>
          <w:lang w:eastAsia="zh-CN"/>
        </w:rPr>
        <w:t>f</w:t>
      </w:r>
      <w:r>
        <w:rPr>
          <w:rFonts w:ascii="Times New Roman" w:hAnsi="Times New Roman" w:cs="Times New Roman"/>
          <w:sz w:val="15"/>
          <w:szCs w:val="15"/>
        </w:rPr>
        <w:t>irst-</w:t>
      </w:r>
      <w:r>
        <w:rPr>
          <w:rFonts w:ascii="Times New Roman" w:hAnsi="Times New Roman" w:cs="Times New Roman"/>
          <w:sz w:val="15"/>
          <w:szCs w:val="15"/>
          <w:lang w:eastAsia="zh-CN"/>
        </w:rPr>
        <w:t>l</w:t>
      </w:r>
      <w:r>
        <w:rPr>
          <w:rFonts w:ascii="Times New Roman" w:hAnsi="Times New Roman" w:cs="Times New Roman"/>
          <w:sz w:val="15"/>
          <w:szCs w:val="15"/>
        </w:rPr>
        <w:t>ine</w:t>
      </w:r>
      <w:r>
        <w:rPr>
          <w:rFonts w:ascii="Times New Roman" w:hAnsi="Times New Roman" w:cs="Times New Roman"/>
          <w:sz w:val="15"/>
          <w:szCs w:val="15"/>
          <w:lang w:eastAsia="zh-CN"/>
        </w:rPr>
        <w:t xml:space="preserve"> t</w:t>
      </w:r>
      <w:r>
        <w:rPr>
          <w:rFonts w:ascii="Times New Roman" w:hAnsi="Times New Roman" w:cs="Times New Roman"/>
          <w:sz w:val="15"/>
          <w:szCs w:val="15"/>
        </w:rPr>
        <w:t xml:space="preserve">reatment for </w:t>
      </w:r>
      <w:r>
        <w:rPr>
          <w:rFonts w:ascii="Times New Roman" w:hAnsi="Times New Roman" w:cs="Times New Roman"/>
          <w:sz w:val="15"/>
          <w:szCs w:val="15"/>
          <w:lang w:eastAsia="zh-CN"/>
        </w:rPr>
        <w:t>u</w:t>
      </w:r>
      <w:r>
        <w:rPr>
          <w:rFonts w:ascii="Times New Roman" w:hAnsi="Times New Roman" w:cs="Times New Roman"/>
          <w:sz w:val="15"/>
          <w:szCs w:val="15"/>
        </w:rPr>
        <w:t xml:space="preserve">nresectable </w:t>
      </w:r>
      <w:r>
        <w:rPr>
          <w:rFonts w:ascii="Times New Roman" w:hAnsi="Times New Roman" w:cs="Times New Roman"/>
          <w:sz w:val="15"/>
          <w:szCs w:val="15"/>
          <w:lang w:eastAsia="zh-CN"/>
        </w:rPr>
        <w:t>a</w:t>
      </w:r>
      <w:r>
        <w:rPr>
          <w:rFonts w:ascii="Times New Roman" w:hAnsi="Times New Roman" w:cs="Times New Roman"/>
          <w:sz w:val="15"/>
          <w:szCs w:val="15"/>
        </w:rPr>
        <w:t xml:space="preserve">dvanced BRAF V600 </w:t>
      </w:r>
      <w:r>
        <w:rPr>
          <w:rFonts w:ascii="Times New Roman" w:hAnsi="Times New Roman" w:cs="Times New Roman"/>
          <w:sz w:val="15"/>
          <w:szCs w:val="15"/>
          <w:lang w:eastAsia="zh-CN"/>
        </w:rPr>
        <w:t>m</w:t>
      </w:r>
      <w:r>
        <w:rPr>
          <w:rFonts w:ascii="Times New Roman" w:hAnsi="Times New Roman" w:cs="Times New Roman"/>
          <w:sz w:val="15"/>
          <w:szCs w:val="15"/>
        </w:rPr>
        <w:t>utation-</w:t>
      </w:r>
      <w:r>
        <w:rPr>
          <w:rFonts w:ascii="Times New Roman" w:hAnsi="Times New Roman" w:cs="Times New Roman"/>
          <w:sz w:val="15"/>
          <w:szCs w:val="15"/>
          <w:lang w:eastAsia="zh-CN"/>
        </w:rPr>
        <w:t>p</w:t>
      </w:r>
      <w:r>
        <w:rPr>
          <w:rFonts w:ascii="Times New Roman" w:hAnsi="Times New Roman" w:cs="Times New Roman"/>
          <w:sz w:val="15"/>
          <w:szCs w:val="15"/>
        </w:rPr>
        <w:t xml:space="preserve">ositive </w:t>
      </w:r>
      <w:r>
        <w:rPr>
          <w:rFonts w:ascii="Times New Roman" w:hAnsi="Times New Roman" w:cs="Times New Roman"/>
          <w:sz w:val="15"/>
          <w:szCs w:val="15"/>
          <w:lang w:eastAsia="zh-CN"/>
        </w:rPr>
        <w:t>m</w:t>
      </w:r>
      <w:r>
        <w:rPr>
          <w:rFonts w:ascii="Times New Roman" w:hAnsi="Times New Roman" w:cs="Times New Roman"/>
          <w:sz w:val="15"/>
          <w:szCs w:val="15"/>
        </w:rPr>
        <w:t xml:space="preserve">elanoma (IMspire150): Primary </w:t>
      </w:r>
      <w:r>
        <w:rPr>
          <w:rFonts w:ascii="Times New Roman" w:hAnsi="Times New Roman" w:cs="Times New Roman"/>
          <w:sz w:val="15"/>
          <w:szCs w:val="15"/>
          <w:lang w:eastAsia="zh-CN"/>
        </w:rPr>
        <w:t>a</w:t>
      </w:r>
      <w:r>
        <w:rPr>
          <w:rFonts w:ascii="Times New Roman" w:hAnsi="Times New Roman" w:cs="Times New Roman"/>
          <w:sz w:val="15"/>
          <w:szCs w:val="15"/>
        </w:rPr>
        <w:t xml:space="preserve">nalysis of the </w:t>
      </w:r>
      <w:r>
        <w:rPr>
          <w:rFonts w:ascii="Times New Roman" w:hAnsi="Times New Roman" w:cs="Times New Roman"/>
          <w:sz w:val="15"/>
          <w:szCs w:val="15"/>
          <w:lang w:eastAsia="zh-CN"/>
        </w:rPr>
        <w:t>r</w:t>
      </w:r>
      <w:r>
        <w:rPr>
          <w:rFonts w:ascii="Times New Roman" w:hAnsi="Times New Roman" w:cs="Times New Roman"/>
          <w:sz w:val="15"/>
          <w:szCs w:val="15"/>
        </w:rPr>
        <w:t xml:space="preserve">andomised, </w:t>
      </w:r>
      <w:r>
        <w:rPr>
          <w:rFonts w:ascii="Times New Roman" w:hAnsi="Times New Roman" w:cs="Times New Roman"/>
          <w:sz w:val="15"/>
          <w:szCs w:val="15"/>
          <w:lang w:eastAsia="zh-CN"/>
        </w:rPr>
        <w:t>d</w:t>
      </w:r>
      <w:r>
        <w:rPr>
          <w:rFonts w:ascii="Times New Roman" w:hAnsi="Times New Roman" w:cs="Times New Roman"/>
          <w:sz w:val="15"/>
          <w:szCs w:val="15"/>
        </w:rPr>
        <w:t>ouble-</w:t>
      </w:r>
      <w:r>
        <w:rPr>
          <w:rFonts w:ascii="Times New Roman" w:hAnsi="Times New Roman" w:cs="Times New Roman"/>
          <w:sz w:val="15"/>
          <w:szCs w:val="15"/>
          <w:lang w:eastAsia="zh-CN"/>
        </w:rPr>
        <w:t>b</w:t>
      </w:r>
      <w:r>
        <w:rPr>
          <w:rFonts w:ascii="Times New Roman" w:hAnsi="Times New Roman" w:cs="Times New Roman"/>
          <w:sz w:val="15"/>
          <w:szCs w:val="15"/>
        </w:rPr>
        <w:t xml:space="preserve">lind, </w:t>
      </w:r>
      <w:r>
        <w:rPr>
          <w:rFonts w:ascii="Times New Roman" w:hAnsi="Times New Roman" w:cs="Times New Roman"/>
          <w:sz w:val="15"/>
          <w:szCs w:val="15"/>
          <w:lang w:eastAsia="zh-CN"/>
        </w:rPr>
        <w:t>p</w:t>
      </w:r>
      <w:r>
        <w:rPr>
          <w:rFonts w:ascii="Times New Roman" w:hAnsi="Times New Roman" w:cs="Times New Roman"/>
          <w:sz w:val="15"/>
          <w:szCs w:val="15"/>
        </w:rPr>
        <w:t>lacebo-</w:t>
      </w:r>
      <w:r>
        <w:rPr>
          <w:rFonts w:ascii="Times New Roman" w:hAnsi="Times New Roman" w:cs="Times New Roman"/>
          <w:sz w:val="15"/>
          <w:szCs w:val="15"/>
          <w:lang w:eastAsia="zh-CN"/>
        </w:rPr>
        <w:t>c</w:t>
      </w:r>
      <w:r>
        <w:rPr>
          <w:rFonts w:ascii="Times New Roman" w:hAnsi="Times New Roman" w:cs="Times New Roman"/>
          <w:sz w:val="15"/>
          <w:szCs w:val="15"/>
        </w:rPr>
        <w:t xml:space="preserve">ontrolled, </w:t>
      </w:r>
      <w:r>
        <w:rPr>
          <w:rFonts w:ascii="Times New Roman" w:hAnsi="Times New Roman" w:cs="Times New Roman"/>
          <w:sz w:val="15"/>
          <w:szCs w:val="15"/>
          <w:lang w:eastAsia="zh-CN"/>
        </w:rPr>
        <w:t>p</w:t>
      </w:r>
      <w:r>
        <w:rPr>
          <w:rFonts w:ascii="Times New Roman" w:hAnsi="Times New Roman" w:cs="Times New Roman"/>
          <w:sz w:val="15"/>
          <w:szCs w:val="15"/>
        </w:rPr>
        <w:t xml:space="preserve">hase 3 </w:t>
      </w:r>
      <w:r>
        <w:rPr>
          <w:rFonts w:ascii="Times New Roman" w:hAnsi="Times New Roman" w:cs="Times New Roman"/>
          <w:sz w:val="15"/>
          <w:szCs w:val="15"/>
          <w:lang w:eastAsia="zh-CN"/>
        </w:rPr>
        <w:t>t</w:t>
      </w:r>
      <w:r>
        <w:rPr>
          <w:rFonts w:ascii="Times New Roman" w:hAnsi="Times New Roman" w:cs="Times New Roman"/>
          <w:sz w:val="15"/>
          <w:szCs w:val="15"/>
        </w:rPr>
        <w:t>rial. Lancet</w:t>
      </w:r>
      <w:r>
        <w:rPr>
          <w:rFonts w:ascii="Times New Roman" w:hAnsi="Times New Roman" w:cs="Times New Roman"/>
          <w:sz w:val="15"/>
          <w:szCs w:val="15"/>
          <w:lang w:eastAsia="zh-CN"/>
        </w:rPr>
        <w:t>.</w:t>
      </w:r>
      <w:r>
        <w:rPr>
          <w:rFonts w:ascii="Times New Roman" w:hAnsi="Times New Roman" w:cs="Times New Roman"/>
          <w:sz w:val="15"/>
          <w:szCs w:val="15"/>
        </w:rPr>
        <w:t xml:space="preserve"> 2020</w:t>
      </w:r>
      <w:r>
        <w:rPr>
          <w:rFonts w:ascii="Times New Roman" w:hAnsi="Times New Roman" w:cs="Times New Roman"/>
          <w:sz w:val="15"/>
          <w:szCs w:val="15"/>
          <w:lang w:eastAsia="zh-CN"/>
        </w:rPr>
        <w:t>;</w:t>
      </w:r>
      <w:r>
        <w:rPr>
          <w:rFonts w:ascii="Times New Roman" w:hAnsi="Times New Roman" w:cs="Times New Roman"/>
          <w:sz w:val="15"/>
          <w:szCs w:val="15"/>
        </w:rPr>
        <w:t>395(10240):1835-1844.</w:t>
      </w:r>
      <w:r>
        <w:rPr>
          <w:rFonts w:ascii="Times New Roman" w:hAnsi="Times New Roman" w:cs="Times New Roman"/>
          <w:sz w:val="15"/>
          <w:szCs w:val="15"/>
          <w:lang w:eastAsia="zh-CN"/>
        </w:rPr>
        <w:t xml:space="preserve"> [</w:t>
      </w:r>
      <w:r>
        <w:rPr>
          <w:rFonts w:ascii="Times New Roman" w:hAnsi="Times New Roman" w:eastAsia="微软雅黑" w:cs="Times New Roman"/>
          <w:sz w:val="15"/>
          <w:szCs w:val="15"/>
          <w:lang w:eastAsia="zh-CN"/>
        </w:rPr>
        <w:t>PMID: 32534646]</w:t>
      </w:r>
    </w:p>
    <w:p w14:paraId="1464FADC">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 xml:space="preserve">Van Cutsem E, Hujberts S, Grothey A, et al. Binimetinib, </w:t>
      </w:r>
      <w:r>
        <w:rPr>
          <w:rFonts w:ascii="Times New Roman" w:hAnsi="Times New Roman" w:eastAsia="微软雅黑" w:cs="Times New Roman"/>
          <w:sz w:val="15"/>
          <w:szCs w:val="15"/>
          <w:lang w:eastAsia="zh-CN"/>
        </w:rPr>
        <w:t>e</w:t>
      </w:r>
      <w:r>
        <w:rPr>
          <w:rFonts w:ascii="Times New Roman" w:hAnsi="Times New Roman" w:eastAsia="微软雅黑" w:cs="Times New Roman"/>
          <w:sz w:val="15"/>
          <w:szCs w:val="15"/>
        </w:rPr>
        <w:t xml:space="preserve">ncorafenib, and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etuximab </w:t>
      </w:r>
      <w:r>
        <w:rPr>
          <w:rFonts w:ascii="Times New Roman" w:hAnsi="Times New Roman" w:eastAsia="微软雅黑" w:cs="Times New Roman"/>
          <w:sz w:val="15"/>
          <w:szCs w:val="15"/>
          <w:lang w:eastAsia="zh-CN"/>
        </w:rPr>
        <w:t>t</w:t>
      </w:r>
      <w:r>
        <w:rPr>
          <w:rFonts w:ascii="Times New Roman" w:hAnsi="Times New Roman" w:eastAsia="微软雅黑" w:cs="Times New Roman"/>
          <w:sz w:val="15"/>
          <w:szCs w:val="15"/>
        </w:rPr>
        <w:t xml:space="preserve">riplet </w:t>
      </w:r>
      <w:r>
        <w:rPr>
          <w:rFonts w:ascii="Times New Roman" w:hAnsi="Times New Roman" w:eastAsia="微软雅黑" w:cs="Times New Roman"/>
          <w:sz w:val="15"/>
          <w:szCs w:val="15"/>
          <w:lang w:eastAsia="zh-CN"/>
        </w:rPr>
        <w:t>t</w:t>
      </w:r>
      <w:r>
        <w:rPr>
          <w:rFonts w:ascii="Times New Roman" w:hAnsi="Times New Roman" w:eastAsia="微软雅黑" w:cs="Times New Roman"/>
          <w:sz w:val="15"/>
          <w:szCs w:val="15"/>
        </w:rPr>
        <w:t>herapy for</w:t>
      </w:r>
      <w:r>
        <w:rPr>
          <w:rFonts w:ascii="Times New Roman" w:hAnsi="Times New Roman" w:eastAsia="微软雅黑" w:cs="Times New Roman"/>
          <w:sz w:val="15"/>
          <w:szCs w:val="15"/>
          <w:lang w:eastAsia="zh-CN"/>
        </w:rPr>
        <w:t xml:space="preserve"> p</w:t>
      </w:r>
      <w:r>
        <w:rPr>
          <w:rFonts w:ascii="Times New Roman" w:hAnsi="Times New Roman" w:eastAsia="微软雅黑" w:cs="Times New Roman"/>
          <w:sz w:val="15"/>
          <w:szCs w:val="15"/>
        </w:rPr>
        <w:t xml:space="preserve">atients </w:t>
      </w:r>
      <w:r>
        <w:rPr>
          <w:rFonts w:ascii="Times New Roman" w:hAnsi="Times New Roman" w:eastAsia="微软雅黑" w:cs="Times New Roman"/>
          <w:sz w:val="15"/>
          <w:szCs w:val="15"/>
          <w:lang w:eastAsia="zh-CN"/>
        </w:rPr>
        <w:t>w</w:t>
      </w:r>
      <w:r>
        <w:rPr>
          <w:rFonts w:ascii="Times New Roman" w:hAnsi="Times New Roman" w:eastAsia="微软雅黑" w:cs="Times New Roman"/>
          <w:sz w:val="15"/>
          <w:szCs w:val="15"/>
        </w:rPr>
        <w:t>ith BRAF V600E-</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utant </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etastatic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olorectal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ancer: Safety </w:t>
      </w:r>
      <w:r>
        <w:rPr>
          <w:rFonts w:ascii="Times New Roman" w:hAnsi="Times New Roman" w:eastAsia="微软雅黑" w:cs="Times New Roman"/>
          <w:sz w:val="15"/>
          <w:szCs w:val="15"/>
          <w:lang w:eastAsia="zh-CN"/>
        </w:rPr>
        <w:t>l</w:t>
      </w:r>
      <w:r>
        <w:rPr>
          <w:rFonts w:ascii="Times New Roman" w:hAnsi="Times New Roman" w:eastAsia="微软雅黑" w:cs="Times New Roman"/>
          <w:sz w:val="15"/>
          <w:szCs w:val="15"/>
        </w:rPr>
        <w:t>ead-</w:t>
      </w:r>
      <w:r>
        <w:rPr>
          <w:rFonts w:ascii="Times New Roman" w:hAnsi="Times New Roman" w:eastAsia="微软雅黑" w:cs="Times New Roman"/>
          <w:sz w:val="15"/>
          <w:szCs w:val="15"/>
          <w:lang w:eastAsia="zh-CN"/>
        </w:rPr>
        <w:t>i</w:t>
      </w:r>
      <w:r>
        <w:rPr>
          <w:rFonts w:ascii="Times New Roman" w:hAnsi="Times New Roman" w:eastAsia="微软雅黑" w:cs="Times New Roman"/>
          <w:sz w:val="15"/>
          <w:szCs w:val="15"/>
        </w:rPr>
        <w:t xml:space="preserve">n </w:t>
      </w:r>
      <w:r>
        <w:rPr>
          <w:rFonts w:ascii="Times New Roman" w:hAnsi="Times New Roman" w:eastAsia="微软雅黑" w:cs="Times New Roman"/>
          <w:sz w:val="15"/>
          <w:szCs w:val="15"/>
          <w:lang w:eastAsia="zh-CN"/>
        </w:rPr>
        <w:t>r</w:t>
      </w:r>
      <w:r>
        <w:rPr>
          <w:rFonts w:ascii="Times New Roman" w:hAnsi="Times New Roman" w:eastAsia="微软雅黑" w:cs="Times New Roman"/>
          <w:sz w:val="15"/>
          <w:szCs w:val="15"/>
        </w:rPr>
        <w:t>esults</w:t>
      </w:r>
      <w:r>
        <w:rPr>
          <w:rFonts w:ascii="Times New Roman" w:hAnsi="Times New Roman" w:eastAsia="微软雅黑" w:cs="Times New Roman"/>
          <w:sz w:val="15"/>
          <w:szCs w:val="15"/>
          <w:lang w:eastAsia="zh-CN"/>
        </w:rPr>
        <w:t xml:space="preserve"> f</w:t>
      </w:r>
      <w:r>
        <w:rPr>
          <w:rFonts w:ascii="Times New Roman" w:hAnsi="Times New Roman" w:eastAsia="微软雅黑" w:cs="Times New Roman"/>
          <w:sz w:val="15"/>
          <w:szCs w:val="15"/>
        </w:rPr>
        <w:t xml:space="preserve">rom the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hase III BEACON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olorectal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ancer </w:t>
      </w:r>
      <w:r>
        <w:rPr>
          <w:rFonts w:ascii="Times New Roman" w:hAnsi="Times New Roman" w:eastAsia="微软雅黑" w:cs="Times New Roman"/>
          <w:sz w:val="15"/>
          <w:szCs w:val="15"/>
          <w:lang w:eastAsia="zh-CN"/>
        </w:rPr>
        <w:t>s</w:t>
      </w:r>
      <w:r>
        <w:rPr>
          <w:rFonts w:ascii="Times New Roman" w:hAnsi="Times New Roman" w:eastAsia="微软雅黑" w:cs="Times New Roman"/>
          <w:sz w:val="15"/>
          <w:szCs w:val="15"/>
        </w:rPr>
        <w:t xml:space="preserve">tudy. J Clin Oncol. 2019;37(17):1460-1469. </w:t>
      </w:r>
      <w:r>
        <w:rPr>
          <w:rFonts w:ascii="Times New Roman" w:hAnsi="Times New Roman" w:cs="Times New Roman"/>
          <w:sz w:val="15"/>
          <w:szCs w:val="15"/>
          <w:lang w:eastAsia="zh-CN"/>
        </w:rPr>
        <w:t>[</w:t>
      </w:r>
      <w:r>
        <w:rPr>
          <w:rFonts w:ascii="Times New Roman" w:hAnsi="Times New Roman" w:eastAsia="微软雅黑" w:cs="Times New Roman"/>
          <w:sz w:val="15"/>
          <w:szCs w:val="15"/>
        </w:rPr>
        <w:t>PMID:</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30892987</w:t>
      </w:r>
      <w:r>
        <w:rPr>
          <w:rFonts w:ascii="Times New Roman" w:hAnsi="Times New Roman" w:eastAsia="微软雅黑" w:cs="Times New Roman"/>
          <w:sz w:val="15"/>
          <w:szCs w:val="15"/>
          <w:lang w:eastAsia="zh-CN"/>
        </w:rPr>
        <w:t>]</w:t>
      </w:r>
    </w:p>
    <w:p w14:paraId="61D085E6">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 xml:space="preserve">Kopetz S, Grothey A, Yaeger R, et al. Encorafenib, </w:t>
      </w:r>
      <w:r>
        <w:rPr>
          <w:rFonts w:ascii="Times New Roman" w:hAnsi="Times New Roman" w:eastAsia="微软雅黑" w:cs="Times New Roman"/>
          <w:sz w:val="15"/>
          <w:szCs w:val="15"/>
          <w:lang w:eastAsia="zh-CN"/>
        </w:rPr>
        <w:t>b</w:t>
      </w:r>
      <w:r>
        <w:rPr>
          <w:rFonts w:ascii="Times New Roman" w:hAnsi="Times New Roman" w:eastAsia="微软雅黑" w:cs="Times New Roman"/>
          <w:sz w:val="15"/>
          <w:szCs w:val="15"/>
        </w:rPr>
        <w:t xml:space="preserve">inimetinib, and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etuximab in BRAF V600E-</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utated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olorectal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ancer. N Engl J Med. 2019;381(17):1632-1643. </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PMID:</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31566309</w:t>
      </w:r>
      <w:r>
        <w:rPr>
          <w:rFonts w:ascii="Times New Roman" w:hAnsi="Times New Roman" w:eastAsia="微软雅黑" w:cs="Times New Roman"/>
          <w:sz w:val="15"/>
          <w:szCs w:val="15"/>
          <w:lang w:eastAsia="zh-CN"/>
        </w:rPr>
        <w:t>]</w:t>
      </w:r>
    </w:p>
    <w:p w14:paraId="0FE96032">
      <w:pPr>
        <w:widowControl/>
        <w:adjustRightInd w:val="0"/>
        <w:snapToGrid w:val="0"/>
        <w:spacing w:after="120" w:afterLines="5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rPr>
        <w:t xml:space="preserve">Kopetz S, Grothey A, Van CutsemE, </w:t>
      </w:r>
      <w:r>
        <w:rPr>
          <w:rFonts w:ascii="Times New Roman" w:hAnsi="Times New Roman" w:eastAsia="微软雅黑" w:cs="Times New Roman"/>
          <w:sz w:val="15"/>
          <w:szCs w:val="15"/>
          <w:lang w:eastAsia="zh-CN"/>
        </w:rPr>
        <w:t>e</w:t>
      </w:r>
      <w:r>
        <w:rPr>
          <w:rFonts w:ascii="Times New Roman" w:hAnsi="Times New Roman" w:eastAsia="微软雅黑" w:cs="Times New Roman"/>
          <w:sz w:val="15"/>
          <w:szCs w:val="15"/>
        </w:rPr>
        <w:t>t al. Encorafenib plus cetuximab with or without binimetinib for BRAF V600E-mutant metastatic colorectal cancer: Quality-of-life results from a randomized, three-arm, phase III study versus the choice of either irinotecan or FOLFIRI plus cetuximab (BEACON CRC). J Clin Oncol</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 xml:space="preserve"> 2020;38(suppl 4</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 xml:space="preserve"> abstr 8</w:t>
      </w:r>
      <w:r>
        <w:rPr>
          <w:rFonts w:ascii="Times New Roman" w:hAnsi="Times New Roman" w:eastAsia="微软雅黑" w:cs="Times New Roman"/>
          <w:sz w:val="15"/>
          <w:szCs w:val="15"/>
          <w:lang w:eastAsia="zh-CN"/>
        </w:rPr>
        <w:t>.</w:t>
      </w:r>
    </w:p>
    <w:p w14:paraId="6BB88E3D">
      <w:pPr>
        <w:widowControl/>
        <w:adjustRightInd w:val="0"/>
        <w:snapToGrid w:val="0"/>
        <w:spacing w:after="120"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 xml:space="preserve">Nakagawa K, Garon EB, Seto T, </w:t>
      </w:r>
      <w:r>
        <w:rPr>
          <w:rFonts w:ascii="Times New Roman" w:hAnsi="Times New Roman" w:cs="Times New Roman"/>
          <w:sz w:val="15"/>
          <w:szCs w:val="15"/>
          <w:shd w:val="clear" w:color="auto" w:fill="FFFFFF"/>
          <w:lang w:eastAsia="zh-CN"/>
        </w:rPr>
        <w:t>et al</w:t>
      </w:r>
      <w:r>
        <w:rPr>
          <w:rFonts w:ascii="Times New Roman" w:hAnsi="Times New Roman" w:eastAsia="Segoe UI" w:cs="Times New Roman"/>
          <w:sz w:val="15"/>
          <w:szCs w:val="15"/>
          <w:shd w:val="clear" w:color="auto" w:fill="FFFFFF"/>
        </w:rPr>
        <w:t xml:space="preserve">. Ramucirumab plus erlotinib in patients with untreated, EGFR-mutated, advanced non-small-cell lung cancer (RELAY): a randomised, double-blind, placebo-controlled, phase 3 trial. Lancet Oncol. 2019;20(12):1655-1669. </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PMID: 31591063</w:t>
      </w:r>
      <w:r>
        <w:rPr>
          <w:rFonts w:ascii="Times New Roman" w:hAnsi="Times New Roman" w:cs="Times New Roman"/>
          <w:sz w:val="15"/>
          <w:szCs w:val="15"/>
          <w:shd w:val="clear" w:color="auto" w:fill="FFFFFF"/>
          <w:lang w:eastAsia="zh-CN"/>
        </w:rPr>
        <w:t>]</w:t>
      </w:r>
    </w:p>
    <w:p w14:paraId="328837FC">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Yang JCH, Camidge DR, Yang CT, et al.</w:t>
      </w:r>
      <w:r>
        <w:rPr>
          <w:rFonts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 xml:space="preserve">Safety, </w:t>
      </w:r>
      <w:r>
        <w:rPr>
          <w:rFonts w:ascii="Times New Roman" w:hAnsi="Times New Roman" w:eastAsia="微软雅黑" w:cs="Times New Roman"/>
          <w:sz w:val="15"/>
          <w:szCs w:val="15"/>
          <w:lang w:eastAsia="zh-CN"/>
        </w:rPr>
        <w:t>e</w:t>
      </w:r>
      <w:r>
        <w:rPr>
          <w:rFonts w:ascii="Times New Roman" w:hAnsi="Times New Roman" w:eastAsia="微软雅黑" w:cs="Times New Roman"/>
          <w:sz w:val="15"/>
          <w:szCs w:val="15"/>
        </w:rPr>
        <w:t xml:space="preserve">fficacy, and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harmacokinetics of </w:t>
      </w:r>
      <w:r>
        <w:rPr>
          <w:rFonts w:ascii="Times New Roman" w:hAnsi="Times New Roman" w:eastAsia="微软雅黑" w:cs="Times New Roman"/>
          <w:sz w:val="15"/>
          <w:szCs w:val="15"/>
          <w:lang w:eastAsia="zh-CN"/>
        </w:rPr>
        <w:t>a</w:t>
      </w:r>
      <w:r>
        <w:rPr>
          <w:rFonts w:ascii="Times New Roman" w:hAnsi="Times New Roman" w:eastAsia="微软雅黑" w:cs="Times New Roman"/>
          <w:sz w:val="15"/>
          <w:szCs w:val="15"/>
        </w:rPr>
        <w:t xml:space="preserve">lmonertinib (HS-10296) in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retreated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atients </w:t>
      </w:r>
      <w:r>
        <w:rPr>
          <w:rFonts w:ascii="Times New Roman" w:hAnsi="Times New Roman" w:eastAsia="微软雅黑" w:cs="Times New Roman"/>
          <w:sz w:val="15"/>
          <w:szCs w:val="15"/>
          <w:lang w:eastAsia="zh-CN"/>
        </w:rPr>
        <w:t>w</w:t>
      </w:r>
      <w:r>
        <w:rPr>
          <w:rFonts w:ascii="Times New Roman" w:hAnsi="Times New Roman" w:eastAsia="微软雅黑" w:cs="Times New Roman"/>
          <w:sz w:val="15"/>
          <w:szCs w:val="15"/>
        </w:rPr>
        <w:t>ith EGFR-</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utated </w:t>
      </w:r>
      <w:r>
        <w:rPr>
          <w:rFonts w:ascii="Times New Roman" w:hAnsi="Times New Roman" w:eastAsia="微软雅黑" w:cs="Times New Roman"/>
          <w:sz w:val="15"/>
          <w:szCs w:val="15"/>
          <w:lang w:eastAsia="zh-CN"/>
        </w:rPr>
        <w:t>a</w:t>
      </w:r>
      <w:r>
        <w:rPr>
          <w:rFonts w:ascii="Times New Roman" w:hAnsi="Times New Roman" w:eastAsia="微软雅黑" w:cs="Times New Roman"/>
          <w:sz w:val="15"/>
          <w:szCs w:val="15"/>
        </w:rPr>
        <w:t xml:space="preserve">dvanced NSCLC: A </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ulticenter, </w:t>
      </w:r>
      <w:r>
        <w:rPr>
          <w:rFonts w:ascii="Times New Roman" w:hAnsi="Times New Roman" w:eastAsia="微软雅黑" w:cs="Times New Roman"/>
          <w:sz w:val="15"/>
          <w:szCs w:val="15"/>
          <w:lang w:eastAsia="zh-CN"/>
        </w:rPr>
        <w:t>o</w:t>
      </w:r>
      <w:r>
        <w:rPr>
          <w:rFonts w:ascii="Times New Roman" w:hAnsi="Times New Roman" w:eastAsia="微软雅黑" w:cs="Times New Roman"/>
          <w:sz w:val="15"/>
          <w:szCs w:val="15"/>
        </w:rPr>
        <w:t xml:space="preserve">pen-label,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hase 1 </w:t>
      </w:r>
      <w:r>
        <w:rPr>
          <w:rFonts w:ascii="Times New Roman" w:hAnsi="Times New Roman" w:eastAsia="微软雅黑" w:cs="Times New Roman"/>
          <w:sz w:val="15"/>
          <w:szCs w:val="15"/>
          <w:lang w:eastAsia="zh-CN"/>
        </w:rPr>
        <w:t>t</w:t>
      </w:r>
      <w:r>
        <w:rPr>
          <w:rFonts w:ascii="Times New Roman" w:hAnsi="Times New Roman" w:eastAsia="微软雅黑" w:cs="Times New Roman"/>
          <w:sz w:val="15"/>
          <w:szCs w:val="15"/>
        </w:rPr>
        <w:t>rial. J Thorac Oncol. 2020;15(12):1907-1918.</w:t>
      </w:r>
      <w:r>
        <w:rPr>
          <w:rFonts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[PMID: 32916310]</w:t>
      </w:r>
    </w:p>
    <w:p w14:paraId="7824A5BE">
      <w:pPr>
        <w:pStyle w:val="32"/>
        <w:adjustRightInd w:val="0"/>
        <w:snapToGrid w:val="0"/>
        <w:spacing w:after="120" w:afterLines="50"/>
        <w:ind w:firstLine="0" w:firstLineChars="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Shi Y, Hu X, Zhang S, et al. Efficacy and safety of alflutinib (AST2818) in patients with T790M mutation-positive NSCLC: A phase IIb multicenter single-arm study. J Clin Oncol. 2020;38(suppl 15): abstr 9602.</w:t>
      </w:r>
    </w:p>
    <w:p w14:paraId="604F3F19">
      <w:pPr>
        <w:widowControl/>
        <w:adjustRightInd w:val="0"/>
        <w:snapToGrid w:val="0"/>
        <w:spacing w:after="120" w:afterLines="50"/>
        <w:jc w:val="both"/>
        <w:rPr>
          <w:rFonts w:ascii="Times New Roman" w:hAnsi="Times New Roman" w:cs="Times New Roman"/>
          <w:sz w:val="15"/>
          <w:szCs w:val="15"/>
          <w:lang w:eastAsia="zh-CN"/>
        </w:rPr>
      </w:pPr>
      <w:r>
        <w:rPr>
          <w:rFonts w:ascii="Times New Roman" w:hAnsi="Times New Roman" w:cs="Times New Roman"/>
          <w:sz w:val="15"/>
          <w:szCs w:val="15"/>
        </w:rPr>
        <w:t xml:space="preserve">Yun J, Lee SH, Kim SY, </w:t>
      </w:r>
      <w:r>
        <w:rPr>
          <w:rFonts w:ascii="Times New Roman" w:hAnsi="Times New Roman" w:cs="Times New Roman"/>
          <w:sz w:val="15"/>
          <w:szCs w:val="15"/>
          <w:lang w:eastAsia="zh-CN"/>
        </w:rPr>
        <w:t>et al</w:t>
      </w:r>
      <w:r>
        <w:rPr>
          <w:rFonts w:ascii="Times New Roman" w:hAnsi="Times New Roman" w:cs="Times New Roman"/>
          <w:sz w:val="15"/>
          <w:szCs w:val="15"/>
        </w:rPr>
        <w:t>. Antitumor Activity of Amivantamab (JNJ-61186372), an EGFR-MET Bispecific Antibody, in Diverse Models of EGFR Exon 20 Insertion-Driven NSCLC[J]. Cancer Discov. 2020</w:t>
      </w:r>
      <w:r>
        <w:rPr>
          <w:rFonts w:ascii="Times New Roman" w:hAnsi="Times New Roman" w:cs="Times New Roman"/>
          <w:sz w:val="15"/>
          <w:szCs w:val="15"/>
          <w:lang w:eastAsia="zh-CN"/>
        </w:rPr>
        <w:t xml:space="preserve">, </w:t>
      </w:r>
      <w:r>
        <w:rPr>
          <w:rFonts w:ascii="Times New Roman" w:hAnsi="Times New Roman" w:cs="Times New Roman"/>
          <w:sz w:val="15"/>
          <w:szCs w:val="15"/>
        </w:rPr>
        <w:t>10(8):1194-1209.</w:t>
      </w:r>
      <w:r>
        <w:rPr>
          <w:rFonts w:ascii="Times New Roman" w:hAnsi="Times New Roman" w:cs="Times New Roman"/>
          <w:sz w:val="15"/>
          <w:szCs w:val="15"/>
          <w:lang w:eastAsia="zh-CN"/>
        </w:rPr>
        <w:t xml:space="preserve"> [PMID: 32414908]</w:t>
      </w:r>
    </w:p>
    <w:p w14:paraId="4977234C">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Abou-Alfa GK,</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Sahai V,</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 xml:space="preserve">Hollebecque A, et al. Pemigatinib for previously treated, locally advanced or metastatic cholangiocarcinoma: a multicentre, open-label, phase 2 study. Lancet Oncol. 2020;21(5):671-684. </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PMID:</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32203698</w:t>
      </w:r>
      <w:r>
        <w:rPr>
          <w:rFonts w:ascii="Times New Roman" w:hAnsi="Times New Roman" w:eastAsia="微软雅黑" w:cs="Times New Roman"/>
          <w:sz w:val="15"/>
          <w:szCs w:val="15"/>
          <w:lang w:eastAsia="zh-CN"/>
        </w:rPr>
        <w:t>]</w:t>
      </w:r>
    </w:p>
    <w:p w14:paraId="5F525ED2">
      <w:pPr>
        <w:pStyle w:val="32"/>
        <w:adjustRightInd w:val="0"/>
        <w:snapToGrid w:val="0"/>
        <w:spacing w:after="120" w:afterLines="50"/>
        <w:ind w:firstLine="0" w:firstLineChars="0"/>
        <w:jc w:val="both"/>
        <w:rPr>
          <w:rFonts w:ascii="Times New Roman" w:hAnsi="Times New Roman" w:eastAsia="微软雅黑" w:cs="Times New Roman"/>
          <w:spacing w:val="-1"/>
          <w:sz w:val="15"/>
          <w:szCs w:val="15"/>
          <w:lang w:eastAsia="zh-CN"/>
        </w:rPr>
      </w:pPr>
      <w:r>
        <w:rPr>
          <w:rFonts w:ascii="Times New Roman" w:hAnsi="Times New Roman" w:eastAsia="微软雅黑" w:cs="Times New Roman"/>
          <w:spacing w:val="-1"/>
          <w:sz w:val="15"/>
          <w:szCs w:val="15"/>
          <w:lang w:eastAsia="zh-CN"/>
        </w:rPr>
        <w:t>Loriot Y, Necchi A, Park SH, et al. Erdafitinib in locally advanced or metastatic urothelial carcinoma. N Engl J Med. 2019;381(4):338-348. [PMID: 31340094]</w:t>
      </w:r>
    </w:p>
    <w:p w14:paraId="58149E31">
      <w:pPr>
        <w:widowControl/>
        <w:adjustRightInd w:val="0"/>
        <w:snapToGrid w:val="0"/>
        <w:spacing w:after="120" w:afterLines="50"/>
        <w:jc w:val="both"/>
        <w:rPr>
          <w:rFonts w:ascii="Times New Roman" w:hAnsi="Times New Roman" w:cs="Times New Roman"/>
          <w:sz w:val="15"/>
          <w:szCs w:val="15"/>
        </w:rPr>
      </w:pPr>
      <w:r>
        <w:rPr>
          <w:rFonts w:ascii="Times New Roman" w:hAnsi="Times New Roman" w:eastAsia="Segoe UI" w:cs="Times New Roman"/>
          <w:sz w:val="15"/>
          <w:szCs w:val="15"/>
          <w:shd w:val="clear" w:color="auto" w:fill="FFFFFF"/>
          <w:lang w:eastAsia="zh-CN"/>
        </w:rPr>
        <w:t>Smit EF, Nakagawa K, Nagasaka M, et al. Trastuzumab deruxtecan (T-DXd; DS-8201) in patients with HER2-mutated metastatic non-small cell lung cancer (NSCLC): Interim results of DESTINY-Lung01. J Clin Oncol. 2020;38(suppl 15): abstr 9504.</w:t>
      </w:r>
    </w:p>
    <w:p w14:paraId="39F52DFF">
      <w:pPr>
        <w:pStyle w:val="32"/>
        <w:adjustRightInd w:val="0"/>
        <w:snapToGrid w:val="0"/>
        <w:spacing w:after="120" w:afterLines="50"/>
        <w:ind w:firstLine="0" w:firstLineChars="0"/>
        <w:jc w:val="both"/>
        <w:rPr>
          <w:rFonts w:ascii="Times New Roman" w:hAnsi="Times New Roman" w:cs="Times New Roman"/>
          <w:spacing w:val="-1"/>
          <w:sz w:val="15"/>
          <w:szCs w:val="15"/>
          <w:lang w:eastAsia="zh-CN"/>
        </w:rPr>
      </w:pPr>
      <w:r>
        <w:rPr>
          <w:rFonts w:ascii="Times New Roman" w:hAnsi="Times New Roman" w:cs="Times New Roman"/>
          <w:sz w:val="15"/>
          <w:szCs w:val="15"/>
        </w:rPr>
        <w:t>Chung HC, et al</w:t>
      </w:r>
      <w:r>
        <w:rPr>
          <w:rFonts w:ascii="Times New Roman" w:hAnsi="Times New Roman" w:cs="Times New Roman"/>
          <w:sz w:val="15"/>
          <w:szCs w:val="15"/>
          <w:lang w:eastAsia="zh-CN"/>
        </w:rPr>
        <w:t>.</w:t>
      </w:r>
      <w:r>
        <w:rPr>
          <w:rFonts w:ascii="Times New Roman" w:hAnsi="Times New Roman" w:cs="Times New Roman"/>
          <w:sz w:val="15"/>
          <w:szCs w:val="15"/>
        </w:rPr>
        <w:t xml:space="preserve"> First-line pembrolizumab/placebo plus trastuzumab and chemotherapy in HER2-positive advanced gastric cancer: KEYNOTE-811. Future Oncol 2021 Feb;17(5):491-501.</w:t>
      </w:r>
      <w:r>
        <w:rPr>
          <w:rFonts w:ascii="Times New Roman" w:hAnsi="Times New Roman" w:cs="Times New Roman"/>
          <w:sz w:val="15"/>
          <w:szCs w:val="15"/>
          <w:lang w:eastAsia="zh-CN"/>
        </w:rPr>
        <w:t xml:space="preserve"> [PMID: 33167735]</w:t>
      </w:r>
    </w:p>
    <w:p w14:paraId="5B45C874">
      <w:pPr>
        <w:widowControl/>
        <w:adjustRightInd w:val="0"/>
        <w:snapToGrid w:val="0"/>
        <w:spacing w:after="120" w:afterLines="50"/>
        <w:jc w:val="both"/>
        <w:rPr>
          <w:rFonts w:ascii="Times New Roman" w:hAnsi="Times New Roman" w:eastAsia="微软雅黑" w:cs="Times New Roman"/>
          <w:spacing w:val="-1"/>
          <w:sz w:val="15"/>
          <w:szCs w:val="15"/>
          <w:lang w:eastAsia="zh-CN"/>
        </w:rPr>
      </w:pPr>
      <w:r>
        <w:fldChar w:fldCharType="begin"/>
      </w:r>
      <w:r>
        <w:instrText xml:space="preserve"> HYPERLINK "https://pubmed.ncbi.nlm.nih.gov/?term=Lee+HW&amp;cauthor_id=32636318" </w:instrText>
      </w:r>
      <w:r>
        <w:fldChar w:fldCharType="separate"/>
      </w:r>
      <w:r>
        <w:rPr>
          <w:rFonts w:ascii="Times New Roman" w:hAnsi="Times New Roman" w:eastAsia="微软雅黑" w:cs="Times New Roman"/>
          <w:spacing w:val="-1"/>
          <w:sz w:val="15"/>
          <w:szCs w:val="15"/>
          <w:lang w:eastAsia="zh-CN"/>
        </w:rPr>
        <w:t>Lee</w:t>
      </w:r>
      <w:r>
        <w:rPr>
          <w:rFonts w:ascii="Times New Roman" w:hAnsi="Times New Roman" w:eastAsia="微软雅黑" w:cs="Times New Roman"/>
          <w:spacing w:val="-1"/>
          <w:sz w:val="15"/>
          <w:szCs w:val="15"/>
          <w:lang w:eastAsia="zh-CN"/>
        </w:rPr>
        <w:fldChar w:fldCharType="end"/>
      </w:r>
      <w:r>
        <w:rPr>
          <w:rFonts w:hint="eastAsia" w:ascii="Times New Roman" w:hAnsi="Times New Roman" w:eastAsia="微软雅黑" w:cs="Times New Roman"/>
          <w:spacing w:val="-1"/>
          <w:sz w:val="15"/>
          <w:szCs w:val="15"/>
          <w:lang w:eastAsia="zh-CN"/>
        </w:rPr>
        <w:t xml:space="preserve"> </w:t>
      </w:r>
      <w:r>
        <w:rPr>
          <w:rFonts w:ascii="Times New Roman" w:hAnsi="Times New Roman" w:eastAsia="微软雅黑" w:cs="Times New Roman"/>
          <w:spacing w:val="-1"/>
          <w:sz w:val="15"/>
          <w:szCs w:val="15"/>
          <w:lang w:eastAsia="zh-CN"/>
        </w:rPr>
        <w:t>HW,</w:t>
      </w:r>
      <w:r>
        <w:rPr>
          <w:rFonts w:hint="eastAsia" w:ascii="Times New Roman" w:hAnsi="Times New Roman" w:eastAsia="微软雅黑" w:cs="Times New Roman"/>
          <w:spacing w:val="-1"/>
          <w:sz w:val="15"/>
          <w:szCs w:val="15"/>
          <w:lang w:eastAsia="zh-CN"/>
        </w:rPr>
        <w:t xml:space="preserve"> </w:t>
      </w:r>
      <w:r>
        <w:fldChar w:fldCharType="begin"/>
      </w:r>
      <w:r>
        <w:instrText xml:space="preserve"> HYPERLINK "https://pubmed.ncbi.nlm.nih.gov/?term=Sa+JK&amp;cauthor_id=32636318" </w:instrText>
      </w:r>
      <w:r>
        <w:fldChar w:fldCharType="separate"/>
      </w:r>
      <w:r>
        <w:rPr>
          <w:rFonts w:ascii="Times New Roman" w:hAnsi="Times New Roman" w:eastAsia="微软雅黑" w:cs="Times New Roman"/>
          <w:spacing w:val="-1"/>
          <w:sz w:val="15"/>
          <w:szCs w:val="15"/>
          <w:lang w:eastAsia="zh-CN"/>
        </w:rPr>
        <w:t>Sa</w:t>
      </w:r>
      <w:r>
        <w:rPr>
          <w:rFonts w:ascii="Times New Roman" w:hAnsi="Times New Roman" w:eastAsia="微软雅黑" w:cs="Times New Roman"/>
          <w:spacing w:val="-1"/>
          <w:sz w:val="15"/>
          <w:szCs w:val="15"/>
          <w:lang w:eastAsia="zh-CN"/>
        </w:rPr>
        <w:fldChar w:fldCharType="end"/>
      </w:r>
      <w:r>
        <w:rPr>
          <w:rFonts w:hint="eastAsia" w:ascii="Times New Roman" w:hAnsi="Times New Roman" w:eastAsia="微软雅黑" w:cs="Times New Roman"/>
          <w:spacing w:val="-1"/>
          <w:sz w:val="15"/>
          <w:szCs w:val="15"/>
          <w:lang w:eastAsia="zh-CN"/>
        </w:rPr>
        <w:t xml:space="preserve"> </w:t>
      </w:r>
      <w:r>
        <w:rPr>
          <w:rFonts w:ascii="Times New Roman" w:hAnsi="Times New Roman" w:eastAsia="微软雅黑" w:cs="Times New Roman"/>
          <w:spacing w:val="-1"/>
          <w:sz w:val="15"/>
          <w:szCs w:val="15"/>
          <w:lang w:eastAsia="zh-CN"/>
        </w:rPr>
        <w:t>JK,</w:t>
      </w:r>
      <w:r>
        <w:rPr>
          <w:rFonts w:hint="eastAsia" w:ascii="Times New Roman" w:hAnsi="Times New Roman" w:eastAsia="微软雅黑" w:cs="Times New Roman"/>
          <w:spacing w:val="-1"/>
          <w:sz w:val="15"/>
          <w:szCs w:val="15"/>
          <w:lang w:eastAsia="zh-CN"/>
        </w:rPr>
        <w:t xml:space="preserve"> </w:t>
      </w:r>
      <w:r>
        <w:fldChar w:fldCharType="begin"/>
      </w:r>
      <w:r>
        <w:instrText xml:space="preserve"> HYPERLINK "https://pubmed.ncbi.nlm.nih.gov/?term=Gualberto+A&amp;cauthor_id=32636318" </w:instrText>
      </w:r>
      <w:r>
        <w:fldChar w:fldCharType="separate"/>
      </w:r>
      <w:r>
        <w:rPr>
          <w:rFonts w:ascii="Times New Roman" w:hAnsi="Times New Roman" w:eastAsia="微软雅黑" w:cs="Times New Roman"/>
          <w:spacing w:val="-1"/>
          <w:sz w:val="15"/>
          <w:szCs w:val="15"/>
          <w:lang w:eastAsia="zh-CN"/>
        </w:rPr>
        <w:t>Gualberto</w:t>
      </w:r>
      <w:r>
        <w:rPr>
          <w:rFonts w:ascii="Times New Roman" w:hAnsi="Times New Roman" w:eastAsia="微软雅黑" w:cs="Times New Roman"/>
          <w:spacing w:val="-1"/>
          <w:sz w:val="15"/>
          <w:szCs w:val="15"/>
          <w:lang w:eastAsia="zh-CN"/>
        </w:rPr>
        <w:fldChar w:fldCharType="end"/>
      </w:r>
      <w:r>
        <w:rPr>
          <w:rFonts w:hint="eastAsia" w:ascii="Times New Roman" w:hAnsi="Times New Roman" w:eastAsia="微软雅黑" w:cs="Times New Roman"/>
          <w:spacing w:val="-1"/>
          <w:sz w:val="15"/>
          <w:szCs w:val="15"/>
          <w:lang w:eastAsia="zh-CN"/>
        </w:rPr>
        <w:t xml:space="preserve"> </w:t>
      </w:r>
      <w:r>
        <w:rPr>
          <w:rFonts w:ascii="Times New Roman" w:hAnsi="Times New Roman" w:eastAsia="微软雅黑" w:cs="Times New Roman"/>
          <w:spacing w:val="-1"/>
          <w:sz w:val="15"/>
          <w:szCs w:val="15"/>
          <w:lang w:eastAsia="zh-CN"/>
        </w:rPr>
        <w:t>A, et al. A phase II trial of tipifarnib for patients with previously treated, metastatic urothelial carcinoma harboring HRAS mutations. Clin Cancer Res. 2020; 26(19): 5113-5119. [PMID: 32636318]</w:t>
      </w:r>
    </w:p>
    <w:p w14:paraId="5BBE7FDB">
      <w:pPr>
        <w:widowControl/>
        <w:adjustRightInd w:val="0"/>
        <w:snapToGrid w:val="0"/>
        <w:spacing w:after="120" w:afterLines="50"/>
        <w:jc w:val="both"/>
        <w:rPr>
          <w:rFonts w:ascii="Times New Roman" w:hAnsi="Times New Roman" w:cs="Times New Roman"/>
          <w:sz w:val="15"/>
          <w:szCs w:val="15"/>
          <w:shd w:val="clear" w:color="auto" w:fill="FFFFFF"/>
          <w:lang w:eastAsia="zh-CN"/>
        </w:rPr>
      </w:pPr>
      <w:r>
        <w:rPr>
          <w:rFonts w:ascii="Times New Roman" w:hAnsi="Times New Roman" w:cs="Times New Roman"/>
          <w:sz w:val="15"/>
          <w:szCs w:val="15"/>
        </w:rPr>
        <w:t xml:space="preserve">Hong DS, Fakih MG, Strickler JH, </w:t>
      </w:r>
      <w:r>
        <w:rPr>
          <w:rFonts w:ascii="Times New Roman" w:hAnsi="Times New Roman" w:cs="Times New Roman"/>
          <w:sz w:val="15"/>
          <w:szCs w:val="15"/>
          <w:lang w:eastAsia="zh-CN"/>
        </w:rPr>
        <w:t>et al</w:t>
      </w:r>
      <w:r>
        <w:rPr>
          <w:rFonts w:ascii="Times New Roman" w:hAnsi="Times New Roman" w:cs="Times New Roman"/>
          <w:sz w:val="15"/>
          <w:szCs w:val="15"/>
        </w:rPr>
        <w:t>. KRAS</w:t>
      </w:r>
      <w:r>
        <w:rPr>
          <w:rFonts w:ascii="Times New Roman" w:hAnsi="Times New Roman" w:cs="Times New Roman"/>
          <w:sz w:val="15"/>
          <w:szCs w:val="15"/>
          <w:lang w:eastAsia="zh-CN"/>
        </w:rPr>
        <w:t xml:space="preserve"> </w:t>
      </w:r>
      <w:r>
        <w:rPr>
          <w:rFonts w:ascii="Times New Roman" w:hAnsi="Times New Roman" w:cs="Times New Roman"/>
          <w:sz w:val="15"/>
          <w:szCs w:val="15"/>
        </w:rPr>
        <w:t>G12C Inhibition with Sotorasib in Advanced Solid Tumors[J]. N Engl J Med. 2020</w:t>
      </w:r>
      <w:r>
        <w:rPr>
          <w:rFonts w:ascii="Times New Roman" w:hAnsi="Times New Roman" w:cs="Times New Roman"/>
          <w:sz w:val="15"/>
          <w:szCs w:val="15"/>
          <w:lang w:eastAsia="zh-CN"/>
        </w:rPr>
        <w:t>,</w:t>
      </w:r>
      <w:r>
        <w:rPr>
          <w:rFonts w:ascii="Times New Roman" w:hAnsi="Times New Roman" w:cs="Times New Roman"/>
          <w:sz w:val="15"/>
          <w:szCs w:val="15"/>
        </w:rPr>
        <w:t xml:space="preserve"> 24;383(13):1207-1217.</w:t>
      </w:r>
      <w:r>
        <w:rPr>
          <w:rFonts w:ascii="Times New Roman" w:hAnsi="Times New Roman" w:cs="Times New Roman"/>
          <w:sz w:val="15"/>
          <w:szCs w:val="15"/>
          <w:lang w:eastAsia="zh-CN"/>
        </w:rPr>
        <w:t xml:space="preserve"> [PMID: 32955176]</w:t>
      </w:r>
    </w:p>
    <w:p w14:paraId="6516CD3D">
      <w:pPr>
        <w:widowControl/>
        <w:adjustRightInd w:val="0"/>
        <w:snapToGrid w:val="0"/>
        <w:spacing w:after="120"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 xml:space="preserve">Wolf J, Seto T, Han JY, Reguart N, </w:t>
      </w:r>
      <w:r>
        <w:rPr>
          <w:rFonts w:ascii="Times New Roman" w:hAnsi="Times New Roman" w:cs="Times New Roman"/>
          <w:sz w:val="15"/>
          <w:szCs w:val="15"/>
          <w:shd w:val="clear" w:color="auto" w:fill="FFFFFF"/>
          <w:lang w:eastAsia="zh-CN"/>
        </w:rPr>
        <w:t>et al</w:t>
      </w:r>
      <w:r>
        <w:rPr>
          <w:rFonts w:ascii="Times New Roman" w:hAnsi="Times New Roman" w:eastAsia="Segoe UI" w:cs="Times New Roman"/>
          <w:sz w:val="15"/>
          <w:szCs w:val="15"/>
          <w:shd w:val="clear" w:color="auto" w:fill="FFFFFF"/>
        </w:rPr>
        <w:t>. Capmatinib in</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i/>
          <w:iCs/>
          <w:sz w:val="15"/>
          <w:szCs w:val="15"/>
          <w:shd w:val="clear" w:color="auto" w:fill="FFFFFF"/>
        </w:rPr>
        <w:t>MET</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sz w:val="15"/>
          <w:szCs w:val="15"/>
          <w:shd w:val="clear" w:color="auto" w:fill="FFFFFF"/>
        </w:rPr>
        <w:t>exon 14-mutated or</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i/>
          <w:iCs/>
          <w:sz w:val="15"/>
          <w:szCs w:val="15"/>
          <w:shd w:val="clear" w:color="auto" w:fill="FFFFFF"/>
        </w:rPr>
        <w:t>MET</w:t>
      </w:r>
      <w:r>
        <w:rPr>
          <w:rFonts w:ascii="Times New Roman" w:hAnsi="Times New Roman" w:eastAsia="Segoe UI" w:cs="Times New Roman"/>
          <w:sz w:val="15"/>
          <w:szCs w:val="15"/>
          <w:shd w:val="clear" w:color="auto" w:fill="FFFFFF"/>
        </w:rPr>
        <w:t>-amplified non-small-cell lung cancer. N Engl J Med. 2020;383(10):944-957.</w:t>
      </w:r>
      <w:r>
        <w:rPr>
          <w:rFonts w:ascii="Times New Roman" w:hAnsi="Times New Roman" w:cs="Times New Roman"/>
          <w:sz w:val="15"/>
          <w:szCs w:val="15"/>
          <w:shd w:val="clear" w:color="auto" w:fill="FFFFFF"/>
          <w:lang w:eastAsia="zh-CN"/>
        </w:rPr>
        <w:t xml:space="preserve"> [</w:t>
      </w:r>
      <w:r>
        <w:rPr>
          <w:rFonts w:ascii="Times New Roman" w:hAnsi="Times New Roman" w:eastAsia="Segoe UI" w:cs="Times New Roman"/>
          <w:sz w:val="15"/>
          <w:szCs w:val="15"/>
          <w:shd w:val="clear" w:color="auto" w:fill="FFFFFF"/>
        </w:rPr>
        <w:t>PMID: 32877583</w:t>
      </w:r>
      <w:r>
        <w:rPr>
          <w:rFonts w:ascii="Times New Roman" w:hAnsi="Times New Roman" w:cs="Times New Roman"/>
          <w:sz w:val="15"/>
          <w:szCs w:val="15"/>
          <w:shd w:val="clear" w:color="auto" w:fill="FFFFFF"/>
          <w:lang w:eastAsia="zh-CN"/>
        </w:rPr>
        <w:t>]</w:t>
      </w:r>
    </w:p>
    <w:p w14:paraId="0F1D941C">
      <w:pPr>
        <w:widowControl/>
        <w:adjustRightInd w:val="0"/>
        <w:snapToGrid w:val="0"/>
        <w:spacing w:after="120"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Lu S et al., Phase II study of savolitinib in patients with pulmonary sarcomatoid carcinoma and other types of non-small cell lung cancer harboring MET exon 14 skipping mutations. J Clin Oncol</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 xml:space="preserve"> 2020</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38(suppl</w:t>
      </w:r>
      <w:r>
        <w:rPr>
          <w:rFonts w:ascii="Times New Roman" w:hAnsi="Times New Roman" w:cs="Times New Roman"/>
          <w:sz w:val="15"/>
          <w:szCs w:val="15"/>
          <w:shd w:val="clear" w:color="auto" w:fill="FFFFFF"/>
          <w:lang w:eastAsia="zh-CN"/>
        </w:rPr>
        <w:t xml:space="preserve"> 15): </w:t>
      </w:r>
      <w:r>
        <w:rPr>
          <w:rFonts w:ascii="Times New Roman" w:hAnsi="Times New Roman" w:eastAsia="Segoe UI" w:cs="Times New Roman"/>
          <w:sz w:val="15"/>
          <w:szCs w:val="15"/>
          <w:shd w:val="clear" w:color="auto" w:fill="FFFFFF"/>
        </w:rPr>
        <w:t>abstr 9519</w:t>
      </w:r>
      <w:r>
        <w:rPr>
          <w:rFonts w:ascii="Times New Roman" w:hAnsi="Times New Roman" w:cs="Times New Roman"/>
          <w:sz w:val="15"/>
          <w:szCs w:val="15"/>
          <w:shd w:val="clear" w:color="auto" w:fill="FFFFFF"/>
          <w:lang w:eastAsia="zh-CN"/>
        </w:rPr>
        <w:t xml:space="preserve">. </w:t>
      </w:r>
    </w:p>
    <w:p w14:paraId="7590ED51">
      <w:pPr>
        <w:widowControl/>
        <w:adjustRightInd w:val="0"/>
        <w:snapToGrid w:val="0"/>
        <w:spacing w:after="120"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 xml:space="preserve">Drilon A, Clark JW, Weiss J, Ou SI, </w:t>
      </w:r>
      <w:r>
        <w:rPr>
          <w:rFonts w:ascii="Times New Roman" w:hAnsi="Times New Roman" w:cs="Times New Roman"/>
          <w:sz w:val="15"/>
          <w:szCs w:val="15"/>
          <w:shd w:val="clear" w:color="auto" w:fill="FFFFFF"/>
          <w:lang w:eastAsia="zh-CN"/>
        </w:rPr>
        <w:t>et al</w:t>
      </w:r>
      <w:r>
        <w:rPr>
          <w:rFonts w:ascii="Times New Roman" w:hAnsi="Times New Roman" w:eastAsia="Segoe UI" w:cs="Times New Roman"/>
          <w:sz w:val="15"/>
          <w:szCs w:val="15"/>
          <w:shd w:val="clear" w:color="auto" w:fill="FFFFFF"/>
        </w:rPr>
        <w:t xml:space="preserve">. Antitumor activity of crizotinib in lung cancers harboring a MET exon 14 alteration. Nat Med. 2020;26(1):47-51. </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PMID: 31932802</w:t>
      </w:r>
      <w:r>
        <w:rPr>
          <w:rFonts w:ascii="Times New Roman" w:hAnsi="Times New Roman" w:cs="Times New Roman"/>
          <w:sz w:val="15"/>
          <w:szCs w:val="15"/>
          <w:shd w:val="clear" w:color="auto" w:fill="FFFFFF"/>
          <w:lang w:eastAsia="zh-CN"/>
        </w:rPr>
        <w:t>]</w:t>
      </w:r>
    </w:p>
    <w:p w14:paraId="1B7F5CF7">
      <w:pPr>
        <w:widowControl/>
        <w:adjustRightInd w:val="0"/>
        <w:snapToGrid w:val="0"/>
        <w:spacing w:after="120"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 xml:space="preserve">Paik PK, Felip E, Veillon R, </w:t>
      </w:r>
      <w:r>
        <w:rPr>
          <w:rFonts w:ascii="Times New Roman" w:hAnsi="Times New Roman" w:cs="Times New Roman"/>
          <w:sz w:val="15"/>
          <w:szCs w:val="15"/>
          <w:shd w:val="clear" w:color="auto" w:fill="FFFFFF"/>
          <w:lang w:eastAsia="zh-CN"/>
        </w:rPr>
        <w:t>et al</w:t>
      </w:r>
      <w:r>
        <w:rPr>
          <w:rFonts w:ascii="Times New Roman" w:hAnsi="Times New Roman" w:eastAsia="Segoe UI" w:cs="Times New Roman"/>
          <w:sz w:val="15"/>
          <w:szCs w:val="15"/>
          <w:shd w:val="clear" w:color="auto" w:fill="FFFFFF"/>
        </w:rPr>
        <w:t>. Tepotinib in non-small-cell lung cancer with</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i/>
          <w:iCs/>
          <w:sz w:val="15"/>
          <w:szCs w:val="15"/>
          <w:shd w:val="clear" w:color="auto" w:fill="FFFFFF"/>
        </w:rPr>
        <w:t>MET</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sz w:val="15"/>
          <w:szCs w:val="15"/>
          <w:shd w:val="clear" w:color="auto" w:fill="FFFFFF"/>
        </w:rPr>
        <w:t xml:space="preserve">exon 14 skipping mutations. N Engl J Med. 2020;383(10):931-943. </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PMID: 32469185</w:t>
      </w:r>
      <w:r>
        <w:rPr>
          <w:rFonts w:ascii="Times New Roman" w:hAnsi="Times New Roman" w:cs="Times New Roman"/>
          <w:sz w:val="15"/>
          <w:szCs w:val="15"/>
          <w:shd w:val="clear" w:color="auto" w:fill="FFFFFF"/>
          <w:lang w:eastAsia="zh-CN"/>
        </w:rPr>
        <w:t>]</w:t>
      </w:r>
    </w:p>
    <w:p w14:paraId="7B9C3F32">
      <w:pPr>
        <w:widowControl/>
        <w:adjustRightInd w:val="0"/>
        <w:snapToGrid w:val="0"/>
        <w:spacing w:after="120" w:afterLines="50"/>
        <w:jc w:val="both"/>
        <w:rPr>
          <w:rFonts w:ascii="Times New Roman" w:hAnsi="Times New Roman" w:cs="Times New Roman"/>
          <w:sz w:val="15"/>
          <w:szCs w:val="15"/>
        </w:rPr>
      </w:pPr>
      <w:r>
        <w:rPr>
          <w:rFonts w:ascii="Times New Roman" w:hAnsi="Times New Roman" w:cs="Times New Roman"/>
          <w:sz w:val="15"/>
          <w:szCs w:val="15"/>
        </w:rPr>
        <w:t xml:space="preserve">Doebele RC, Drilon A, Paz-Ares L, et al. Entrectinib in patients with advanced or metastatic NTRK fusion-positive solid tumours: integrated analysis of three phase 1-2 trials. Lancet Oncol. 2020;21(2):271-282. </w:t>
      </w:r>
      <w:r>
        <w:rPr>
          <w:rFonts w:ascii="Times New Roman" w:hAnsi="Times New Roman" w:cs="Times New Roman"/>
          <w:sz w:val="15"/>
          <w:szCs w:val="15"/>
          <w:lang w:eastAsia="zh-CN"/>
        </w:rPr>
        <w:t>[</w:t>
      </w:r>
      <w:r>
        <w:rPr>
          <w:rFonts w:ascii="Times New Roman" w:hAnsi="Times New Roman" w:cs="Times New Roman"/>
          <w:sz w:val="15"/>
          <w:szCs w:val="15"/>
        </w:rPr>
        <w:t>PMID: 31838007</w:t>
      </w:r>
      <w:r>
        <w:rPr>
          <w:rFonts w:ascii="Times New Roman" w:hAnsi="Times New Roman" w:cs="Times New Roman"/>
          <w:sz w:val="15"/>
          <w:szCs w:val="15"/>
          <w:lang w:eastAsia="zh-CN"/>
        </w:rPr>
        <w:t>]</w:t>
      </w:r>
    </w:p>
    <w:p w14:paraId="4E5C8D30">
      <w:pPr>
        <w:widowControl/>
        <w:adjustRightInd w:val="0"/>
        <w:snapToGrid w:val="0"/>
        <w:spacing w:after="120" w:afterLines="50"/>
        <w:jc w:val="both"/>
        <w:rPr>
          <w:rFonts w:ascii="Times New Roman" w:hAnsi="Times New Roman" w:cs="Times New Roman"/>
          <w:sz w:val="15"/>
          <w:szCs w:val="15"/>
        </w:rPr>
      </w:pPr>
      <w:r>
        <w:rPr>
          <w:rFonts w:ascii="Times New Roman" w:hAnsi="Times New Roman" w:cs="Times New Roman"/>
          <w:sz w:val="15"/>
          <w:szCs w:val="15"/>
        </w:rPr>
        <w:t xml:space="preserve">Hong DS, DuBois SG, Kummar S, et al. Larotrectinib in patients with TRK fusion-positive solid tumours: a pooled analysis of three phase 1/2 clinical trials. Lancet Oncol. 2020;21(4):531-540. </w:t>
      </w:r>
      <w:r>
        <w:rPr>
          <w:rFonts w:ascii="Times New Roman" w:hAnsi="Times New Roman" w:cs="Times New Roman"/>
          <w:sz w:val="15"/>
          <w:szCs w:val="15"/>
          <w:lang w:eastAsia="zh-CN"/>
        </w:rPr>
        <w:t>[</w:t>
      </w:r>
      <w:r>
        <w:rPr>
          <w:rFonts w:ascii="Times New Roman" w:hAnsi="Times New Roman" w:cs="Times New Roman"/>
          <w:sz w:val="15"/>
          <w:szCs w:val="15"/>
        </w:rPr>
        <w:t>PMID: 32105622</w:t>
      </w:r>
      <w:r>
        <w:rPr>
          <w:rFonts w:ascii="Times New Roman" w:hAnsi="Times New Roman" w:cs="Times New Roman"/>
          <w:sz w:val="15"/>
          <w:szCs w:val="15"/>
          <w:lang w:eastAsia="zh-CN"/>
        </w:rPr>
        <w:t>]</w:t>
      </w:r>
    </w:p>
    <w:p w14:paraId="4C1AB9CE">
      <w:pPr>
        <w:widowControl/>
        <w:adjustRightInd w:val="0"/>
        <w:snapToGrid w:val="0"/>
        <w:spacing w:after="120" w:afterLines="50"/>
        <w:jc w:val="both"/>
        <w:rPr>
          <w:rFonts w:ascii="Times New Roman" w:hAnsi="Times New Roman" w:cs="Times New Roman"/>
          <w:sz w:val="15"/>
          <w:szCs w:val="15"/>
        </w:rPr>
      </w:pPr>
      <w:r>
        <w:rPr>
          <w:rFonts w:ascii="Times New Roman" w:hAnsi="Times New Roman" w:cs="Times New Roman"/>
          <w:sz w:val="15"/>
          <w:szCs w:val="15"/>
        </w:rPr>
        <w:t xml:space="preserve">Jones RL, Serrano C, von Mehren M, et al. Avapritinib in unresectable or metastatic PDGFRA D842V-mutant gastrointestinal stromal tumours: Long-term efficacy and safety data from the NAVIGATOR phase I trial. Eur J Cancer. 2021;145:132-142. </w:t>
      </w:r>
      <w:r>
        <w:rPr>
          <w:rFonts w:ascii="Times New Roman" w:hAnsi="Times New Roman" w:cs="Times New Roman"/>
          <w:sz w:val="15"/>
          <w:szCs w:val="15"/>
          <w:lang w:eastAsia="zh-CN"/>
        </w:rPr>
        <w:t>[</w:t>
      </w:r>
      <w:r>
        <w:rPr>
          <w:rFonts w:ascii="Times New Roman" w:hAnsi="Times New Roman" w:cs="Times New Roman"/>
          <w:sz w:val="15"/>
          <w:szCs w:val="15"/>
        </w:rPr>
        <w:t>PMID: 33465704</w:t>
      </w:r>
      <w:r>
        <w:rPr>
          <w:rFonts w:ascii="Times New Roman" w:hAnsi="Times New Roman" w:cs="Times New Roman"/>
          <w:sz w:val="15"/>
          <w:szCs w:val="15"/>
          <w:lang w:eastAsia="zh-CN"/>
        </w:rPr>
        <w:t>]</w:t>
      </w:r>
    </w:p>
    <w:p w14:paraId="681180B2">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Bradford D, Larkins E, Mushti SL, et al. FDA approval summary: Selpercatinib for the treatment of lung and thyroid cancers with RET gene mutations or fusions. Clin Cancer Res. 2021;27(8):2130-2135</w:t>
      </w:r>
      <w:r>
        <w:rPr>
          <w:rFonts w:ascii="Times New Roman" w:hAnsi="Times New Roman" w:eastAsia="微软雅黑" w:cs="Times New Roman"/>
          <w:sz w:val="15"/>
          <w:szCs w:val="15"/>
          <w:lang w:eastAsia="zh-CN"/>
        </w:rPr>
        <w:t>. [PMID: 33239432]</w:t>
      </w:r>
    </w:p>
    <w:p w14:paraId="1F4F3FFF">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lang w:eastAsia="zh-CN"/>
        </w:rPr>
        <w:t>Drusbosky LM, Rodriguez E, Dawar R, et al. Therapeutic strategies in RET gene rearranged non-small cell lung cancer. J Hematol Oncol. 2021;14(1):50. [PMID: 33771190]</w:t>
      </w:r>
    </w:p>
    <w:p w14:paraId="46BC6B41">
      <w:pPr>
        <w:pStyle w:val="32"/>
        <w:adjustRightInd w:val="0"/>
        <w:snapToGrid w:val="0"/>
        <w:spacing w:after="120" w:afterLines="50"/>
        <w:ind w:firstLine="0" w:firstLineChars="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Drilon A, Siena S, Dziadziuszko R, et al. Entrectinib in ROS1 fusion-positive non-small-cell lung cancer: integrated analysis of three phase 1-2 trials. Lancet Oncol. 2020;21(2):261-270. [PMID: 31838015]</w:t>
      </w:r>
    </w:p>
    <w:p w14:paraId="156D324B">
      <w:pPr>
        <w:widowControl/>
        <w:adjustRightInd w:val="0"/>
        <w:snapToGrid w:val="0"/>
        <w:spacing w:after="120" w:afterLines="50"/>
        <w:jc w:val="both"/>
        <w:rPr>
          <w:rFonts w:ascii="Times New Roman" w:hAnsi="Times New Roman" w:eastAsia="微软雅黑" w:cs="Times New Roman"/>
          <w:sz w:val="15"/>
          <w:szCs w:val="15"/>
          <w:lang w:eastAsia="zh-CN"/>
        </w:rPr>
      </w:pPr>
      <w:r>
        <w:rPr>
          <w:rFonts w:hint="eastAsia" w:ascii="Times New Roman" w:hAnsi="Times New Roman" w:eastAsia="微软雅黑" w:cs="Times New Roman"/>
          <w:sz w:val="15"/>
          <w:szCs w:val="15"/>
          <w:lang w:eastAsia="zh-CN"/>
        </w:rPr>
        <w:t>Zhou C, Ramalingam SS, Kim TM, et al. Treatment Outcomes and Safety of Mobocertinib in Platinum-Pretreated Patients With EGFR Exon 20 Insertion-Positive Metastatic Non-Small Cell Lung Cancer: A Phase 1/2 Open-label Nonrandomized Clinical Trial. JAMA Oncol. 2021;7(12):e214761. [PMID: 34647988]</w:t>
      </w:r>
    </w:p>
    <w:p w14:paraId="622A929F">
      <w:pPr>
        <w:widowControl/>
        <w:adjustRightInd w:val="0"/>
        <w:snapToGrid w:val="0"/>
        <w:spacing w:after="120" w:afterLines="50"/>
        <w:jc w:val="both"/>
        <w:rPr>
          <w:rFonts w:hint="eastAsia" w:ascii="Times New Roman" w:hAnsi="Times New Roman" w:eastAsia="微软雅黑" w:cs="Times New Roman"/>
          <w:sz w:val="15"/>
          <w:szCs w:val="15"/>
          <w:lang w:eastAsia="zh-CN"/>
        </w:rPr>
      </w:pPr>
      <w:r>
        <w:rPr>
          <w:rFonts w:hint="eastAsia" w:ascii="Times New Roman" w:hAnsi="Times New Roman" w:eastAsia="微软雅黑" w:cs="Times New Roman"/>
          <w:sz w:val="15"/>
          <w:szCs w:val="15"/>
          <w:lang w:eastAsia="zh-CN"/>
        </w:rPr>
        <w:t>Zhao H, Yao W, Min X, et al. Apatinib Plus Gefitinib as First-Line Treatment in Advanced EGFR-Mutant NSCLC: The Phase III ACTIVE Study (CTONG1706). J Thorac Oncol. 2021;16(9):1533-1546. [PMID: 34033974]</w:t>
      </w:r>
    </w:p>
    <w:p w14:paraId="0608694E">
      <w:pPr>
        <w:widowControl/>
        <w:adjustRightInd w:val="0"/>
        <w:snapToGrid w:val="0"/>
        <w:spacing w:after="120" w:afterLines="50"/>
        <w:jc w:val="both"/>
        <w:rPr>
          <w:rFonts w:ascii="Times New Roman" w:hAnsi="Times New Roman" w:cs="Times New Roman"/>
          <w:sz w:val="15"/>
          <w:szCs w:val="15"/>
          <w:lang w:eastAsia="zh-CN"/>
        </w:rPr>
      </w:pPr>
      <w:r>
        <w:rPr>
          <w:rFonts w:hint="eastAsia" w:ascii="Times New Roman" w:hAnsi="Times New Roman" w:cs="Times New Roman"/>
          <w:sz w:val="15"/>
          <w:szCs w:val="15"/>
          <w:lang w:eastAsia="zh-CN"/>
        </w:rPr>
        <w:t>{% else %}</w:t>
      </w:r>
      <w:r>
        <w:rPr>
          <w:rFonts w:ascii="Times New Roman" w:hAnsi="Times New Roman" w:cs="Times New Roman"/>
          <w:sz w:val="15"/>
          <w:szCs w:val="15"/>
        </w:rPr>
        <w:t xml:space="preserve">Voss MH, Reising A, Cheng Y, </w:t>
      </w:r>
      <w:r>
        <w:rPr>
          <w:rFonts w:hint="eastAsia" w:ascii="Times New Roman" w:hAnsi="Times New Roman" w:cs="Times New Roman"/>
          <w:sz w:val="15"/>
          <w:szCs w:val="15"/>
          <w:lang w:eastAsia="zh-CN"/>
        </w:rPr>
        <w:t>et al</w:t>
      </w:r>
      <w:r>
        <w:rPr>
          <w:rFonts w:ascii="Times New Roman" w:hAnsi="Times New Roman" w:cs="Times New Roman"/>
          <w:sz w:val="15"/>
          <w:szCs w:val="15"/>
        </w:rPr>
        <w:t xml:space="preserve">. Genomically annotated risk model for advanced renal-cell carcinoma: a retrospective cohort study. Lancet Oncol. 2018 Dec;19(12):1688-1698. </w:t>
      </w:r>
      <w:r>
        <w:rPr>
          <w:rFonts w:hint="eastAsia" w:ascii="Times New Roman" w:hAnsi="Times New Roman" w:cs="Times New Roman"/>
          <w:sz w:val="15"/>
          <w:szCs w:val="15"/>
          <w:lang w:eastAsia="zh-CN"/>
        </w:rPr>
        <w:t>[</w:t>
      </w:r>
      <w:r>
        <w:rPr>
          <w:rFonts w:ascii="Times New Roman" w:hAnsi="Times New Roman" w:cs="Times New Roman"/>
          <w:sz w:val="15"/>
          <w:szCs w:val="15"/>
        </w:rPr>
        <w:t>PMID: 30416077</w:t>
      </w:r>
      <w:r>
        <w:rPr>
          <w:rFonts w:hint="eastAsia" w:ascii="Times New Roman" w:hAnsi="Times New Roman" w:cs="Times New Roman"/>
          <w:sz w:val="15"/>
          <w:szCs w:val="15"/>
          <w:lang w:eastAsia="zh-CN"/>
        </w:rPr>
        <w:t>]</w:t>
      </w:r>
    </w:p>
    <w:p w14:paraId="0AA5A576">
      <w:pPr>
        <w:widowControl/>
        <w:adjustRightInd w:val="0"/>
        <w:snapToGrid w:val="0"/>
        <w:spacing w:after="60" w:line="160" w:lineRule="exact"/>
        <w:jc w:val="both"/>
        <w:rPr>
          <w:rFonts w:ascii="Times New Roman" w:hAnsi="Times New Roman" w:cs="Times New Roman"/>
          <w:sz w:val="15"/>
          <w:szCs w:val="15"/>
          <w:lang w:eastAsia="zh-CN"/>
        </w:rPr>
      </w:pPr>
      <w:r>
        <w:rPr>
          <w:rFonts w:hint="eastAsia" w:ascii="Times New Roman" w:hAnsi="Times New Roman" w:cs="Times New Roman"/>
          <w:sz w:val="15"/>
          <w:szCs w:val="15"/>
          <w:lang w:eastAsia="zh-CN"/>
        </w:rPr>
        <w:t>Ricketts CJ, De Cubas AA, Fan H, et al. The Cancer Genome Atlas Comprehensive Molecular Characterization of Renal Cell Carcinoma. Cell Rep. 2018 Apr 3;23(1):313-326.e5. [PMID: 29617669]</w:t>
      </w:r>
    </w:p>
    <w:p w14:paraId="300E005D">
      <w:pPr>
        <w:widowControl/>
        <w:adjustRightInd w:val="0"/>
        <w:snapToGrid w:val="0"/>
        <w:spacing w:after="60" w:line="160" w:lineRule="exact"/>
        <w:jc w:val="both"/>
        <w:rPr>
          <w:rFonts w:ascii="Times New Roman" w:hAnsi="Times New Roman" w:cs="Times New Roman"/>
          <w:sz w:val="15"/>
          <w:szCs w:val="15"/>
          <w:lang w:eastAsia="zh-CN"/>
        </w:rPr>
      </w:pPr>
      <w:r>
        <w:rPr>
          <w:rFonts w:hint="eastAsia" w:ascii="Times New Roman" w:hAnsi="Times New Roman" w:cs="Times New Roman"/>
          <w:sz w:val="15"/>
          <w:szCs w:val="15"/>
          <w:lang w:eastAsia="zh-CN"/>
        </w:rPr>
        <w:t>Casuscelli J, Becerra MF, Manley BJ, et al. Characterization and Impact of TERT Promoter Region Mutations on Clinical Outcome in Renal Cell Carcinoma. Eur Urol Focus. 2019 Jul;5(4):642-649.[PMID: 28951115].</w:t>
      </w:r>
    </w:p>
    <w:p w14:paraId="134BE356">
      <w:pPr>
        <w:widowControl/>
        <w:adjustRightInd w:val="0"/>
        <w:snapToGrid w:val="0"/>
        <w:spacing w:after="60" w:line="160" w:lineRule="exact"/>
        <w:jc w:val="both"/>
        <w:rPr>
          <w:rFonts w:ascii="Times New Roman" w:hAnsi="Times New Roman" w:cs="Times New Roman"/>
          <w:sz w:val="15"/>
          <w:szCs w:val="15"/>
          <w:lang w:eastAsia="zh-CN"/>
        </w:rPr>
      </w:pPr>
      <w:r>
        <w:rPr>
          <w:rFonts w:hint="eastAsia" w:ascii="Times New Roman" w:hAnsi="Times New Roman" w:cs="Times New Roman"/>
          <w:sz w:val="15"/>
          <w:szCs w:val="15"/>
          <w:lang w:eastAsia="zh-CN"/>
        </w:rPr>
        <w:t>Pal SK, Sonpavde G, Agarwal N, et al. Evolution of Circulating Tumor DNA Profile from First-line to Subsequent Therapy in Metastatic Renal Cell Carcinoma. Eur Urol. 2017 Oct;72(4):557-564. [PMID: 28413127]</w:t>
      </w:r>
    </w:p>
    <w:p w14:paraId="7226C6D2">
      <w:pPr>
        <w:widowControl/>
        <w:adjustRightInd w:val="0"/>
        <w:snapToGrid w:val="0"/>
        <w:spacing w:after="60" w:line="160" w:lineRule="exact"/>
        <w:jc w:val="both"/>
        <w:rPr>
          <w:rFonts w:ascii="Times New Roman" w:hAnsi="Times New Roman" w:cs="Times New Roman"/>
          <w:sz w:val="15"/>
          <w:szCs w:val="15"/>
          <w:lang w:eastAsia="zh-CN"/>
        </w:rPr>
      </w:pPr>
      <w:r>
        <w:rPr>
          <w:rFonts w:hint="eastAsia" w:ascii="Times New Roman" w:hAnsi="Times New Roman" w:cs="Times New Roman"/>
          <w:sz w:val="15"/>
          <w:szCs w:val="15"/>
          <w:lang w:eastAsia="zh-CN"/>
        </w:rPr>
        <w:t>Na R, Zheng SL, Han M, et al. Germline Mutations in ATM and BRCA1/2 Distinguish Risk for Lethal and Indolent Prostate Cancer and are Associated with Early Age at Death. Eur Urol. 2017 May;71(5):740-747.[PMID: 27989354].</w:t>
      </w:r>
    </w:p>
    <w:p w14:paraId="28EDBAA2">
      <w:pPr>
        <w:widowControl/>
        <w:adjustRightInd w:val="0"/>
        <w:snapToGrid w:val="0"/>
        <w:spacing w:after="60" w:line="160" w:lineRule="exact"/>
        <w:jc w:val="both"/>
        <w:rPr>
          <w:rFonts w:ascii="Times New Roman" w:hAnsi="Times New Roman" w:cs="Times New Roman"/>
          <w:sz w:val="15"/>
          <w:szCs w:val="15"/>
          <w:lang w:eastAsia="zh-CN"/>
        </w:rPr>
      </w:pPr>
      <w:r>
        <w:rPr>
          <w:rFonts w:hint="eastAsia" w:ascii="Times New Roman" w:hAnsi="Times New Roman" w:cs="Times New Roman"/>
          <w:sz w:val="15"/>
          <w:szCs w:val="15"/>
          <w:lang w:eastAsia="zh-CN"/>
        </w:rPr>
        <w:t>Castro E, Goh C, Olmos D, et al. Germline BRCA mutations are associated with higher risk of nodal involvement, distant metastasis, and poor survival outcomes in prostate cancer. J Clin Oncol. 2013 May 10;31(14):1748-57. [PMID: 23569316]</w:t>
      </w:r>
    </w:p>
    <w:p w14:paraId="06369B75">
      <w:pPr>
        <w:widowControl/>
        <w:adjustRightInd w:val="0"/>
        <w:snapToGrid w:val="0"/>
        <w:spacing w:after="60" w:line="160" w:lineRule="exact"/>
        <w:jc w:val="both"/>
        <w:rPr>
          <w:rFonts w:ascii="Times New Roman" w:hAnsi="Times New Roman" w:cs="Times New Roman"/>
          <w:sz w:val="15"/>
          <w:szCs w:val="15"/>
          <w:lang w:eastAsia="zh-CN"/>
        </w:rPr>
      </w:pPr>
      <w:r>
        <w:rPr>
          <w:rFonts w:hint="eastAsia" w:ascii="Times New Roman" w:hAnsi="Times New Roman" w:cs="Times New Roman"/>
          <w:sz w:val="15"/>
          <w:szCs w:val="15"/>
          <w:lang w:eastAsia="zh-CN"/>
        </w:rPr>
        <w:t>Castro E, Romero-Laorden N, Del Pozo A, et al. PROREPAIR-B: A Prospective Cohort Study of the Impact of Germline DNA Repair Mutations on the Outcomes of Patients With Metastatic Castration-Resistant Prostate Cancer. J Clin Oncol. 2019 Feb 20;37(6):490-503. [PMID: 30625039]</w:t>
      </w:r>
    </w:p>
    <w:p w14:paraId="73749785">
      <w:pPr>
        <w:widowControl/>
        <w:adjustRightInd w:val="0"/>
        <w:snapToGrid w:val="0"/>
        <w:spacing w:after="60" w:line="160" w:lineRule="exact"/>
        <w:jc w:val="both"/>
        <w:rPr>
          <w:rFonts w:ascii="Times New Roman" w:hAnsi="Times New Roman" w:cs="Times New Roman"/>
          <w:sz w:val="15"/>
          <w:szCs w:val="15"/>
          <w:lang w:eastAsia="zh-CN"/>
        </w:rPr>
      </w:pPr>
      <w:r>
        <w:rPr>
          <w:rFonts w:hint="eastAsia" w:ascii="Times New Roman" w:hAnsi="Times New Roman" w:cs="Times New Roman"/>
          <w:sz w:val="15"/>
          <w:szCs w:val="15"/>
          <w:lang w:eastAsia="zh-CN"/>
        </w:rPr>
        <w:t>Lv SD, Wang HY, Yu XP, et al. Integrative molecular characterization of Chinese prostate cancer specimens. Asian J Androl. 2020 Mar-Apr;22(2):162-168. [PMID: 31134918]</w:t>
      </w:r>
    </w:p>
    <w:p w14:paraId="2C3E3163">
      <w:pPr>
        <w:widowControl/>
        <w:adjustRightInd w:val="0"/>
        <w:snapToGrid w:val="0"/>
        <w:spacing w:after="60" w:line="160" w:lineRule="exact"/>
        <w:jc w:val="both"/>
        <w:rPr>
          <w:rFonts w:ascii="Times New Roman" w:hAnsi="Times New Roman" w:cs="Times New Roman"/>
          <w:sz w:val="15"/>
          <w:szCs w:val="15"/>
          <w:lang w:eastAsia="zh-CN"/>
        </w:rPr>
      </w:pPr>
      <w:r>
        <w:rPr>
          <w:rFonts w:hint="eastAsia" w:ascii="Times New Roman" w:hAnsi="Times New Roman" w:cs="Times New Roman"/>
          <w:sz w:val="15"/>
          <w:szCs w:val="15"/>
          <w:lang w:eastAsia="zh-CN"/>
        </w:rPr>
        <w:t>Reimers MA, Yip SM, Zhang L, et al. Clinical Outcomes in Cyclin-dependent Kinase 12 Mutant Advanced Prostate Cancer. Eur Urol. 2020 Mar;77(3):333-341. [PMID: 31640893]</w:t>
      </w:r>
    </w:p>
    <w:p w14:paraId="0B35551C">
      <w:pPr>
        <w:widowControl/>
        <w:adjustRightInd w:val="0"/>
        <w:snapToGrid w:val="0"/>
        <w:spacing w:after="60" w:line="160" w:lineRule="exact"/>
        <w:jc w:val="both"/>
        <w:rPr>
          <w:rFonts w:ascii="Times New Roman" w:hAnsi="Times New Roman" w:cs="Times New Roman"/>
          <w:sz w:val="15"/>
          <w:szCs w:val="15"/>
          <w:lang w:eastAsia="zh-CN"/>
        </w:rPr>
      </w:pPr>
      <w:r>
        <w:rPr>
          <w:rFonts w:hint="eastAsia" w:ascii="Times New Roman" w:hAnsi="Times New Roman" w:cs="Times New Roman"/>
          <w:sz w:val="15"/>
          <w:szCs w:val="15"/>
          <w:lang w:eastAsia="zh-CN"/>
        </w:rPr>
        <w:t>Nguyen B, Mota JM, Nandakumar S, et al. Pan-cancer Analysis of CDK12 Alterations Identifies a Subset of Prostate Cancers with Distinct Genomic and Clinical Characteristics. Eur Urol. 2020 Nov;78(5):671-679. [PMID: 32317181]</w:t>
      </w:r>
    </w:p>
    <w:p w14:paraId="47D5F556">
      <w:pPr>
        <w:widowControl/>
        <w:adjustRightInd w:val="0"/>
        <w:snapToGrid w:val="0"/>
        <w:spacing w:after="60" w:line="160" w:lineRule="exact"/>
        <w:jc w:val="both"/>
        <w:rPr>
          <w:rFonts w:ascii="Times New Roman" w:hAnsi="Times New Roman" w:cs="Times New Roman"/>
          <w:sz w:val="15"/>
          <w:szCs w:val="15"/>
          <w:lang w:eastAsia="zh-CN"/>
        </w:rPr>
      </w:pPr>
      <w:r>
        <w:rPr>
          <w:rFonts w:hint="eastAsia" w:ascii="Times New Roman" w:hAnsi="Times New Roman" w:cs="Times New Roman"/>
          <w:sz w:val="15"/>
          <w:szCs w:val="15"/>
          <w:lang w:eastAsia="zh-CN"/>
        </w:rPr>
        <w:t>Sanda MG, Feng Z, Howard DH, et al. Association Between Combined TMPRSS2:ERG and PCA3 RNA Urinary Testing and Detection of Aggressive Prostate Cancer. JAMA Oncol. 2017 Aug 1;3(8):1085-1093.[PMID: 28520829]</w:t>
      </w:r>
    </w:p>
    <w:p w14:paraId="43D589FA">
      <w:pPr>
        <w:widowControl/>
        <w:adjustRightInd w:val="0"/>
        <w:snapToGrid w:val="0"/>
        <w:spacing w:after="60" w:line="160" w:lineRule="exact"/>
        <w:jc w:val="both"/>
        <w:rPr>
          <w:rFonts w:ascii="Times New Roman" w:hAnsi="Times New Roman" w:cs="Times New Roman"/>
          <w:sz w:val="15"/>
          <w:szCs w:val="15"/>
          <w:lang w:eastAsia="zh-CN"/>
        </w:rPr>
      </w:pPr>
      <w:r>
        <w:rPr>
          <w:rFonts w:hint="eastAsia" w:ascii="Times New Roman" w:hAnsi="Times New Roman" w:cs="Times New Roman"/>
          <w:sz w:val="15"/>
          <w:szCs w:val="15"/>
          <w:lang w:eastAsia="zh-CN"/>
        </w:rPr>
        <w:t>Reig Ò, Marín-Aguilera M, Carrera G, et al. TMPRSS2-ERG in Blood and Docetaxel Resistance in Metastatic Castration-resistant Prostate Cancer. Eur Urol. 2016 Nov;70(5):709-713. [PMID: 26948395]</w:t>
      </w:r>
    </w:p>
    <w:p w14:paraId="5FFFC626">
      <w:pPr>
        <w:widowControl/>
        <w:adjustRightInd w:val="0"/>
        <w:snapToGrid w:val="0"/>
        <w:spacing w:after="60" w:line="160" w:lineRule="exact"/>
        <w:jc w:val="both"/>
        <w:rPr>
          <w:rFonts w:ascii="Times New Roman" w:hAnsi="Times New Roman" w:cs="Times New Roman"/>
          <w:sz w:val="15"/>
          <w:szCs w:val="15"/>
          <w:lang w:eastAsia="zh-CN"/>
        </w:rPr>
      </w:pPr>
      <w:r>
        <w:rPr>
          <w:rFonts w:hint="eastAsia" w:ascii="Times New Roman" w:hAnsi="Times New Roman" w:cs="Times New Roman"/>
          <w:sz w:val="15"/>
          <w:szCs w:val="15"/>
          <w:lang w:eastAsia="zh-CN"/>
        </w:rPr>
        <w:t>Adams EJ, Karthaus WR, Hoover E, et al. FOXA1 mutations alter pioneering activity, differentiation and prostate cancer phenotypes. Nature. 2019 Jul;571(7765):408-412. [PMID: 31243370]</w:t>
      </w:r>
    </w:p>
    <w:p w14:paraId="0CCFA711">
      <w:pPr>
        <w:widowControl/>
        <w:adjustRightInd w:val="0"/>
        <w:snapToGrid w:val="0"/>
        <w:spacing w:after="60" w:line="160" w:lineRule="exact"/>
        <w:jc w:val="both"/>
        <w:rPr>
          <w:rFonts w:ascii="Times New Roman" w:hAnsi="Times New Roman" w:cs="Times New Roman"/>
          <w:sz w:val="15"/>
          <w:szCs w:val="15"/>
          <w:lang w:eastAsia="zh-CN"/>
        </w:rPr>
      </w:pPr>
      <w:r>
        <w:rPr>
          <w:rFonts w:hint="eastAsia" w:ascii="Times New Roman" w:hAnsi="Times New Roman" w:cs="Times New Roman"/>
          <w:sz w:val="15"/>
          <w:szCs w:val="15"/>
          <w:lang w:eastAsia="zh-CN"/>
        </w:rPr>
        <w:t>Pearson HB, Li J, Meniel VS, et al. Identification of Pik3ca Mutation as a Genetic Driver of Prostate Cancer That Cooperates with Pten Loss to Accelerate Progression and Castration-Resistant Growth. Cancer Discov. 2018 Jun;8(6):764-779. [PMID: 29581176]</w:t>
      </w:r>
    </w:p>
    <w:p w14:paraId="7D7CC62A">
      <w:pPr>
        <w:widowControl/>
        <w:adjustRightInd w:val="0"/>
        <w:snapToGrid w:val="0"/>
        <w:spacing w:after="60" w:line="160" w:lineRule="exact"/>
        <w:jc w:val="both"/>
        <w:rPr>
          <w:rFonts w:ascii="Times New Roman" w:hAnsi="Times New Roman" w:cs="Times New Roman"/>
          <w:sz w:val="15"/>
          <w:szCs w:val="15"/>
          <w:lang w:eastAsia="zh-CN"/>
        </w:rPr>
      </w:pPr>
      <w:r>
        <w:rPr>
          <w:rFonts w:hint="eastAsia" w:ascii="Times New Roman" w:hAnsi="Times New Roman" w:cs="Times New Roman"/>
          <w:sz w:val="15"/>
          <w:szCs w:val="15"/>
          <w:lang w:eastAsia="zh-CN"/>
        </w:rPr>
        <w:t>Ferraldeschi R, Nava Rodrigues D, Riisnaes R, et al. PTEN protein loss and clinical outcome from castration-resistant prostate cancer treated with abiraterone acetate. Eur Urol. 2015 Apr;67(4):795-802. [PMID: 25454616]</w:t>
      </w:r>
    </w:p>
    <w:p w14:paraId="0F10F9B8">
      <w:pPr>
        <w:widowControl/>
        <w:adjustRightInd w:val="0"/>
        <w:snapToGrid w:val="0"/>
        <w:spacing w:after="60" w:line="160" w:lineRule="exact"/>
        <w:jc w:val="both"/>
        <w:rPr>
          <w:rFonts w:ascii="Times New Roman" w:hAnsi="Times New Roman" w:cs="Times New Roman"/>
          <w:sz w:val="15"/>
          <w:szCs w:val="15"/>
          <w:lang w:eastAsia="zh-CN"/>
        </w:rPr>
      </w:pPr>
      <w:r>
        <w:rPr>
          <w:rFonts w:hint="eastAsia" w:ascii="Times New Roman" w:hAnsi="Times New Roman" w:cs="Times New Roman"/>
          <w:sz w:val="15"/>
          <w:szCs w:val="15"/>
          <w:lang w:eastAsia="zh-CN"/>
        </w:rPr>
        <w:t>Hamid AA, Gray KP, Shaw G, et al. Compound Genomic Alterations of TP53, PTEN, and RB1 Tumor Suppressors in Localized and Metastatic Prostate Cancer. Eur Urol. 2019 Jul;76(1):89-97. [PMID: 30553611].</w:t>
      </w:r>
    </w:p>
    <w:p w14:paraId="31C1F285">
      <w:pPr>
        <w:widowControl/>
        <w:adjustRightInd w:val="0"/>
        <w:snapToGrid w:val="0"/>
        <w:spacing w:after="60" w:line="160" w:lineRule="exact"/>
        <w:jc w:val="both"/>
        <w:rPr>
          <w:rFonts w:ascii="Times New Roman" w:hAnsi="Times New Roman" w:cs="Times New Roman"/>
          <w:sz w:val="15"/>
          <w:szCs w:val="15"/>
          <w:lang w:eastAsia="zh-CN"/>
        </w:rPr>
      </w:pPr>
      <w:r>
        <w:rPr>
          <w:rFonts w:hint="eastAsia" w:ascii="Times New Roman" w:hAnsi="Times New Roman" w:cs="Times New Roman"/>
          <w:sz w:val="15"/>
          <w:szCs w:val="15"/>
          <w:lang w:eastAsia="zh-CN"/>
        </w:rPr>
        <w:t>Yoshimoto M, Cunha IW, Coudry RA, et al. FISH analysis of 107 prostate cancers shows that PTEN genomic deletion is associated with poor clinical outcome. Br J Cancer. 2007 Sep 3;97(5):678-85. [PMID: 17700571]</w:t>
      </w:r>
    </w:p>
    <w:p w14:paraId="34C41A3A">
      <w:pPr>
        <w:widowControl/>
        <w:adjustRightInd w:val="0"/>
        <w:snapToGrid w:val="0"/>
        <w:spacing w:after="60" w:line="160" w:lineRule="exact"/>
        <w:jc w:val="both"/>
        <w:rPr>
          <w:rFonts w:ascii="Times New Roman" w:hAnsi="Times New Roman" w:cs="Times New Roman"/>
          <w:sz w:val="15"/>
          <w:szCs w:val="15"/>
          <w:lang w:eastAsia="zh-CN"/>
        </w:rPr>
      </w:pPr>
      <w:r>
        <w:rPr>
          <w:rFonts w:hint="eastAsia" w:ascii="Times New Roman" w:hAnsi="Times New Roman" w:cs="Times New Roman"/>
          <w:sz w:val="15"/>
          <w:szCs w:val="15"/>
          <w:lang w:eastAsia="zh-CN"/>
        </w:rPr>
        <w:t>Chen WS, Aggarwal R, Zhang L, et al. Genomic Drivers of Poor Prognosis and Enzalutamide Resistance in Metastatic Castration-resistant Prostate Cancer. Eur Urol. 2019 Nov;76(5):562-571. [PMID: 30928160]</w:t>
      </w:r>
    </w:p>
    <w:p w14:paraId="71142652">
      <w:pPr>
        <w:widowControl/>
        <w:adjustRightInd w:val="0"/>
        <w:snapToGrid w:val="0"/>
        <w:spacing w:after="60" w:line="160" w:lineRule="exact"/>
        <w:jc w:val="both"/>
        <w:rPr>
          <w:rFonts w:ascii="Times New Roman" w:hAnsi="Times New Roman" w:cs="Times New Roman"/>
          <w:sz w:val="15"/>
          <w:szCs w:val="15"/>
          <w:lang w:eastAsia="zh-CN"/>
        </w:rPr>
      </w:pPr>
      <w:r>
        <w:rPr>
          <w:rFonts w:hint="eastAsia" w:ascii="Times New Roman" w:hAnsi="Times New Roman" w:cs="Times New Roman"/>
          <w:sz w:val="15"/>
          <w:szCs w:val="15"/>
          <w:lang w:eastAsia="zh-CN"/>
        </w:rPr>
        <w:t>Ku SY, Rosario S, Wang Y, et al. Rb1 and Trp53 cooperate to suppress prostate cancer lineage plasticity, metastasis, and antiandrogen resistance. Science. 2017 Jan 6;355(6320):78-83. [PMID: 28059767]</w:t>
      </w:r>
    </w:p>
    <w:p w14:paraId="15F30D85">
      <w:pPr>
        <w:widowControl/>
        <w:adjustRightInd w:val="0"/>
        <w:snapToGrid w:val="0"/>
        <w:spacing w:after="60" w:line="160" w:lineRule="exact"/>
        <w:jc w:val="both"/>
        <w:rPr>
          <w:rFonts w:ascii="Times New Roman" w:hAnsi="Times New Roman" w:cs="Times New Roman"/>
          <w:sz w:val="15"/>
          <w:szCs w:val="15"/>
          <w:lang w:eastAsia="zh-CN"/>
        </w:rPr>
      </w:pPr>
      <w:r>
        <w:rPr>
          <w:rFonts w:hint="eastAsia" w:ascii="Times New Roman" w:hAnsi="Times New Roman" w:cs="Times New Roman"/>
          <w:sz w:val="15"/>
          <w:szCs w:val="15"/>
          <w:lang w:eastAsia="zh-CN"/>
        </w:rPr>
        <w:t>Kim PH, Cha EK, Sfakianos JP, et al. Genomic predictors of survival in patients with high-grade urothelial carcinoma of the bladder. Eur Urol. 2015 Feb;67(2):198-201. [PMID: 25092538]</w:t>
      </w:r>
    </w:p>
    <w:p w14:paraId="732090BA">
      <w:pPr>
        <w:widowControl/>
        <w:adjustRightInd w:val="0"/>
        <w:snapToGrid w:val="0"/>
        <w:spacing w:after="60" w:line="160" w:lineRule="exact"/>
        <w:jc w:val="both"/>
        <w:rPr>
          <w:rFonts w:ascii="Times New Roman" w:hAnsi="Times New Roman" w:cs="Times New Roman"/>
          <w:sz w:val="15"/>
          <w:szCs w:val="15"/>
          <w:lang w:eastAsia="zh-CN"/>
        </w:rPr>
      </w:pPr>
      <w:r>
        <w:rPr>
          <w:rFonts w:ascii="Times New Roman" w:hAnsi="Times New Roman" w:cs="Times New Roman"/>
          <w:sz w:val="15"/>
          <w:szCs w:val="15"/>
          <w:lang w:eastAsia="zh-CN"/>
        </w:rPr>
        <w:t xml:space="preserve">Pietzak EJ, Bagrodia A, Cha EK, </w:t>
      </w:r>
      <w:r>
        <w:rPr>
          <w:rFonts w:hint="eastAsia" w:ascii="Times New Roman" w:hAnsi="Times New Roman" w:cs="Times New Roman"/>
          <w:sz w:val="15"/>
          <w:szCs w:val="15"/>
          <w:lang w:eastAsia="zh-CN"/>
        </w:rPr>
        <w:t>et al</w:t>
      </w:r>
      <w:r>
        <w:rPr>
          <w:rFonts w:ascii="Times New Roman" w:hAnsi="Times New Roman" w:cs="Times New Roman"/>
          <w:sz w:val="15"/>
          <w:szCs w:val="15"/>
          <w:lang w:eastAsia="zh-CN"/>
        </w:rPr>
        <w:t xml:space="preserve">. Next-generation Sequencing of Nonmuscle Invasive Bladder Cancer Reveals Potential Biomarkers and Rational Therapeutic Targets. Eur Urol. 2017 Dec;72(6):952-959. </w:t>
      </w:r>
      <w:r>
        <w:rPr>
          <w:rFonts w:hint="eastAsia" w:ascii="Times New Roman" w:hAnsi="Times New Roman" w:cs="Times New Roman"/>
          <w:sz w:val="15"/>
          <w:szCs w:val="15"/>
          <w:lang w:eastAsia="zh-CN"/>
        </w:rPr>
        <w:t>[</w:t>
      </w:r>
      <w:r>
        <w:rPr>
          <w:rFonts w:ascii="Times New Roman" w:hAnsi="Times New Roman" w:cs="Times New Roman"/>
          <w:sz w:val="15"/>
          <w:szCs w:val="15"/>
          <w:lang w:eastAsia="zh-CN"/>
        </w:rPr>
        <w:t>PMID: 28583311</w:t>
      </w:r>
      <w:r>
        <w:rPr>
          <w:rFonts w:hint="eastAsia" w:ascii="Times New Roman" w:hAnsi="Times New Roman" w:cs="Times New Roman"/>
          <w:sz w:val="15"/>
          <w:szCs w:val="15"/>
          <w:lang w:eastAsia="zh-CN"/>
        </w:rPr>
        <w:t>]</w:t>
      </w:r>
    </w:p>
    <w:p w14:paraId="0F9106A3">
      <w:pPr>
        <w:widowControl/>
        <w:adjustRightInd w:val="0"/>
        <w:snapToGrid w:val="0"/>
        <w:spacing w:after="60" w:line="160" w:lineRule="exact"/>
        <w:jc w:val="both"/>
        <w:rPr>
          <w:rFonts w:ascii="Times New Roman" w:hAnsi="Times New Roman" w:cs="Times New Roman"/>
          <w:sz w:val="15"/>
          <w:szCs w:val="15"/>
          <w:lang w:eastAsia="zh-CN"/>
        </w:rPr>
      </w:pPr>
      <w:r>
        <w:rPr>
          <w:rFonts w:ascii="Times New Roman" w:hAnsi="Times New Roman" w:cs="Times New Roman"/>
          <w:sz w:val="15"/>
          <w:szCs w:val="15"/>
          <w:lang w:eastAsia="zh-CN"/>
        </w:rPr>
        <w:t>Yap KL, Kiyotani K, Tamura K,</w:t>
      </w:r>
      <w:r>
        <w:rPr>
          <w:rFonts w:hint="eastAsia" w:ascii="Times New Roman" w:hAnsi="Times New Roman" w:cs="Times New Roman"/>
          <w:sz w:val="15"/>
          <w:szCs w:val="15"/>
          <w:lang w:eastAsia="zh-CN"/>
        </w:rPr>
        <w:t>et al</w:t>
      </w:r>
      <w:r>
        <w:rPr>
          <w:rFonts w:ascii="Times New Roman" w:hAnsi="Times New Roman" w:cs="Times New Roman"/>
          <w:sz w:val="15"/>
          <w:szCs w:val="15"/>
          <w:lang w:eastAsia="zh-CN"/>
        </w:rPr>
        <w:t>. Whole-exome sequencing of muscle-invasive bladder cancer identifies recurrent mutations of UNC5C and prognostic importance of DNA repair gene mutations on survival. Clin Cancer Res. 2014 Dec 15;20(24):6605-17.</w:t>
      </w:r>
      <w:r>
        <w:rPr>
          <w:rFonts w:hint="eastAsia" w:ascii="Times New Roman" w:hAnsi="Times New Roman" w:cs="Times New Roman"/>
          <w:sz w:val="15"/>
          <w:szCs w:val="15"/>
          <w:lang w:eastAsia="zh-CN"/>
        </w:rPr>
        <w:t>[</w:t>
      </w:r>
      <w:r>
        <w:rPr>
          <w:rFonts w:ascii="Times New Roman" w:hAnsi="Times New Roman" w:cs="Times New Roman"/>
          <w:sz w:val="15"/>
          <w:szCs w:val="15"/>
          <w:lang w:eastAsia="zh-CN"/>
        </w:rPr>
        <w:t xml:space="preserve"> PMID: 25316812</w:t>
      </w:r>
      <w:r>
        <w:rPr>
          <w:rFonts w:hint="eastAsia" w:ascii="Times New Roman" w:hAnsi="Times New Roman" w:cs="Times New Roman"/>
          <w:sz w:val="15"/>
          <w:szCs w:val="15"/>
          <w:lang w:eastAsia="zh-CN"/>
        </w:rPr>
        <w:t>]</w:t>
      </w:r>
    </w:p>
    <w:p w14:paraId="5E457642">
      <w:pPr>
        <w:widowControl/>
        <w:adjustRightInd w:val="0"/>
        <w:snapToGrid w:val="0"/>
        <w:spacing w:after="60" w:line="160" w:lineRule="exact"/>
        <w:jc w:val="both"/>
        <w:rPr>
          <w:rFonts w:ascii="Times New Roman" w:hAnsi="Times New Roman" w:cs="Times New Roman"/>
          <w:sz w:val="15"/>
          <w:szCs w:val="15"/>
          <w:lang w:eastAsia="zh-CN"/>
        </w:rPr>
      </w:pPr>
      <w:r>
        <w:rPr>
          <w:rFonts w:ascii="Times New Roman" w:hAnsi="Times New Roman" w:cs="Times New Roman"/>
          <w:sz w:val="15"/>
          <w:szCs w:val="15"/>
          <w:lang w:eastAsia="zh-CN"/>
        </w:rPr>
        <w:t xml:space="preserve">Audenet F, Isharwal S, Cha EK, </w:t>
      </w:r>
      <w:r>
        <w:rPr>
          <w:rFonts w:hint="eastAsia" w:ascii="Times New Roman" w:hAnsi="Times New Roman" w:cs="Times New Roman"/>
          <w:sz w:val="15"/>
          <w:szCs w:val="15"/>
          <w:lang w:eastAsia="zh-CN"/>
        </w:rPr>
        <w:t>et al</w:t>
      </w:r>
      <w:r>
        <w:rPr>
          <w:rFonts w:ascii="Times New Roman" w:hAnsi="Times New Roman" w:cs="Times New Roman"/>
          <w:sz w:val="15"/>
          <w:szCs w:val="15"/>
          <w:lang w:eastAsia="zh-CN"/>
        </w:rPr>
        <w:t>. Clonal Relatedness and Mutational Differences between Upper Tract and Bladder Urothelial Carcinoma. Clin Cancer Res. 2019 Feb 1;25(3):967-976.</w:t>
      </w:r>
      <w:r>
        <w:rPr>
          <w:rFonts w:hint="eastAsia" w:ascii="Times New Roman" w:hAnsi="Times New Roman" w:cs="Times New Roman"/>
          <w:sz w:val="15"/>
          <w:szCs w:val="15"/>
          <w:lang w:eastAsia="zh-CN"/>
        </w:rPr>
        <w:t>[</w:t>
      </w:r>
      <w:r>
        <w:rPr>
          <w:rFonts w:ascii="Times New Roman" w:hAnsi="Times New Roman" w:cs="Times New Roman"/>
          <w:sz w:val="15"/>
          <w:szCs w:val="15"/>
          <w:lang w:eastAsia="zh-CN"/>
        </w:rPr>
        <w:t>PMID: 30352907</w:t>
      </w:r>
      <w:r>
        <w:rPr>
          <w:rFonts w:hint="eastAsia" w:ascii="Times New Roman" w:hAnsi="Times New Roman" w:cs="Times New Roman"/>
          <w:sz w:val="15"/>
          <w:szCs w:val="15"/>
          <w:lang w:eastAsia="zh-CN"/>
        </w:rPr>
        <w:t>]</w:t>
      </w:r>
    </w:p>
    <w:p w14:paraId="7904D109">
      <w:pPr>
        <w:widowControl/>
        <w:adjustRightInd w:val="0"/>
        <w:snapToGrid w:val="0"/>
        <w:spacing w:after="60" w:line="160" w:lineRule="exact"/>
        <w:jc w:val="both"/>
        <w:rPr>
          <w:rFonts w:ascii="Times New Roman" w:hAnsi="Times New Roman" w:cs="Times New Roman"/>
          <w:sz w:val="15"/>
          <w:szCs w:val="15"/>
          <w:lang w:eastAsia="zh-CN"/>
        </w:rPr>
      </w:pPr>
      <w:r>
        <w:rPr>
          <w:rFonts w:ascii="Times New Roman" w:hAnsi="Times New Roman" w:cs="Times New Roman"/>
          <w:sz w:val="15"/>
          <w:szCs w:val="15"/>
          <w:lang w:eastAsia="zh-CN"/>
        </w:rPr>
        <w:t xml:space="preserve">Nassar AH, Umeton R, Kim J, </w:t>
      </w:r>
      <w:r>
        <w:rPr>
          <w:rFonts w:hint="eastAsia" w:ascii="Times New Roman" w:hAnsi="Times New Roman" w:cs="Times New Roman"/>
          <w:sz w:val="15"/>
          <w:szCs w:val="15"/>
          <w:lang w:eastAsia="zh-CN"/>
        </w:rPr>
        <w:t>et al</w:t>
      </w:r>
      <w:r>
        <w:rPr>
          <w:rFonts w:ascii="Times New Roman" w:hAnsi="Times New Roman" w:cs="Times New Roman"/>
          <w:sz w:val="15"/>
          <w:szCs w:val="15"/>
          <w:lang w:eastAsia="zh-CN"/>
        </w:rPr>
        <w:t xml:space="preserve">. Mutational Analysis of 472 Urothelial Carcinoma Across Grades and Anatomic Sites. Clin Cancer Res. 2019 Apr 15;25(8):2458-2470. </w:t>
      </w:r>
      <w:r>
        <w:rPr>
          <w:rFonts w:hint="eastAsia" w:ascii="Times New Roman" w:hAnsi="Times New Roman" w:cs="Times New Roman"/>
          <w:sz w:val="15"/>
          <w:szCs w:val="15"/>
          <w:lang w:eastAsia="zh-CN"/>
        </w:rPr>
        <w:t>[</w:t>
      </w:r>
      <w:r>
        <w:rPr>
          <w:rFonts w:ascii="Times New Roman" w:hAnsi="Times New Roman" w:cs="Times New Roman"/>
          <w:sz w:val="15"/>
          <w:szCs w:val="15"/>
          <w:lang w:eastAsia="zh-CN"/>
        </w:rPr>
        <w:t>PMID: 30593515</w:t>
      </w:r>
      <w:r>
        <w:rPr>
          <w:rFonts w:hint="eastAsia" w:ascii="Times New Roman" w:hAnsi="Times New Roman" w:cs="Times New Roman"/>
          <w:sz w:val="15"/>
          <w:szCs w:val="15"/>
          <w:lang w:eastAsia="zh-CN"/>
        </w:rPr>
        <w:t>]</w:t>
      </w:r>
    </w:p>
    <w:p w14:paraId="5C4BFFF5">
      <w:pPr>
        <w:widowControl/>
        <w:adjustRightInd w:val="0"/>
        <w:snapToGrid w:val="0"/>
        <w:spacing w:after="60" w:line="160" w:lineRule="exact"/>
        <w:jc w:val="both"/>
        <w:rPr>
          <w:rFonts w:ascii="Times New Roman" w:hAnsi="Times New Roman" w:cs="Times New Roman"/>
          <w:sz w:val="15"/>
          <w:szCs w:val="15"/>
          <w:lang w:eastAsia="zh-CN"/>
        </w:rPr>
      </w:pPr>
      <w:r>
        <w:rPr>
          <w:rFonts w:ascii="Times New Roman" w:hAnsi="Times New Roman" w:cs="Times New Roman"/>
          <w:sz w:val="15"/>
          <w:szCs w:val="15"/>
          <w:lang w:eastAsia="zh-CN"/>
        </w:rPr>
        <w:t>Nassar AH, Umeton R, Kim J, Lundgren K, Harshman L, Van Allen EM, Preston M, Dong F, Bellmunt J, Mouw KW, Choueiri TK, Sonpavde G, Kwiatkowski DJ. Mutational Analysis of 472 Urothelial Carcinoma Across Grades and Anatomic Sites. Clin Cancer Res. 2019 Apr 15;25(8):2458-2470. doi: 10.1158/1078-0432.CCR-18-3147. Epub 2018 Dec 28. PMID: 30593515.</w:t>
      </w:r>
    </w:p>
    <w:p w14:paraId="0C0E2C9C">
      <w:pPr>
        <w:widowControl/>
        <w:adjustRightInd w:val="0"/>
        <w:snapToGrid w:val="0"/>
        <w:spacing w:after="60" w:line="160" w:lineRule="exact"/>
        <w:jc w:val="both"/>
        <w:rPr>
          <w:rFonts w:ascii="Times New Roman" w:hAnsi="Times New Roman" w:cs="Times New Roman"/>
          <w:sz w:val="15"/>
          <w:szCs w:val="15"/>
          <w:lang w:eastAsia="zh-CN"/>
        </w:rPr>
      </w:pPr>
      <w:r>
        <w:rPr>
          <w:rFonts w:ascii="Times New Roman" w:hAnsi="Times New Roman" w:cs="Times New Roman"/>
          <w:sz w:val="15"/>
          <w:szCs w:val="15"/>
          <w:lang w:eastAsia="zh-CN"/>
        </w:rPr>
        <w:t xml:space="preserve">Wyatt AW, Azad AA, Volik SV, </w:t>
      </w:r>
      <w:r>
        <w:rPr>
          <w:rFonts w:hint="eastAsia" w:ascii="Times New Roman" w:hAnsi="Times New Roman" w:cs="Times New Roman"/>
          <w:sz w:val="15"/>
          <w:szCs w:val="15"/>
          <w:lang w:eastAsia="zh-CN"/>
        </w:rPr>
        <w:t>et al</w:t>
      </w:r>
      <w:r>
        <w:rPr>
          <w:rFonts w:ascii="Times New Roman" w:hAnsi="Times New Roman" w:cs="Times New Roman"/>
          <w:sz w:val="15"/>
          <w:szCs w:val="15"/>
          <w:lang w:eastAsia="zh-CN"/>
        </w:rPr>
        <w:t>. Genomic Alterations in Cell-Free DNA and Enzalutamide Resistance in Castration-Resistant Prostate Cancer. JAMA Oncol. 2016 Dec 1;2(12):1598-1606.</w:t>
      </w:r>
      <w:r>
        <w:rPr>
          <w:rFonts w:hint="eastAsia" w:ascii="Times New Roman" w:hAnsi="Times New Roman" w:cs="Times New Roman"/>
          <w:sz w:val="15"/>
          <w:szCs w:val="15"/>
          <w:lang w:eastAsia="zh-CN"/>
        </w:rPr>
        <w:t>[</w:t>
      </w:r>
      <w:r>
        <w:rPr>
          <w:rFonts w:ascii="Times New Roman" w:hAnsi="Times New Roman" w:cs="Times New Roman"/>
          <w:sz w:val="15"/>
          <w:szCs w:val="15"/>
          <w:lang w:eastAsia="zh-CN"/>
        </w:rPr>
        <w:t>PMID: 27148695</w:t>
      </w:r>
      <w:r>
        <w:rPr>
          <w:rFonts w:hint="eastAsia" w:ascii="Times New Roman" w:hAnsi="Times New Roman" w:cs="Times New Roman"/>
          <w:sz w:val="15"/>
          <w:szCs w:val="15"/>
          <w:lang w:eastAsia="zh-CN"/>
        </w:rPr>
        <w:t>]</w:t>
      </w:r>
    </w:p>
    <w:p w14:paraId="22E1145C">
      <w:pPr>
        <w:widowControl/>
        <w:adjustRightInd w:val="0"/>
        <w:snapToGrid w:val="0"/>
        <w:spacing w:after="60" w:line="160" w:lineRule="exact"/>
        <w:jc w:val="both"/>
        <w:rPr>
          <w:rFonts w:ascii="Times New Roman" w:hAnsi="Times New Roman" w:cs="Times New Roman"/>
          <w:sz w:val="15"/>
          <w:szCs w:val="15"/>
          <w:lang w:eastAsia="zh-CN"/>
        </w:rPr>
      </w:pPr>
      <w:r>
        <w:rPr>
          <w:rFonts w:ascii="Times New Roman" w:hAnsi="Times New Roman" w:cs="Times New Roman"/>
          <w:sz w:val="15"/>
          <w:szCs w:val="15"/>
          <w:lang w:eastAsia="zh-CN"/>
        </w:rPr>
        <w:t xml:space="preserve">Crona DJ, Whang YE. Androgen Receptor-Dependent and -Independent Mechanisms Involved in Prostate Cancer Therapy Resistance. Cancers (Basel). 2017 Jun 12;9(6):67. </w:t>
      </w:r>
      <w:r>
        <w:rPr>
          <w:rFonts w:hint="eastAsia" w:ascii="Times New Roman" w:hAnsi="Times New Roman" w:cs="Times New Roman"/>
          <w:sz w:val="15"/>
          <w:szCs w:val="15"/>
          <w:lang w:eastAsia="zh-CN"/>
        </w:rPr>
        <w:t>[</w:t>
      </w:r>
      <w:r>
        <w:rPr>
          <w:rFonts w:ascii="Times New Roman" w:hAnsi="Times New Roman" w:cs="Times New Roman"/>
          <w:sz w:val="15"/>
          <w:szCs w:val="15"/>
          <w:lang w:eastAsia="zh-CN"/>
        </w:rPr>
        <w:t>PMID: 28604629</w:t>
      </w:r>
      <w:r>
        <w:rPr>
          <w:rFonts w:hint="eastAsia" w:ascii="Times New Roman" w:hAnsi="Times New Roman" w:cs="Times New Roman"/>
          <w:sz w:val="15"/>
          <w:szCs w:val="15"/>
          <w:lang w:eastAsia="zh-CN"/>
        </w:rPr>
        <w:t>]</w:t>
      </w:r>
    </w:p>
    <w:p w14:paraId="03127BE4">
      <w:pPr>
        <w:widowControl/>
        <w:adjustRightInd w:val="0"/>
        <w:snapToGrid w:val="0"/>
        <w:spacing w:after="60" w:line="160" w:lineRule="exact"/>
        <w:jc w:val="both"/>
        <w:rPr>
          <w:rFonts w:ascii="Times New Roman" w:hAnsi="Times New Roman" w:cs="Times New Roman"/>
          <w:sz w:val="15"/>
          <w:szCs w:val="15"/>
          <w:lang w:eastAsia="zh-CN"/>
        </w:rPr>
      </w:pPr>
      <w:r>
        <w:rPr>
          <w:rFonts w:ascii="Times New Roman" w:hAnsi="Times New Roman" w:cs="Times New Roman"/>
          <w:sz w:val="15"/>
          <w:szCs w:val="15"/>
          <w:lang w:eastAsia="zh-CN"/>
        </w:rPr>
        <w:t xml:space="preserve">Balbas MD, Evans MJ, Hosfield DJ, </w:t>
      </w:r>
      <w:r>
        <w:rPr>
          <w:rFonts w:hint="eastAsia" w:ascii="Times New Roman" w:hAnsi="Times New Roman" w:cs="Times New Roman"/>
          <w:sz w:val="15"/>
          <w:szCs w:val="15"/>
          <w:lang w:eastAsia="zh-CN"/>
        </w:rPr>
        <w:t>et al</w:t>
      </w:r>
      <w:r>
        <w:rPr>
          <w:rFonts w:ascii="Times New Roman" w:hAnsi="Times New Roman" w:cs="Times New Roman"/>
          <w:sz w:val="15"/>
          <w:szCs w:val="15"/>
          <w:lang w:eastAsia="zh-CN"/>
        </w:rPr>
        <w:t>. Overcoming mutation-based resistance to antiandrogens with rational drug design. Elife. 2013 Apr 9;2:e00499.</w:t>
      </w:r>
      <w:r>
        <w:rPr>
          <w:rFonts w:hint="eastAsia" w:ascii="Times New Roman" w:hAnsi="Times New Roman" w:cs="Times New Roman"/>
          <w:sz w:val="15"/>
          <w:szCs w:val="15"/>
          <w:lang w:eastAsia="zh-CN"/>
        </w:rPr>
        <w:t>[</w:t>
      </w:r>
      <w:r>
        <w:rPr>
          <w:rFonts w:ascii="Times New Roman" w:hAnsi="Times New Roman" w:cs="Times New Roman"/>
          <w:sz w:val="15"/>
          <w:szCs w:val="15"/>
          <w:lang w:eastAsia="zh-CN"/>
        </w:rPr>
        <w:t>PMID: 23580326</w:t>
      </w:r>
      <w:r>
        <w:rPr>
          <w:rFonts w:hint="eastAsia" w:ascii="Times New Roman" w:hAnsi="Times New Roman" w:cs="Times New Roman"/>
          <w:sz w:val="15"/>
          <w:szCs w:val="15"/>
          <w:lang w:eastAsia="zh-CN"/>
        </w:rPr>
        <w:t>]</w:t>
      </w:r>
    </w:p>
    <w:p w14:paraId="106FD93B">
      <w:pPr>
        <w:widowControl/>
        <w:adjustRightInd w:val="0"/>
        <w:snapToGrid w:val="0"/>
        <w:spacing w:after="60" w:line="160" w:lineRule="exact"/>
        <w:jc w:val="both"/>
        <w:rPr>
          <w:rFonts w:ascii="Times New Roman" w:hAnsi="Times New Roman" w:cs="Times New Roman"/>
          <w:sz w:val="15"/>
          <w:szCs w:val="15"/>
          <w:lang w:eastAsia="zh-CN"/>
        </w:rPr>
      </w:pPr>
      <w:r>
        <w:rPr>
          <w:rFonts w:ascii="Times New Roman" w:hAnsi="Times New Roman" w:cs="Times New Roman"/>
          <w:sz w:val="15"/>
          <w:szCs w:val="15"/>
          <w:lang w:eastAsia="zh-CN"/>
        </w:rPr>
        <w:t xml:space="preserve">Lallous N, Volik SV, Awrey S, </w:t>
      </w:r>
      <w:r>
        <w:rPr>
          <w:rFonts w:hint="eastAsia" w:ascii="Times New Roman" w:hAnsi="Times New Roman" w:cs="Times New Roman"/>
          <w:sz w:val="15"/>
          <w:szCs w:val="15"/>
          <w:lang w:eastAsia="zh-CN"/>
        </w:rPr>
        <w:t>et al</w:t>
      </w:r>
      <w:r>
        <w:rPr>
          <w:rFonts w:ascii="Times New Roman" w:hAnsi="Times New Roman" w:cs="Times New Roman"/>
          <w:sz w:val="15"/>
          <w:szCs w:val="15"/>
          <w:lang w:eastAsia="zh-CN"/>
        </w:rPr>
        <w:t xml:space="preserve">. Functional analysis of androgen receptor mutations that confer anti-androgen resistance identified in circulating cell-free DNA from prostate cancer patients. Genome Biol. 2016 Jan 26;17:10. </w:t>
      </w:r>
      <w:r>
        <w:rPr>
          <w:rFonts w:hint="eastAsia" w:ascii="Times New Roman" w:hAnsi="Times New Roman" w:cs="Times New Roman"/>
          <w:sz w:val="15"/>
          <w:szCs w:val="15"/>
          <w:lang w:eastAsia="zh-CN"/>
        </w:rPr>
        <w:t>[</w:t>
      </w:r>
      <w:r>
        <w:rPr>
          <w:rFonts w:ascii="Times New Roman" w:hAnsi="Times New Roman" w:cs="Times New Roman"/>
          <w:sz w:val="15"/>
          <w:szCs w:val="15"/>
          <w:lang w:eastAsia="zh-CN"/>
        </w:rPr>
        <w:t>PMID: 26813233</w:t>
      </w:r>
      <w:r>
        <w:rPr>
          <w:rFonts w:hint="eastAsia" w:ascii="Times New Roman" w:hAnsi="Times New Roman" w:cs="Times New Roman"/>
          <w:sz w:val="15"/>
          <w:szCs w:val="15"/>
          <w:lang w:eastAsia="zh-CN"/>
        </w:rPr>
        <w:t>]</w:t>
      </w:r>
    </w:p>
    <w:p w14:paraId="1F9F97D2">
      <w:pPr>
        <w:widowControl/>
        <w:adjustRightInd w:val="0"/>
        <w:snapToGrid w:val="0"/>
        <w:spacing w:after="60" w:line="160" w:lineRule="exact"/>
        <w:jc w:val="both"/>
        <w:rPr>
          <w:rFonts w:ascii="Times New Roman" w:hAnsi="Times New Roman" w:cs="Times New Roman"/>
          <w:sz w:val="15"/>
          <w:szCs w:val="15"/>
          <w:lang w:eastAsia="zh-CN"/>
        </w:rPr>
      </w:pPr>
      <w:r>
        <w:rPr>
          <w:rFonts w:ascii="Times New Roman" w:hAnsi="Times New Roman" w:cs="Times New Roman"/>
          <w:sz w:val="15"/>
          <w:szCs w:val="15"/>
          <w:lang w:eastAsia="zh-CN"/>
        </w:rPr>
        <w:t>Zhang P, Gao K, Jin X,</w:t>
      </w:r>
      <w:r>
        <w:rPr>
          <w:rFonts w:hint="eastAsia" w:ascii="Times New Roman" w:hAnsi="Times New Roman" w:cs="Times New Roman"/>
          <w:sz w:val="15"/>
          <w:szCs w:val="15"/>
          <w:lang w:eastAsia="zh-CN"/>
        </w:rPr>
        <w:t>et al</w:t>
      </w:r>
      <w:r>
        <w:rPr>
          <w:rFonts w:ascii="Times New Roman" w:hAnsi="Times New Roman" w:cs="Times New Roman"/>
          <w:sz w:val="15"/>
          <w:szCs w:val="15"/>
          <w:lang w:eastAsia="zh-CN"/>
        </w:rPr>
        <w:t xml:space="preserve">. Endometrial cancer-associated mutants of SPOP are defective in regulating estrogen receptor-α protein turnover. Cell Death Dis. 2015 Mar 12;6(3):e1687. </w:t>
      </w:r>
      <w:r>
        <w:rPr>
          <w:rFonts w:hint="eastAsia" w:ascii="Times New Roman" w:hAnsi="Times New Roman" w:cs="Times New Roman"/>
          <w:sz w:val="15"/>
          <w:szCs w:val="15"/>
          <w:lang w:eastAsia="zh-CN"/>
        </w:rPr>
        <w:t>[</w:t>
      </w:r>
      <w:r>
        <w:rPr>
          <w:rFonts w:ascii="Times New Roman" w:hAnsi="Times New Roman" w:cs="Times New Roman"/>
          <w:sz w:val="15"/>
          <w:szCs w:val="15"/>
          <w:lang w:eastAsia="zh-CN"/>
        </w:rPr>
        <w:t>PMID: 25766326</w:t>
      </w:r>
      <w:r>
        <w:rPr>
          <w:rFonts w:hint="eastAsia" w:ascii="Times New Roman" w:hAnsi="Times New Roman" w:cs="Times New Roman"/>
          <w:sz w:val="15"/>
          <w:szCs w:val="15"/>
          <w:lang w:eastAsia="zh-CN"/>
        </w:rPr>
        <w:t>]</w:t>
      </w:r>
    </w:p>
    <w:p w14:paraId="5E0AA655">
      <w:pPr>
        <w:widowControl/>
        <w:adjustRightInd w:val="0"/>
        <w:snapToGrid w:val="0"/>
        <w:spacing w:after="60" w:line="160" w:lineRule="exact"/>
        <w:jc w:val="both"/>
        <w:rPr>
          <w:rFonts w:ascii="Times New Roman" w:hAnsi="Times New Roman" w:cs="Times New Roman"/>
          <w:sz w:val="15"/>
          <w:szCs w:val="15"/>
          <w:lang w:eastAsia="zh-CN"/>
        </w:rPr>
      </w:pPr>
      <w:r>
        <w:rPr>
          <w:rFonts w:ascii="Times New Roman" w:hAnsi="Times New Roman" w:cs="Times New Roman"/>
          <w:sz w:val="15"/>
          <w:szCs w:val="15"/>
          <w:lang w:eastAsia="zh-CN"/>
        </w:rPr>
        <w:t xml:space="preserve">Ma J, Chang K, Peng J, </w:t>
      </w:r>
      <w:r>
        <w:rPr>
          <w:rFonts w:hint="eastAsia" w:ascii="Times New Roman" w:hAnsi="Times New Roman" w:cs="Times New Roman"/>
          <w:sz w:val="15"/>
          <w:szCs w:val="15"/>
          <w:lang w:eastAsia="zh-CN"/>
        </w:rPr>
        <w:t>et al</w:t>
      </w:r>
      <w:r>
        <w:rPr>
          <w:rFonts w:ascii="Times New Roman" w:hAnsi="Times New Roman" w:cs="Times New Roman"/>
          <w:sz w:val="15"/>
          <w:szCs w:val="15"/>
          <w:lang w:eastAsia="zh-CN"/>
        </w:rPr>
        <w:t xml:space="preserve">. SPOP promotes ATF2 ubiquitination and degradation to suppress prostate cancer progression. J Exp Clin Cancer Res. 2018 Jul 11;37(1):145. </w:t>
      </w:r>
      <w:r>
        <w:rPr>
          <w:rFonts w:hint="eastAsia" w:ascii="Times New Roman" w:hAnsi="Times New Roman" w:cs="Times New Roman"/>
          <w:sz w:val="15"/>
          <w:szCs w:val="15"/>
          <w:lang w:eastAsia="zh-CN"/>
        </w:rPr>
        <w:t>[</w:t>
      </w:r>
      <w:r>
        <w:rPr>
          <w:rFonts w:ascii="Times New Roman" w:hAnsi="Times New Roman" w:cs="Times New Roman"/>
          <w:sz w:val="15"/>
          <w:szCs w:val="15"/>
          <w:lang w:eastAsia="zh-CN"/>
        </w:rPr>
        <w:t>PMID: 29996942</w:t>
      </w:r>
      <w:r>
        <w:rPr>
          <w:rFonts w:hint="eastAsia" w:ascii="Times New Roman" w:hAnsi="Times New Roman" w:cs="Times New Roman"/>
          <w:sz w:val="15"/>
          <w:szCs w:val="15"/>
          <w:lang w:eastAsia="zh-CN"/>
        </w:rPr>
        <w:t>]</w:t>
      </w:r>
    </w:p>
    <w:p w14:paraId="3F36BD4E">
      <w:pPr>
        <w:widowControl/>
        <w:adjustRightInd w:val="0"/>
        <w:snapToGrid w:val="0"/>
        <w:spacing w:after="60" w:line="160" w:lineRule="exact"/>
        <w:jc w:val="both"/>
        <w:rPr>
          <w:rFonts w:ascii="Times New Roman" w:hAnsi="Times New Roman" w:cs="Times New Roman"/>
          <w:sz w:val="15"/>
          <w:szCs w:val="15"/>
          <w:lang w:eastAsia="zh-CN"/>
        </w:rPr>
      </w:pPr>
      <w:r>
        <w:rPr>
          <w:rFonts w:ascii="Times New Roman" w:hAnsi="Times New Roman" w:cs="Times New Roman"/>
          <w:sz w:val="15"/>
          <w:szCs w:val="15"/>
          <w:lang w:eastAsia="zh-CN"/>
        </w:rPr>
        <w:t xml:space="preserve">Annala M, Vandekerkhove G, Khalaf D, </w:t>
      </w:r>
      <w:r>
        <w:rPr>
          <w:rFonts w:hint="eastAsia" w:ascii="Times New Roman" w:hAnsi="Times New Roman" w:cs="Times New Roman"/>
          <w:sz w:val="15"/>
          <w:szCs w:val="15"/>
          <w:lang w:eastAsia="zh-CN"/>
        </w:rPr>
        <w:t>et al</w:t>
      </w:r>
      <w:r>
        <w:rPr>
          <w:rFonts w:ascii="Times New Roman" w:hAnsi="Times New Roman" w:cs="Times New Roman"/>
          <w:sz w:val="15"/>
          <w:szCs w:val="15"/>
          <w:lang w:eastAsia="zh-CN"/>
        </w:rPr>
        <w:t xml:space="preserve">. Circulating Tumor DNA Genomics Correlate with Resistance to Abiraterone and Enzalutamide in Prostate Cancer. Cancer Discov. 2018 Apr;8(4):444-457. </w:t>
      </w:r>
      <w:r>
        <w:rPr>
          <w:rFonts w:hint="eastAsia" w:ascii="Times New Roman" w:hAnsi="Times New Roman" w:cs="Times New Roman"/>
          <w:sz w:val="15"/>
          <w:szCs w:val="15"/>
          <w:lang w:eastAsia="zh-CN"/>
        </w:rPr>
        <w:t>[</w:t>
      </w:r>
      <w:r>
        <w:rPr>
          <w:rFonts w:ascii="Times New Roman" w:hAnsi="Times New Roman" w:cs="Times New Roman"/>
          <w:sz w:val="15"/>
          <w:szCs w:val="15"/>
          <w:lang w:eastAsia="zh-CN"/>
        </w:rPr>
        <w:t>PMID: 29367197</w:t>
      </w:r>
      <w:r>
        <w:rPr>
          <w:rFonts w:hint="eastAsia" w:ascii="Times New Roman" w:hAnsi="Times New Roman" w:cs="Times New Roman"/>
          <w:sz w:val="15"/>
          <w:szCs w:val="15"/>
          <w:lang w:eastAsia="zh-CN"/>
        </w:rPr>
        <w:t>]</w:t>
      </w:r>
    </w:p>
    <w:p w14:paraId="3DB649E6">
      <w:pPr>
        <w:widowControl/>
        <w:adjustRightInd w:val="0"/>
        <w:snapToGrid w:val="0"/>
        <w:spacing w:after="60" w:line="160" w:lineRule="exact"/>
        <w:jc w:val="both"/>
        <w:rPr>
          <w:rFonts w:ascii="Times New Roman" w:hAnsi="Times New Roman" w:cs="Times New Roman"/>
          <w:sz w:val="15"/>
          <w:szCs w:val="15"/>
          <w:lang w:eastAsia="zh-CN"/>
        </w:rPr>
      </w:pPr>
      <w:r>
        <w:rPr>
          <w:rFonts w:ascii="Times New Roman" w:hAnsi="Times New Roman" w:cs="Times New Roman"/>
          <w:sz w:val="15"/>
          <w:szCs w:val="15"/>
          <w:lang w:eastAsia="zh-CN"/>
        </w:rPr>
        <w:t xml:space="preserve">Park K, Chen Z, MacDonald TY, </w:t>
      </w:r>
      <w:r>
        <w:rPr>
          <w:rFonts w:hint="eastAsia" w:ascii="Times New Roman" w:hAnsi="Times New Roman" w:cs="Times New Roman"/>
          <w:sz w:val="15"/>
          <w:szCs w:val="15"/>
          <w:lang w:eastAsia="zh-CN"/>
        </w:rPr>
        <w:t>et al</w:t>
      </w:r>
      <w:r>
        <w:rPr>
          <w:rFonts w:ascii="Times New Roman" w:hAnsi="Times New Roman" w:cs="Times New Roman"/>
          <w:sz w:val="15"/>
          <w:szCs w:val="15"/>
          <w:lang w:eastAsia="zh-CN"/>
        </w:rPr>
        <w:t xml:space="preserve">. Prostate cancer with Paneth cell-like neuroendocrine differentiation has recognizable histomorphology and harbors AURKA gene amplification. Hum Pathol. 2014 Oct;45(10):2136-43. </w:t>
      </w:r>
      <w:r>
        <w:rPr>
          <w:rFonts w:hint="eastAsia" w:ascii="Times New Roman" w:hAnsi="Times New Roman" w:cs="Times New Roman"/>
          <w:sz w:val="15"/>
          <w:szCs w:val="15"/>
          <w:lang w:eastAsia="zh-CN"/>
        </w:rPr>
        <w:t>[</w:t>
      </w:r>
      <w:r>
        <w:rPr>
          <w:rFonts w:ascii="Times New Roman" w:hAnsi="Times New Roman" w:cs="Times New Roman"/>
          <w:sz w:val="15"/>
          <w:szCs w:val="15"/>
          <w:lang w:eastAsia="zh-CN"/>
        </w:rPr>
        <w:t>PMID: 25128228</w:t>
      </w:r>
      <w:r>
        <w:rPr>
          <w:rFonts w:hint="eastAsia" w:ascii="Times New Roman" w:hAnsi="Times New Roman" w:cs="Times New Roman"/>
          <w:sz w:val="15"/>
          <w:szCs w:val="15"/>
          <w:lang w:eastAsia="zh-CN"/>
        </w:rPr>
        <w:t>]</w:t>
      </w:r>
    </w:p>
    <w:p w14:paraId="3CCB3A92">
      <w:pPr>
        <w:widowControl/>
        <w:adjustRightInd w:val="0"/>
        <w:snapToGrid w:val="0"/>
        <w:spacing w:after="60" w:line="160" w:lineRule="exact"/>
        <w:jc w:val="both"/>
        <w:rPr>
          <w:rFonts w:ascii="Times New Roman" w:hAnsi="Times New Roman" w:cs="Times New Roman"/>
          <w:sz w:val="15"/>
          <w:szCs w:val="15"/>
          <w:lang w:eastAsia="zh-CN"/>
        </w:rPr>
      </w:pPr>
      <w:r>
        <w:rPr>
          <w:rFonts w:ascii="Times New Roman" w:hAnsi="Times New Roman" w:cs="Times New Roman"/>
          <w:sz w:val="15"/>
          <w:szCs w:val="15"/>
          <w:lang w:eastAsia="zh-CN"/>
        </w:rPr>
        <w:t>MYCN Transforms Prostate Epithelium to Neuroendocrine Prostate Cancer. Cancer Discov. 2016 Jun;6(6):OF19.</w:t>
      </w:r>
      <w:r>
        <w:rPr>
          <w:rFonts w:hint="eastAsia" w:ascii="Times New Roman" w:hAnsi="Times New Roman" w:cs="Times New Roman"/>
          <w:sz w:val="15"/>
          <w:szCs w:val="15"/>
          <w:lang w:eastAsia="zh-CN"/>
        </w:rPr>
        <w:t>[</w:t>
      </w:r>
      <w:r>
        <w:rPr>
          <w:rFonts w:ascii="Times New Roman" w:hAnsi="Times New Roman" w:cs="Times New Roman"/>
          <w:sz w:val="15"/>
          <w:szCs w:val="15"/>
          <w:lang w:eastAsia="zh-CN"/>
        </w:rPr>
        <w:t>PMID: 27080339</w:t>
      </w:r>
      <w:r>
        <w:rPr>
          <w:rFonts w:hint="eastAsia" w:ascii="Times New Roman" w:hAnsi="Times New Roman" w:cs="Times New Roman"/>
          <w:sz w:val="15"/>
          <w:szCs w:val="15"/>
          <w:lang w:eastAsia="zh-CN"/>
        </w:rPr>
        <w:t>]</w:t>
      </w:r>
    </w:p>
    <w:p w14:paraId="093824F7">
      <w:pPr>
        <w:widowControl/>
        <w:adjustRightInd w:val="0"/>
        <w:snapToGrid w:val="0"/>
        <w:spacing w:after="60" w:line="160" w:lineRule="exact"/>
        <w:jc w:val="both"/>
        <w:rPr>
          <w:rFonts w:ascii="Times New Roman" w:hAnsi="Times New Roman" w:cs="Times New Roman"/>
          <w:sz w:val="15"/>
          <w:szCs w:val="15"/>
          <w:lang w:eastAsia="zh-CN"/>
        </w:rPr>
      </w:pPr>
      <w:r>
        <w:rPr>
          <w:rFonts w:ascii="Times New Roman" w:hAnsi="Times New Roman" w:cs="Times New Roman"/>
          <w:sz w:val="15"/>
          <w:szCs w:val="15"/>
          <w:lang w:eastAsia="zh-CN"/>
        </w:rPr>
        <w:t xml:space="preserve">Mosquera JM, Beltran H, Park K, </w:t>
      </w:r>
      <w:r>
        <w:rPr>
          <w:rFonts w:hint="eastAsia" w:ascii="Times New Roman" w:hAnsi="Times New Roman" w:cs="Times New Roman"/>
          <w:sz w:val="15"/>
          <w:szCs w:val="15"/>
          <w:lang w:eastAsia="zh-CN"/>
        </w:rPr>
        <w:t>et al</w:t>
      </w:r>
      <w:r>
        <w:rPr>
          <w:rFonts w:ascii="Times New Roman" w:hAnsi="Times New Roman" w:cs="Times New Roman"/>
          <w:sz w:val="15"/>
          <w:szCs w:val="15"/>
          <w:lang w:eastAsia="zh-CN"/>
        </w:rPr>
        <w:t xml:space="preserve">. Concurrent AURKA and MYCN gene amplifications are harbingers of lethal treatment-related neuroendocrine prostate cancer. Neoplasia. 2013 Jan;15(1):1-10. </w:t>
      </w:r>
      <w:r>
        <w:rPr>
          <w:rFonts w:hint="eastAsia" w:ascii="Times New Roman" w:hAnsi="Times New Roman" w:cs="Times New Roman"/>
          <w:sz w:val="15"/>
          <w:szCs w:val="15"/>
          <w:lang w:eastAsia="zh-CN"/>
        </w:rPr>
        <w:t>[</w:t>
      </w:r>
      <w:r>
        <w:rPr>
          <w:rFonts w:ascii="Times New Roman" w:hAnsi="Times New Roman" w:cs="Times New Roman"/>
          <w:sz w:val="15"/>
          <w:szCs w:val="15"/>
          <w:lang w:eastAsia="zh-CN"/>
        </w:rPr>
        <w:t>PMID: 23358695</w:t>
      </w:r>
      <w:r>
        <w:rPr>
          <w:rFonts w:hint="eastAsia" w:ascii="Times New Roman" w:hAnsi="Times New Roman" w:cs="Times New Roman"/>
          <w:sz w:val="15"/>
          <w:szCs w:val="15"/>
          <w:lang w:eastAsia="zh-CN"/>
        </w:rPr>
        <w:t>]</w:t>
      </w:r>
    </w:p>
    <w:p w14:paraId="3B2492FB">
      <w:pPr>
        <w:widowControl/>
        <w:adjustRightInd w:val="0"/>
        <w:snapToGrid w:val="0"/>
        <w:spacing w:after="60" w:line="160" w:lineRule="exact"/>
        <w:jc w:val="both"/>
        <w:rPr>
          <w:rFonts w:ascii="Times New Roman" w:hAnsi="Times New Roman" w:cs="Times New Roman"/>
          <w:sz w:val="15"/>
          <w:szCs w:val="15"/>
          <w:lang w:eastAsia="zh-CN"/>
        </w:rPr>
      </w:pPr>
      <w:r>
        <w:rPr>
          <w:rFonts w:ascii="Times New Roman" w:hAnsi="Times New Roman" w:cs="Times New Roman"/>
          <w:sz w:val="15"/>
          <w:szCs w:val="15"/>
          <w:lang w:eastAsia="zh-CN"/>
        </w:rPr>
        <w:t xml:space="preserve">Mu P, Zhang Z, Benelli M, </w:t>
      </w:r>
      <w:r>
        <w:rPr>
          <w:rFonts w:hint="eastAsia" w:ascii="Times New Roman" w:hAnsi="Times New Roman" w:cs="Times New Roman"/>
          <w:sz w:val="15"/>
          <w:szCs w:val="15"/>
          <w:lang w:eastAsia="zh-CN"/>
        </w:rPr>
        <w:t>et al.</w:t>
      </w:r>
      <w:r>
        <w:rPr>
          <w:rFonts w:ascii="Times New Roman" w:hAnsi="Times New Roman" w:cs="Times New Roman"/>
          <w:sz w:val="15"/>
          <w:szCs w:val="15"/>
          <w:lang w:eastAsia="zh-CN"/>
        </w:rPr>
        <w:t xml:space="preserve"> SOX2 promotes lineage plasticity and antiandrogen resistance in TP53- and RB1-deficient prostate cancer. Science. 2017 Jan 6;355(6320):84-88. </w:t>
      </w:r>
      <w:r>
        <w:rPr>
          <w:rFonts w:hint="eastAsia" w:ascii="Times New Roman" w:hAnsi="Times New Roman" w:cs="Times New Roman"/>
          <w:sz w:val="15"/>
          <w:szCs w:val="15"/>
          <w:lang w:eastAsia="zh-CN"/>
        </w:rPr>
        <w:t>[</w:t>
      </w:r>
      <w:r>
        <w:rPr>
          <w:rFonts w:ascii="Times New Roman" w:hAnsi="Times New Roman" w:cs="Times New Roman"/>
          <w:sz w:val="15"/>
          <w:szCs w:val="15"/>
          <w:lang w:eastAsia="zh-CN"/>
        </w:rPr>
        <w:t>PMID: 28059768</w:t>
      </w:r>
      <w:r>
        <w:rPr>
          <w:rFonts w:hint="eastAsia" w:ascii="Times New Roman" w:hAnsi="Times New Roman" w:cs="Times New Roman"/>
          <w:sz w:val="15"/>
          <w:szCs w:val="15"/>
          <w:lang w:eastAsia="zh-CN"/>
        </w:rPr>
        <w:t>]</w:t>
      </w:r>
    </w:p>
    <w:p w14:paraId="74BC17F7">
      <w:pPr>
        <w:widowControl/>
        <w:adjustRightInd w:val="0"/>
        <w:snapToGrid w:val="0"/>
        <w:spacing w:after="120" w:afterLines="50"/>
        <w:jc w:val="both"/>
        <w:rPr>
          <w:rFonts w:hint="eastAsia" w:ascii="Times New Roman" w:hAnsi="Times New Roman" w:cs="Times New Roman"/>
          <w:sz w:val="15"/>
          <w:szCs w:val="15"/>
          <w:lang w:val="en-US" w:eastAsia="zh-CN"/>
        </w:rPr>
      </w:pPr>
      <w:r>
        <w:rPr>
          <w:rFonts w:ascii="Times New Roman" w:hAnsi="Times New Roman" w:cs="Times New Roman"/>
          <w:sz w:val="15"/>
          <w:szCs w:val="15"/>
          <w:lang w:eastAsia="zh-CN"/>
        </w:rPr>
        <w:t xml:space="preserve">Davies AH, Beltran H, Zoubeidi A. Cellular plasticity and the neuroendocrine phenotype in prostate cancer. Nat Rev Urol. 2018 May;15(5):271-286. </w:t>
      </w:r>
      <w:r>
        <w:rPr>
          <w:rFonts w:hint="eastAsia" w:ascii="Times New Roman" w:hAnsi="Times New Roman" w:cs="Times New Roman"/>
          <w:sz w:val="15"/>
          <w:szCs w:val="15"/>
          <w:lang w:eastAsia="zh-CN"/>
        </w:rPr>
        <w:t>[</w:t>
      </w:r>
      <w:r>
        <w:rPr>
          <w:rFonts w:ascii="Times New Roman" w:hAnsi="Times New Roman" w:cs="Times New Roman"/>
          <w:sz w:val="15"/>
          <w:szCs w:val="15"/>
          <w:lang w:eastAsia="zh-CN"/>
        </w:rPr>
        <w:t>PMID: 29460922</w:t>
      </w:r>
      <w:r>
        <w:rPr>
          <w:rFonts w:hint="eastAsia" w:ascii="Times New Roman" w:hAnsi="Times New Roman" w:cs="Times New Roman"/>
          <w:sz w:val="15"/>
          <w:szCs w:val="15"/>
          <w:lang w:eastAsia="zh-CN"/>
        </w:rPr>
        <w:t>]</w:t>
      </w:r>
      <w:r>
        <w:rPr>
          <w:rFonts w:hint="eastAsia" w:ascii="Times New Roman" w:hAnsi="Times New Roman" w:cs="Times New Roman"/>
          <w:sz w:val="15"/>
          <w:szCs w:val="15"/>
          <w:lang w:val="en-US" w:eastAsia="zh-CN"/>
        </w:rPr>
        <w:t>{% endif%}</w:t>
      </w:r>
    </w:p>
    <w:p w14:paraId="7787C6D9">
      <w:pPr>
        <w:widowControl/>
        <w:adjustRightInd w:val="0"/>
        <w:snapToGrid w:val="0"/>
        <w:spacing w:after="120" w:afterLines="50"/>
        <w:jc w:val="both"/>
        <w:rPr>
          <w:rFonts w:hint="eastAsia" w:ascii="Times New Roman" w:hAnsi="Times New Roman" w:cs="Times New Roman"/>
          <w:sz w:val="15"/>
          <w:szCs w:val="15"/>
          <w:lang w:val="en-US" w:eastAsia="zh-CN"/>
        </w:rPr>
        <w:sectPr>
          <w:footerReference r:id="rId6" w:type="default"/>
          <w:pgSz w:w="11911" w:h="16838"/>
          <w:pgMar w:top="1037" w:right="1020" w:bottom="981" w:left="1020" w:header="283" w:footer="567" w:gutter="0"/>
          <w:pgNumType w:start="1"/>
          <w:cols w:space="0" w:num="1"/>
          <w:docGrid w:linePitch="312" w:charSpace="0"/>
        </w:sectPr>
      </w:pPr>
    </w:p>
    <w:p w14:paraId="0B172919">
      <w:pPr>
        <w:widowControl/>
        <w:adjustRightInd w:val="0"/>
        <w:snapToGrid w:val="0"/>
        <w:spacing w:after="120" w:afterLines="50"/>
        <w:jc w:val="both"/>
        <w:rPr>
          <w:rFonts w:hint="eastAsia" w:ascii="Times New Roman" w:hAnsi="Times New Roman" w:cs="Times New Roman"/>
          <w:sz w:val="15"/>
          <w:szCs w:val="15"/>
          <w:lang w:val="en-US" w:eastAsia="zh-CN"/>
        </w:rPr>
      </w:pPr>
    </w:p>
    <w:sectPr>
      <w:footerReference r:id="rId7" w:type="default"/>
      <w:pgSz w:w="11911" w:h="16838"/>
      <w:pgMar w:top="1037" w:right="1020" w:bottom="981" w:left="1020" w:header="283" w:footer="567" w:gutter="0"/>
      <w:pgNumType w:start="1"/>
      <w:cols w:space="0" w:num="1"/>
      <w:docGrid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等线">
    <w:panose1 w:val="02010600030101010101"/>
    <w:charset w:val="86"/>
    <w:family w:val="auto"/>
    <w:pitch w:val="default"/>
    <w:sig w:usb0="A00002BF" w:usb1="38CF7CFA" w:usb2="00000016" w:usb3="00000000" w:csb0="0004000F" w:csb1="00000000"/>
  </w:font>
  <w:font w:name="Malgun Gothic Semilight">
    <w:panose1 w:val="020B0502040204020203"/>
    <w:charset w:val="86"/>
    <w:family w:val="swiss"/>
    <w:pitch w:val="default"/>
    <w:sig w:usb0="900002AF" w:usb1="01D77CFB" w:usb2="00000012" w:usb3="00000000" w:csb0="203E01BD" w:csb1="D7FF0000"/>
  </w:font>
  <w:font w:name="Segoe UI">
    <w:panose1 w:val="020B0502040204020203"/>
    <w:charset w:val="00"/>
    <w:family w:val="swiss"/>
    <w:pitch w:val="default"/>
    <w:sig w:usb0="E4002EFF" w:usb1="C000E47F" w:usb2="00000009" w:usb3="00000000" w:csb0="200001F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C6BE38E">
    <w:pPr>
      <w:pStyle w:val="9"/>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61434B8">
    <w:pPr>
      <w:pStyle w:val="9"/>
    </w:pPr>
    <w:r>
      <w:rPr>
        <w:lang w:eastAsia="zh-CN"/>
      </w:rPr>
      <mc:AlternateContent>
        <mc:Choice Requires="wps">
          <w:drawing>
            <wp:anchor distT="0" distB="0" distL="114300" distR="114300" simplePos="0" relativeHeight="251659264" behindDoc="0" locked="0" layoutInCell="1" allowOverlap="1">
              <wp:simplePos x="0" y="0"/>
              <wp:positionH relativeFrom="margin">
                <wp:posOffset>1742440</wp:posOffset>
              </wp:positionH>
              <wp:positionV relativeFrom="paragraph">
                <wp:posOffset>1905</wp:posOffset>
              </wp:positionV>
              <wp:extent cx="2766060" cy="405130"/>
              <wp:effectExtent l="0" t="0" r="0" b="0"/>
              <wp:wrapNone/>
              <wp:docPr id="1" name="文本框 1"/>
              <wp:cNvGraphicFramePr/>
              <a:graphic xmlns:a="http://schemas.openxmlformats.org/drawingml/2006/main">
                <a:graphicData uri="http://schemas.microsoft.com/office/word/2010/wordprocessingShape">
                  <wps:wsp>
                    <wps:cNvSpPr txBox="1"/>
                    <wps:spPr>
                      <a:xfrm>
                        <a:off x="0" y="0"/>
                        <a:ext cx="2766060" cy="40513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4DA89625">
                          <w:pPr>
                            <w:pStyle w:val="9"/>
                            <w:jc w:val="center"/>
                            <w:rPr>
                              <w:rFonts w:ascii="Times New Roman" w:hAnsi="Times New Roman" w:cs="Times New Roman"/>
                              <w:b/>
                              <w:bCs/>
                              <w:sz w:val="20"/>
                              <w:szCs w:val="20"/>
                              <w:lang w:eastAsia="zh-CN"/>
                            </w:rPr>
                          </w:pPr>
                          <w:r>
                            <w:rPr>
                              <w:rFonts w:ascii="Times New Roman" w:hAnsi="Times New Roman" w:cs="Times New Roman"/>
                              <w:b/>
                              <w:bCs/>
                              <w:sz w:val="20"/>
                              <w:szCs w:val="20"/>
                              <w:lang w:eastAsia="zh-CN"/>
                            </w:rPr>
                            <w:fldChar w:fldCharType="begin"/>
                          </w:r>
                          <w:r>
                            <w:rPr>
                              <w:rFonts w:ascii="Times New Roman" w:hAnsi="Times New Roman" w:cs="Times New Roman"/>
                              <w:b/>
                              <w:bCs/>
                              <w:sz w:val="20"/>
                              <w:szCs w:val="20"/>
                              <w:lang w:eastAsia="zh-CN"/>
                            </w:rPr>
                            <w:instrText xml:space="preserve"> PAGE  \* MERGEFORMAT </w:instrText>
                          </w:r>
                          <w:r>
                            <w:rPr>
                              <w:rFonts w:ascii="Times New Roman" w:hAnsi="Times New Roman" w:cs="Times New Roman"/>
                              <w:b/>
                              <w:bCs/>
                              <w:sz w:val="20"/>
                              <w:szCs w:val="20"/>
                              <w:lang w:eastAsia="zh-CN"/>
                            </w:rPr>
                            <w:fldChar w:fldCharType="separate"/>
                          </w:r>
                          <w:r>
                            <w:rPr>
                              <w:rFonts w:ascii="Times New Roman" w:hAnsi="Times New Roman" w:cs="Times New Roman"/>
                              <w:b/>
                              <w:bCs/>
                              <w:sz w:val="20"/>
                              <w:szCs w:val="20"/>
                              <w:lang w:eastAsia="zh-CN"/>
                            </w:rPr>
                            <w:t>1</w:t>
                          </w:r>
                          <w:r>
                            <w:rPr>
                              <w:rFonts w:ascii="Times New Roman" w:hAnsi="Times New Roman" w:cs="Times New Roman"/>
                              <w:b/>
                              <w:bCs/>
                              <w:sz w:val="20"/>
                              <w:szCs w:val="20"/>
                              <w:lang w:eastAsia="zh-CN"/>
                            </w:rPr>
                            <w:fldChar w:fldCharType="end"/>
                          </w:r>
                          <w:r>
                            <w:rPr>
                              <w:rFonts w:ascii="Times New Roman" w:hAnsi="Times New Roman" w:cs="Times New Roman"/>
                              <w:b/>
                              <w:bCs/>
                              <w:sz w:val="20"/>
                              <w:szCs w:val="20"/>
                              <w:lang w:eastAsia="zh-CN"/>
                            </w:rPr>
                            <w:t xml:space="preserve"> / </w:t>
                          </w:r>
                          <w:r>
                            <w:rPr>
                              <w:rFonts w:ascii="Times New Roman" w:hAnsi="Times New Roman" w:eastAsia="微软雅黑" w:cs="Times New Roman"/>
                              <w:b/>
                              <w:bCs/>
                              <w:sz w:val="20"/>
                              <w:szCs w:val="20"/>
                            </w:rPr>
                            <w:fldChar w:fldCharType="begin"/>
                          </w:r>
                          <w:r>
                            <w:rPr>
                              <w:rFonts w:ascii="Times New Roman" w:hAnsi="Times New Roman" w:eastAsia="微软雅黑" w:cs="Times New Roman"/>
                              <w:b/>
                              <w:bCs/>
                              <w:sz w:val="20"/>
                              <w:szCs w:val="20"/>
                            </w:rPr>
                            <w:instrText xml:space="preserve"> </w:instrText>
                          </w:r>
                          <w:r>
                            <w:rPr>
                              <w:rFonts w:ascii="Times New Roman" w:hAnsi="Times New Roman" w:eastAsia="微软雅黑" w:cs="Times New Roman"/>
                              <w:b/>
                              <w:bCs/>
                              <w:sz w:val="20"/>
                              <w:szCs w:val="20"/>
                              <w:lang w:eastAsia="zh-CN"/>
                            </w:rPr>
                            <w:instrText xml:space="preserve">=</w:instrText>
                          </w:r>
                          <w:r>
                            <w:rPr>
                              <w:rFonts w:ascii="Times New Roman" w:hAnsi="Times New Roman" w:eastAsia="微软雅黑" w:cs="Times New Roman"/>
                              <w:b/>
                              <w:bCs/>
                              <w:sz w:val="20"/>
                              <w:szCs w:val="20"/>
                            </w:rPr>
                            <w:fldChar w:fldCharType="begin"/>
                          </w:r>
                          <w:r>
                            <w:rPr>
                              <w:rFonts w:ascii="Times New Roman" w:hAnsi="Times New Roman" w:eastAsia="微软雅黑" w:cs="Times New Roman"/>
                              <w:b/>
                              <w:bCs/>
                              <w:sz w:val="20"/>
                              <w:szCs w:val="20"/>
                            </w:rPr>
                            <w:instrText xml:space="preserve"> NUMPAGES </w:instrText>
                          </w:r>
                          <w:r>
                            <w:rPr>
                              <w:rFonts w:ascii="Times New Roman" w:hAnsi="Times New Roman" w:eastAsia="微软雅黑" w:cs="Times New Roman"/>
                              <w:b/>
                              <w:bCs/>
                              <w:sz w:val="20"/>
                              <w:szCs w:val="20"/>
                            </w:rPr>
                            <w:fldChar w:fldCharType="separate"/>
                          </w:r>
                          <w:r>
                            <w:rPr>
                              <w:rFonts w:ascii="Times New Roman" w:hAnsi="Times New Roman" w:eastAsia="微软雅黑" w:cs="Times New Roman"/>
                              <w:b/>
                              <w:bCs/>
                              <w:sz w:val="20"/>
                              <w:szCs w:val="20"/>
                            </w:rPr>
                            <w:instrText xml:space="preserve">34</w:instrText>
                          </w:r>
                          <w:r>
                            <w:rPr>
                              <w:rFonts w:ascii="Times New Roman" w:hAnsi="Times New Roman" w:eastAsia="微软雅黑" w:cs="Times New Roman"/>
                              <w:b/>
                              <w:bCs/>
                              <w:sz w:val="20"/>
                              <w:szCs w:val="20"/>
                            </w:rPr>
                            <w:fldChar w:fldCharType="end"/>
                          </w:r>
                          <w:r>
                            <w:rPr>
                              <w:rFonts w:ascii="Times New Roman" w:hAnsi="Times New Roman" w:eastAsia="微软雅黑" w:cs="Times New Roman"/>
                              <w:b/>
                              <w:bCs/>
                              <w:sz w:val="20"/>
                              <w:szCs w:val="20"/>
                              <w:lang w:eastAsia="zh-CN"/>
                            </w:rPr>
                            <w:instrText xml:space="preserve">-</w:instrText>
                          </w:r>
                          <w:r>
                            <w:rPr>
                              <w:rFonts w:hint="eastAsia" w:ascii="Times New Roman" w:hAnsi="Times New Roman" w:eastAsia="微软雅黑" w:cs="Times New Roman"/>
                              <w:b/>
                              <w:bCs/>
                              <w:sz w:val="20"/>
                              <w:szCs w:val="20"/>
                              <w:lang w:val="en-US" w:eastAsia="zh-CN"/>
                            </w:rPr>
                            <w:instrText xml:space="preserve">3</w:instrText>
                          </w:r>
                          <w:r>
                            <w:rPr>
                              <w:rFonts w:ascii="Times New Roman" w:hAnsi="Times New Roman" w:eastAsia="微软雅黑" w:cs="Times New Roman"/>
                              <w:b/>
                              <w:bCs/>
                              <w:sz w:val="20"/>
                              <w:szCs w:val="20"/>
                            </w:rPr>
                            <w:instrText xml:space="preserve">  \* MERGEFORMAT </w:instrText>
                          </w:r>
                          <w:r>
                            <w:rPr>
                              <w:rFonts w:ascii="Times New Roman" w:hAnsi="Times New Roman" w:eastAsia="微软雅黑" w:cs="Times New Roman"/>
                              <w:b/>
                              <w:bCs/>
                              <w:sz w:val="20"/>
                              <w:szCs w:val="20"/>
                            </w:rPr>
                            <w:fldChar w:fldCharType="separate"/>
                          </w:r>
                          <w:r>
                            <w:rPr>
                              <w:rFonts w:ascii="Times New Roman" w:hAnsi="Times New Roman" w:eastAsia="微软雅黑" w:cs="Times New Roman"/>
                              <w:b/>
                              <w:bCs/>
                              <w:sz w:val="20"/>
                              <w:szCs w:val="20"/>
                            </w:rPr>
                            <w:t>32</w:t>
                          </w:r>
                          <w:r>
                            <w:rPr>
                              <w:rFonts w:ascii="Times New Roman" w:hAnsi="Times New Roman" w:eastAsia="微软雅黑" w:cs="Times New Roman"/>
                              <w:b/>
                              <w:bCs/>
                              <w:sz w:val="20"/>
                              <w:szCs w:val="20"/>
                            </w:rPr>
                            <w:fldChar w:fldCharType="end"/>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shape id="_x0000_s1026" o:spid="_x0000_s1026" o:spt="202" type="#_x0000_t202" style="position:absolute;left:0pt;margin-left:137.2pt;margin-top:0.15pt;height:31.9pt;width:217.8pt;mso-position-horizontal-relative:margin;z-index:251659264;mso-width-relative:page;mso-height-relative:page;" filled="f" stroked="f" coordsize="21600,21600" o:gfxdata="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">
              <v:fill on="f" focussize="0,0"/>
              <v:stroke on="f" weight="0.5pt"/>
              <v:imagedata o:title=""/>
              <o:lock v:ext="edit" aspectratio="f"/>
              <v:textbox inset="0mm,0mm,0mm,0mm">
                <w:txbxContent>
                  <w:p w14:paraId="4DA89625">
                    <w:pPr>
                      <w:pStyle w:val="9"/>
                      <w:jc w:val="center"/>
                      <w:rPr>
                        <w:rFonts w:ascii="Times New Roman" w:hAnsi="Times New Roman" w:cs="Times New Roman"/>
                        <w:b/>
                        <w:bCs/>
                        <w:sz w:val="20"/>
                        <w:szCs w:val="20"/>
                        <w:lang w:eastAsia="zh-CN"/>
                      </w:rPr>
                    </w:pPr>
                    <w:r>
                      <w:rPr>
                        <w:rFonts w:ascii="Times New Roman" w:hAnsi="Times New Roman" w:cs="Times New Roman"/>
                        <w:b/>
                        <w:bCs/>
                        <w:sz w:val="20"/>
                        <w:szCs w:val="20"/>
                        <w:lang w:eastAsia="zh-CN"/>
                      </w:rPr>
                      <w:fldChar w:fldCharType="begin"/>
                    </w:r>
                    <w:r>
                      <w:rPr>
                        <w:rFonts w:ascii="Times New Roman" w:hAnsi="Times New Roman" w:cs="Times New Roman"/>
                        <w:b/>
                        <w:bCs/>
                        <w:sz w:val="20"/>
                        <w:szCs w:val="20"/>
                        <w:lang w:eastAsia="zh-CN"/>
                      </w:rPr>
                      <w:instrText xml:space="preserve"> PAGE  \* MERGEFORMAT </w:instrText>
                    </w:r>
                    <w:r>
                      <w:rPr>
                        <w:rFonts w:ascii="Times New Roman" w:hAnsi="Times New Roman" w:cs="Times New Roman"/>
                        <w:b/>
                        <w:bCs/>
                        <w:sz w:val="20"/>
                        <w:szCs w:val="20"/>
                        <w:lang w:eastAsia="zh-CN"/>
                      </w:rPr>
                      <w:fldChar w:fldCharType="separate"/>
                    </w:r>
                    <w:r>
                      <w:rPr>
                        <w:rFonts w:ascii="Times New Roman" w:hAnsi="Times New Roman" w:cs="Times New Roman"/>
                        <w:b/>
                        <w:bCs/>
                        <w:sz w:val="20"/>
                        <w:szCs w:val="20"/>
                        <w:lang w:eastAsia="zh-CN"/>
                      </w:rPr>
                      <w:t>1</w:t>
                    </w:r>
                    <w:r>
                      <w:rPr>
                        <w:rFonts w:ascii="Times New Roman" w:hAnsi="Times New Roman" w:cs="Times New Roman"/>
                        <w:b/>
                        <w:bCs/>
                        <w:sz w:val="20"/>
                        <w:szCs w:val="20"/>
                        <w:lang w:eastAsia="zh-CN"/>
                      </w:rPr>
                      <w:fldChar w:fldCharType="end"/>
                    </w:r>
                    <w:r>
                      <w:rPr>
                        <w:rFonts w:ascii="Times New Roman" w:hAnsi="Times New Roman" w:cs="Times New Roman"/>
                        <w:b/>
                        <w:bCs/>
                        <w:sz w:val="20"/>
                        <w:szCs w:val="20"/>
                        <w:lang w:eastAsia="zh-CN"/>
                      </w:rPr>
                      <w:t xml:space="preserve"> / </w:t>
                    </w:r>
                    <w:r>
                      <w:rPr>
                        <w:rFonts w:ascii="Times New Roman" w:hAnsi="Times New Roman" w:eastAsia="微软雅黑" w:cs="Times New Roman"/>
                        <w:b/>
                        <w:bCs/>
                        <w:sz w:val="20"/>
                        <w:szCs w:val="20"/>
                      </w:rPr>
                      <w:fldChar w:fldCharType="begin"/>
                    </w:r>
                    <w:r>
                      <w:rPr>
                        <w:rFonts w:ascii="Times New Roman" w:hAnsi="Times New Roman" w:eastAsia="微软雅黑" w:cs="Times New Roman"/>
                        <w:b/>
                        <w:bCs/>
                        <w:sz w:val="20"/>
                        <w:szCs w:val="20"/>
                      </w:rPr>
                      <w:instrText xml:space="preserve"> </w:instrText>
                    </w:r>
                    <w:r>
                      <w:rPr>
                        <w:rFonts w:ascii="Times New Roman" w:hAnsi="Times New Roman" w:eastAsia="微软雅黑" w:cs="Times New Roman"/>
                        <w:b/>
                        <w:bCs/>
                        <w:sz w:val="20"/>
                        <w:szCs w:val="20"/>
                        <w:lang w:eastAsia="zh-CN"/>
                      </w:rPr>
                      <w:instrText xml:space="preserve">=</w:instrText>
                    </w:r>
                    <w:r>
                      <w:rPr>
                        <w:rFonts w:ascii="Times New Roman" w:hAnsi="Times New Roman" w:eastAsia="微软雅黑" w:cs="Times New Roman"/>
                        <w:b/>
                        <w:bCs/>
                        <w:sz w:val="20"/>
                        <w:szCs w:val="20"/>
                      </w:rPr>
                      <w:fldChar w:fldCharType="begin"/>
                    </w:r>
                    <w:r>
                      <w:rPr>
                        <w:rFonts w:ascii="Times New Roman" w:hAnsi="Times New Roman" w:eastAsia="微软雅黑" w:cs="Times New Roman"/>
                        <w:b/>
                        <w:bCs/>
                        <w:sz w:val="20"/>
                        <w:szCs w:val="20"/>
                      </w:rPr>
                      <w:instrText xml:space="preserve"> NUMPAGES </w:instrText>
                    </w:r>
                    <w:r>
                      <w:rPr>
                        <w:rFonts w:ascii="Times New Roman" w:hAnsi="Times New Roman" w:eastAsia="微软雅黑" w:cs="Times New Roman"/>
                        <w:b/>
                        <w:bCs/>
                        <w:sz w:val="20"/>
                        <w:szCs w:val="20"/>
                      </w:rPr>
                      <w:fldChar w:fldCharType="separate"/>
                    </w:r>
                    <w:r>
                      <w:rPr>
                        <w:rFonts w:ascii="Times New Roman" w:hAnsi="Times New Roman" w:eastAsia="微软雅黑" w:cs="Times New Roman"/>
                        <w:b/>
                        <w:bCs/>
                        <w:sz w:val="20"/>
                        <w:szCs w:val="20"/>
                      </w:rPr>
                      <w:instrText xml:space="preserve">34</w:instrText>
                    </w:r>
                    <w:r>
                      <w:rPr>
                        <w:rFonts w:ascii="Times New Roman" w:hAnsi="Times New Roman" w:eastAsia="微软雅黑" w:cs="Times New Roman"/>
                        <w:b/>
                        <w:bCs/>
                        <w:sz w:val="20"/>
                        <w:szCs w:val="20"/>
                      </w:rPr>
                      <w:fldChar w:fldCharType="end"/>
                    </w:r>
                    <w:r>
                      <w:rPr>
                        <w:rFonts w:ascii="Times New Roman" w:hAnsi="Times New Roman" w:eastAsia="微软雅黑" w:cs="Times New Roman"/>
                        <w:b/>
                        <w:bCs/>
                        <w:sz w:val="20"/>
                        <w:szCs w:val="20"/>
                        <w:lang w:eastAsia="zh-CN"/>
                      </w:rPr>
                      <w:instrText xml:space="preserve">-</w:instrText>
                    </w:r>
                    <w:r>
                      <w:rPr>
                        <w:rFonts w:hint="eastAsia" w:ascii="Times New Roman" w:hAnsi="Times New Roman" w:eastAsia="微软雅黑" w:cs="Times New Roman"/>
                        <w:b/>
                        <w:bCs/>
                        <w:sz w:val="20"/>
                        <w:szCs w:val="20"/>
                        <w:lang w:val="en-US" w:eastAsia="zh-CN"/>
                      </w:rPr>
                      <w:instrText xml:space="preserve">3</w:instrText>
                    </w:r>
                    <w:r>
                      <w:rPr>
                        <w:rFonts w:ascii="Times New Roman" w:hAnsi="Times New Roman" w:eastAsia="微软雅黑" w:cs="Times New Roman"/>
                        <w:b/>
                        <w:bCs/>
                        <w:sz w:val="20"/>
                        <w:szCs w:val="20"/>
                      </w:rPr>
                      <w:instrText xml:space="preserve">  \* MERGEFORMAT </w:instrText>
                    </w:r>
                    <w:r>
                      <w:rPr>
                        <w:rFonts w:ascii="Times New Roman" w:hAnsi="Times New Roman" w:eastAsia="微软雅黑" w:cs="Times New Roman"/>
                        <w:b/>
                        <w:bCs/>
                        <w:sz w:val="20"/>
                        <w:szCs w:val="20"/>
                      </w:rPr>
                      <w:fldChar w:fldCharType="separate"/>
                    </w:r>
                    <w:r>
                      <w:rPr>
                        <w:rFonts w:ascii="Times New Roman" w:hAnsi="Times New Roman" w:eastAsia="微软雅黑" w:cs="Times New Roman"/>
                        <w:b/>
                        <w:bCs/>
                        <w:sz w:val="20"/>
                        <w:szCs w:val="20"/>
                      </w:rPr>
                      <w:t>32</w:t>
                    </w:r>
                    <w:r>
                      <w:rPr>
                        <w:rFonts w:ascii="Times New Roman" w:hAnsi="Times New Roman" w:eastAsia="微软雅黑" w:cs="Times New Roman"/>
                        <w:b/>
                        <w:bCs/>
                        <w:sz w:val="20"/>
                        <w:szCs w:val="20"/>
                      </w:rPr>
                      <w:fldChar w:fldCharType="end"/>
                    </w:r>
                  </w:p>
                </w:txbxContent>
              </v:textbox>
            </v:shape>
          </w:pict>
        </mc:Fallback>
      </mc:AlternateContent>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871B9DE">
    <w:pPr>
      <w:pStyle w:val="9"/>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D1F6270">
    <w:pPr>
      <w:pStyle w:val="10"/>
    </w:pPr>
    <w:r>
      <w:rPr>
        <w:color w:val="7F7F7F"/>
        <w:sz w:val="20"/>
        <w:szCs w:val="20"/>
        <w:lang w:eastAsia="zh-CN"/>
      </w:rPr>
      <w:drawing>
        <wp:anchor distT="0" distB="0" distL="0" distR="0" simplePos="0" relativeHeight="251661312" behindDoc="0" locked="0" layoutInCell="1" allowOverlap="1">
          <wp:simplePos x="0" y="0"/>
          <wp:positionH relativeFrom="column">
            <wp:posOffset>4605020</wp:posOffset>
          </wp:positionH>
          <wp:positionV relativeFrom="paragraph">
            <wp:posOffset>13970</wp:posOffset>
          </wp:positionV>
          <wp:extent cx="1668145" cy="474345"/>
          <wp:effectExtent l="0" t="0" r="8255" b="13335"/>
          <wp:wrapNone/>
          <wp:docPr id="40" name="图片 40"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图片 40" descr="C:\Users\JT\Desktop\2019.3.1-诺禾致源logo-最新版\logo-透明底.pnglogo-透明底"/>
                  <pic:cNvPicPr>
                    <a:picLocks noChangeAspect="1"/>
                  </pic:cNvPicPr>
                </pic:nvPicPr>
                <pic:blipFill>
                  <a:blip r:embed="rId1"/>
                  <a:srcRect/>
                  <a:stretch>
                    <a:fillRect/>
                  </a:stretch>
                </pic:blipFill>
                <pic:spPr>
                  <a:xfrm>
                    <a:off x="0" y="0"/>
                    <a:ext cx="1668145" cy="474345"/>
                  </a:xfrm>
                  <a:prstGeom prst="rect">
                    <a:avLst/>
                  </a:prstGeom>
                </pic:spPr>
              </pic:pic>
            </a:graphicData>
          </a:graphic>
        </wp:anchor>
      </w:drawing>
    </w:r>
    <w:r>
      <w:drawing>
        <wp:inline distT="0" distB="0" distL="114300" distR="114300">
          <wp:extent cx="3177540" cy="493395"/>
          <wp:effectExtent l="0" t="0" r="7620" b="9525"/>
          <wp:docPr id="3" name="图片 1" descr="logo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1" descr="logo1"/>
                  <pic:cNvPicPr>
                    <a:picLocks noChangeAspect="1"/>
                  </pic:cNvPicPr>
                </pic:nvPicPr>
                <pic:blipFill>
                  <a:blip r:embed="rId2"/>
                  <a:stretch>
                    <a:fillRect/>
                  </a:stretch>
                </pic:blipFill>
                <pic:spPr>
                  <a:xfrm>
                    <a:off x="0" y="0"/>
                    <a:ext cx="3177540" cy="493395"/>
                  </a:xfrm>
                  <a:prstGeom prst="rect">
                    <a:avLst/>
                  </a:prstGeom>
                </pic:spPr>
              </pic:pic>
            </a:graphicData>
          </a:graphic>
        </wp:inline>
      </w:drawing>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3E5F415">
    <w:pPr>
      <w:pStyle w:val="10"/>
      <w:rPr>
        <w:lang w:eastAsia="zh-CN"/>
      </w:rPr>
    </w:pPr>
    <w:r>
      <w:rPr>
        <w:color w:val="7F7F7F"/>
        <w:sz w:val="20"/>
        <w:szCs w:val="20"/>
        <w:lang w:eastAsia="zh-CN"/>
      </w:rPr>
      <w:drawing>
        <wp:anchor distT="0" distB="0" distL="0" distR="0" simplePos="0" relativeHeight="251662336" behindDoc="0" locked="0" layoutInCell="1" allowOverlap="1">
          <wp:simplePos x="0" y="0"/>
          <wp:positionH relativeFrom="column">
            <wp:posOffset>4605020</wp:posOffset>
          </wp:positionH>
          <wp:positionV relativeFrom="paragraph">
            <wp:posOffset>13970</wp:posOffset>
          </wp:positionV>
          <wp:extent cx="1668145" cy="474345"/>
          <wp:effectExtent l="0" t="0" r="8255" b="13335"/>
          <wp:wrapNone/>
          <wp:docPr id="4" name="图片 4"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4" descr="C:\Users\JT\Desktop\2019.3.1-诺禾致源logo-最新版\logo-透明底.pnglogo-透明底"/>
                  <pic:cNvPicPr>
                    <a:picLocks noChangeAspect="1"/>
                  </pic:cNvPicPr>
                </pic:nvPicPr>
                <pic:blipFill>
                  <a:blip r:embed="rId1"/>
                  <a:srcRect/>
                  <a:stretch>
                    <a:fillRect/>
                  </a:stretch>
                </pic:blipFill>
                <pic:spPr>
                  <a:xfrm>
                    <a:off x="0" y="0"/>
                    <a:ext cx="1668145" cy="474345"/>
                  </a:xfrm>
                  <a:prstGeom prst="rect">
                    <a:avLst/>
                  </a:prstGeom>
                </pic:spPr>
              </pic:pic>
            </a:graphicData>
          </a:graphic>
        </wp:anchor>
      </w:drawing>
    </w:r>
    <w:r>
      <w:drawing>
        <wp:inline distT="0" distB="0" distL="114300" distR="114300">
          <wp:extent cx="3177540" cy="493395"/>
          <wp:effectExtent l="0" t="0" r="7620" b="9525"/>
          <wp:docPr id="5" name="图片 1" descr="logo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1" descr="logo1"/>
                  <pic:cNvPicPr>
                    <a:picLocks noChangeAspect="1"/>
                  </pic:cNvPicPr>
                </pic:nvPicPr>
                <pic:blipFill>
                  <a:blip r:embed="rId2"/>
                  <a:stretch>
                    <a:fillRect/>
                  </a:stretch>
                </pic:blipFill>
                <pic:spPr>
                  <a:xfrm>
                    <a:off x="0" y="0"/>
                    <a:ext cx="3177540" cy="493395"/>
                  </a:xfrm>
                  <a:prstGeom prst="rect">
                    <a:avLst/>
                  </a:prstGeom>
                </pic:spPr>
              </pic:pic>
            </a:graphicData>
          </a:graphic>
        </wp:inline>
      </w:drawing>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8E7D2F2C"/>
    <w:multiLevelType w:val="singleLevel"/>
    <w:tmpl w:val="8E7D2F2C"/>
    <w:lvl w:ilvl="0" w:tentative="0">
      <w:start w:val="1"/>
      <w:numFmt w:val="decimal"/>
      <w:lvlText w:val="%1."/>
      <w:lvlJc w:val="left"/>
      <w:pPr>
        <w:ind w:left="425" w:hanging="425"/>
      </w:pPr>
      <w:rPr>
        <w:rFonts w:hint="default"/>
        <w:sz w:val="18"/>
        <w:szCs w:val="18"/>
        <w:highlight w:val="none"/>
      </w:rPr>
    </w:lvl>
  </w:abstractNum>
  <w:abstractNum w:abstractNumId="1">
    <w:nsid w:val="970DECC6"/>
    <w:multiLevelType w:val="singleLevel"/>
    <w:tmpl w:val="970DECC6"/>
    <w:lvl w:ilvl="0" w:tentative="0">
      <w:start w:val="1"/>
      <w:numFmt w:val="decimal"/>
      <w:lvlText w:val="%1."/>
      <w:lvlJc w:val="left"/>
      <w:pPr>
        <w:ind w:left="425" w:hanging="425"/>
      </w:pPr>
      <w:rPr>
        <w:rFonts w:hint="default"/>
      </w:rPr>
    </w:lvl>
  </w:abstractNum>
  <w:abstractNum w:abstractNumId="2">
    <w:nsid w:val="9DCA3A72"/>
    <w:multiLevelType w:val="singleLevel"/>
    <w:tmpl w:val="9DCA3A72"/>
    <w:lvl w:ilvl="0" w:tentative="0">
      <w:start w:val="1"/>
      <w:numFmt w:val="decimal"/>
      <w:lvlText w:val="%1."/>
      <w:lvlJc w:val="left"/>
      <w:pPr>
        <w:ind w:left="397" w:hanging="397"/>
      </w:pPr>
      <w:rPr>
        <w:rFonts w:hint="default"/>
        <w:sz w:val="18"/>
        <w:szCs w:val="18"/>
      </w:rPr>
    </w:lvl>
  </w:abstractNum>
  <w:abstractNum w:abstractNumId="3">
    <w:nsid w:val="A5F5891C"/>
    <w:multiLevelType w:val="multilevel"/>
    <w:tmpl w:val="A5F5891C"/>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4">
    <w:nsid w:val="C4B0A655"/>
    <w:multiLevelType w:val="singleLevel"/>
    <w:tmpl w:val="C4B0A655"/>
    <w:lvl w:ilvl="0" w:tentative="0">
      <w:start w:val="1"/>
      <w:numFmt w:val="decimal"/>
      <w:suff w:val="space"/>
      <w:lvlText w:val="%1."/>
      <w:lvlJc w:val="left"/>
      <w:rPr>
        <w:rFonts w:hint="default"/>
        <w:sz w:val="18"/>
        <w:szCs w:val="18"/>
      </w:rPr>
    </w:lvl>
  </w:abstractNum>
  <w:abstractNum w:abstractNumId="5">
    <w:nsid w:val="C588211E"/>
    <w:multiLevelType w:val="multilevel"/>
    <w:tmpl w:val="C588211E"/>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6">
    <w:nsid w:val="D18F0C3D"/>
    <w:multiLevelType w:val="singleLevel"/>
    <w:tmpl w:val="D18F0C3D"/>
    <w:lvl w:ilvl="0" w:tentative="0">
      <w:start w:val="1"/>
      <w:numFmt w:val="decimal"/>
      <w:lvlText w:val="%1."/>
      <w:lvlJc w:val="left"/>
      <w:pPr>
        <w:ind w:left="425" w:hanging="425"/>
      </w:pPr>
      <w:rPr>
        <w:rFonts w:hint="default"/>
      </w:rPr>
    </w:lvl>
  </w:abstractNum>
  <w:abstractNum w:abstractNumId="7">
    <w:nsid w:val="E58AFA96"/>
    <w:multiLevelType w:val="multilevel"/>
    <w:tmpl w:val="E58AFA96"/>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8">
    <w:nsid w:val="04056A27"/>
    <w:multiLevelType w:val="singleLevel"/>
    <w:tmpl w:val="04056A27"/>
    <w:lvl w:ilvl="0" w:tentative="0">
      <w:start w:val="1"/>
      <w:numFmt w:val="decimal"/>
      <w:lvlText w:val="%1."/>
      <w:lvlJc w:val="left"/>
      <w:pPr>
        <w:ind w:left="397" w:hanging="397"/>
      </w:pPr>
      <w:rPr>
        <w:rFonts w:hint="default"/>
        <w:sz w:val="18"/>
        <w:szCs w:val="18"/>
      </w:rPr>
    </w:lvl>
  </w:abstractNum>
  <w:abstractNum w:abstractNumId="9">
    <w:nsid w:val="11B87595"/>
    <w:multiLevelType w:val="singleLevel"/>
    <w:tmpl w:val="11B87595"/>
    <w:lvl w:ilvl="0" w:tentative="0">
      <w:start w:val="1"/>
      <w:numFmt w:val="decimal"/>
      <w:lvlText w:val="%1."/>
      <w:lvlJc w:val="left"/>
      <w:pPr>
        <w:ind w:left="425" w:hanging="425"/>
      </w:pPr>
      <w:rPr>
        <w:rFonts w:hint="default"/>
        <w:sz w:val="18"/>
        <w:szCs w:val="18"/>
        <w:highlight w:val="none"/>
      </w:rPr>
    </w:lvl>
  </w:abstractNum>
  <w:abstractNum w:abstractNumId="10">
    <w:nsid w:val="12167FD4"/>
    <w:multiLevelType w:val="multilevel"/>
    <w:tmpl w:val="12167FD4"/>
    <w:lvl w:ilvl="0" w:tentative="0">
      <w:start w:val="1"/>
      <w:numFmt w:val="decimal"/>
      <w:lvlText w:val="%1."/>
      <w:lvlJc w:val="left"/>
      <w:pPr>
        <w:ind w:left="420" w:hanging="420"/>
      </w:p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11">
    <w:nsid w:val="17EE91CB"/>
    <w:multiLevelType w:val="singleLevel"/>
    <w:tmpl w:val="17EE91CB"/>
    <w:lvl w:ilvl="0" w:tentative="0">
      <w:start w:val="1"/>
      <w:numFmt w:val="decimal"/>
      <w:lvlText w:val="%1."/>
      <w:lvlJc w:val="left"/>
      <w:pPr>
        <w:ind w:left="425" w:hanging="425"/>
      </w:pPr>
      <w:rPr>
        <w:rFonts w:hint="default" w:eastAsia="微软雅黑"/>
        <w:b w:val="0"/>
        <w:bCs w:val="0"/>
        <w:color w:val="auto"/>
        <w:sz w:val="20"/>
        <w:szCs w:val="20"/>
      </w:rPr>
    </w:lvl>
  </w:abstractNum>
  <w:abstractNum w:abstractNumId="12">
    <w:nsid w:val="2CEC1C1C"/>
    <w:multiLevelType w:val="multilevel"/>
    <w:tmpl w:val="2CEC1C1C"/>
    <w:lvl w:ilvl="0" w:tentative="0">
      <w:start w:val="1"/>
      <w:numFmt w:val="bullet"/>
      <w:pStyle w:val="25"/>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13">
    <w:nsid w:val="2D319487"/>
    <w:multiLevelType w:val="singleLevel"/>
    <w:tmpl w:val="2D319487"/>
    <w:lvl w:ilvl="0" w:tentative="0">
      <w:start w:val="1"/>
      <w:numFmt w:val="decimal"/>
      <w:lvlText w:val="%1."/>
      <w:lvlJc w:val="left"/>
      <w:pPr>
        <w:tabs>
          <w:tab w:val="left" w:pos="312"/>
        </w:tabs>
      </w:pPr>
      <w:rPr>
        <w:rFonts w:hint="default" w:ascii="Times New Roman" w:hAnsi="Times New Roman" w:cs="Times New Roman"/>
        <w:sz w:val="18"/>
        <w:szCs w:val="18"/>
      </w:rPr>
    </w:lvl>
  </w:abstractNum>
  <w:abstractNum w:abstractNumId="14">
    <w:nsid w:val="33009314"/>
    <w:multiLevelType w:val="multilevel"/>
    <w:tmpl w:val="33009314"/>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15">
    <w:nsid w:val="33AC014C"/>
    <w:multiLevelType w:val="multilevel"/>
    <w:tmpl w:val="33AC014C"/>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16">
    <w:nsid w:val="34613CBC"/>
    <w:multiLevelType w:val="multilevel"/>
    <w:tmpl w:val="34613CBC"/>
    <w:lvl w:ilvl="0" w:tentative="0">
      <w:start w:val="1"/>
      <w:numFmt w:val="bullet"/>
      <w:pStyle w:val="27"/>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7">
    <w:nsid w:val="361A96C8"/>
    <w:multiLevelType w:val="singleLevel"/>
    <w:tmpl w:val="361A96C8"/>
    <w:lvl w:ilvl="0" w:tentative="0">
      <w:start w:val="1"/>
      <w:numFmt w:val="decimal"/>
      <w:lvlText w:val="%1."/>
      <w:lvlJc w:val="left"/>
      <w:pPr>
        <w:tabs>
          <w:tab w:val="left" w:pos="295"/>
        </w:tabs>
        <w:ind w:left="295" w:hanging="295"/>
      </w:pPr>
      <w:rPr>
        <w:rFonts w:hint="default"/>
      </w:rPr>
    </w:lvl>
  </w:abstractNum>
  <w:abstractNum w:abstractNumId="18">
    <w:nsid w:val="3FE2A38E"/>
    <w:multiLevelType w:val="singleLevel"/>
    <w:tmpl w:val="3FE2A38E"/>
    <w:lvl w:ilvl="0" w:tentative="0">
      <w:start w:val="1"/>
      <w:numFmt w:val="decimal"/>
      <w:lvlText w:val="%1."/>
      <w:lvlJc w:val="left"/>
      <w:pPr>
        <w:ind w:left="425" w:hanging="425"/>
      </w:pPr>
      <w:rPr>
        <w:rFonts w:hint="default"/>
      </w:rPr>
    </w:lvl>
  </w:abstractNum>
  <w:abstractNum w:abstractNumId="19">
    <w:nsid w:val="4BD542C2"/>
    <w:multiLevelType w:val="multilevel"/>
    <w:tmpl w:val="4BD542C2"/>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20">
    <w:nsid w:val="51FFA607"/>
    <w:multiLevelType w:val="singleLevel"/>
    <w:tmpl w:val="51FFA607"/>
    <w:lvl w:ilvl="0" w:tentative="0">
      <w:start w:val="1"/>
      <w:numFmt w:val="decimal"/>
      <w:lvlText w:val="%1."/>
      <w:lvlJc w:val="left"/>
      <w:pPr>
        <w:tabs>
          <w:tab w:val="left" w:pos="295"/>
        </w:tabs>
        <w:ind w:left="295" w:hanging="295"/>
      </w:pPr>
      <w:rPr>
        <w:rFonts w:hint="default"/>
      </w:rPr>
    </w:lvl>
  </w:abstractNum>
  <w:abstractNum w:abstractNumId="21">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22">
    <w:nsid w:val="5B812BEF"/>
    <w:multiLevelType w:val="multilevel"/>
    <w:tmpl w:val="5B812BEF"/>
    <w:lvl w:ilvl="0" w:tentative="0">
      <w:start w:val="1"/>
      <w:numFmt w:val="bullet"/>
      <w:pStyle w:val="24"/>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23">
    <w:nsid w:val="632AD6FB"/>
    <w:multiLevelType w:val="singleLevel"/>
    <w:tmpl w:val="632AD6FB"/>
    <w:lvl w:ilvl="0" w:tentative="0">
      <w:start w:val="1"/>
      <w:numFmt w:val="bullet"/>
      <w:lvlText w:val=""/>
      <w:lvlJc w:val="left"/>
      <w:pPr>
        <w:tabs>
          <w:tab w:val="left" w:pos="215"/>
        </w:tabs>
        <w:ind w:left="215" w:hanging="215"/>
      </w:pPr>
      <w:rPr>
        <w:rFonts w:hint="default" w:ascii="Wingdings" w:hAnsi="Wingdings"/>
        <w:sz w:val="10"/>
      </w:rPr>
    </w:lvl>
  </w:abstractNum>
  <w:abstractNum w:abstractNumId="24">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abstractNum w:abstractNumId="25">
    <w:nsid w:val="70C53F05"/>
    <w:multiLevelType w:val="multilevel"/>
    <w:tmpl w:val="70C53F05"/>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num w:numId="1">
    <w:abstractNumId w:val="21"/>
  </w:num>
  <w:num w:numId="2">
    <w:abstractNumId w:val="24"/>
  </w:num>
  <w:num w:numId="3">
    <w:abstractNumId w:val="22"/>
  </w:num>
  <w:num w:numId="4">
    <w:abstractNumId w:val="12"/>
  </w:num>
  <w:num w:numId="5">
    <w:abstractNumId w:val="16"/>
  </w:num>
  <w:num w:numId="6">
    <w:abstractNumId w:val="19"/>
  </w:num>
  <w:num w:numId="7">
    <w:abstractNumId w:val="5"/>
  </w:num>
  <w:num w:numId="8">
    <w:abstractNumId w:val="15"/>
  </w:num>
  <w:num w:numId="9">
    <w:abstractNumId w:val="17"/>
  </w:num>
  <w:num w:numId="10">
    <w:abstractNumId w:val="10"/>
  </w:num>
  <w:num w:numId="11">
    <w:abstractNumId w:val="18"/>
  </w:num>
  <w:num w:numId="12">
    <w:abstractNumId w:val="6"/>
  </w:num>
  <w:num w:numId="13">
    <w:abstractNumId w:val="1"/>
  </w:num>
  <w:num w:numId="14">
    <w:abstractNumId w:val="20"/>
  </w:num>
  <w:num w:numId="15">
    <w:abstractNumId w:val="2"/>
  </w:num>
  <w:num w:numId="16">
    <w:abstractNumId w:val="11"/>
  </w:num>
  <w:num w:numId="17">
    <w:abstractNumId w:val="8"/>
  </w:num>
  <w:num w:numId="18">
    <w:abstractNumId w:val="0"/>
  </w:num>
  <w:num w:numId="19">
    <w:abstractNumId w:val="9"/>
  </w:num>
  <w:num w:numId="20">
    <w:abstractNumId w:val="14"/>
  </w:num>
  <w:num w:numId="21">
    <w:abstractNumId w:val="7"/>
  </w:num>
  <w:num w:numId="22">
    <w:abstractNumId w:val="3"/>
  </w:num>
  <w:num w:numId="23">
    <w:abstractNumId w:val="25"/>
  </w:num>
  <w:num w:numId="24">
    <w:abstractNumId w:val="23"/>
  </w:num>
  <w:num w:numId="25">
    <w:abstractNumId w:val="4"/>
  </w:num>
  <w:num w:numId="26">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bordersDoNotSurroundHeader w:val="1"/>
  <w:bordersDoNotSurroundFooter w:val="1"/>
  <w:documentProtection w:enforcement="0"/>
  <w:defaultTabStop w:val="420"/>
  <w:drawingGridHorizontalSpacing w:val="220"/>
  <w:drawingGridVerticalSpacing w:val="-7946"/>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NzhjODRmNWJhZTVkNTI1OGI2YWZlNjVkNDIwMWYwMDkifQ=="/>
  </w:docVars>
  <w:rsids>
    <w:rsidRoot w:val="00172A27"/>
    <w:rsid w:val="000358CD"/>
    <w:rsid w:val="000748DC"/>
    <w:rsid w:val="00081920"/>
    <w:rsid w:val="00095BC0"/>
    <w:rsid w:val="000A2B21"/>
    <w:rsid w:val="000A70B4"/>
    <w:rsid w:val="000B5B79"/>
    <w:rsid w:val="000C79AD"/>
    <w:rsid w:val="000E42D1"/>
    <w:rsid w:val="001432D9"/>
    <w:rsid w:val="00154460"/>
    <w:rsid w:val="00172A27"/>
    <w:rsid w:val="00195D6E"/>
    <w:rsid w:val="001C39B2"/>
    <w:rsid w:val="001F6461"/>
    <w:rsid w:val="00201549"/>
    <w:rsid w:val="00222FE4"/>
    <w:rsid w:val="002263A3"/>
    <w:rsid w:val="00264E89"/>
    <w:rsid w:val="00271389"/>
    <w:rsid w:val="002755FA"/>
    <w:rsid w:val="00276CD5"/>
    <w:rsid w:val="002A16C5"/>
    <w:rsid w:val="002E3CD6"/>
    <w:rsid w:val="002E7BF1"/>
    <w:rsid w:val="002F2A39"/>
    <w:rsid w:val="00390458"/>
    <w:rsid w:val="00391348"/>
    <w:rsid w:val="00391615"/>
    <w:rsid w:val="003C10DE"/>
    <w:rsid w:val="003D2994"/>
    <w:rsid w:val="003F07D1"/>
    <w:rsid w:val="004802BC"/>
    <w:rsid w:val="00483388"/>
    <w:rsid w:val="00490062"/>
    <w:rsid w:val="004F5A19"/>
    <w:rsid w:val="00501F8B"/>
    <w:rsid w:val="0052321F"/>
    <w:rsid w:val="005A6344"/>
    <w:rsid w:val="00644BC1"/>
    <w:rsid w:val="006A2F7C"/>
    <w:rsid w:val="006A31A2"/>
    <w:rsid w:val="006F386F"/>
    <w:rsid w:val="007010EF"/>
    <w:rsid w:val="007C344B"/>
    <w:rsid w:val="007C717F"/>
    <w:rsid w:val="007E6F45"/>
    <w:rsid w:val="007E782E"/>
    <w:rsid w:val="008803AE"/>
    <w:rsid w:val="008B2982"/>
    <w:rsid w:val="00907638"/>
    <w:rsid w:val="00971A5F"/>
    <w:rsid w:val="00993B3E"/>
    <w:rsid w:val="009A0B91"/>
    <w:rsid w:val="009B46E2"/>
    <w:rsid w:val="009C044B"/>
    <w:rsid w:val="009D6CD2"/>
    <w:rsid w:val="00A0169B"/>
    <w:rsid w:val="00A872B2"/>
    <w:rsid w:val="00A87FB1"/>
    <w:rsid w:val="00A958BB"/>
    <w:rsid w:val="00AA4F7E"/>
    <w:rsid w:val="00AB6E82"/>
    <w:rsid w:val="00AE5DB4"/>
    <w:rsid w:val="00B01B75"/>
    <w:rsid w:val="00B02C3F"/>
    <w:rsid w:val="00B420DA"/>
    <w:rsid w:val="00B76884"/>
    <w:rsid w:val="00B90506"/>
    <w:rsid w:val="00BC42A3"/>
    <w:rsid w:val="00C31515"/>
    <w:rsid w:val="00C43A87"/>
    <w:rsid w:val="00C70678"/>
    <w:rsid w:val="00C755DE"/>
    <w:rsid w:val="00D2107B"/>
    <w:rsid w:val="00D22BB0"/>
    <w:rsid w:val="00D40855"/>
    <w:rsid w:val="00D730DF"/>
    <w:rsid w:val="00D940DD"/>
    <w:rsid w:val="00D958FA"/>
    <w:rsid w:val="00DA2F2F"/>
    <w:rsid w:val="00E31BA8"/>
    <w:rsid w:val="00E50AE6"/>
    <w:rsid w:val="00E95BCE"/>
    <w:rsid w:val="00ED12E7"/>
    <w:rsid w:val="00F25C1E"/>
    <w:rsid w:val="00F62729"/>
    <w:rsid w:val="00F678D5"/>
    <w:rsid w:val="00F962FD"/>
    <w:rsid w:val="00FF2FB2"/>
    <w:rsid w:val="00FF7BB1"/>
    <w:rsid w:val="011A030A"/>
    <w:rsid w:val="011A0D8B"/>
    <w:rsid w:val="011F6134"/>
    <w:rsid w:val="01233E28"/>
    <w:rsid w:val="016F36A8"/>
    <w:rsid w:val="01A0337A"/>
    <w:rsid w:val="01F64392"/>
    <w:rsid w:val="022D1058"/>
    <w:rsid w:val="025A08F8"/>
    <w:rsid w:val="02CA5230"/>
    <w:rsid w:val="031B6FF1"/>
    <w:rsid w:val="032A6E7D"/>
    <w:rsid w:val="038726D8"/>
    <w:rsid w:val="03E921F1"/>
    <w:rsid w:val="03FF1C32"/>
    <w:rsid w:val="04791D69"/>
    <w:rsid w:val="04871837"/>
    <w:rsid w:val="04A167FA"/>
    <w:rsid w:val="04C17114"/>
    <w:rsid w:val="04F14588"/>
    <w:rsid w:val="05815BFE"/>
    <w:rsid w:val="05887898"/>
    <w:rsid w:val="05D63B33"/>
    <w:rsid w:val="0619141B"/>
    <w:rsid w:val="06A61E8D"/>
    <w:rsid w:val="06C8306F"/>
    <w:rsid w:val="06E36A2C"/>
    <w:rsid w:val="06EB7F4D"/>
    <w:rsid w:val="074043CC"/>
    <w:rsid w:val="0780530D"/>
    <w:rsid w:val="079A524B"/>
    <w:rsid w:val="07AB34E7"/>
    <w:rsid w:val="07CC37A4"/>
    <w:rsid w:val="07D36A00"/>
    <w:rsid w:val="07DB59EB"/>
    <w:rsid w:val="083F50A2"/>
    <w:rsid w:val="0855400B"/>
    <w:rsid w:val="086B222F"/>
    <w:rsid w:val="088A7F5F"/>
    <w:rsid w:val="088D7FF0"/>
    <w:rsid w:val="08AC3F1A"/>
    <w:rsid w:val="094334F6"/>
    <w:rsid w:val="09705B33"/>
    <w:rsid w:val="09FB5C39"/>
    <w:rsid w:val="0A043ABA"/>
    <w:rsid w:val="0A1C0B6B"/>
    <w:rsid w:val="0A4F2135"/>
    <w:rsid w:val="0A757891"/>
    <w:rsid w:val="0ADA7F11"/>
    <w:rsid w:val="0AEC09F3"/>
    <w:rsid w:val="0AF049F1"/>
    <w:rsid w:val="0B1761C8"/>
    <w:rsid w:val="0B38319D"/>
    <w:rsid w:val="0B3F14D4"/>
    <w:rsid w:val="0BEA7418"/>
    <w:rsid w:val="0C1768CC"/>
    <w:rsid w:val="0C3A0C95"/>
    <w:rsid w:val="0C3E5385"/>
    <w:rsid w:val="0C96240B"/>
    <w:rsid w:val="0CC26BD0"/>
    <w:rsid w:val="0D055CE8"/>
    <w:rsid w:val="0D3B6892"/>
    <w:rsid w:val="0D5B011C"/>
    <w:rsid w:val="0D6C68DD"/>
    <w:rsid w:val="0D883C4C"/>
    <w:rsid w:val="0D9819F1"/>
    <w:rsid w:val="0E11445D"/>
    <w:rsid w:val="0E372F34"/>
    <w:rsid w:val="0E542351"/>
    <w:rsid w:val="0E632099"/>
    <w:rsid w:val="0EBF2A43"/>
    <w:rsid w:val="0EC91129"/>
    <w:rsid w:val="0ED843CC"/>
    <w:rsid w:val="0EE25341"/>
    <w:rsid w:val="0EF32D57"/>
    <w:rsid w:val="0F253D64"/>
    <w:rsid w:val="0F5556CA"/>
    <w:rsid w:val="0F5F764C"/>
    <w:rsid w:val="0F79527D"/>
    <w:rsid w:val="0F814028"/>
    <w:rsid w:val="0F835FAE"/>
    <w:rsid w:val="0F890797"/>
    <w:rsid w:val="0F9D0EEF"/>
    <w:rsid w:val="0FB9297A"/>
    <w:rsid w:val="0FEF6595"/>
    <w:rsid w:val="10393EFC"/>
    <w:rsid w:val="1048613A"/>
    <w:rsid w:val="10776ACB"/>
    <w:rsid w:val="109B58B4"/>
    <w:rsid w:val="10A519AE"/>
    <w:rsid w:val="10B34B72"/>
    <w:rsid w:val="110D3F98"/>
    <w:rsid w:val="116F4A7B"/>
    <w:rsid w:val="117310E3"/>
    <w:rsid w:val="11A90012"/>
    <w:rsid w:val="1211524D"/>
    <w:rsid w:val="12481E95"/>
    <w:rsid w:val="12635C15"/>
    <w:rsid w:val="126971EB"/>
    <w:rsid w:val="12850E64"/>
    <w:rsid w:val="12963DA1"/>
    <w:rsid w:val="12ED03C4"/>
    <w:rsid w:val="12F372F0"/>
    <w:rsid w:val="132612E4"/>
    <w:rsid w:val="13897526"/>
    <w:rsid w:val="13AB527B"/>
    <w:rsid w:val="140626ED"/>
    <w:rsid w:val="14872247"/>
    <w:rsid w:val="148972D9"/>
    <w:rsid w:val="149B7751"/>
    <w:rsid w:val="14C4593A"/>
    <w:rsid w:val="14C82A00"/>
    <w:rsid w:val="14E343DA"/>
    <w:rsid w:val="14E50274"/>
    <w:rsid w:val="150E31A1"/>
    <w:rsid w:val="151811D0"/>
    <w:rsid w:val="15196B67"/>
    <w:rsid w:val="1524470F"/>
    <w:rsid w:val="152E3223"/>
    <w:rsid w:val="153F7D0D"/>
    <w:rsid w:val="15645350"/>
    <w:rsid w:val="15D73C77"/>
    <w:rsid w:val="163A21F8"/>
    <w:rsid w:val="165063E4"/>
    <w:rsid w:val="167138E8"/>
    <w:rsid w:val="169960E6"/>
    <w:rsid w:val="16A90098"/>
    <w:rsid w:val="16B431EA"/>
    <w:rsid w:val="16BD5BE8"/>
    <w:rsid w:val="16E67B0D"/>
    <w:rsid w:val="16F32DF9"/>
    <w:rsid w:val="16F63962"/>
    <w:rsid w:val="170A48C2"/>
    <w:rsid w:val="17392BB3"/>
    <w:rsid w:val="1768216D"/>
    <w:rsid w:val="178E7A6B"/>
    <w:rsid w:val="179E5A16"/>
    <w:rsid w:val="17EF172D"/>
    <w:rsid w:val="18361E85"/>
    <w:rsid w:val="184F5A03"/>
    <w:rsid w:val="185A0B2F"/>
    <w:rsid w:val="18780FC6"/>
    <w:rsid w:val="188B1EE6"/>
    <w:rsid w:val="188E10A8"/>
    <w:rsid w:val="18CA0730"/>
    <w:rsid w:val="19173437"/>
    <w:rsid w:val="19437087"/>
    <w:rsid w:val="199369D8"/>
    <w:rsid w:val="19BE53E3"/>
    <w:rsid w:val="1A0652E5"/>
    <w:rsid w:val="1A9A7E45"/>
    <w:rsid w:val="1AB43136"/>
    <w:rsid w:val="1AF07976"/>
    <w:rsid w:val="1B28649B"/>
    <w:rsid w:val="1B4B4C3F"/>
    <w:rsid w:val="1B570F0A"/>
    <w:rsid w:val="1B707488"/>
    <w:rsid w:val="1BA36B7F"/>
    <w:rsid w:val="1BAD3E87"/>
    <w:rsid w:val="1C0F6D26"/>
    <w:rsid w:val="1C7A05D0"/>
    <w:rsid w:val="1C98707F"/>
    <w:rsid w:val="1CA14B4D"/>
    <w:rsid w:val="1CA1668D"/>
    <w:rsid w:val="1CAC68FF"/>
    <w:rsid w:val="1CCD19AC"/>
    <w:rsid w:val="1CFB3D7D"/>
    <w:rsid w:val="1D0B7646"/>
    <w:rsid w:val="1D103BE7"/>
    <w:rsid w:val="1D3A33D4"/>
    <w:rsid w:val="1D4410B2"/>
    <w:rsid w:val="1D6364E6"/>
    <w:rsid w:val="1DD830B8"/>
    <w:rsid w:val="1DF56B41"/>
    <w:rsid w:val="1E4A0C65"/>
    <w:rsid w:val="1E750919"/>
    <w:rsid w:val="1EAB0C6A"/>
    <w:rsid w:val="1EAF2912"/>
    <w:rsid w:val="1EBB7039"/>
    <w:rsid w:val="1EEB2832"/>
    <w:rsid w:val="1F1B05D7"/>
    <w:rsid w:val="1F2B7CAE"/>
    <w:rsid w:val="1F606B7B"/>
    <w:rsid w:val="1F68534E"/>
    <w:rsid w:val="1FA140B4"/>
    <w:rsid w:val="20205A20"/>
    <w:rsid w:val="207D4DD2"/>
    <w:rsid w:val="20855B55"/>
    <w:rsid w:val="209432E5"/>
    <w:rsid w:val="20BC2DDD"/>
    <w:rsid w:val="20C205EB"/>
    <w:rsid w:val="211C6DAB"/>
    <w:rsid w:val="216F18A9"/>
    <w:rsid w:val="21D55A39"/>
    <w:rsid w:val="21FA6B05"/>
    <w:rsid w:val="220A4AC0"/>
    <w:rsid w:val="22180203"/>
    <w:rsid w:val="227B4984"/>
    <w:rsid w:val="22AA7C62"/>
    <w:rsid w:val="22D63314"/>
    <w:rsid w:val="2322058C"/>
    <w:rsid w:val="23372913"/>
    <w:rsid w:val="235C2C2A"/>
    <w:rsid w:val="2366346D"/>
    <w:rsid w:val="23BF5534"/>
    <w:rsid w:val="23DC4798"/>
    <w:rsid w:val="23FF1819"/>
    <w:rsid w:val="245E0E58"/>
    <w:rsid w:val="246C0CA9"/>
    <w:rsid w:val="24F86B97"/>
    <w:rsid w:val="253036C5"/>
    <w:rsid w:val="253866B6"/>
    <w:rsid w:val="256C4478"/>
    <w:rsid w:val="258913DE"/>
    <w:rsid w:val="258A1545"/>
    <w:rsid w:val="259579AF"/>
    <w:rsid w:val="25AF524A"/>
    <w:rsid w:val="25F63B64"/>
    <w:rsid w:val="262A4A65"/>
    <w:rsid w:val="2631454B"/>
    <w:rsid w:val="265623E0"/>
    <w:rsid w:val="268C673B"/>
    <w:rsid w:val="26976104"/>
    <w:rsid w:val="26AA5F44"/>
    <w:rsid w:val="270922DF"/>
    <w:rsid w:val="271A3FF4"/>
    <w:rsid w:val="271C165B"/>
    <w:rsid w:val="276D638F"/>
    <w:rsid w:val="27870460"/>
    <w:rsid w:val="280D33AA"/>
    <w:rsid w:val="28137DA8"/>
    <w:rsid w:val="284F059C"/>
    <w:rsid w:val="28573F85"/>
    <w:rsid w:val="28703D55"/>
    <w:rsid w:val="287D1D7A"/>
    <w:rsid w:val="28B74238"/>
    <w:rsid w:val="28B83CA7"/>
    <w:rsid w:val="28E502F9"/>
    <w:rsid w:val="28E9374F"/>
    <w:rsid w:val="290D4C78"/>
    <w:rsid w:val="291E49C7"/>
    <w:rsid w:val="29363F06"/>
    <w:rsid w:val="293C49FC"/>
    <w:rsid w:val="29432029"/>
    <w:rsid w:val="294F76BD"/>
    <w:rsid w:val="296F5B95"/>
    <w:rsid w:val="29AC777C"/>
    <w:rsid w:val="29BA4906"/>
    <w:rsid w:val="29DE0525"/>
    <w:rsid w:val="29E74DB9"/>
    <w:rsid w:val="29EF70C8"/>
    <w:rsid w:val="2A221D03"/>
    <w:rsid w:val="2A3716AB"/>
    <w:rsid w:val="2AB30D88"/>
    <w:rsid w:val="2ADE1C06"/>
    <w:rsid w:val="2ADE2A02"/>
    <w:rsid w:val="2AF43A06"/>
    <w:rsid w:val="2B485DBB"/>
    <w:rsid w:val="2B692B05"/>
    <w:rsid w:val="2B69347C"/>
    <w:rsid w:val="2B8C0A94"/>
    <w:rsid w:val="2B8D1F4D"/>
    <w:rsid w:val="2BDE1876"/>
    <w:rsid w:val="2C13079A"/>
    <w:rsid w:val="2C165FD1"/>
    <w:rsid w:val="2C167BD8"/>
    <w:rsid w:val="2C2D4C6B"/>
    <w:rsid w:val="2C427C83"/>
    <w:rsid w:val="2C8D3827"/>
    <w:rsid w:val="2CEE5754"/>
    <w:rsid w:val="2CF93CF0"/>
    <w:rsid w:val="2D3A09C2"/>
    <w:rsid w:val="2D5F1F73"/>
    <w:rsid w:val="2D6F134E"/>
    <w:rsid w:val="2DAD2E9F"/>
    <w:rsid w:val="2DC4660B"/>
    <w:rsid w:val="2E0C0EE9"/>
    <w:rsid w:val="2E184FD3"/>
    <w:rsid w:val="2E337F5F"/>
    <w:rsid w:val="2E3D6CA4"/>
    <w:rsid w:val="2E7112F3"/>
    <w:rsid w:val="2E7C3545"/>
    <w:rsid w:val="2EB35A8A"/>
    <w:rsid w:val="2ECD7E4F"/>
    <w:rsid w:val="2EED67DD"/>
    <w:rsid w:val="2EFD15F2"/>
    <w:rsid w:val="2F1F513C"/>
    <w:rsid w:val="2F28730D"/>
    <w:rsid w:val="2F373A65"/>
    <w:rsid w:val="2F8D7DD7"/>
    <w:rsid w:val="2FB3515D"/>
    <w:rsid w:val="2FC03081"/>
    <w:rsid w:val="2FCD1C26"/>
    <w:rsid w:val="30104E20"/>
    <w:rsid w:val="304862D7"/>
    <w:rsid w:val="304E334A"/>
    <w:rsid w:val="30C51137"/>
    <w:rsid w:val="30DA24F1"/>
    <w:rsid w:val="30FF31FB"/>
    <w:rsid w:val="310959FE"/>
    <w:rsid w:val="3109732A"/>
    <w:rsid w:val="314E14C4"/>
    <w:rsid w:val="315E5833"/>
    <w:rsid w:val="31864723"/>
    <w:rsid w:val="31A029D3"/>
    <w:rsid w:val="31BE2D2D"/>
    <w:rsid w:val="32080EDC"/>
    <w:rsid w:val="3245158A"/>
    <w:rsid w:val="3253249F"/>
    <w:rsid w:val="32AB7EAB"/>
    <w:rsid w:val="32B618E2"/>
    <w:rsid w:val="32B71D27"/>
    <w:rsid w:val="32DE07F1"/>
    <w:rsid w:val="32E5522F"/>
    <w:rsid w:val="33323300"/>
    <w:rsid w:val="338527AA"/>
    <w:rsid w:val="33894E5B"/>
    <w:rsid w:val="33A83053"/>
    <w:rsid w:val="33AE0711"/>
    <w:rsid w:val="34777EA9"/>
    <w:rsid w:val="348573AD"/>
    <w:rsid w:val="34A47F83"/>
    <w:rsid w:val="34AD04C1"/>
    <w:rsid w:val="34F24730"/>
    <w:rsid w:val="35465F56"/>
    <w:rsid w:val="357E5409"/>
    <w:rsid w:val="35945D5F"/>
    <w:rsid w:val="35B3556B"/>
    <w:rsid w:val="35F5325E"/>
    <w:rsid w:val="360630CA"/>
    <w:rsid w:val="360A76FC"/>
    <w:rsid w:val="366A08A1"/>
    <w:rsid w:val="36FD79CA"/>
    <w:rsid w:val="37065EAF"/>
    <w:rsid w:val="37095940"/>
    <w:rsid w:val="371E73E3"/>
    <w:rsid w:val="376932B2"/>
    <w:rsid w:val="376B45FB"/>
    <w:rsid w:val="376D57DD"/>
    <w:rsid w:val="37E81DE8"/>
    <w:rsid w:val="38275D59"/>
    <w:rsid w:val="3848012E"/>
    <w:rsid w:val="38B9507A"/>
    <w:rsid w:val="38D7229A"/>
    <w:rsid w:val="38F86950"/>
    <w:rsid w:val="3902639C"/>
    <w:rsid w:val="39525C52"/>
    <w:rsid w:val="3952647A"/>
    <w:rsid w:val="3956425B"/>
    <w:rsid w:val="3960395C"/>
    <w:rsid w:val="39A64D30"/>
    <w:rsid w:val="39A7665D"/>
    <w:rsid w:val="39D02824"/>
    <w:rsid w:val="3A120448"/>
    <w:rsid w:val="3A202424"/>
    <w:rsid w:val="3A406688"/>
    <w:rsid w:val="3AC536C4"/>
    <w:rsid w:val="3ADC6213"/>
    <w:rsid w:val="3AE56B1A"/>
    <w:rsid w:val="3AF45BE0"/>
    <w:rsid w:val="3AF460F5"/>
    <w:rsid w:val="3B6141E8"/>
    <w:rsid w:val="3B721C7C"/>
    <w:rsid w:val="3B7A3CDF"/>
    <w:rsid w:val="3BC308CB"/>
    <w:rsid w:val="3BEA5380"/>
    <w:rsid w:val="3C3F24CA"/>
    <w:rsid w:val="3C5D7D9D"/>
    <w:rsid w:val="3CD613E9"/>
    <w:rsid w:val="3D1C54C3"/>
    <w:rsid w:val="3D301116"/>
    <w:rsid w:val="3D435E11"/>
    <w:rsid w:val="3D4C1A5C"/>
    <w:rsid w:val="3D6C60E9"/>
    <w:rsid w:val="3D855C98"/>
    <w:rsid w:val="3DE61BF9"/>
    <w:rsid w:val="3E0063C6"/>
    <w:rsid w:val="3E487F66"/>
    <w:rsid w:val="3EB05C6A"/>
    <w:rsid w:val="3EBA3B27"/>
    <w:rsid w:val="3EC949BD"/>
    <w:rsid w:val="3F1D1FAD"/>
    <w:rsid w:val="3F2106C0"/>
    <w:rsid w:val="3F25417D"/>
    <w:rsid w:val="3F3A23A7"/>
    <w:rsid w:val="3F453F96"/>
    <w:rsid w:val="3F965D11"/>
    <w:rsid w:val="3FCB42E0"/>
    <w:rsid w:val="3FF2193A"/>
    <w:rsid w:val="40186572"/>
    <w:rsid w:val="403703F1"/>
    <w:rsid w:val="4038028B"/>
    <w:rsid w:val="404F2B17"/>
    <w:rsid w:val="405979F4"/>
    <w:rsid w:val="40895D14"/>
    <w:rsid w:val="40A610D2"/>
    <w:rsid w:val="40BA2308"/>
    <w:rsid w:val="40BA2B58"/>
    <w:rsid w:val="40D21013"/>
    <w:rsid w:val="41565ECA"/>
    <w:rsid w:val="41C73588"/>
    <w:rsid w:val="41DC783A"/>
    <w:rsid w:val="41EC43CC"/>
    <w:rsid w:val="41F9573B"/>
    <w:rsid w:val="41FF695D"/>
    <w:rsid w:val="4218679A"/>
    <w:rsid w:val="423E0CBE"/>
    <w:rsid w:val="42642ED6"/>
    <w:rsid w:val="42967F6B"/>
    <w:rsid w:val="42D665BD"/>
    <w:rsid w:val="42F42673"/>
    <w:rsid w:val="430B24DB"/>
    <w:rsid w:val="433B60C3"/>
    <w:rsid w:val="4363766A"/>
    <w:rsid w:val="43821027"/>
    <w:rsid w:val="43845989"/>
    <w:rsid w:val="43E47C56"/>
    <w:rsid w:val="44C220FA"/>
    <w:rsid w:val="44D00A48"/>
    <w:rsid w:val="44D3139A"/>
    <w:rsid w:val="452112A4"/>
    <w:rsid w:val="454A2BAB"/>
    <w:rsid w:val="456E77DB"/>
    <w:rsid w:val="45900B2B"/>
    <w:rsid w:val="459308E1"/>
    <w:rsid w:val="45A93012"/>
    <w:rsid w:val="45D4644E"/>
    <w:rsid w:val="45EA1973"/>
    <w:rsid w:val="45F428E0"/>
    <w:rsid w:val="463158E2"/>
    <w:rsid w:val="4632659C"/>
    <w:rsid w:val="467E0A90"/>
    <w:rsid w:val="46B72EB2"/>
    <w:rsid w:val="46D22C21"/>
    <w:rsid w:val="46E84813"/>
    <w:rsid w:val="4784467A"/>
    <w:rsid w:val="47B56EA9"/>
    <w:rsid w:val="484A2C8B"/>
    <w:rsid w:val="48732DFA"/>
    <w:rsid w:val="48F33103"/>
    <w:rsid w:val="494527BF"/>
    <w:rsid w:val="499E6F1D"/>
    <w:rsid w:val="49C56F37"/>
    <w:rsid w:val="49CA5745"/>
    <w:rsid w:val="49D123EE"/>
    <w:rsid w:val="4A1A1AFC"/>
    <w:rsid w:val="4A1C7F69"/>
    <w:rsid w:val="4A4A7BE5"/>
    <w:rsid w:val="4A693618"/>
    <w:rsid w:val="4A83553B"/>
    <w:rsid w:val="4AC17D4E"/>
    <w:rsid w:val="4B315A79"/>
    <w:rsid w:val="4B577B99"/>
    <w:rsid w:val="4B670988"/>
    <w:rsid w:val="4BC14EAA"/>
    <w:rsid w:val="4BF60033"/>
    <w:rsid w:val="4C050246"/>
    <w:rsid w:val="4C0F23A4"/>
    <w:rsid w:val="4C120763"/>
    <w:rsid w:val="4C2822C6"/>
    <w:rsid w:val="4C2D5F69"/>
    <w:rsid w:val="4C6263AC"/>
    <w:rsid w:val="4CB80271"/>
    <w:rsid w:val="4CED537D"/>
    <w:rsid w:val="4D6A309D"/>
    <w:rsid w:val="4D9E31C3"/>
    <w:rsid w:val="4DB32039"/>
    <w:rsid w:val="4DB6655A"/>
    <w:rsid w:val="4DC108F4"/>
    <w:rsid w:val="4DDA0C37"/>
    <w:rsid w:val="4DF0484B"/>
    <w:rsid w:val="4E0176F5"/>
    <w:rsid w:val="4E1B37B3"/>
    <w:rsid w:val="4E414BB2"/>
    <w:rsid w:val="4E7E4296"/>
    <w:rsid w:val="4E803067"/>
    <w:rsid w:val="4ED24E8A"/>
    <w:rsid w:val="4ED75229"/>
    <w:rsid w:val="4F2C4F1E"/>
    <w:rsid w:val="4F40081B"/>
    <w:rsid w:val="4F5624CB"/>
    <w:rsid w:val="4F857457"/>
    <w:rsid w:val="4FAB158B"/>
    <w:rsid w:val="4FB467F9"/>
    <w:rsid w:val="4FC0104B"/>
    <w:rsid w:val="4FD02F65"/>
    <w:rsid w:val="501D1DF1"/>
    <w:rsid w:val="510D07DF"/>
    <w:rsid w:val="512D6C02"/>
    <w:rsid w:val="519B28E7"/>
    <w:rsid w:val="52832C8D"/>
    <w:rsid w:val="52DB3A4A"/>
    <w:rsid w:val="52E57CC3"/>
    <w:rsid w:val="5312550A"/>
    <w:rsid w:val="539F20DD"/>
    <w:rsid w:val="53B20179"/>
    <w:rsid w:val="53DE69BF"/>
    <w:rsid w:val="541E45C6"/>
    <w:rsid w:val="548706C1"/>
    <w:rsid w:val="548940D0"/>
    <w:rsid w:val="54BF0B57"/>
    <w:rsid w:val="54D723E8"/>
    <w:rsid w:val="54EE3593"/>
    <w:rsid w:val="550721D5"/>
    <w:rsid w:val="551D0BF2"/>
    <w:rsid w:val="55690BF5"/>
    <w:rsid w:val="557C0412"/>
    <w:rsid w:val="55806C15"/>
    <w:rsid w:val="55A47060"/>
    <w:rsid w:val="55A96437"/>
    <w:rsid w:val="55AC636A"/>
    <w:rsid w:val="55C15CC7"/>
    <w:rsid w:val="55CD1789"/>
    <w:rsid w:val="55D32DE8"/>
    <w:rsid w:val="55D553DE"/>
    <w:rsid w:val="55D61FA4"/>
    <w:rsid w:val="563648E8"/>
    <w:rsid w:val="56A650A5"/>
    <w:rsid w:val="56B62362"/>
    <w:rsid w:val="56B967C0"/>
    <w:rsid w:val="56BE67A9"/>
    <w:rsid w:val="56EE7782"/>
    <w:rsid w:val="57550496"/>
    <w:rsid w:val="576B0D91"/>
    <w:rsid w:val="57830686"/>
    <w:rsid w:val="57C96345"/>
    <w:rsid w:val="57D17697"/>
    <w:rsid w:val="57D92384"/>
    <w:rsid w:val="57EB60A6"/>
    <w:rsid w:val="58020827"/>
    <w:rsid w:val="581808D2"/>
    <w:rsid w:val="581E2464"/>
    <w:rsid w:val="58636F70"/>
    <w:rsid w:val="588E3A11"/>
    <w:rsid w:val="58941028"/>
    <w:rsid w:val="58A44110"/>
    <w:rsid w:val="58CF0183"/>
    <w:rsid w:val="58DE21CC"/>
    <w:rsid w:val="58F76407"/>
    <w:rsid w:val="5927169E"/>
    <w:rsid w:val="5973475B"/>
    <w:rsid w:val="59DA4375"/>
    <w:rsid w:val="5A184997"/>
    <w:rsid w:val="5A623E64"/>
    <w:rsid w:val="5A726558"/>
    <w:rsid w:val="5B117EC0"/>
    <w:rsid w:val="5B2616E5"/>
    <w:rsid w:val="5B3A4C3E"/>
    <w:rsid w:val="5B884B96"/>
    <w:rsid w:val="5B8B2F47"/>
    <w:rsid w:val="5BF93517"/>
    <w:rsid w:val="5C03385A"/>
    <w:rsid w:val="5C2D424D"/>
    <w:rsid w:val="5C734374"/>
    <w:rsid w:val="5C8271B2"/>
    <w:rsid w:val="5D090FC9"/>
    <w:rsid w:val="5D480F4A"/>
    <w:rsid w:val="5D487342"/>
    <w:rsid w:val="5D6D08F9"/>
    <w:rsid w:val="5D720DAB"/>
    <w:rsid w:val="5D7217AC"/>
    <w:rsid w:val="5E354417"/>
    <w:rsid w:val="5EE04E89"/>
    <w:rsid w:val="5F48575A"/>
    <w:rsid w:val="5F9A366E"/>
    <w:rsid w:val="5FA2526B"/>
    <w:rsid w:val="5FAA3C47"/>
    <w:rsid w:val="5FB867FE"/>
    <w:rsid w:val="5FC11647"/>
    <w:rsid w:val="5FC72EFD"/>
    <w:rsid w:val="5FCE66E7"/>
    <w:rsid w:val="5FF61953"/>
    <w:rsid w:val="60001698"/>
    <w:rsid w:val="60085E78"/>
    <w:rsid w:val="600E54F4"/>
    <w:rsid w:val="602C7DD3"/>
    <w:rsid w:val="604157B4"/>
    <w:rsid w:val="60491296"/>
    <w:rsid w:val="607B75C7"/>
    <w:rsid w:val="60A827A3"/>
    <w:rsid w:val="60BA4F38"/>
    <w:rsid w:val="60CE34D7"/>
    <w:rsid w:val="60D51A59"/>
    <w:rsid w:val="60E82224"/>
    <w:rsid w:val="60F575C1"/>
    <w:rsid w:val="61147D5F"/>
    <w:rsid w:val="61B17DFE"/>
    <w:rsid w:val="61E0223F"/>
    <w:rsid w:val="624C05D4"/>
    <w:rsid w:val="626A0523"/>
    <w:rsid w:val="62847EA7"/>
    <w:rsid w:val="62DB637F"/>
    <w:rsid w:val="62FA10BA"/>
    <w:rsid w:val="62FD5017"/>
    <w:rsid w:val="6311599C"/>
    <w:rsid w:val="63296CF6"/>
    <w:rsid w:val="634B1F91"/>
    <w:rsid w:val="63532130"/>
    <w:rsid w:val="637D6D63"/>
    <w:rsid w:val="63D615FE"/>
    <w:rsid w:val="63FD7DAD"/>
    <w:rsid w:val="640B7333"/>
    <w:rsid w:val="6469117D"/>
    <w:rsid w:val="64871562"/>
    <w:rsid w:val="64B259E8"/>
    <w:rsid w:val="64EA7FB1"/>
    <w:rsid w:val="64EC6C5A"/>
    <w:rsid w:val="64F735D8"/>
    <w:rsid w:val="652E5CCD"/>
    <w:rsid w:val="653077B7"/>
    <w:rsid w:val="653D7AF3"/>
    <w:rsid w:val="654A4CF7"/>
    <w:rsid w:val="65711400"/>
    <w:rsid w:val="657A67FD"/>
    <w:rsid w:val="657B0A8B"/>
    <w:rsid w:val="658813D1"/>
    <w:rsid w:val="65B119A5"/>
    <w:rsid w:val="65F916BF"/>
    <w:rsid w:val="660137CF"/>
    <w:rsid w:val="661763DD"/>
    <w:rsid w:val="6622535F"/>
    <w:rsid w:val="663E1A9A"/>
    <w:rsid w:val="66565CBE"/>
    <w:rsid w:val="665D289C"/>
    <w:rsid w:val="66A12CC1"/>
    <w:rsid w:val="670E76D1"/>
    <w:rsid w:val="6732724F"/>
    <w:rsid w:val="675608AD"/>
    <w:rsid w:val="67574E33"/>
    <w:rsid w:val="67745B77"/>
    <w:rsid w:val="67985461"/>
    <w:rsid w:val="67D77C44"/>
    <w:rsid w:val="681E549E"/>
    <w:rsid w:val="68372387"/>
    <w:rsid w:val="684C3075"/>
    <w:rsid w:val="685E4D50"/>
    <w:rsid w:val="68645048"/>
    <w:rsid w:val="68816D21"/>
    <w:rsid w:val="690459DC"/>
    <w:rsid w:val="690B7AFD"/>
    <w:rsid w:val="692D1974"/>
    <w:rsid w:val="694D183B"/>
    <w:rsid w:val="69543567"/>
    <w:rsid w:val="699F3A3F"/>
    <w:rsid w:val="69BE7BAE"/>
    <w:rsid w:val="6A180980"/>
    <w:rsid w:val="6A4101B9"/>
    <w:rsid w:val="6A5D3DFB"/>
    <w:rsid w:val="6A6D318E"/>
    <w:rsid w:val="6A835587"/>
    <w:rsid w:val="6A90444F"/>
    <w:rsid w:val="6A930078"/>
    <w:rsid w:val="6AB63A2C"/>
    <w:rsid w:val="6AFC4C50"/>
    <w:rsid w:val="6AFF6DD9"/>
    <w:rsid w:val="6B2031BA"/>
    <w:rsid w:val="6B3034CF"/>
    <w:rsid w:val="6B6721F6"/>
    <w:rsid w:val="6B713444"/>
    <w:rsid w:val="6B7A60D6"/>
    <w:rsid w:val="6B8D38AF"/>
    <w:rsid w:val="6B9F6D44"/>
    <w:rsid w:val="6C1F2CED"/>
    <w:rsid w:val="6C203A9A"/>
    <w:rsid w:val="6C385BB0"/>
    <w:rsid w:val="6C53360D"/>
    <w:rsid w:val="6C9205D9"/>
    <w:rsid w:val="6CA6506C"/>
    <w:rsid w:val="6CB75CCD"/>
    <w:rsid w:val="6D194CD4"/>
    <w:rsid w:val="6D2D26D4"/>
    <w:rsid w:val="6D6F7597"/>
    <w:rsid w:val="6DAE612D"/>
    <w:rsid w:val="6DD5404A"/>
    <w:rsid w:val="6DE066F9"/>
    <w:rsid w:val="6DE80D4D"/>
    <w:rsid w:val="6DF37800"/>
    <w:rsid w:val="6E8F76EE"/>
    <w:rsid w:val="6E9303C1"/>
    <w:rsid w:val="6EB40345"/>
    <w:rsid w:val="6EC55FDD"/>
    <w:rsid w:val="6ECF03D4"/>
    <w:rsid w:val="6EEA4B30"/>
    <w:rsid w:val="6EEB1850"/>
    <w:rsid w:val="6EEB4762"/>
    <w:rsid w:val="6F1C418A"/>
    <w:rsid w:val="6F1D62F1"/>
    <w:rsid w:val="6F7A3C37"/>
    <w:rsid w:val="6FC02C16"/>
    <w:rsid w:val="6FD57D8A"/>
    <w:rsid w:val="6FE041CA"/>
    <w:rsid w:val="6FEC219A"/>
    <w:rsid w:val="6FF6475E"/>
    <w:rsid w:val="700215D2"/>
    <w:rsid w:val="700F7855"/>
    <w:rsid w:val="70184EA3"/>
    <w:rsid w:val="705644E9"/>
    <w:rsid w:val="70817FDC"/>
    <w:rsid w:val="708C2233"/>
    <w:rsid w:val="70BC0936"/>
    <w:rsid w:val="70CB53E1"/>
    <w:rsid w:val="70E45041"/>
    <w:rsid w:val="714E12CF"/>
    <w:rsid w:val="71805F03"/>
    <w:rsid w:val="71B70920"/>
    <w:rsid w:val="71E62E69"/>
    <w:rsid w:val="71FA003B"/>
    <w:rsid w:val="7209016D"/>
    <w:rsid w:val="72386BF0"/>
    <w:rsid w:val="72547AD7"/>
    <w:rsid w:val="7259341C"/>
    <w:rsid w:val="728B00C1"/>
    <w:rsid w:val="728D3CD9"/>
    <w:rsid w:val="731C7731"/>
    <w:rsid w:val="73214E54"/>
    <w:rsid w:val="733E3EC7"/>
    <w:rsid w:val="7341675A"/>
    <w:rsid w:val="734521A8"/>
    <w:rsid w:val="73707E67"/>
    <w:rsid w:val="73BA58EC"/>
    <w:rsid w:val="73CA7D44"/>
    <w:rsid w:val="741F0C23"/>
    <w:rsid w:val="74216CE6"/>
    <w:rsid w:val="743439CA"/>
    <w:rsid w:val="74634609"/>
    <w:rsid w:val="74687938"/>
    <w:rsid w:val="748F3308"/>
    <w:rsid w:val="74BC7F66"/>
    <w:rsid w:val="74DD127A"/>
    <w:rsid w:val="74F159A5"/>
    <w:rsid w:val="754B1A74"/>
    <w:rsid w:val="75686B98"/>
    <w:rsid w:val="75917CED"/>
    <w:rsid w:val="75A35605"/>
    <w:rsid w:val="762D0789"/>
    <w:rsid w:val="76345409"/>
    <w:rsid w:val="766F5E87"/>
    <w:rsid w:val="7677072C"/>
    <w:rsid w:val="767E14FE"/>
    <w:rsid w:val="76A00464"/>
    <w:rsid w:val="76A021B3"/>
    <w:rsid w:val="76A80894"/>
    <w:rsid w:val="76B664D7"/>
    <w:rsid w:val="76E33575"/>
    <w:rsid w:val="76EB2B73"/>
    <w:rsid w:val="76F275C9"/>
    <w:rsid w:val="770B0914"/>
    <w:rsid w:val="777E4A4B"/>
    <w:rsid w:val="77A33591"/>
    <w:rsid w:val="77D16924"/>
    <w:rsid w:val="77DA4BE2"/>
    <w:rsid w:val="782C2784"/>
    <w:rsid w:val="78326601"/>
    <w:rsid w:val="7890623E"/>
    <w:rsid w:val="79276A37"/>
    <w:rsid w:val="797F7147"/>
    <w:rsid w:val="79BE2A91"/>
    <w:rsid w:val="79FE23AA"/>
    <w:rsid w:val="7A1C1CF9"/>
    <w:rsid w:val="7A1D1635"/>
    <w:rsid w:val="7A2114BD"/>
    <w:rsid w:val="7A245189"/>
    <w:rsid w:val="7A482596"/>
    <w:rsid w:val="7A992CC0"/>
    <w:rsid w:val="7AEB5324"/>
    <w:rsid w:val="7B34695B"/>
    <w:rsid w:val="7B3A50B0"/>
    <w:rsid w:val="7B7A2758"/>
    <w:rsid w:val="7B8B2C1D"/>
    <w:rsid w:val="7BB26C88"/>
    <w:rsid w:val="7BCA3B47"/>
    <w:rsid w:val="7BD020E4"/>
    <w:rsid w:val="7C01614C"/>
    <w:rsid w:val="7C3403C9"/>
    <w:rsid w:val="7CD17943"/>
    <w:rsid w:val="7CE64909"/>
    <w:rsid w:val="7D40198C"/>
    <w:rsid w:val="7D4E0C16"/>
    <w:rsid w:val="7D63567A"/>
    <w:rsid w:val="7D793C28"/>
    <w:rsid w:val="7D8C0F6F"/>
    <w:rsid w:val="7D8C69F8"/>
    <w:rsid w:val="7DD60F10"/>
    <w:rsid w:val="7E096CA7"/>
    <w:rsid w:val="7E6009A4"/>
    <w:rsid w:val="7E6B6EDC"/>
    <w:rsid w:val="7EBC542F"/>
    <w:rsid w:val="7F35244A"/>
    <w:rsid w:val="7F6A5445"/>
    <w:rsid w:val="7F704289"/>
    <w:rsid w:val="7FE3027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semiHidden="0" w:name="toc 1"/>
    <w:lsdException w:qFormat="1" w:uiPriority="39"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qFormat="1"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autoRedefine/>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36"/>
    <w:autoRedefine/>
    <w:qFormat/>
    <w:uiPriority w:val="1"/>
    <w:pPr>
      <w:numPr>
        <w:ilvl w:val="0"/>
        <w:numId w:val="1"/>
      </w:numPr>
      <w:jc w:val="center"/>
      <w:outlineLvl w:val="0"/>
    </w:pPr>
    <w:rPr>
      <w:rFonts w:ascii="Times New Roman" w:hAnsi="Times New Roman" w:eastAsia="微软雅黑" w:cs="黑体"/>
      <w:b/>
      <w:bCs/>
      <w:color w:val="00B050"/>
      <w:sz w:val="28"/>
      <w:szCs w:val="36"/>
      <w:lang w:eastAsia="zh-CN"/>
    </w:rPr>
  </w:style>
  <w:style w:type="paragraph" w:styleId="3">
    <w:name w:val="heading 2"/>
    <w:basedOn w:val="1"/>
    <w:next w:val="1"/>
    <w:autoRedefine/>
    <w:qFormat/>
    <w:uiPriority w:val="1"/>
    <w:pPr>
      <w:numPr>
        <w:ilvl w:val="0"/>
        <w:numId w:val="2"/>
      </w:numPr>
      <w:jc w:val="center"/>
      <w:outlineLvl w:val="1"/>
    </w:pPr>
    <w:rPr>
      <w:rFonts w:ascii="Times New Roman" w:hAnsi="Times New Roman" w:eastAsia="微软雅黑" w:cs="黑体"/>
      <w:b/>
      <w:bCs/>
      <w:color w:val="00B050"/>
      <w:sz w:val="24"/>
      <w:szCs w:val="30"/>
    </w:rPr>
  </w:style>
  <w:style w:type="paragraph" w:styleId="4">
    <w:name w:val="heading 3"/>
    <w:basedOn w:val="1"/>
    <w:next w:val="1"/>
    <w:autoRedefine/>
    <w:qFormat/>
    <w:uiPriority w:val="1"/>
    <w:pPr>
      <w:outlineLvl w:val="2"/>
    </w:pPr>
    <w:rPr>
      <w:rFonts w:eastAsia="黑体"/>
      <w:b/>
      <w:sz w:val="28"/>
      <w:szCs w:val="30"/>
    </w:rPr>
  </w:style>
  <w:style w:type="character" w:default="1" w:styleId="16">
    <w:name w:val="Default Paragraph Font"/>
    <w:autoRedefine/>
    <w:semiHidden/>
    <w:unhideWhenUsed/>
    <w:qFormat/>
    <w:uiPriority w:val="1"/>
  </w:style>
  <w:style w:type="table" w:default="1" w:styleId="14">
    <w:name w:val="Normal Table"/>
    <w:autoRedefine/>
    <w:semiHidden/>
    <w:unhideWhenUsed/>
    <w:qFormat/>
    <w:uiPriority w:val="99"/>
    <w:tblPr>
      <w:tblCellMar>
        <w:top w:w="0" w:type="dxa"/>
        <w:left w:w="108" w:type="dxa"/>
        <w:bottom w:w="0" w:type="dxa"/>
        <w:right w:w="108" w:type="dxa"/>
      </w:tblCellMar>
    </w:tblPr>
  </w:style>
  <w:style w:type="paragraph" w:styleId="5">
    <w:name w:val="annotation text"/>
    <w:basedOn w:val="1"/>
    <w:autoRedefine/>
    <w:qFormat/>
    <w:uiPriority w:val="0"/>
  </w:style>
  <w:style w:type="paragraph" w:styleId="6">
    <w:name w:val="Body Text"/>
    <w:basedOn w:val="1"/>
    <w:autoRedefine/>
    <w:qFormat/>
    <w:uiPriority w:val="1"/>
    <w:rPr>
      <w:sz w:val="18"/>
      <w:szCs w:val="18"/>
    </w:rPr>
  </w:style>
  <w:style w:type="paragraph" w:styleId="7">
    <w:name w:val="toc 3"/>
    <w:basedOn w:val="1"/>
    <w:next w:val="1"/>
    <w:autoRedefine/>
    <w:qFormat/>
    <w:uiPriority w:val="0"/>
    <w:pPr>
      <w:ind w:left="840" w:leftChars="400"/>
    </w:pPr>
  </w:style>
  <w:style w:type="paragraph" w:styleId="8">
    <w:name w:val="Balloon Text"/>
    <w:basedOn w:val="1"/>
    <w:link w:val="35"/>
    <w:autoRedefine/>
    <w:qFormat/>
    <w:uiPriority w:val="0"/>
    <w:rPr>
      <w:sz w:val="18"/>
      <w:szCs w:val="18"/>
    </w:rPr>
  </w:style>
  <w:style w:type="paragraph" w:styleId="9">
    <w:name w:val="footer"/>
    <w:basedOn w:val="1"/>
    <w:autoRedefine/>
    <w:unhideWhenUsed/>
    <w:qFormat/>
    <w:uiPriority w:val="99"/>
    <w:pPr>
      <w:tabs>
        <w:tab w:val="center" w:pos="4153"/>
        <w:tab w:val="right" w:pos="8306"/>
      </w:tabs>
      <w:snapToGrid w:val="0"/>
    </w:pPr>
    <w:rPr>
      <w:sz w:val="18"/>
      <w:szCs w:val="18"/>
    </w:rPr>
  </w:style>
  <w:style w:type="paragraph" w:styleId="10">
    <w:name w:val="header"/>
    <w:basedOn w:val="1"/>
    <w:autoRedefine/>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1">
    <w:name w:val="toc 1"/>
    <w:basedOn w:val="1"/>
    <w:next w:val="1"/>
    <w:autoRedefine/>
    <w:unhideWhenUsed/>
    <w:qFormat/>
    <w:uiPriority w:val="39"/>
    <w:rPr>
      <w:rFonts w:ascii="Times New Roman" w:hAnsi="Times New Roman" w:eastAsia="微软雅黑"/>
      <w:b/>
      <w:color w:val="62B541"/>
      <w:sz w:val="32"/>
    </w:rPr>
  </w:style>
  <w:style w:type="paragraph" w:styleId="12">
    <w:name w:val="toc 2"/>
    <w:basedOn w:val="1"/>
    <w:next w:val="1"/>
    <w:autoRedefine/>
    <w:unhideWhenUsed/>
    <w:qFormat/>
    <w:uiPriority w:val="39"/>
    <w:pPr>
      <w:ind w:left="420" w:leftChars="200"/>
    </w:pPr>
    <w:rPr>
      <w:rFonts w:ascii="Times New Roman" w:hAnsi="Times New Roman" w:eastAsia="微软雅黑"/>
      <w:sz w:val="28"/>
    </w:rPr>
  </w:style>
  <w:style w:type="paragraph" w:styleId="13">
    <w:name w:val="Normal (Web)"/>
    <w:basedOn w:val="1"/>
    <w:autoRedefine/>
    <w:qFormat/>
    <w:uiPriority w:val="0"/>
    <w:rPr>
      <w:sz w:val="24"/>
    </w:rPr>
  </w:style>
  <w:style w:type="table" w:styleId="15">
    <w:name w:val="Table Grid"/>
    <w:basedOn w:val="14"/>
    <w:autoRedefine/>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character" w:styleId="17">
    <w:name w:val="Strong"/>
    <w:basedOn w:val="16"/>
    <w:autoRedefine/>
    <w:qFormat/>
    <w:uiPriority w:val="0"/>
    <w:rPr>
      <w:b/>
    </w:rPr>
  </w:style>
  <w:style w:type="character" w:styleId="18">
    <w:name w:val="FollowedHyperlink"/>
    <w:basedOn w:val="16"/>
    <w:autoRedefine/>
    <w:qFormat/>
    <w:uiPriority w:val="0"/>
    <w:rPr>
      <w:color w:val="954F72" w:themeColor="followedHyperlink"/>
      <w:u w:val="single"/>
      <w14:textFill>
        <w14:solidFill>
          <w14:schemeClr w14:val="folHlink"/>
        </w14:solidFill>
      </w14:textFill>
    </w:rPr>
  </w:style>
  <w:style w:type="character" w:styleId="19">
    <w:name w:val="Hyperlink"/>
    <w:basedOn w:val="16"/>
    <w:autoRedefine/>
    <w:unhideWhenUsed/>
    <w:qFormat/>
    <w:uiPriority w:val="99"/>
    <w:rPr>
      <w:color w:val="0563C1" w:themeColor="hyperlink"/>
      <w:u w:val="single"/>
      <w14:textFill>
        <w14:solidFill>
          <w14:schemeClr w14:val="hlink"/>
        </w14:solidFill>
      </w14:textFill>
    </w:rPr>
  </w:style>
  <w:style w:type="character" w:styleId="20">
    <w:name w:val="annotation reference"/>
    <w:basedOn w:val="16"/>
    <w:autoRedefine/>
    <w:qFormat/>
    <w:uiPriority w:val="0"/>
    <w:rPr>
      <w:sz w:val="21"/>
      <w:szCs w:val="21"/>
    </w:rPr>
  </w:style>
  <w:style w:type="paragraph" w:customStyle="1" w:styleId="21">
    <w:name w:val="Table Paragraph"/>
    <w:basedOn w:val="1"/>
    <w:autoRedefine/>
    <w:qFormat/>
    <w:uiPriority w:val="1"/>
  </w:style>
  <w:style w:type="table" w:customStyle="1" w:styleId="22">
    <w:name w:val="Table Normal1"/>
    <w:autoRedefine/>
    <w:unhideWhenUsed/>
    <w:qFormat/>
    <w:uiPriority w:val="2"/>
    <w:tblPr>
      <w:tblCellMar>
        <w:top w:w="0" w:type="dxa"/>
        <w:left w:w="0" w:type="dxa"/>
        <w:bottom w:w="0" w:type="dxa"/>
        <w:right w:w="0" w:type="dxa"/>
      </w:tblCellMar>
    </w:tblPr>
  </w:style>
  <w:style w:type="paragraph" w:customStyle="1" w:styleId="23">
    <w:name w:val="List Paragraph1"/>
    <w:basedOn w:val="1"/>
    <w:autoRedefine/>
    <w:qFormat/>
    <w:uiPriority w:val="34"/>
    <w:rPr>
      <w:rFonts w:asciiTheme="minorHAnsi" w:hAnsiTheme="minorHAnsi" w:eastAsiaTheme="minorEastAsia" w:cstheme="minorBidi"/>
    </w:rPr>
  </w:style>
  <w:style w:type="paragraph" w:customStyle="1" w:styleId="24">
    <w:name w:val="标题1-1"/>
    <w:basedOn w:val="2"/>
    <w:next w:val="1"/>
    <w:autoRedefine/>
    <w:qFormat/>
    <w:uiPriority w:val="1"/>
    <w:pPr>
      <w:numPr>
        <w:numId w:val="3"/>
      </w:numPr>
    </w:pPr>
    <w:rPr>
      <w:rFonts w:cs="Times New Roman"/>
      <w:bCs w:val="0"/>
      <w:color w:val="45A3A7"/>
    </w:rPr>
  </w:style>
  <w:style w:type="paragraph" w:customStyle="1" w:styleId="25">
    <w:name w:val="标题2-1"/>
    <w:basedOn w:val="3"/>
    <w:next w:val="1"/>
    <w:autoRedefine/>
    <w:qFormat/>
    <w:uiPriority w:val="1"/>
    <w:pPr>
      <w:numPr>
        <w:numId w:val="4"/>
      </w:numPr>
      <w:spacing w:line="276" w:lineRule="auto"/>
    </w:pPr>
    <w:rPr>
      <w:rFonts w:cs="Times New Roman"/>
      <w:color w:val="45A3A7"/>
      <w:szCs w:val="24"/>
      <w:lang w:eastAsia="zh-CN"/>
    </w:rPr>
  </w:style>
  <w:style w:type="paragraph" w:customStyle="1" w:styleId="26">
    <w:name w:val="样式1"/>
    <w:basedOn w:val="6"/>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7">
    <w:name w:val="标题1-3"/>
    <w:basedOn w:val="2"/>
    <w:next w:val="1"/>
    <w:autoRedefine/>
    <w:qFormat/>
    <w:uiPriority w:val="1"/>
    <w:pPr>
      <w:numPr>
        <w:numId w:val="5"/>
      </w:numPr>
    </w:pPr>
    <w:rPr>
      <w:rFonts w:cs="Times New Roman"/>
      <w:color w:val="416AAB"/>
      <w:szCs w:val="32"/>
    </w:rPr>
  </w:style>
  <w:style w:type="paragraph" w:customStyle="1" w:styleId="28">
    <w:name w:val="标题2-3"/>
    <w:basedOn w:val="3"/>
    <w:next w:val="1"/>
    <w:autoRedefine/>
    <w:qFormat/>
    <w:uiPriority w:val="1"/>
    <w:pPr>
      <w:numPr>
        <w:numId w:val="0"/>
      </w:numPr>
      <w:spacing w:before="12" w:line="380" w:lineRule="exact"/>
      <w:jc w:val="left"/>
    </w:pPr>
    <w:rPr>
      <w:rFonts w:cs="Times New Roman"/>
      <w:color w:val="416AAB"/>
      <w:szCs w:val="24"/>
      <w:lang w:eastAsia="zh-CN"/>
    </w:rPr>
  </w:style>
  <w:style w:type="paragraph" w:customStyle="1" w:styleId="29">
    <w:name w:val="WPSOffice手动目录 1"/>
    <w:autoRedefine/>
    <w:qFormat/>
    <w:uiPriority w:val="0"/>
    <w:rPr>
      <w:rFonts w:asciiTheme="minorHAnsi" w:hAnsiTheme="minorHAnsi" w:eastAsiaTheme="minorHAnsi" w:cstheme="minorBidi"/>
      <w:lang w:val="en-US" w:eastAsia="zh-CN" w:bidi="ar-SA"/>
    </w:rPr>
  </w:style>
  <w:style w:type="paragraph" w:customStyle="1" w:styleId="30">
    <w:name w:val="WPSOffice手动目录 2"/>
    <w:autoRedefine/>
    <w:qFormat/>
    <w:uiPriority w:val="0"/>
    <w:pPr>
      <w:ind w:left="200" w:leftChars="200"/>
    </w:pPr>
    <w:rPr>
      <w:rFonts w:asciiTheme="minorHAnsi" w:hAnsiTheme="minorHAnsi" w:eastAsiaTheme="minorHAnsi" w:cstheme="minorBidi"/>
      <w:lang w:val="en-US" w:eastAsia="zh-CN" w:bidi="ar-SA"/>
    </w:rPr>
  </w:style>
  <w:style w:type="paragraph" w:customStyle="1" w:styleId="31">
    <w:name w:val="列出段落1"/>
    <w:basedOn w:val="1"/>
    <w:autoRedefine/>
    <w:unhideWhenUsed/>
    <w:qFormat/>
    <w:uiPriority w:val="34"/>
    <w:pPr>
      <w:spacing w:before="42"/>
      <w:ind w:left="1699" w:hanging="380"/>
    </w:pPr>
    <w:rPr>
      <w:sz w:val="24"/>
    </w:rPr>
  </w:style>
  <w:style w:type="paragraph" w:styleId="32">
    <w:name w:val="List Paragraph"/>
    <w:basedOn w:val="1"/>
    <w:autoRedefine/>
    <w:qFormat/>
    <w:uiPriority w:val="99"/>
    <w:pPr>
      <w:ind w:firstLine="420" w:firstLineChars="200"/>
    </w:pPr>
  </w:style>
  <w:style w:type="table" w:customStyle="1" w:styleId="33">
    <w:name w:val="Table Normal"/>
    <w:autoRedefine/>
    <w:qFormat/>
    <w:uiPriority w:val="0"/>
    <w:tblPr>
      <w:tblCellMar>
        <w:top w:w="0" w:type="dxa"/>
        <w:left w:w="0" w:type="dxa"/>
        <w:bottom w:w="0" w:type="dxa"/>
        <w:right w:w="0" w:type="dxa"/>
      </w:tblCellMar>
    </w:tblPr>
  </w:style>
  <w:style w:type="paragraph" w:customStyle="1" w:styleId="34">
    <w:name w:val="msolistparagraph"/>
    <w:basedOn w:val="1"/>
    <w:autoRedefine/>
    <w:qFormat/>
    <w:uiPriority w:val="0"/>
    <w:pPr>
      <w:ind w:firstLine="420" w:firstLineChars="200"/>
    </w:pPr>
    <w:rPr>
      <w:rFonts w:hint="eastAsia" w:cs="Times New Roman"/>
      <w:lang w:eastAsia="zh-CN"/>
    </w:rPr>
  </w:style>
  <w:style w:type="character" w:customStyle="1" w:styleId="35">
    <w:name w:val="批注框文本 Char"/>
    <w:basedOn w:val="16"/>
    <w:link w:val="8"/>
    <w:autoRedefine/>
    <w:qFormat/>
    <w:uiPriority w:val="0"/>
    <w:rPr>
      <w:rFonts w:ascii="宋体" w:hAnsi="宋体" w:cs="宋体"/>
      <w:sz w:val="18"/>
      <w:szCs w:val="18"/>
      <w:lang w:eastAsia="en-US"/>
    </w:rPr>
  </w:style>
  <w:style w:type="character" w:customStyle="1" w:styleId="36">
    <w:name w:val="标题 1 Char"/>
    <w:link w:val="2"/>
    <w:autoRedefine/>
    <w:qFormat/>
    <w:uiPriority w:val="1"/>
    <w:rPr>
      <w:rFonts w:ascii="Times New Roman" w:hAnsi="Times New Roman" w:eastAsia="微软雅黑" w:cs="黑体"/>
      <w:b/>
      <w:bCs/>
      <w:color w:val="00B050"/>
      <w:sz w:val="28"/>
      <w:szCs w:val="36"/>
      <w:lang w:eastAsia="zh-CN"/>
    </w:rPr>
  </w:style>
  <w:style w:type="paragraph" w:customStyle="1" w:styleId="37">
    <w:name w:val="qc"/>
    <w:basedOn w:val="1"/>
    <w:autoRedefine/>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38">
    <w:name w:val="scopeseen"/>
    <w:basedOn w:val="1"/>
    <w:autoRedefine/>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39">
    <w:name w:val="tps"/>
    <w:basedOn w:val="1"/>
    <w:autoRedefine/>
    <w:qFormat/>
    <w:uiPriority w:val="0"/>
    <w:pPr>
      <w:spacing w:line="276" w:lineRule="auto"/>
      <w:jc w:val="center"/>
    </w:pPr>
    <w:rPr>
      <w:rFonts w:ascii="微软雅黑" w:hAnsi="微软雅黑" w:eastAsia="微软雅黑" w:cs="微软雅黑"/>
      <w:kern w:val="2"/>
      <w:sz w:val="18"/>
      <w:szCs w:val="18"/>
      <w:lang w:eastAsia="zh-CN"/>
    </w:rPr>
  </w:style>
  <w:style w:type="character" w:customStyle="1" w:styleId="40">
    <w:name w:val="font21"/>
    <w:basedOn w:val="16"/>
    <w:autoRedefine/>
    <w:qFormat/>
    <w:uiPriority w:val="0"/>
    <w:rPr>
      <w:rFonts w:hint="eastAsia" w:ascii="微软雅黑" w:hAnsi="微软雅黑" w:eastAsia="微软雅黑" w:cs="微软雅黑"/>
      <w:b/>
      <w:bCs/>
      <w:color w:val="FFFFFF"/>
      <w:sz w:val="21"/>
      <w:szCs w:val="21"/>
      <w:u w:val="none"/>
    </w:rPr>
  </w:style>
  <w:style w:type="character" w:customStyle="1" w:styleId="41">
    <w:name w:val="font31"/>
    <w:basedOn w:val="16"/>
    <w:autoRedefine/>
    <w:qFormat/>
    <w:uiPriority w:val="0"/>
    <w:rPr>
      <w:rFonts w:hint="eastAsia" w:ascii="微软雅黑" w:hAnsi="微软雅黑" w:eastAsia="微软雅黑" w:cs="微软雅黑"/>
      <w:b/>
      <w:bCs/>
      <w:color w:val="000000"/>
      <w:sz w:val="21"/>
      <w:szCs w:val="21"/>
      <w:u w:val="none"/>
    </w:rPr>
  </w:style>
  <w:style w:type="character" w:customStyle="1" w:styleId="42">
    <w:name w:val="font101"/>
    <w:basedOn w:val="16"/>
    <w:autoRedefine/>
    <w:qFormat/>
    <w:uiPriority w:val="0"/>
    <w:rPr>
      <w:rFonts w:hint="default" w:ascii="Times New Roman" w:hAnsi="Times New Roman" w:cs="Times New Roman"/>
      <w:b/>
      <w:bCs/>
      <w:color w:val="000000"/>
      <w:sz w:val="21"/>
      <w:szCs w:val="21"/>
      <w:u w:val="none"/>
    </w:rPr>
  </w:style>
  <w:style w:type="character" w:customStyle="1" w:styleId="43">
    <w:name w:val="font51"/>
    <w:basedOn w:val="16"/>
    <w:autoRedefine/>
    <w:qFormat/>
    <w:uiPriority w:val="0"/>
    <w:rPr>
      <w:rFonts w:hint="eastAsia" w:ascii="微软雅黑" w:hAnsi="微软雅黑" w:eastAsia="微软雅黑" w:cs="微软雅黑"/>
      <w:color w:val="000000"/>
      <w:sz w:val="21"/>
      <w:szCs w:val="21"/>
      <w:u w:val="none"/>
    </w:rPr>
  </w:style>
  <w:style w:type="character" w:customStyle="1" w:styleId="44">
    <w:name w:val="font61"/>
    <w:basedOn w:val="16"/>
    <w:autoRedefine/>
    <w:qFormat/>
    <w:uiPriority w:val="0"/>
    <w:rPr>
      <w:rFonts w:hint="default" w:ascii="Times New Roman" w:hAnsi="Times New Roman" w:cs="Times New Roman"/>
      <w:color w:val="000000"/>
      <w:sz w:val="21"/>
      <w:szCs w:val="21"/>
      <w:u w:val="none"/>
    </w:rPr>
  </w:style>
  <w:style w:type="table" w:customStyle="1" w:styleId="45">
    <w:name w:val="表格3"/>
    <w:basedOn w:val="14"/>
    <w:autoRedefine/>
    <w:qFormat/>
    <w:uiPriority w:val="99"/>
    <w:pPr>
      <w:wordWrap w:val="0"/>
      <w:snapToGrid w:val="0"/>
    </w:pPr>
    <w:rPr>
      <w:rFonts w:ascii="等线" w:hAnsi="等线" w:eastAsia="微软雅黑"/>
    </w:rPr>
    <w:tblPr>
      <w:tblBorders>
        <w:top w:val="single" w:color="593F84" w:sz="4" w:space="0"/>
        <w:left w:val="single" w:color="593F84" w:sz="4" w:space="0"/>
        <w:bottom w:val="single" w:color="593F84" w:sz="4" w:space="0"/>
        <w:right w:val="single" w:color="593F84" w:sz="4" w:space="0"/>
        <w:insideH w:val="single" w:color="593F84" w:sz="4" w:space="0"/>
        <w:insideV w:val="single" w:color="593F84" w:sz="4" w:space="0"/>
      </w:tblBorders>
      <w:tblCellMar>
        <w:top w:w="28" w:type="dxa"/>
        <w:left w:w="108" w:type="dxa"/>
        <w:bottom w:w="28" w:type="dxa"/>
        <w:right w:w="108" w:type="dxa"/>
      </w:tblCellMar>
    </w:tblPr>
    <w:tcPr>
      <w:shd w:val="clear" w:color="auto" w:fill="FFFFFF"/>
    </w:tcPr>
    <w:tblStylePr w:type="firstRow">
      <w:rPr>
        <w:color w:val="593F84"/>
      </w:rPr>
    </w:tblStylePr>
    <w:tblStylePr w:type="band1Horz">
      <w:rPr>
        <w:rFonts w:eastAsia="Malgun Gothic Semilight"/>
        <w:sz w:val="20"/>
      </w:rPr>
      <w:tcPr>
        <w:shd w:val="clear" w:color="auto" w:fill="CDC6E2"/>
      </w:tcPr>
    </w:tblStylePr>
  </w:style>
</w:styles>
</file>

<file path=word/_rels/document.xml.rels><?xml version="1.0" encoding="UTF-8" standalone="yes"?>
<Relationships xmlns="http://schemas.openxmlformats.org/package/2006/relationships"><Relationship Id="rId9" Type="http://schemas.openxmlformats.org/officeDocument/2006/relationships/image" Target="media/image3.png"/><Relationship Id="rId8" Type="http://schemas.openxmlformats.org/officeDocument/2006/relationships/theme" Target="theme/theme1.xml"/><Relationship Id="rId7" Type="http://schemas.openxmlformats.org/officeDocument/2006/relationships/footer" Target="footer3.xml"/><Relationship Id="rId6" Type="http://schemas.openxmlformats.org/officeDocument/2006/relationships/footer" Target="footer2.xml"/><Relationship Id="rId5" Type="http://schemas.openxmlformats.org/officeDocument/2006/relationships/footer" Target="footer1.xml"/><Relationship Id="rId4" Type="http://schemas.openxmlformats.org/officeDocument/2006/relationships/header" Target="header2.xml"/><Relationship Id="rId3" Type="http://schemas.openxmlformats.org/officeDocument/2006/relationships/header" Target="header1.xml"/><Relationship Id="rId2" Type="http://schemas.openxmlformats.org/officeDocument/2006/relationships/settings" Target="settings.xml"/><Relationship Id="rId13" Type="http://schemas.openxmlformats.org/officeDocument/2006/relationships/fontTable" Target="fontTable.xml"/><Relationship Id="rId12" Type="http://schemas.openxmlformats.org/officeDocument/2006/relationships/numbering" Target="numbering.xml"/><Relationship Id="rId11" Type="http://schemas.openxmlformats.org/officeDocument/2006/relationships/customXml" Target="../customXml/item1.xml"/><Relationship Id="rId10" Type="http://schemas.openxmlformats.org/officeDocument/2006/relationships/image" Target="media/image4.png"/><Relationship Id="rId1" Type="http://schemas.openxmlformats.org/officeDocument/2006/relationships/styles" Target="styles.xml"/></Relationships>
</file>

<file path=word/_rels/header1.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_rels/numbering.xml.rels><?xml version="1.0" encoding="UTF-8" standalone="yes"?>
<Relationships xmlns="http://schemas.openxmlformats.org/package/2006/relationships"><Relationship Id="rId3" Type="http://schemas.openxmlformats.org/officeDocument/2006/relationships/image" Target="media/image7.jpeg"/><Relationship Id="rId2" Type="http://schemas.openxmlformats.org/officeDocument/2006/relationships/image" Target="media/image6.jpeg"/><Relationship Id="rId1" Type="http://schemas.openxmlformats.org/officeDocument/2006/relationships/image" Target="media/image5.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51</Pages>
  <Words>1475</Words>
  <Characters>3574</Characters>
  <Lines>589</Lines>
  <Paragraphs>166</Paragraphs>
  <TotalTime>0</TotalTime>
  <ScaleCrop>false</ScaleCrop>
  <LinksUpToDate>false</LinksUpToDate>
  <CharactersWithSpaces>3858</CharactersWithSpaces>
  <Application>WPS Office_12.1.0.26375_F1E327BC-269C-435d-A152-05C5408002CA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2020-06-30T08:40:00Z</dcterms:created>
  <dc:creator>86131</dc:creator>
  <cp:lastModifiedBy>tassles-L</cp:lastModifiedBy>
  <dcterms:modified xsi:type="dcterms:W3CDTF">2026-05-29T03:06:49Z</dcterms:modified>
  <cp:revision>37</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2052-12.1.0.26375</vt:lpwstr>
  </property>
  <property fmtid="{D5CDD505-2E9C-101B-9397-08002B2CF9AE}" pid="3" name="ICV">
    <vt:lpwstr>15D9B49A2D564E3595A8E337F508FA7E</vt:lpwstr>
  </property>
  <property fmtid="{D5CDD505-2E9C-101B-9397-08002B2CF9AE}" pid="4" name="KSOTemplateDocerSaveRecord">
    <vt:lpwstr>eyJoZGlkIjoiY2Y2NjU5MGIzZGFmM2M5NTIxMmI2NjdmNGQ0NDdjMDUiLCJ1c2VySWQiOiI2MjE3NDUxNTQifQ==</vt:lpwstr>
  </property>
</Properties>
</file>