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5F0F4F">
      <w:pPr>
        <w:rPr>
          <w:rFonts w:hint="eastAsia" w:ascii="黑体" w:hAnsi="黑体" w:eastAsia="黑体" w:cs="黑体"/>
        </w:rPr>
      </w:pPr>
      <w:r>
        <w:rPr>
          <w:color w:val="7F7F7F"/>
          <w:sz w:val="20"/>
          <w:szCs w:val="20"/>
          <w:lang w:eastAsia="zh-CN"/>
        </w:rPr>
        <w:drawing>
          <wp:anchor distT="0" distB="0" distL="0" distR="0" simplePos="0" relativeHeight="251663360" behindDoc="0" locked="0" layoutInCell="1" allowOverlap="1">
            <wp:simplePos x="0" y="0"/>
            <wp:positionH relativeFrom="column">
              <wp:posOffset>4738370</wp:posOffset>
            </wp:positionH>
            <wp:positionV relativeFrom="paragraph">
              <wp:posOffset>-79375</wp:posOffset>
            </wp:positionV>
            <wp:extent cx="1369060" cy="389255"/>
            <wp:effectExtent l="0" t="0" r="2540" b="698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6"/>
                    <a:srcRect/>
                    <a:stretch>
                      <a:fillRect/>
                    </a:stretch>
                  </pic:blipFill>
                  <pic:spPr>
                    <a:xfrm>
                      <a:off x="0" y="0"/>
                      <a:ext cx="1369060" cy="389255"/>
                    </a:xfrm>
                    <a:prstGeom prst="rect">
                      <a:avLst/>
                    </a:prstGeom>
                  </pic:spPr>
                </pic:pic>
              </a:graphicData>
            </a:graphic>
          </wp:anchor>
        </w:drawing>
      </w:r>
      <w:r>
        <w:rPr>
          <w:rFonts w:hint="eastAsia" w:ascii="黑体" w:hAnsi="黑体" w:eastAsia="黑体" w:cs="黑体"/>
        </w:rPr>
        <w:drawing>
          <wp:anchor distT="0" distB="0" distL="0" distR="0" simplePos="0" relativeHeight="251659264" behindDoc="1" locked="0" layoutInCell="1" allowOverlap="1">
            <wp:simplePos x="0" y="0"/>
            <wp:positionH relativeFrom="column">
              <wp:posOffset>-681355</wp:posOffset>
            </wp:positionH>
            <wp:positionV relativeFrom="paragraph">
              <wp:posOffset>-1080770</wp:posOffset>
            </wp:positionV>
            <wp:extent cx="7552690" cy="10687685"/>
            <wp:effectExtent l="0" t="0" r="16510" b="5715"/>
            <wp:wrapNone/>
            <wp:docPr id="1" name="图片 8" descr="半页"/>
            <wp:cNvGraphicFramePr/>
            <a:graphic xmlns:a="http://schemas.openxmlformats.org/drawingml/2006/main">
              <a:graphicData uri="http://schemas.openxmlformats.org/drawingml/2006/picture">
                <pic:pic xmlns:pic="http://schemas.openxmlformats.org/drawingml/2006/picture">
                  <pic:nvPicPr>
                    <pic:cNvPr id="1" name="图片 8" descr="半页"/>
                    <pic:cNvPicPr/>
                  </pic:nvPicPr>
                  <pic:blipFill>
                    <a:blip r:embed="rId7" cstate="print"/>
                    <a:srcRect/>
                    <a:stretch>
                      <a:fillRect/>
                    </a:stretch>
                  </pic:blipFill>
                  <pic:spPr>
                    <a:xfrm>
                      <a:off x="0" y="0"/>
                      <a:ext cx="7552689" cy="10687684"/>
                    </a:xfrm>
                    <a:prstGeom prst="rect">
                      <a:avLst/>
                    </a:prstGeom>
                  </pic:spPr>
                </pic:pic>
              </a:graphicData>
            </a:graphic>
          </wp:anchor>
        </w:drawing>
      </w:r>
    </w:p>
    <w:p w14:paraId="25B132D4">
      <w:pPr>
        <w:widowControl/>
        <w:jc w:val="left"/>
        <w:rPr>
          <w:rFonts w:hint="eastAsia" w:ascii="黑体" w:hAnsi="黑体" w:eastAsia="黑体" w:cs="黑体"/>
        </w:rPr>
      </w:pPr>
      <w:r>
        <w:rPr>
          <w:rFonts w:hint="eastAsia" w:ascii="黑体" w:hAnsi="黑体" w:eastAsia="黑体" w:cs="黑体"/>
        </w:rPr>
        <w:br w:type="page"/>
      </w:r>
    </w:p>
    <w:p w14:paraId="2636608A">
      <w:pPr>
        <w:rPr>
          <w:rFonts w:hint="eastAsia" w:ascii="黑体" w:hAnsi="黑体" w:eastAsia="黑体" w:cs="黑体"/>
        </w:rPr>
      </w:pPr>
    </w:p>
    <w:p w14:paraId="4580B253">
      <w:pPr>
        <w:widowControl/>
        <w:spacing w:line="360" w:lineRule="auto"/>
        <w:ind w:left="105" w:leftChars="50" w:right="105" w:rightChars="50"/>
        <w:jc w:val="left"/>
        <w:rPr>
          <w:rFonts w:hint="eastAsia" w:ascii="黑体" w:hAnsi="黑体" w:eastAsia="黑体" w:cs="黑体"/>
          <w:bCs/>
          <w:color w:val="01528E"/>
          <w:sz w:val="28"/>
          <w:szCs w:val="28"/>
        </w:rPr>
      </w:pPr>
      <w:r>
        <w:rPr>
          <w:rFonts w:hint="eastAsia" w:ascii="黑体" w:hAnsi="黑体" w:eastAsia="黑体" w:cs="黑体"/>
          <w:b/>
          <w:color w:val="01528E"/>
          <w:sz w:val="28"/>
          <w:szCs w:val="28"/>
        </w:rPr>
        <w:t>尊敬的客户：</w:t>
      </w:r>
    </w:p>
    <w:p w14:paraId="531171C9">
      <w:pPr>
        <w:widowControl/>
        <w:spacing w:before="156" w:beforeLines="50" w:line="360" w:lineRule="auto"/>
        <w:ind w:left="105" w:leftChars="50" w:right="105" w:rightChars="50" w:firstLine="480" w:firstLineChars="200"/>
        <w:jc w:val="left"/>
        <w:rPr>
          <w:rFonts w:hint="eastAsia" w:ascii="黑体" w:hAnsi="黑体" w:eastAsia="黑体" w:cs="黑体"/>
          <w:color w:val="595959"/>
          <w:sz w:val="24"/>
          <w:szCs w:val="24"/>
        </w:rPr>
      </w:pPr>
      <w:r>
        <w:rPr>
          <w:rFonts w:hint="eastAsia" w:ascii="黑体" w:hAnsi="黑体" w:eastAsia="黑体" w:cs="黑体"/>
          <w:color w:val="595959"/>
          <w:sz w:val="24"/>
          <w:szCs w:val="24"/>
        </w:rPr>
        <w:t>您好！</w:t>
      </w:r>
    </w:p>
    <w:p w14:paraId="47D223B6">
      <w:pPr>
        <w:widowControl/>
        <w:spacing w:before="156" w:beforeLines="50" w:line="480" w:lineRule="auto"/>
        <w:ind w:left="105" w:leftChars="50" w:right="105" w:rightChars="50" w:firstLine="480" w:firstLineChars="200"/>
        <w:rPr>
          <w:rFonts w:hint="eastAsia" w:ascii="黑体" w:hAnsi="黑体" w:eastAsia="黑体" w:cs="黑体"/>
          <w:color w:val="595959"/>
          <w:sz w:val="24"/>
          <w:szCs w:val="24"/>
        </w:rPr>
      </w:pPr>
      <w:r>
        <w:rPr>
          <w:rFonts w:hint="eastAsia" w:ascii="黑体" w:hAnsi="黑体" w:eastAsia="黑体" w:cs="黑体"/>
          <w:color w:val="595959"/>
          <w:sz w:val="24"/>
          <w:szCs w:val="24"/>
        </w:rPr>
        <w:t>感谢您选择基石医学肿瘤用药指导基因检测服务。我们本着科学、严谨、求真、务实的态度，运用先进的基因检测技术，以国际权威研究进展和专业指南为理论依据，严格按照各大数据库以及参考文献中报道的基因、疾病、药物的关联强度，准确客观的为您提供一份个性化的基因检测报告。我们期待这份报告能为您和您的临床医生在药物筛选时提供一定的参考，有助于改善您的疾病状况。</w:t>
      </w:r>
    </w:p>
    <w:p w14:paraId="54404665">
      <w:pPr>
        <w:widowControl/>
        <w:spacing w:before="156" w:beforeLines="50" w:line="480" w:lineRule="auto"/>
        <w:ind w:left="105" w:leftChars="50" w:right="105" w:rightChars="50" w:firstLine="480" w:firstLineChars="200"/>
        <w:rPr>
          <w:rFonts w:hint="eastAsia" w:ascii="黑体" w:hAnsi="黑体" w:eastAsia="黑体" w:cs="黑体"/>
          <w:color w:val="595959"/>
          <w:sz w:val="24"/>
          <w:szCs w:val="24"/>
        </w:rPr>
      </w:pPr>
      <w:r>
        <w:rPr>
          <w:rFonts w:hint="eastAsia" w:ascii="黑体" w:hAnsi="黑体" w:eastAsia="黑体" w:cs="黑体"/>
          <w:color w:val="595959"/>
          <w:sz w:val="24"/>
          <w:szCs w:val="24"/>
        </w:rPr>
        <w:t>本报告从基因层面阐释患者携带的基因变异与肿瘤药物的敏感性，毒副作用，预后等相关性，辅助临床医生选择更适合的治疗方案和治疗药物。肿瘤基因检测是临床医生制定治疗方案时的有力依据，但不是全部依据，肿瘤临床诊疗疗效仍需参考其他因素，最终的治疗方案是临床医生统筹各方面情况进行的综合判断与选择。</w:t>
      </w:r>
    </w:p>
    <w:p w14:paraId="233B6EB0">
      <w:pPr>
        <w:widowControl/>
        <w:spacing w:before="156" w:beforeLines="50" w:line="480" w:lineRule="auto"/>
        <w:ind w:left="105" w:leftChars="50" w:right="105" w:rightChars="50" w:firstLine="480" w:firstLineChars="200"/>
        <w:rPr>
          <w:rFonts w:hint="eastAsia" w:ascii="黑体" w:hAnsi="黑体" w:eastAsia="黑体" w:cs="黑体"/>
          <w:color w:val="595959"/>
          <w:sz w:val="24"/>
          <w:szCs w:val="24"/>
        </w:rPr>
      </w:pPr>
      <w:r>
        <w:rPr>
          <w:rFonts w:hint="eastAsia" w:ascii="黑体" w:hAnsi="黑体" w:eastAsia="黑体" w:cs="黑体"/>
          <w:color w:val="595959"/>
          <w:sz w:val="24"/>
          <w:szCs w:val="24"/>
        </w:rPr>
        <w:t>公司郑重承诺对您的基因数据和个人资料予以严格保密，在没有获得您本人同意或国家法律法规强制性要求公开的情况下，我们不会将您的数据泄露给任何第三方机构和个人。</w:t>
      </w:r>
    </w:p>
    <w:p w14:paraId="38E76E3F">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color w:val="595959"/>
          <w:sz w:val="24"/>
          <w:szCs w:val="24"/>
        </w:rPr>
        <w:t>基石全体将竭诚为您科学护航，真诚地祝愿您早日康复！</w:t>
      </w:r>
    </w:p>
    <w:p w14:paraId="2FBE1B62">
      <w:pPr>
        <w:widowControl/>
        <w:spacing w:line="360" w:lineRule="auto"/>
        <w:ind w:right="105" w:rightChars="50"/>
        <w:jc w:val="left"/>
        <w:rPr>
          <w:rFonts w:hint="eastAsia" w:ascii="黑体" w:hAnsi="黑体" w:eastAsia="黑体" w:cs="黑体"/>
          <w:bCs/>
          <w:color w:val="262626"/>
          <w:sz w:val="24"/>
          <w:szCs w:val="24"/>
        </w:rPr>
      </w:pPr>
    </w:p>
    <w:p w14:paraId="129747E3">
      <w:pPr>
        <w:widowControl/>
        <w:spacing w:line="360" w:lineRule="auto"/>
        <w:ind w:left="105" w:leftChars="50" w:right="105" w:rightChars="50"/>
        <w:jc w:val="right"/>
        <w:rPr>
          <w:rFonts w:hint="eastAsia" w:ascii="黑体" w:hAnsi="黑体" w:eastAsia="黑体" w:cs="黑体"/>
          <w:b/>
          <w:color w:val="01528E"/>
          <w:sz w:val="28"/>
          <w:szCs w:val="28"/>
        </w:rPr>
      </w:pP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 xml:space="preserve">             </w:t>
      </w:r>
      <w:r>
        <w:rPr>
          <w:rFonts w:hint="eastAsia" w:ascii="黑体" w:hAnsi="黑体" w:eastAsia="黑体" w:cs="黑体"/>
          <w:b/>
          <w:color w:val="01528E"/>
          <w:sz w:val="28"/>
          <w:szCs w:val="28"/>
        </w:rPr>
        <w:t>北京基石医学检验实验室有限公司</w:t>
      </w:r>
    </w:p>
    <w:p w14:paraId="7B14FF58">
      <w:pPr>
        <w:widowControl/>
        <w:ind w:left="105" w:leftChars="50" w:right="105" w:rightChars="50"/>
        <w:jc w:val="left"/>
        <w:rPr>
          <w:rFonts w:hint="eastAsia" w:ascii="黑体" w:hAnsi="黑体" w:eastAsia="黑体" w:cs="黑体"/>
          <w:b/>
          <w:bCs/>
          <w:color w:val="005BAB"/>
          <w:sz w:val="28"/>
          <w:szCs w:val="28"/>
        </w:rPr>
      </w:pPr>
    </w:p>
    <w:p w14:paraId="70193577">
      <w:pPr>
        <w:rPr>
          <w:rFonts w:hint="eastAsia" w:ascii="黑体" w:hAnsi="黑体" w:eastAsia="黑体" w:cs="黑体"/>
        </w:rPr>
      </w:pPr>
    </w:p>
    <w:p w14:paraId="6B09CA53">
      <w:pPr>
        <w:rPr>
          <w:rFonts w:hint="eastAsia" w:ascii="黑体" w:hAnsi="黑体" w:eastAsia="黑体" w:cs="黑体"/>
        </w:rPr>
      </w:pPr>
      <w:r>
        <w:rPr>
          <w:rFonts w:hint="eastAsia" w:ascii="黑体" w:hAnsi="黑体" w:eastAsia="黑体" w:cs="黑体"/>
        </w:rPr>
        <w:br w:type="page"/>
      </w:r>
    </w:p>
    <w:p w14:paraId="516B5215">
      <w:pPr>
        <w:tabs>
          <w:tab w:val="center" w:pos="4937"/>
          <w:tab w:val="left" w:pos="8664"/>
        </w:tabs>
        <w:spacing w:before="120"/>
        <w:jc w:val="left"/>
        <w:outlineLvl w:val="9"/>
        <w:rPr>
          <w:rFonts w:hint="eastAsia" w:ascii="黑体" w:hAnsi="黑体" w:eastAsia="黑体" w:cs="黑体"/>
          <w:color w:val="01528E"/>
          <w:sz w:val="36"/>
          <w:szCs w:val="36"/>
        </w:rPr>
      </w:pPr>
      <w:bookmarkStart w:id="0" w:name="_Toc116571888"/>
      <w:bookmarkStart w:id="1" w:name="_Toc114664075"/>
      <w:bookmarkStart w:id="2" w:name="_Toc117522755"/>
      <w:bookmarkStart w:id="3" w:name="_Toc81408789"/>
      <w:r>
        <w:rPr>
          <w:rFonts w:hint="eastAsia" w:ascii="黑体" w:hAnsi="黑体" w:eastAsia="黑体" w:cs="黑体"/>
          <w:color w:val="01528E"/>
          <w:sz w:val="36"/>
          <w:szCs w:val="36"/>
        </w:rPr>
        <w:tab/>
      </w:r>
      <w:bookmarkStart w:id="4" w:name="_Toc21118"/>
      <w:bookmarkStart w:id="5" w:name="_Toc205305054"/>
      <w:bookmarkStart w:id="6" w:name="_Toc14652"/>
      <w:r>
        <w:rPr>
          <w:rFonts w:hint="eastAsia" w:ascii="黑体" w:hAnsi="黑体" w:eastAsia="黑体" w:cs="黑体"/>
          <w:color w:val="01528E"/>
          <w:sz w:val="36"/>
          <w:szCs w:val="36"/>
        </w:rPr>
        <w:t>目  录</w:t>
      </w:r>
      <w:bookmarkEnd w:id="0"/>
      <w:bookmarkEnd w:id="1"/>
      <w:bookmarkEnd w:id="2"/>
      <w:bookmarkEnd w:id="3"/>
      <w:bookmarkEnd w:id="4"/>
      <w:bookmarkEnd w:id="5"/>
      <w:bookmarkEnd w:id="6"/>
    </w:p>
    <w:p w14:paraId="306762CA">
      <w:pPr>
        <w:rPr>
          <w:rFonts w:hint="eastAsia" w:ascii="黑体" w:hAnsi="黑体" w:eastAsia="黑体" w:cs="黑体"/>
          <w:b/>
          <w:bCs/>
          <w:color w:val="01528E"/>
          <w:sz w:val="24"/>
          <w:szCs w:val="24"/>
        </w:rPr>
      </w:pPr>
    </w:p>
    <w:p w14:paraId="5A5521A5">
      <w:pPr>
        <w:pStyle w:val="11"/>
        <w:tabs>
          <w:tab w:val="right" w:leader="dot" w:pos="9742"/>
        </w:tabs>
        <w:spacing w:line="360" w:lineRule="auto"/>
        <w:ind w:left="0" w:leftChars="0" w:firstLine="0" w:firstLineChars="0"/>
        <w:rPr>
          <w:rFonts w:hint="eastAsia" w:ascii="黑体" w:hAnsi="黑体" w:eastAsia="黑体" w:cs="黑体"/>
          <w:b/>
          <w:bCs/>
          <w:color w:val="01528E"/>
          <w:kern w:val="2"/>
          <w:sz w:val="24"/>
          <w:szCs w:val="24"/>
          <w:lang w:val="en-US" w:eastAsia="zh-CN" w:bidi="ar-SA"/>
        </w:rPr>
      </w:pP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TOC \o "1-3" \h \z \u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Fonts w:hint="eastAsia" w:ascii="黑体" w:hAnsi="黑体" w:eastAsia="黑体" w:cs="黑体"/>
          <w:b/>
          <w:bCs/>
          <w:color w:val="01528E"/>
          <w:kern w:val="2"/>
          <w:sz w:val="24"/>
          <w:szCs w:val="24"/>
          <w:lang w:val="en-US" w:eastAsia="zh-CN" w:bidi="ar-SA"/>
        </w:rPr>
        <w:fldChar w:fldCharType="begin"/>
      </w:r>
      <w:r>
        <w:rPr>
          <w:rFonts w:hint="eastAsia" w:ascii="黑体" w:hAnsi="黑体" w:eastAsia="黑体" w:cs="黑体"/>
          <w:b/>
          <w:bCs/>
          <w:color w:val="01528E"/>
          <w:kern w:val="2"/>
          <w:sz w:val="24"/>
          <w:szCs w:val="24"/>
          <w:lang w:val="en-US" w:eastAsia="zh-CN" w:bidi="ar-SA"/>
        </w:rPr>
        <w:instrText xml:space="preserve"> HYPERLINK \l _Toc10000 </w:instrText>
      </w:r>
      <w:r>
        <w:rPr>
          <w:rFonts w:hint="eastAsia" w:ascii="黑体" w:hAnsi="黑体" w:eastAsia="黑体" w:cs="黑体"/>
          <w:b/>
          <w:bCs/>
          <w:color w:val="01528E"/>
          <w:kern w:val="2"/>
          <w:sz w:val="24"/>
          <w:szCs w:val="24"/>
          <w:lang w:val="en-US" w:eastAsia="zh-CN" w:bidi="ar-SA"/>
        </w:rPr>
        <w:fldChar w:fldCharType="separate"/>
      </w:r>
      <w:r>
        <w:rPr>
          <w:rFonts w:hint="eastAsia" w:ascii="黑体" w:hAnsi="黑体" w:eastAsia="黑体" w:cs="黑体"/>
          <w:b/>
          <w:bCs/>
          <w:color w:val="01528E"/>
          <w:kern w:val="2"/>
          <w:sz w:val="24"/>
          <w:szCs w:val="24"/>
          <w:lang w:val="en-US" w:eastAsia="zh-CN" w:bidi="ar-SA"/>
        </w:rPr>
        <w:t>第一部分：检测基本信息</w:t>
      </w:r>
      <w:r>
        <w:rPr>
          <w:rFonts w:hint="eastAsia" w:ascii="黑体" w:hAnsi="黑体" w:eastAsia="黑体" w:cs="黑体"/>
          <w:b/>
          <w:bCs/>
          <w:color w:val="01528E"/>
          <w:kern w:val="2"/>
          <w:sz w:val="24"/>
          <w:szCs w:val="24"/>
          <w:lang w:val="en-US" w:eastAsia="zh-CN" w:bidi="ar-SA"/>
        </w:rPr>
        <w:tab/>
      </w:r>
      <w:r>
        <w:rPr>
          <w:rFonts w:hint="eastAsia" w:ascii="黑体" w:hAnsi="黑体" w:eastAsia="黑体" w:cs="黑体"/>
          <w:b/>
          <w:bCs/>
          <w:color w:val="01528E"/>
          <w:kern w:val="2"/>
          <w:sz w:val="24"/>
          <w:szCs w:val="24"/>
          <w:lang w:val="en-US" w:eastAsia="zh-CN" w:bidi="ar-SA"/>
        </w:rPr>
        <w:fldChar w:fldCharType="begin"/>
      </w:r>
      <w:r>
        <w:rPr>
          <w:rFonts w:hint="eastAsia" w:ascii="黑体" w:hAnsi="黑体" w:eastAsia="黑体" w:cs="黑体"/>
          <w:b/>
          <w:bCs/>
          <w:color w:val="01528E"/>
          <w:kern w:val="2"/>
          <w:sz w:val="24"/>
          <w:szCs w:val="24"/>
          <w:lang w:val="en-US" w:eastAsia="zh-CN" w:bidi="ar-SA"/>
        </w:rPr>
        <w:instrText xml:space="preserve"> PAGEREF _Toc10000 \h </w:instrText>
      </w:r>
      <w:r>
        <w:rPr>
          <w:rFonts w:hint="eastAsia" w:ascii="黑体" w:hAnsi="黑体" w:eastAsia="黑体" w:cs="黑体"/>
          <w:b/>
          <w:bCs/>
          <w:color w:val="01528E"/>
          <w:kern w:val="2"/>
          <w:sz w:val="24"/>
          <w:szCs w:val="24"/>
          <w:lang w:val="en-US" w:eastAsia="zh-CN" w:bidi="ar-SA"/>
        </w:rPr>
        <w:fldChar w:fldCharType="separate"/>
      </w:r>
      <w:r>
        <w:rPr>
          <w:rFonts w:hint="eastAsia" w:ascii="黑体" w:hAnsi="黑体" w:eastAsia="黑体" w:cs="黑体"/>
          <w:b/>
          <w:bCs/>
          <w:color w:val="01528E"/>
          <w:kern w:val="2"/>
          <w:sz w:val="24"/>
          <w:szCs w:val="24"/>
          <w:lang w:val="en-US" w:eastAsia="zh-CN" w:bidi="ar-SA"/>
        </w:rPr>
        <w:t>3</w:t>
      </w:r>
      <w:r>
        <w:rPr>
          <w:rFonts w:hint="eastAsia" w:ascii="黑体" w:hAnsi="黑体" w:eastAsia="黑体" w:cs="黑体"/>
          <w:b/>
          <w:bCs/>
          <w:color w:val="01528E"/>
          <w:kern w:val="2"/>
          <w:sz w:val="24"/>
          <w:szCs w:val="24"/>
          <w:lang w:val="en-US" w:eastAsia="zh-CN" w:bidi="ar-SA"/>
        </w:rPr>
        <w:fldChar w:fldCharType="end"/>
      </w:r>
      <w:r>
        <w:rPr>
          <w:rFonts w:hint="eastAsia" w:ascii="黑体" w:hAnsi="黑体" w:eastAsia="黑体" w:cs="黑体"/>
          <w:b/>
          <w:bCs/>
          <w:color w:val="01528E"/>
          <w:kern w:val="2"/>
          <w:sz w:val="24"/>
          <w:szCs w:val="24"/>
          <w:lang w:val="en-US" w:eastAsia="zh-CN" w:bidi="ar-SA"/>
        </w:rPr>
        <w:fldChar w:fldCharType="end"/>
      </w:r>
    </w:p>
    <w:p w14:paraId="5F30C916">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_Toc24977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个人信息</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_Toc24977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3</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417AF6B0">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_Toc7383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检测概况</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_Toc7383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4</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350178E4">
      <w:pPr>
        <w:pStyle w:val="11"/>
        <w:tabs>
          <w:tab w:val="right" w:leader="dot" w:pos="9742"/>
        </w:tabs>
        <w:spacing w:line="360" w:lineRule="auto"/>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_Toc31190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样本质控</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_Toc31190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5</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69D7E24B">
      <w:pPr>
        <w:rPr>
          <w:rFonts w:hint="eastAsia" w:ascii="黑体" w:hAnsi="黑体" w:eastAsia="黑体" w:cs="黑体"/>
        </w:rPr>
      </w:pPr>
    </w:p>
    <w:p w14:paraId="7A9A8B9E">
      <w:pPr>
        <w:pStyle w:val="11"/>
        <w:tabs>
          <w:tab w:val="right" w:leader="dot" w:pos="9742"/>
        </w:tabs>
        <w:spacing w:line="360" w:lineRule="auto"/>
        <w:ind w:left="0" w:leftChars="0" w:firstLine="0" w:firstLineChars="0"/>
        <w:rPr>
          <w:rFonts w:hint="eastAsia" w:ascii="黑体" w:hAnsi="黑体" w:eastAsia="黑体" w:cs="黑体"/>
          <w:b/>
          <w:bCs/>
          <w:color w:val="01528E"/>
          <w:kern w:val="2"/>
          <w:sz w:val="24"/>
          <w:szCs w:val="24"/>
          <w:lang w:val="en-US" w:eastAsia="zh-CN" w:bidi="ar-SA"/>
        </w:rPr>
      </w:pPr>
      <w:r>
        <w:rPr>
          <w:rFonts w:hint="eastAsia" w:ascii="黑体" w:hAnsi="黑体" w:eastAsia="黑体" w:cs="黑体"/>
          <w:b/>
          <w:bCs/>
          <w:color w:val="01528E"/>
          <w:kern w:val="2"/>
          <w:sz w:val="24"/>
          <w:szCs w:val="24"/>
          <w:lang w:val="zh-CN" w:eastAsia="zh-CN" w:bidi="ar-SA"/>
        </w:rPr>
        <w:fldChar w:fldCharType="begin"/>
      </w:r>
      <w:r>
        <w:rPr>
          <w:rFonts w:hint="eastAsia" w:ascii="黑体" w:hAnsi="黑体" w:eastAsia="黑体" w:cs="黑体"/>
          <w:b/>
          <w:bCs/>
          <w:color w:val="01528E"/>
          <w:kern w:val="2"/>
          <w:sz w:val="24"/>
          <w:szCs w:val="24"/>
          <w:lang w:val="zh-CN" w:eastAsia="zh-CN" w:bidi="ar-SA"/>
        </w:rPr>
        <w:instrText xml:space="preserve"> HYPERLINK \l _Toc2261 </w:instrText>
      </w:r>
      <w:r>
        <w:rPr>
          <w:rFonts w:hint="eastAsia" w:ascii="黑体" w:hAnsi="黑体" w:eastAsia="黑体" w:cs="黑体"/>
          <w:b/>
          <w:bCs/>
          <w:color w:val="01528E"/>
          <w:kern w:val="2"/>
          <w:sz w:val="24"/>
          <w:szCs w:val="24"/>
          <w:lang w:val="zh-CN" w:eastAsia="zh-CN" w:bidi="ar-SA"/>
        </w:rPr>
        <w:fldChar w:fldCharType="separate"/>
      </w:r>
      <w:r>
        <w:rPr>
          <w:rFonts w:hint="eastAsia" w:ascii="黑体" w:hAnsi="黑体" w:eastAsia="黑体" w:cs="黑体"/>
          <w:b/>
          <w:bCs/>
          <w:color w:val="01528E"/>
          <w:kern w:val="2"/>
          <w:sz w:val="24"/>
          <w:szCs w:val="24"/>
          <w:lang w:val="en-US" w:eastAsia="zh-CN" w:bidi="ar-SA"/>
        </w:rPr>
        <w:t>第二部分：检测结果总览</w:t>
      </w:r>
      <w:r>
        <w:rPr>
          <w:rFonts w:hint="eastAsia" w:ascii="黑体" w:hAnsi="黑体" w:eastAsia="黑体" w:cs="黑体"/>
          <w:b/>
          <w:bCs/>
          <w:color w:val="01528E"/>
          <w:kern w:val="2"/>
          <w:sz w:val="24"/>
          <w:szCs w:val="24"/>
          <w:lang w:val="en-US" w:eastAsia="zh-CN" w:bidi="ar-SA"/>
        </w:rPr>
        <w:tab/>
      </w:r>
      <w:r>
        <w:rPr>
          <w:rFonts w:hint="eastAsia" w:ascii="黑体" w:hAnsi="黑体" w:eastAsia="黑体" w:cs="黑体"/>
          <w:b/>
          <w:bCs/>
          <w:color w:val="01528E"/>
          <w:kern w:val="2"/>
          <w:sz w:val="24"/>
          <w:szCs w:val="24"/>
          <w:lang w:val="en-US" w:eastAsia="zh-CN" w:bidi="ar-SA"/>
        </w:rPr>
        <w:fldChar w:fldCharType="begin"/>
      </w:r>
      <w:r>
        <w:rPr>
          <w:rFonts w:hint="eastAsia" w:ascii="黑体" w:hAnsi="黑体" w:eastAsia="黑体" w:cs="黑体"/>
          <w:b/>
          <w:bCs/>
          <w:color w:val="01528E"/>
          <w:kern w:val="2"/>
          <w:sz w:val="24"/>
          <w:szCs w:val="24"/>
          <w:lang w:val="en-US" w:eastAsia="zh-CN" w:bidi="ar-SA"/>
        </w:rPr>
        <w:instrText xml:space="preserve"> PAGEREF _Toc2261 \h </w:instrText>
      </w:r>
      <w:r>
        <w:rPr>
          <w:rFonts w:hint="eastAsia" w:ascii="黑体" w:hAnsi="黑体" w:eastAsia="黑体" w:cs="黑体"/>
          <w:b/>
          <w:bCs/>
          <w:color w:val="01528E"/>
          <w:kern w:val="2"/>
          <w:sz w:val="24"/>
          <w:szCs w:val="24"/>
          <w:lang w:val="en-US" w:eastAsia="zh-CN" w:bidi="ar-SA"/>
        </w:rPr>
        <w:fldChar w:fldCharType="separate"/>
      </w:r>
      <w:r>
        <w:rPr>
          <w:rFonts w:hint="eastAsia" w:ascii="黑体" w:hAnsi="黑体" w:eastAsia="黑体" w:cs="黑体"/>
          <w:b/>
          <w:bCs/>
          <w:color w:val="01528E"/>
          <w:kern w:val="2"/>
          <w:sz w:val="24"/>
          <w:szCs w:val="24"/>
          <w:lang w:val="en-US" w:eastAsia="zh-CN" w:bidi="ar-SA"/>
        </w:rPr>
        <w:t>6</w:t>
      </w:r>
      <w:r>
        <w:rPr>
          <w:rFonts w:hint="eastAsia" w:ascii="黑体" w:hAnsi="黑体" w:eastAsia="黑体" w:cs="黑体"/>
          <w:b/>
          <w:bCs/>
          <w:color w:val="01528E"/>
          <w:kern w:val="2"/>
          <w:sz w:val="24"/>
          <w:szCs w:val="24"/>
          <w:lang w:val="en-US" w:eastAsia="zh-CN" w:bidi="ar-SA"/>
        </w:rPr>
        <w:fldChar w:fldCharType="end"/>
      </w:r>
      <w:r>
        <w:rPr>
          <w:rFonts w:hint="eastAsia" w:ascii="黑体" w:hAnsi="黑体" w:eastAsia="黑体" w:cs="黑体"/>
          <w:b/>
          <w:bCs/>
          <w:color w:val="01528E"/>
          <w:kern w:val="2"/>
          <w:sz w:val="24"/>
          <w:szCs w:val="24"/>
          <w:lang w:val="zh-CN" w:eastAsia="zh-CN" w:bidi="ar-SA"/>
        </w:rPr>
        <w:fldChar w:fldCharType="end"/>
      </w:r>
    </w:p>
    <w:p w14:paraId="7459A77F">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_Toc12953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1. ctDNA检测预后提示</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_Toc12953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6</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07A39A72">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_Toc5882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2. ctDNA变化趋势</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_Toc5882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8</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6EF0EBB9">
      <w:pPr>
        <w:pStyle w:val="11"/>
        <w:tabs>
          <w:tab w:val="right" w:leader="dot" w:pos="9742"/>
        </w:tabs>
        <w:spacing w:line="360" w:lineRule="auto"/>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_Toc21244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3. 循环肿瘤DNA检测结果</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_Toc21244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9</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4D8B940E">
      <w:pPr>
        <w:rPr>
          <w:rFonts w:hint="eastAsia" w:ascii="黑体" w:hAnsi="黑体" w:eastAsia="黑体" w:cs="黑体"/>
        </w:rPr>
      </w:pPr>
    </w:p>
    <w:p w14:paraId="281BCC57">
      <w:pPr>
        <w:pStyle w:val="11"/>
        <w:tabs>
          <w:tab w:val="right" w:leader="dot" w:pos="9742"/>
        </w:tabs>
        <w:spacing w:line="360" w:lineRule="auto"/>
        <w:ind w:left="0" w:leftChars="0" w:firstLine="0" w:firstLineChars="0"/>
        <w:rPr>
          <w:rFonts w:hint="eastAsia" w:ascii="黑体" w:hAnsi="黑体" w:eastAsia="黑体" w:cs="黑体"/>
          <w:b/>
          <w:bCs/>
          <w:color w:val="01528E"/>
          <w:kern w:val="2"/>
          <w:sz w:val="24"/>
          <w:szCs w:val="24"/>
          <w:lang w:val="zh-CN" w:eastAsia="zh-CN" w:bidi="ar-SA"/>
        </w:rPr>
      </w:pPr>
      <w:r>
        <w:rPr>
          <w:rFonts w:hint="eastAsia" w:ascii="黑体" w:hAnsi="黑体" w:eastAsia="黑体" w:cs="黑体"/>
          <w:b/>
          <w:bCs/>
          <w:color w:val="01528E"/>
          <w:kern w:val="2"/>
          <w:sz w:val="24"/>
          <w:szCs w:val="24"/>
          <w:lang w:val="zh-CN" w:eastAsia="zh-CN" w:bidi="ar-SA"/>
        </w:rPr>
        <w:fldChar w:fldCharType="begin"/>
      </w:r>
      <w:r>
        <w:rPr>
          <w:rFonts w:hint="eastAsia" w:ascii="黑体" w:hAnsi="黑体" w:eastAsia="黑体" w:cs="黑体"/>
          <w:b/>
          <w:bCs/>
          <w:color w:val="01528E"/>
          <w:kern w:val="2"/>
          <w:sz w:val="24"/>
          <w:szCs w:val="24"/>
          <w:lang w:val="zh-CN" w:eastAsia="zh-CN" w:bidi="ar-SA"/>
        </w:rPr>
        <w:instrText xml:space="preserve"> HYPERLINK \l _Toc30962 </w:instrText>
      </w:r>
      <w:r>
        <w:rPr>
          <w:rFonts w:hint="eastAsia" w:ascii="黑体" w:hAnsi="黑体" w:eastAsia="黑体" w:cs="黑体"/>
          <w:b/>
          <w:bCs/>
          <w:color w:val="01528E"/>
          <w:kern w:val="2"/>
          <w:sz w:val="24"/>
          <w:szCs w:val="24"/>
          <w:lang w:val="zh-CN" w:eastAsia="zh-CN" w:bidi="ar-SA"/>
        </w:rPr>
        <w:fldChar w:fldCharType="separate"/>
      </w:r>
      <w:r>
        <w:rPr>
          <w:rFonts w:hint="eastAsia" w:ascii="黑体" w:hAnsi="黑体" w:eastAsia="黑体" w:cs="黑体"/>
          <w:b/>
          <w:bCs/>
          <w:color w:val="01528E"/>
          <w:kern w:val="2"/>
          <w:sz w:val="24"/>
          <w:szCs w:val="24"/>
          <w:lang w:val="en-US" w:eastAsia="zh-CN" w:bidi="ar-SA"/>
        </w:rPr>
        <w:t>第三部分：备注与附录</w:t>
      </w:r>
      <w:r>
        <w:rPr>
          <w:rFonts w:hint="eastAsia" w:ascii="黑体" w:hAnsi="黑体" w:eastAsia="黑体" w:cs="黑体"/>
          <w:b/>
          <w:bCs/>
          <w:color w:val="01528E"/>
          <w:kern w:val="2"/>
          <w:sz w:val="24"/>
          <w:szCs w:val="24"/>
          <w:lang w:val="zh-CN" w:eastAsia="zh-CN" w:bidi="ar-SA"/>
        </w:rPr>
        <w:tab/>
      </w:r>
      <w:r>
        <w:rPr>
          <w:rFonts w:hint="eastAsia" w:ascii="黑体" w:hAnsi="黑体" w:eastAsia="黑体" w:cs="黑体"/>
          <w:b/>
          <w:bCs/>
          <w:color w:val="01528E"/>
          <w:kern w:val="2"/>
          <w:sz w:val="24"/>
          <w:szCs w:val="24"/>
          <w:lang w:val="zh-CN" w:eastAsia="zh-CN" w:bidi="ar-SA"/>
        </w:rPr>
        <w:fldChar w:fldCharType="begin"/>
      </w:r>
      <w:r>
        <w:rPr>
          <w:rFonts w:hint="eastAsia" w:ascii="黑体" w:hAnsi="黑体" w:eastAsia="黑体" w:cs="黑体"/>
          <w:b/>
          <w:bCs/>
          <w:color w:val="01528E"/>
          <w:kern w:val="2"/>
          <w:sz w:val="24"/>
          <w:szCs w:val="24"/>
          <w:lang w:val="zh-CN" w:eastAsia="zh-CN" w:bidi="ar-SA"/>
        </w:rPr>
        <w:instrText xml:space="preserve"> PAGEREF _Toc30962 \h </w:instrText>
      </w:r>
      <w:r>
        <w:rPr>
          <w:rFonts w:hint="eastAsia" w:ascii="黑体" w:hAnsi="黑体" w:eastAsia="黑体" w:cs="黑体"/>
          <w:b/>
          <w:bCs/>
          <w:color w:val="01528E"/>
          <w:kern w:val="2"/>
          <w:sz w:val="24"/>
          <w:szCs w:val="24"/>
          <w:lang w:val="zh-CN" w:eastAsia="zh-CN" w:bidi="ar-SA"/>
        </w:rPr>
        <w:fldChar w:fldCharType="separate"/>
      </w:r>
      <w:r>
        <w:rPr>
          <w:rFonts w:hint="eastAsia" w:ascii="黑体" w:hAnsi="黑体" w:eastAsia="黑体" w:cs="黑体"/>
          <w:b/>
          <w:bCs/>
          <w:color w:val="01528E"/>
          <w:kern w:val="2"/>
          <w:sz w:val="24"/>
          <w:szCs w:val="24"/>
          <w:lang w:val="zh-CN" w:eastAsia="zh-CN" w:bidi="ar-SA"/>
        </w:rPr>
        <w:t>10</w:t>
      </w:r>
      <w:r>
        <w:rPr>
          <w:rFonts w:hint="eastAsia" w:ascii="黑体" w:hAnsi="黑体" w:eastAsia="黑体" w:cs="黑体"/>
          <w:b/>
          <w:bCs/>
          <w:color w:val="01528E"/>
          <w:kern w:val="2"/>
          <w:sz w:val="24"/>
          <w:szCs w:val="24"/>
          <w:lang w:val="zh-CN" w:eastAsia="zh-CN" w:bidi="ar-SA"/>
        </w:rPr>
        <w:fldChar w:fldCharType="end"/>
      </w:r>
      <w:r>
        <w:rPr>
          <w:rFonts w:hint="eastAsia" w:ascii="黑体" w:hAnsi="黑体" w:eastAsia="黑体" w:cs="黑体"/>
          <w:b/>
          <w:bCs/>
          <w:color w:val="01528E"/>
          <w:kern w:val="2"/>
          <w:sz w:val="24"/>
          <w:szCs w:val="24"/>
          <w:lang w:val="zh-CN" w:eastAsia="zh-CN" w:bidi="ar-SA"/>
        </w:rPr>
        <w:fldChar w:fldCharType="end"/>
      </w:r>
    </w:p>
    <w:p w14:paraId="0215F9FF">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_Toc30924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备  注</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_Toc30924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10</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61D5A188">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_Toc25852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附录.参考文献</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_Toc25852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12</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0F5597B3">
      <w:pPr>
        <w:pStyle w:val="11"/>
        <w:tabs>
          <w:tab w:val="right" w:leader="dot" w:pos="9742"/>
        </w:tabs>
        <w:spacing w:line="360" w:lineRule="auto"/>
        <w:rPr>
          <w:rFonts w:hint="eastAsia" w:ascii="黑体" w:hAnsi="黑体" w:eastAsia="黑体" w:cs="黑体"/>
          <w:sz w:val="24"/>
          <w:szCs w:val="24"/>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531FEC95">
      <w:pPr>
        <w:widowControl/>
        <w:jc w:val="left"/>
        <w:rPr>
          <w:rFonts w:hint="eastAsia" w:ascii="黑体" w:hAnsi="黑体" w:eastAsia="黑体" w:cs="黑体"/>
        </w:rPr>
      </w:pPr>
      <w:r>
        <w:rPr>
          <w:rFonts w:hint="eastAsia" w:ascii="黑体" w:hAnsi="黑体" w:eastAsia="黑体" w:cs="黑体"/>
        </w:rPr>
        <w:br w:type="page"/>
      </w:r>
    </w:p>
    <w:p w14:paraId="545D3BF7">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bCs w:val="0"/>
          <w:color w:val="01528E"/>
          <w:sz w:val="44"/>
          <w:szCs w:val="44"/>
        </w:rPr>
      </w:pPr>
      <w:bookmarkStart w:id="7" w:name="_Toc10000"/>
      <w:bookmarkStart w:id="8" w:name="_Toc93496790"/>
      <w:bookmarkStart w:id="9" w:name="_Toc114664077"/>
      <w:r>
        <w:rPr>
          <w:rFonts w:hint="eastAsia" w:ascii="黑体" w:hAnsi="黑体" w:eastAsia="黑体" w:cs="黑体"/>
          <w:bCs w:val="0"/>
          <w:color w:val="01528E"/>
          <w:sz w:val="44"/>
          <w:szCs w:val="44"/>
          <w:lang w:val="en-US" w:eastAsia="zh-CN"/>
        </w:rPr>
        <w:t>第</w:t>
      </w:r>
      <w:r>
        <w:rPr>
          <w:rFonts w:hint="eastAsia" w:ascii="黑体" w:hAnsi="黑体" w:eastAsia="黑体" w:cs="黑体"/>
          <w:bCs w:val="0"/>
          <w:color w:val="01528E"/>
          <w:sz w:val="44"/>
          <w:szCs w:val="44"/>
        </w:rPr>
        <w:t>一部分：检测基本信息</w:t>
      </w:r>
      <w:bookmarkEnd w:id="7"/>
    </w:p>
    <w:p w14:paraId="2CEA94A9">
      <w:pPr>
        <w:pStyle w:val="3"/>
        <w:snapToGrid w:val="0"/>
        <w:spacing w:line="360" w:lineRule="auto"/>
        <w:jc w:val="center"/>
        <w:outlineLvl w:val="1"/>
        <w:rPr>
          <w:rFonts w:hint="eastAsia" w:ascii="黑体" w:hAnsi="黑体" w:eastAsia="黑体" w:cs="黑体"/>
          <w:b w:val="0"/>
          <w:bCs w:val="0"/>
          <w:color w:val="01528E"/>
          <w:sz w:val="36"/>
          <w:szCs w:val="36"/>
        </w:rPr>
      </w:pPr>
      <w:bookmarkStart w:id="10" w:name="_Toc24977"/>
      <w:r>
        <w:rPr>
          <w:rFonts w:hint="eastAsia" w:ascii="黑体" w:hAnsi="黑体" w:eastAsia="黑体" w:cs="黑体"/>
          <w:bCs w:val="0"/>
          <w:color w:val="01528E"/>
          <w:sz w:val="36"/>
          <w:szCs w:val="36"/>
        </w:rPr>
        <w:t>个人信息</w:t>
      </w:r>
      <w:bookmarkEnd w:id="8"/>
      <w:bookmarkEnd w:id="9"/>
      <w:bookmarkEnd w:id="10"/>
    </w:p>
    <w:tbl>
      <w:tblPr>
        <w:tblStyle w:val="16"/>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753"/>
        <w:gridCol w:w="2015"/>
        <w:gridCol w:w="1344"/>
        <w:gridCol w:w="791"/>
        <w:gridCol w:w="898"/>
        <w:gridCol w:w="506"/>
        <w:gridCol w:w="726"/>
        <w:gridCol w:w="1708"/>
      </w:tblGrid>
      <w:tr w14:paraId="376BA0F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92" w:hRule="atLeast"/>
          <w:tblHeader/>
          <w:jc w:val="center"/>
        </w:trPr>
        <w:tc>
          <w:tcPr>
            <w:tcW w:w="9741" w:type="dxa"/>
            <w:gridSpan w:val="8"/>
            <w:shd w:val="clear" w:color="auto" w:fill="01528E"/>
            <w:vAlign w:val="center"/>
          </w:tcPr>
          <w:p w14:paraId="7FEB3C9C">
            <w:pPr>
              <w:jc w:val="center"/>
              <w:rPr>
                <w:rFonts w:hint="eastAsia" w:ascii="黑体" w:hAnsi="黑体" w:eastAsia="黑体" w:cs="黑体"/>
                <w:kern w:val="0"/>
                <w:sz w:val="28"/>
                <w:szCs w:val="28"/>
              </w:rPr>
            </w:pPr>
            <w:r>
              <w:rPr>
                <w:rFonts w:hint="eastAsia" w:ascii="黑体" w:hAnsi="黑体" w:eastAsia="黑体" w:cs="黑体"/>
                <w:color w:val="FFFFFF"/>
                <w:kern w:val="0"/>
                <w:sz w:val="28"/>
                <w:szCs w:val="28"/>
              </w:rPr>
              <w:t>基本信息</w:t>
            </w:r>
          </w:p>
        </w:tc>
      </w:tr>
      <w:tr w14:paraId="288A393D">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1F77D441">
            <w:pPr>
              <w:rPr>
                <w:rFonts w:hint="eastAsia" w:ascii="黑体" w:hAnsi="黑体" w:eastAsia="黑体" w:cs="黑体"/>
                <w:b/>
                <w:color w:val="01528E"/>
                <w:kern w:val="0"/>
                <w:szCs w:val="21"/>
              </w:rPr>
            </w:pPr>
            <w:r>
              <w:rPr>
                <w:rFonts w:hint="eastAsia" w:ascii="黑体" w:hAnsi="黑体" w:eastAsia="黑体" w:cs="黑体"/>
                <w:b/>
                <w:color w:val="01528E"/>
                <w:kern w:val="0"/>
              </w:rPr>
              <w:t>姓    名：</w:t>
            </w:r>
          </w:p>
        </w:tc>
        <w:tc>
          <w:tcPr>
            <w:tcW w:w="2015" w:type="dxa"/>
            <w:vAlign w:val="center"/>
          </w:tcPr>
          <w:p w14:paraId="246B13DE">
            <w:pPr>
              <w:rPr>
                <w:rFonts w:hint="eastAsia" w:ascii="黑体" w:hAnsi="黑体" w:eastAsia="黑体" w:cs="黑体"/>
                <w:color w:val="595959"/>
                <w:kern w:val="0"/>
                <w:szCs w:val="21"/>
              </w:rPr>
            </w:pPr>
            <w:r>
              <w:rPr>
                <w:rFonts w:hint="eastAsia" w:ascii="黑体" w:hAnsi="黑体" w:eastAsia="黑体" w:cs="黑体"/>
                <w:color w:val="595959"/>
                <w:kern w:val="0"/>
                <w:lang w:val="en-US" w:eastAsia="zh-CN"/>
              </w:rPr>
              <w:t>{{client}}</w:t>
            </w:r>
          </w:p>
        </w:tc>
        <w:tc>
          <w:tcPr>
            <w:tcW w:w="1344" w:type="dxa"/>
            <w:vAlign w:val="center"/>
          </w:tcPr>
          <w:p w14:paraId="2A1303C6">
            <w:pPr>
              <w:rPr>
                <w:rFonts w:hint="eastAsia" w:ascii="黑体" w:hAnsi="黑体" w:eastAsia="黑体" w:cs="黑体"/>
                <w:b/>
                <w:color w:val="006AB4"/>
                <w:kern w:val="0"/>
                <w:szCs w:val="21"/>
              </w:rPr>
            </w:pPr>
            <w:r>
              <w:rPr>
                <w:rFonts w:hint="eastAsia" w:ascii="黑体" w:hAnsi="黑体" w:eastAsia="黑体" w:cs="黑体"/>
                <w:b/>
                <w:color w:val="01528E"/>
                <w:kern w:val="0"/>
              </w:rPr>
              <w:t>性    别：</w:t>
            </w:r>
          </w:p>
        </w:tc>
        <w:tc>
          <w:tcPr>
            <w:tcW w:w="1689" w:type="dxa"/>
            <w:gridSpan w:val="2"/>
            <w:vAlign w:val="center"/>
          </w:tcPr>
          <w:p w14:paraId="3E4AE41E">
            <w:pPr>
              <w:rPr>
                <w:rFonts w:hint="eastAsia" w:ascii="黑体" w:hAnsi="黑体" w:eastAsia="黑体" w:cs="黑体"/>
                <w:kern w:val="0"/>
                <w:szCs w:val="21"/>
              </w:rPr>
            </w:pPr>
            <w:r>
              <w:rPr>
                <w:rFonts w:hint="eastAsia" w:ascii="黑体" w:hAnsi="黑体" w:eastAsia="黑体" w:cs="黑体"/>
                <w:color w:val="595959"/>
                <w:kern w:val="0"/>
                <w:lang w:val="en-US" w:eastAsia="zh-CN"/>
              </w:rPr>
              <w:t>{{sex}}</w:t>
            </w:r>
          </w:p>
        </w:tc>
        <w:tc>
          <w:tcPr>
            <w:tcW w:w="1232" w:type="dxa"/>
            <w:gridSpan w:val="2"/>
            <w:vAlign w:val="center"/>
          </w:tcPr>
          <w:p w14:paraId="09F4934D">
            <w:pPr>
              <w:rPr>
                <w:rFonts w:hint="eastAsia" w:ascii="黑体" w:hAnsi="黑体" w:eastAsia="黑体" w:cs="黑体"/>
                <w:b/>
                <w:color w:val="006AB4"/>
                <w:kern w:val="0"/>
                <w:szCs w:val="21"/>
              </w:rPr>
            </w:pPr>
            <w:r>
              <w:rPr>
                <w:rFonts w:hint="eastAsia" w:ascii="黑体" w:hAnsi="黑体" w:eastAsia="黑体" w:cs="黑体"/>
                <w:b/>
                <w:color w:val="01528E"/>
                <w:kern w:val="0"/>
              </w:rPr>
              <w:t>年    龄：</w:t>
            </w:r>
          </w:p>
        </w:tc>
        <w:tc>
          <w:tcPr>
            <w:tcW w:w="1708" w:type="dxa"/>
            <w:vAlign w:val="center"/>
          </w:tcPr>
          <w:p w14:paraId="2E5604EA">
            <w:pPr>
              <w:rPr>
                <w:rFonts w:hint="eastAsia" w:ascii="黑体" w:hAnsi="黑体" w:eastAsia="黑体" w:cs="黑体"/>
                <w:kern w:val="0"/>
                <w:szCs w:val="21"/>
              </w:rPr>
            </w:pPr>
            <w:r>
              <w:rPr>
                <w:rFonts w:hint="eastAsia" w:ascii="黑体" w:hAnsi="黑体" w:eastAsia="黑体" w:cs="黑体"/>
                <w:color w:val="595959"/>
                <w:kern w:val="0"/>
                <w:lang w:val="en-US" w:eastAsia="zh-CN"/>
              </w:rPr>
              <w:t>{{age}}</w:t>
            </w:r>
            <w:r>
              <w:rPr>
                <w:rFonts w:hint="eastAsia" w:ascii="黑体" w:hAnsi="黑体" w:eastAsia="黑体" w:cs="黑体"/>
                <w:color w:val="595959"/>
                <w:kern w:val="0"/>
              </w:rPr>
              <w:t>岁</w:t>
            </w:r>
          </w:p>
        </w:tc>
      </w:tr>
      <w:tr w14:paraId="43D7BED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3F7BAA9F">
            <w:pPr>
              <w:rPr>
                <w:rFonts w:hint="eastAsia" w:ascii="黑体" w:hAnsi="黑体" w:eastAsia="黑体" w:cs="黑体"/>
                <w:b/>
                <w:kern w:val="0"/>
                <w:szCs w:val="21"/>
              </w:rPr>
            </w:pPr>
            <w:r>
              <w:rPr>
                <w:rFonts w:hint="eastAsia" w:ascii="黑体" w:hAnsi="黑体" w:eastAsia="黑体" w:cs="黑体"/>
                <w:b/>
                <w:color w:val="01528E"/>
                <w:kern w:val="0"/>
              </w:rPr>
              <w:t>样本编号：</w:t>
            </w:r>
          </w:p>
        </w:tc>
        <w:tc>
          <w:tcPr>
            <w:tcW w:w="2015" w:type="dxa"/>
            <w:vAlign w:val="center"/>
          </w:tcPr>
          <w:p w14:paraId="55F4BD9F">
            <w:pPr>
              <w:rPr>
                <w:rFonts w:hint="eastAsia" w:ascii="黑体" w:hAnsi="黑体" w:eastAsia="黑体" w:cs="黑体"/>
                <w:color w:val="595959"/>
                <w:kern w:val="0"/>
                <w:szCs w:val="21"/>
              </w:rPr>
            </w:pPr>
            <w:r>
              <w:rPr>
                <w:rFonts w:hint="eastAsia" w:ascii="黑体" w:hAnsi="黑体" w:eastAsia="黑体" w:cs="黑体"/>
                <w:color w:val="595959"/>
                <w:kern w:val="0"/>
                <w:lang w:val="en-US" w:eastAsia="zh-CN"/>
              </w:rPr>
              <w:t>{{subbarcode}}</w:t>
            </w:r>
          </w:p>
        </w:tc>
        <w:tc>
          <w:tcPr>
            <w:tcW w:w="1344" w:type="dxa"/>
            <w:vAlign w:val="center"/>
          </w:tcPr>
          <w:p w14:paraId="01DA10FA">
            <w:pPr>
              <w:rPr>
                <w:rFonts w:hint="eastAsia" w:ascii="黑体" w:hAnsi="黑体" w:eastAsia="黑体" w:cs="黑体"/>
                <w:b/>
                <w:kern w:val="0"/>
                <w:szCs w:val="21"/>
              </w:rPr>
            </w:pPr>
            <w:r>
              <w:rPr>
                <w:rFonts w:hint="eastAsia" w:ascii="黑体" w:hAnsi="黑体" w:eastAsia="黑体" w:cs="黑体"/>
                <w:b/>
                <w:color w:val="01528E"/>
                <w:kern w:val="0"/>
              </w:rPr>
              <w:t>样本类型：</w:t>
            </w:r>
          </w:p>
        </w:tc>
        <w:tc>
          <w:tcPr>
            <w:tcW w:w="4629" w:type="dxa"/>
            <w:gridSpan w:val="5"/>
            <w:vAlign w:val="center"/>
          </w:tcPr>
          <w:p w14:paraId="46C0E3DE">
            <w:pPr>
              <w:rPr>
                <w:rFonts w:hint="eastAsia" w:ascii="黑体" w:hAnsi="黑体" w:eastAsia="黑体" w:cs="黑体"/>
                <w:kern w:val="0"/>
                <w:szCs w:val="21"/>
              </w:rPr>
            </w:pPr>
            <w:r>
              <w:rPr>
                <w:rFonts w:hint="eastAsia" w:ascii="黑体" w:hAnsi="黑体" w:eastAsia="黑体" w:cs="黑体"/>
                <w:color w:val="595959"/>
                <w:kern w:val="0"/>
                <w:lang w:val="en-US" w:eastAsia="zh-CN"/>
              </w:rPr>
              <w:t>{{specimentype}}</w:t>
            </w:r>
          </w:p>
        </w:tc>
      </w:tr>
      <w:tr w14:paraId="4DCFCC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73C540C7">
            <w:pPr>
              <w:rPr>
                <w:rFonts w:hint="eastAsia" w:ascii="黑体" w:hAnsi="黑体" w:eastAsia="黑体" w:cs="黑体"/>
                <w:b/>
                <w:color w:val="006AB4"/>
                <w:kern w:val="0"/>
                <w:szCs w:val="21"/>
              </w:rPr>
            </w:pPr>
            <w:r>
              <w:rPr>
                <w:rFonts w:hint="eastAsia" w:ascii="黑体" w:hAnsi="黑体" w:eastAsia="黑体" w:cs="黑体"/>
                <w:b/>
                <w:color w:val="01528E"/>
                <w:kern w:val="0"/>
              </w:rPr>
              <w:t>检测项目：</w:t>
            </w:r>
          </w:p>
        </w:tc>
        <w:tc>
          <w:tcPr>
            <w:tcW w:w="7988" w:type="dxa"/>
            <w:gridSpan w:val="7"/>
            <w:vAlign w:val="center"/>
          </w:tcPr>
          <w:p w14:paraId="66B70ED4">
            <w:pPr>
              <w:rPr>
                <w:rFonts w:hint="eastAsia" w:ascii="黑体" w:hAnsi="黑体" w:eastAsia="黑体" w:cs="黑体"/>
                <w:color w:val="595959"/>
                <w:kern w:val="0"/>
                <w:szCs w:val="21"/>
                <w:lang w:val="en-US" w:eastAsia="zh-CN"/>
              </w:rPr>
            </w:pPr>
            <w:r>
              <w:rPr>
                <w:rFonts w:hint="eastAsia" w:ascii="黑体" w:hAnsi="黑体" w:eastAsia="黑体" w:cs="黑体"/>
                <w:color w:val="595959"/>
                <w:kern w:val="0"/>
              </w:rPr>
              <w:t>实体瘤微小残留病灶（MRD）检测（1+3）-</w:t>
            </w:r>
            <w:r>
              <w:rPr>
                <w:rFonts w:hint="eastAsia" w:ascii="黑体" w:hAnsi="黑体" w:eastAsia="黑体" w:cs="黑体"/>
                <w:color w:val="595959"/>
                <w:kern w:val="0"/>
                <w:lang w:val="en-US" w:eastAsia="zh-CN"/>
              </w:rPr>
              <w:t>监测</w:t>
            </w:r>
          </w:p>
        </w:tc>
      </w:tr>
      <w:tr w14:paraId="32ABFD0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45336ABD">
            <w:pPr>
              <w:rPr>
                <w:rFonts w:hint="eastAsia" w:ascii="黑体" w:hAnsi="黑体" w:eastAsia="黑体" w:cs="黑体"/>
                <w:b/>
                <w:color w:val="01528E"/>
                <w:kern w:val="0"/>
                <w:szCs w:val="21"/>
              </w:rPr>
            </w:pPr>
            <w:r>
              <w:rPr>
                <w:rFonts w:hint="eastAsia" w:ascii="黑体" w:hAnsi="黑体" w:eastAsia="黑体" w:cs="黑体"/>
                <w:b/>
                <w:color w:val="01528E"/>
                <w:kern w:val="0"/>
              </w:rPr>
              <w:t xml:space="preserve">临床诊断： </w:t>
            </w:r>
          </w:p>
        </w:tc>
        <w:tc>
          <w:tcPr>
            <w:tcW w:w="7988" w:type="dxa"/>
            <w:gridSpan w:val="7"/>
            <w:vAlign w:val="center"/>
          </w:tcPr>
          <w:p w14:paraId="03E85499">
            <w:pPr>
              <w:rPr>
                <w:rFonts w:hint="eastAsia" w:ascii="黑体" w:hAnsi="黑体" w:eastAsia="黑体" w:cs="黑体"/>
                <w:color w:val="595959"/>
                <w:kern w:val="0"/>
                <w:szCs w:val="21"/>
              </w:rPr>
            </w:pPr>
            <w:r>
              <w:rPr>
                <w:rFonts w:hint="eastAsia" w:ascii="黑体" w:hAnsi="黑体" w:eastAsia="黑体" w:cs="黑体"/>
                <w:color w:val="595959"/>
                <w:kern w:val="0"/>
                <w:lang w:val="en-US" w:eastAsia="zh-CN"/>
              </w:rPr>
              <w:t>{{diseaseName}}</w:t>
            </w:r>
          </w:p>
        </w:tc>
      </w:tr>
      <w:tr w14:paraId="2B15C5E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3D182DB6">
            <w:pPr>
              <w:rPr>
                <w:rFonts w:hint="eastAsia" w:ascii="黑体" w:hAnsi="黑体" w:eastAsia="黑体" w:cs="黑体"/>
                <w:b/>
                <w:color w:val="01528E"/>
                <w:kern w:val="0"/>
                <w:szCs w:val="21"/>
              </w:rPr>
            </w:pPr>
            <w:r>
              <w:rPr>
                <w:rFonts w:hint="eastAsia" w:ascii="黑体" w:hAnsi="黑体" w:eastAsia="黑体" w:cs="黑体"/>
                <w:b/>
                <w:color w:val="01528E"/>
                <w:kern w:val="0"/>
              </w:rPr>
              <w:t>病理描述：</w:t>
            </w:r>
          </w:p>
        </w:tc>
        <w:tc>
          <w:tcPr>
            <w:tcW w:w="7988" w:type="dxa"/>
            <w:gridSpan w:val="7"/>
            <w:vAlign w:val="center"/>
          </w:tcPr>
          <w:p w14:paraId="48AC0EC5">
            <w:pPr>
              <w:rPr>
                <w:rFonts w:hint="eastAsia" w:ascii="黑体" w:hAnsi="黑体" w:eastAsia="黑体" w:cs="黑体"/>
                <w:color w:val="595959"/>
                <w:kern w:val="0"/>
                <w:szCs w:val="21"/>
              </w:rPr>
            </w:pPr>
            <w:r>
              <w:rPr>
                <w:rFonts w:hint="eastAsia" w:ascii="黑体" w:hAnsi="黑体" w:eastAsia="黑体" w:cs="黑体"/>
                <w:color w:val="595959"/>
                <w:kern w:val="0"/>
              </w:rPr>
              <w:t>--</w:t>
            </w:r>
          </w:p>
        </w:tc>
      </w:tr>
      <w:tr w14:paraId="0DE0081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54A93EDC">
            <w:pPr>
              <w:rPr>
                <w:rFonts w:hint="eastAsia" w:ascii="黑体" w:hAnsi="黑体" w:eastAsia="黑体" w:cs="黑体"/>
                <w:b/>
                <w:color w:val="01528E"/>
                <w:kern w:val="0"/>
                <w:szCs w:val="21"/>
              </w:rPr>
            </w:pPr>
            <w:r>
              <w:rPr>
                <w:rFonts w:hint="eastAsia" w:ascii="黑体" w:hAnsi="黑体" w:eastAsia="黑体" w:cs="黑体"/>
                <w:b/>
                <w:color w:val="01528E"/>
                <w:kern w:val="0"/>
              </w:rPr>
              <w:t>送检日期：</w:t>
            </w:r>
          </w:p>
        </w:tc>
        <w:tc>
          <w:tcPr>
            <w:tcW w:w="4150" w:type="dxa"/>
            <w:gridSpan w:val="3"/>
            <w:vAlign w:val="center"/>
          </w:tcPr>
          <w:p w14:paraId="564DE5D7">
            <w:pPr>
              <w:rPr>
                <w:rFonts w:hint="eastAsia" w:ascii="黑体" w:hAnsi="黑体" w:eastAsia="黑体" w:cs="黑体"/>
                <w:kern w:val="0"/>
                <w:szCs w:val="21"/>
              </w:rPr>
            </w:pPr>
            <w:r>
              <w:rPr>
                <w:rFonts w:hint="eastAsia" w:ascii="黑体" w:hAnsi="黑体" w:eastAsia="黑体" w:cs="黑体"/>
                <w:color w:val="595959"/>
                <w:kern w:val="0"/>
                <w:lang w:val="en-US" w:eastAsia="zh-CN"/>
              </w:rPr>
              <w:t>{{ commission_date }}</w:t>
            </w:r>
          </w:p>
        </w:tc>
        <w:tc>
          <w:tcPr>
            <w:tcW w:w="1404" w:type="dxa"/>
            <w:gridSpan w:val="2"/>
            <w:vAlign w:val="center"/>
          </w:tcPr>
          <w:p w14:paraId="6ED60E13">
            <w:pPr>
              <w:rPr>
                <w:rFonts w:hint="eastAsia" w:ascii="黑体" w:hAnsi="黑体" w:eastAsia="黑体" w:cs="黑体"/>
                <w:b/>
                <w:kern w:val="0"/>
                <w:szCs w:val="21"/>
              </w:rPr>
            </w:pPr>
            <w:r>
              <w:rPr>
                <w:rFonts w:hint="eastAsia" w:ascii="黑体" w:hAnsi="黑体" w:eastAsia="黑体" w:cs="黑体"/>
                <w:b/>
                <w:color w:val="01528E"/>
                <w:kern w:val="0"/>
              </w:rPr>
              <w:t>报告日期：</w:t>
            </w:r>
          </w:p>
        </w:tc>
        <w:tc>
          <w:tcPr>
            <w:tcW w:w="2434" w:type="dxa"/>
            <w:gridSpan w:val="2"/>
            <w:vAlign w:val="center"/>
          </w:tcPr>
          <w:p w14:paraId="1B73525E">
            <w:pPr>
              <w:rPr>
                <w:rFonts w:hint="eastAsia" w:ascii="黑体" w:hAnsi="黑体" w:eastAsia="黑体" w:cs="黑体"/>
                <w:kern w:val="0"/>
                <w:szCs w:val="21"/>
              </w:rPr>
            </w:pPr>
            <w:r>
              <w:rPr>
                <w:rFonts w:hint="eastAsia" w:ascii="黑体" w:hAnsi="黑体" w:eastAsia="黑体" w:cs="黑体"/>
                <w:color w:val="595959"/>
                <w:kern w:val="0"/>
                <w:lang w:val="en-US" w:eastAsia="zh-CN"/>
              </w:rPr>
              <w:t>{{reportdate}}</w:t>
            </w:r>
          </w:p>
        </w:tc>
      </w:tr>
    </w:tbl>
    <w:p w14:paraId="0187B787">
      <w:pPr>
        <w:rPr>
          <w:rFonts w:hint="eastAsia" w:ascii="黑体" w:hAnsi="黑体" w:eastAsia="黑体" w:cs="黑体"/>
        </w:rPr>
      </w:pPr>
      <w:r>
        <w:rPr>
          <w:rFonts w:hint="eastAsia" w:ascii="黑体" w:hAnsi="黑体" w:eastAsia="黑体" w:cs="黑体"/>
        </w:rPr>
        <w:br w:type="page"/>
      </w:r>
    </w:p>
    <w:p w14:paraId="11A41FF1">
      <w:pPr>
        <w:pStyle w:val="3"/>
        <w:spacing w:after="312" w:afterLines="100"/>
        <w:jc w:val="center"/>
        <w:rPr>
          <w:rFonts w:hint="eastAsia" w:ascii="黑体" w:hAnsi="黑体" w:eastAsia="黑体" w:cs="黑体"/>
        </w:rPr>
      </w:pPr>
      <w:bookmarkStart w:id="11" w:name="_Toc114664078"/>
      <w:bookmarkStart w:id="12" w:name="_Toc7383"/>
      <w:bookmarkStart w:id="13" w:name="_Toc93496791"/>
      <w:r>
        <w:rPr>
          <w:rFonts w:hint="eastAsia" w:ascii="黑体" w:hAnsi="黑体" w:eastAsia="黑体" w:cs="黑体"/>
          <w:bCs w:val="0"/>
          <w:color w:val="01528E"/>
          <w:sz w:val="36"/>
          <w:szCs w:val="36"/>
        </w:rPr>
        <w:t>检</w:t>
      </w:r>
      <w:bookmarkStart w:id="14" w:name="_Hlk79586569"/>
      <w:r>
        <w:rPr>
          <w:rFonts w:hint="eastAsia" w:ascii="黑体" w:hAnsi="黑体" w:eastAsia="黑体" w:cs="黑体"/>
          <w:bCs w:val="0"/>
          <w:color w:val="01528E"/>
          <w:sz w:val="36"/>
          <w:szCs w:val="36"/>
        </w:rPr>
        <w:t>测概况</w:t>
      </w:r>
      <w:bookmarkEnd w:id="11"/>
      <w:bookmarkEnd w:id="12"/>
    </w:p>
    <w:tbl>
      <w:tblPr>
        <w:tblStyle w:val="29"/>
        <w:tblW w:w="9580"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2830"/>
        <w:gridCol w:w="4314"/>
        <w:gridCol w:w="2436"/>
      </w:tblGrid>
      <w:tr w14:paraId="6F91C8D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1020" w:hRule="atLeast"/>
          <w:jc w:val="center"/>
        </w:trPr>
        <w:tc>
          <w:tcPr>
            <w:tcW w:w="2830" w:type="dxa"/>
            <w:shd w:val="clear" w:color="auto" w:fill="01528E"/>
            <w:vAlign w:val="center"/>
          </w:tcPr>
          <w:p w14:paraId="30130394">
            <w:pPr>
              <w:jc w:val="center"/>
              <w:rPr>
                <w:rFonts w:hint="eastAsia" w:ascii="黑体" w:hAnsi="黑体" w:eastAsia="黑体" w:cs="黑体"/>
                <w:b/>
                <w:i w:val="0"/>
                <w:color w:val="FFFFFF"/>
                <w:kern w:val="0"/>
                <w:sz w:val="24"/>
                <w:szCs w:val="20"/>
              </w:rPr>
            </w:pPr>
            <w:r>
              <w:rPr>
                <w:rFonts w:hint="eastAsia" w:ascii="黑体" w:hAnsi="黑体" w:eastAsia="黑体" w:cs="黑体"/>
                <w:b/>
                <w:i w:val="0"/>
                <w:color w:val="FFFFFF"/>
                <w:kern w:val="0"/>
                <w:sz w:val="24"/>
                <w:szCs w:val="20"/>
              </w:rPr>
              <w:t>检测项目</w:t>
            </w:r>
          </w:p>
        </w:tc>
        <w:tc>
          <w:tcPr>
            <w:tcW w:w="4314" w:type="dxa"/>
            <w:shd w:val="clear" w:color="auto" w:fill="01528E"/>
            <w:vAlign w:val="center"/>
          </w:tcPr>
          <w:p w14:paraId="6A18A20A">
            <w:pPr>
              <w:jc w:val="center"/>
              <w:rPr>
                <w:rFonts w:hint="eastAsia" w:ascii="黑体" w:hAnsi="黑体" w:eastAsia="黑体" w:cs="黑体"/>
                <w:b/>
                <w:color w:val="FFFFFF"/>
                <w:kern w:val="0"/>
                <w:sz w:val="24"/>
                <w:szCs w:val="20"/>
              </w:rPr>
            </w:pPr>
            <w:r>
              <w:rPr>
                <w:rFonts w:hint="eastAsia" w:ascii="黑体" w:hAnsi="黑体" w:eastAsia="黑体" w:cs="黑体"/>
                <w:b/>
                <w:color w:val="FFFFFF"/>
                <w:kern w:val="0"/>
                <w:sz w:val="24"/>
                <w:szCs w:val="20"/>
              </w:rPr>
              <w:t>检测内容</w:t>
            </w:r>
          </w:p>
        </w:tc>
        <w:tc>
          <w:tcPr>
            <w:tcW w:w="2436" w:type="dxa"/>
            <w:shd w:val="clear" w:color="auto" w:fill="01528E"/>
            <w:vAlign w:val="center"/>
          </w:tcPr>
          <w:p w14:paraId="7C49E8EF">
            <w:pPr>
              <w:jc w:val="center"/>
              <w:rPr>
                <w:rFonts w:hint="eastAsia" w:ascii="黑体" w:hAnsi="黑体" w:eastAsia="黑体" w:cs="黑体"/>
                <w:b/>
                <w:color w:val="FFFFFF"/>
                <w:kern w:val="0"/>
                <w:sz w:val="24"/>
                <w:szCs w:val="20"/>
              </w:rPr>
            </w:pPr>
            <w:r>
              <w:rPr>
                <w:rFonts w:hint="eastAsia" w:ascii="黑体" w:hAnsi="黑体" w:eastAsia="黑体" w:cs="黑体"/>
                <w:b/>
                <w:color w:val="FFFFFF"/>
                <w:kern w:val="0"/>
                <w:sz w:val="24"/>
                <w:szCs w:val="20"/>
              </w:rPr>
              <w:t>检测结果</w:t>
            </w:r>
          </w:p>
        </w:tc>
      </w:tr>
      <w:tr w14:paraId="464D0F9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1020" w:hRule="atLeast"/>
          <w:jc w:val="center"/>
        </w:trPr>
        <w:tc>
          <w:tcPr>
            <w:tcW w:w="2830" w:type="dxa"/>
            <w:vAlign w:val="center"/>
          </w:tcPr>
          <w:p w14:paraId="1583AB9F">
            <w:pPr>
              <w:jc w:val="center"/>
              <w:rPr>
                <w:rFonts w:hint="eastAsia" w:ascii="黑体" w:hAnsi="黑体" w:eastAsia="黑体" w:cs="黑体"/>
                <w:b/>
                <w:bCs/>
                <w:color w:val="01528E"/>
                <w:kern w:val="0"/>
                <w:sz w:val="22"/>
                <w:szCs w:val="20"/>
              </w:rPr>
            </w:pPr>
            <w:r>
              <w:rPr>
                <w:rFonts w:hint="eastAsia" w:ascii="黑体" w:hAnsi="黑体" w:eastAsia="黑体" w:cs="黑体"/>
                <w:b/>
                <w:bCs/>
                <w:color w:val="01528E"/>
                <w:kern w:val="0"/>
                <w:sz w:val="22"/>
                <w:szCs w:val="20"/>
              </w:rPr>
              <w:t>MRD</w:t>
            </w:r>
          </w:p>
        </w:tc>
        <w:tc>
          <w:tcPr>
            <w:tcW w:w="4314" w:type="dxa"/>
            <w:vAlign w:val="center"/>
          </w:tcPr>
          <w:p w14:paraId="62495448">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分子残留病灶</w:t>
            </w:r>
          </w:p>
          <w:p w14:paraId="272BDE37">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（molecular residual disease,MRD）</w:t>
            </w:r>
          </w:p>
        </w:tc>
        <w:tc>
          <w:tcPr>
            <w:tcW w:w="2436" w:type="dxa"/>
            <w:vAlign w:val="center"/>
          </w:tcPr>
          <w:p w14:paraId="6BDCA725">
            <w:pPr>
              <w:jc w:val="center"/>
              <w:rPr>
                <w:rFonts w:hint="eastAsia" w:ascii="黑体" w:hAnsi="黑体" w:eastAsia="黑体" w:cs="黑体"/>
                <w:color w:val="01528E"/>
                <w:kern w:val="0"/>
                <w:sz w:val="18"/>
                <w:szCs w:val="20"/>
              </w:rPr>
            </w:pPr>
            <w:r>
              <w:rPr>
                <w:rFonts w:hint="eastAsia" w:ascii="黑体" w:hAnsi="黑体" w:eastAsia="黑体" w:cs="黑体"/>
                <w:color w:val="595959"/>
                <w:kern w:val="0"/>
                <w:sz w:val="18"/>
                <w:szCs w:val="20"/>
                <w:lang w:val="en-US" w:eastAsia="zh-CN"/>
              </w:rPr>
              <w:t>{{mrd.mrd_status}}</w:t>
            </w:r>
          </w:p>
        </w:tc>
      </w:tr>
      <w:tr w14:paraId="213566D3">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1020" w:hRule="atLeast"/>
          <w:jc w:val="center"/>
        </w:trPr>
        <w:tc>
          <w:tcPr>
            <w:tcW w:w="2830" w:type="dxa"/>
            <w:vAlign w:val="center"/>
          </w:tcPr>
          <w:p w14:paraId="2F547787">
            <w:pPr>
              <w:jc w:val="center"/>
              <w:rPr>
                <w:rFonts w:hint="eastAsia" w:ascii="黑体" w:hAnsi="黑体" w:eastAsia="黑体" w:cs="黑体"/>
                <w:b w:val="0"/>
                <w:bCs/>
                <w:color w:val="01528E"/>
                <w:kern w:val="0"/>
                <w:sz w:val="22"/>
                <w:szCs w:val="20"/>
              </w:rPr>
            </w:pPr>
            <w:r>
              <w:rPr>
                <w:rFonts w:hint="eastAsia" w:ascii="黑体" w:hAnsi="黑体" w:eastAsia="黑体" w:cs="黑体"/>
                <w:b/>
                <w:bCs/>
                <w:color w:val="01528E"/>
                <w:kern w:val="0"/>
                <w:sz w:val="22"/>
                <w:szCs w:val="20"/>
              </w:rPr>
              <w:t>ctDNA含量（MTM/mL）</w:t>
            </w:r>
          </w:p>
        </w:tc>
        <w:tc>
          <w:tcPr>
            <w:tcW w:w="4314" w:type="dxa"/>
            <w:vAlign w:val="center"/>
          </w:tcPr>
          <w:p w14:paraId="4EA4E243">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循环肿瘤DNA（circulating tumor DNA）含量</w:t>
            </w:r>
          </w:p>
        </w:tc>
        <w:tc>
          <w:tcPr>
            <w:tcW w:w="2436" w:type="dxa"/>
            <w:vAlign w:val="center"/>
          </w:tcPr>
          <w:p w14:paraId="086E2086">
            <w:pPr>
              <w:jc w:val="center"/>
              <w:rPr>
                <w:rFonts w:hint="eastAsia" w:ascii="黑体" w:hAnsi="黑体" w:eastAsia="黑体" w:cs="黑体"/>
                <w:color w:val="01528E"/>
                <w:kern w:val="0"/>
                <w:sz w:val="18"/>
                <w:szCs w:val="20"/>
              </w:rPr>
            </w:pPr>
            <w:r>
              <w:rPr>
                <w:rFonts w:hint="eastAsia" w:ascii="黑体" w:hAnsi="黑体" w:eastAsia="黑体" w:cs="黑体"/>
                <w:color w:val="595959"/>
                <w:kern w:val="0"/>
                <w:sz w:val="18"/>
                <w:szCs w:val="20"/>
                <w:lang w:val="en-US" w:eastAsia="zh-CN"/>
              </w:rPr>
              <w:t>{{mrd.mrdJson.ctDNA_content}}</w:t>
            </w:r>
          </w:p>
        </w:tc>
      </w:tr>
      <w:tr w14:paraId="4E848B70">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1020" w:hRule="atLeast"/>
          <w:jc w:val="center"/>
        </w:trPr>
        <w:tc>
          <w:tcPr>
            <w:tcW w:w="2830" w:type="dxa"/>
            <w:vAlign w:val="center"/>
          </w:tcPr>
          <w:p w14:paraId="07FF80CB">
            <w:pPr>
              <w:jc w:val="center"/>
              <w:rPr>
                <w:rFonts w:hint="eastAsia" w:ascii="黑体" w:hAnsi="黑体" w:eastAsia="黑体" w:cs="黑体"/>
                <w:b/>
                <w:color w:val="01528E"/>
                <w:kern w:val="0"/>
                <w:sz w:val="22"/>
                <w:szCs w:val="20"/>
              </w:rPr>
            </w:pPr>
            <w:r>
              <w:rPr>
                <w:rFonts w:hint="eastAsia" w:ascii="黑体" w:hAnsi="黑体" w:eastAsia="黑体" w:cs="黑体"/>
                <w:b/>
                <w:bCs/>
                <w:color w:val="01528E"/>
                <w:kern w:val="0"/>
                <w:sz w:val="22"/>
                <w:szCs w:val="20"/>
              </w:rPr>
              <w:t>体细胞变异</w:t>
            </w:r>
          </w:p>
        </w:tc>
        <w:tc>
          <w:tcPr>
            <w:tcW w:w="4314" w:type="dxa"/>
            <w:vAlign w:val="center"/>
          </w:tcPr>
          <w:p w14:paraId="736C76F8">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根据患者肿瘤组织</w:t>
            </w:r>
            <w:r>
              <w:rPr>
                <w:rFonts w:hint="eastAsia" w:ascii="黑体" w:hAnsi="黑体" w:eastAsia="黑体" w:cs="黑体"/>
                <w:color w:val="595959"/>
                <w:kern w:val="0"/>
                <w:sz w:val="18"/>
                <w:szCs w:val="20"/>
                <w:lang w:val="en-US" w:eastAsia="zh-CN"/>
              </w:rPr>
              <w:t xml:space="preserve">1238 </w:t>
            </w:r>
            <w:r>
              <w:rPr>
                <w:rFonts w:hint="eastAsia" w:ascii="黑体" w:hAnsi="黑体" w:eastAsia="黑体" w:cs="黑体"/>
                <w:color w:val="595959"/>
                <w:kern w:val="0"/>
                <w:sz w:val="18"/>
                <w:szCs w:val="20"/>
              </w:rPr>
              <w:t>panel突变检测结果，并结合本癌种/实体瘤核心基因，为患者定制个性化监测探针</w:t>
            </w:r>
            <w:bookmarkEnd w:id="13"/>
          </w:p>
        </w:tc>
        <w:tc>
          <w:tcPr>
            <w:tcW w:w="2436" w:type="dxa"/>
            <w:vAlign w:val="center"/>
          </w:tcPr>
          <w:p w14:paraId="2F333EDA">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 xml:space="preserve">{% set ns = namespace(mrd_nums=0) %}{% for tds in mrd.mrdJson.mrd_tds %}{% if tds[-1] != '-' %}{% set ns.mrd_nums = ns.mrd_nums + 1 %} {% endif %}{% endfor %}{% if </w:t>
            </w:r>
            <w:r>
              <w:rPr>
                <w:rFonts w:hint="eastAsia" w:ascii="黑体" w:hAnsi="黑体" w:eastAsia="黑体" w:cs="黑体"/>
                <w:color w:val="595959"/>
                <w:kern w:val="0"/>
                <w:sz w:val="18"/>
                <w:szCs w:val="20"/>
                <w:lang w:val="en-US" w:eastAsia="zh-CN"/>
              </w:rPr>
              <w:t>ns.</w:t>
            </w:r>
            <w:r>
              <w:rPr>
                <w:rFonts w:hint="eastAsia" w:ascii="黑体" w:hAnsi="黑体" w:eastAsia="黑体" w:cs="黑体"/>
                <w:color w:val="595959"/>
                <w:kern w:val="0"/>
                <w:sz w:val="18"/>
                <w:szCs w:val="20"/>
              </w:rPr>
              <w:t>mrd_nums != 0 %}共检出{{ ns.mrd_nums }}个基因变异 {% else %}未检出基因变异{% endif %}</w:t>
            </w:r>
          </w:p>
        </w:tc>
      </w:tr>
    </w:tbl>
    <w:p w14:paraId="79A39648">
      <w:pPr>
        <w:rPr>
          <w:rStyle w:val="28"/>
          <w:rFonts w:hint="eastAsia" w:ascii="黑体" w:hAnsi="黑体" w:eastAsia="黑体" w:cs="黑体"/>
        </w:rPr>
      </w:pPr>
    </w:p>
    <w:bookmarkEnd w:id="14"/>
    <w:p w14:paraId="5AAB1D3F">
      <w:pPr>
        <w:widowControl/>
        <w:jc w:val="left"/>
        <w:rPr>
          <w:rFonts w:hint="eastAsia" w:ascii="黑体" w:hAnsi="黑体" w:eastAsia="黑体" w:cs="黑体"/>
          <w:b/>
          <w:bCs/>
          <w:color w:val="5B9CD6"/>
          <w:sz w:val="32"/>
          <w:szCs w:val="32"/>
        </w:rPr>
      </w:pPr>
    </w:p>
    <w:p w14:paraId="4BB5D36D">
      <w:pPr>
        <w:rPr>
          <w:rFonts w:hint="eastAsia" w:ascii="黑体" w:hAnsi="黑体" w:eastAsia="黑体" w:cs="黑体"/>
        </w:rPr>
      </w:pPr>
      <w:r>
        <w:rPr>
          <w:rFonts w:hint="eastAsia" w:ascii="黑体" w:hAnsi="黑体" w:eastAsia="黑体" w:cs="黑体"/>
        </w:rPr>
        <w:br w:type="page"/>
      </w:r>
    </w:p>
    <w:p w14:paraId="2DC0E978">
      <w:pPr>
        <w:pStyle w:val="3"/>
        <w:snapToGrid w:val="0"/>
        <w:spacing w:line="360" w:lineRule="auto"/>
        <w:jc w:val="center"/>
        <w:rPr>
          <w:rFonts w:hint="eastAsia" w:ascii="黑体" w:hAnsi="黑体" w:eastAsia="黑体" w:cs="黑体"/>
          <w:color w:val="01528E"/>
          <w:sz w:val="36"/>
          <w:szCs w:val="36"/>
        </w:rPr>
      </w:pPr>
      <w:bookmarkStart w:id="15" w:name="_Toc114664079"/>
      <w:bookmarkStart w:id="16" w:name="_Toc31190"/>
      <w:bookmarkStart w:id="17" w:name="_Toc93496792"/>
      <w:r>
        <w:rPr>
          <w:rFonts w:hint="eastAsia" w:ascii="黑体" w:hAnsi="黑体" w:eastAsia="黑体" w:cs="黑体"/>
          <w:color w:val="01528E"/>
          <w:sz w:val="36"/>
          <w:szCs w:val="36"/>
        </w:rPr>
        <w:t>样本质控</w:t>
      </w:r>
      <w:bookmarkEnd w:id="15"/>
      <w:bookmarkEnd w:id="16"/>
    </w:p>
    <w:tbl>
      <w:tblPr>
        <w:tblStyle w:val="15"/>
        <w:tblW w:w="9810"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1984"/>
        <w:gridCol w:w="2717"/>
        <w:gridCol w:w="2378"/>
        <w:gridCol w:w="2731"/>
      </w:tblGrid>
      <w:tr w14:paraId="100B4F7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3" w:hRule="atLeast"/>
          <w:jc w:val="center"/>
        </w:trPr>
        <w:tc>
          <w:tcPr>
            <w:tcW w:w="1984" w:type="dxa"/>
            <w:shd w:val="clear" w:color="auto" w:fill="00528E"/>
            <w:vAlign w:val="center"/>
          </w:tcPr>
          <w:p w14:paraId="67F39D9B">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质控环节</w:t>
            </w:r>
          </w:p>
        </w:tc>
        <w:tc>
          <w:tcPr>
            <w:tcW w:w="2717" w:type="dxa"/>
            <w:shd w:val="clear" w:color="auto" w:fill="00528E"/>
            <w:vAlign w:val="center"/>
          </w:tcPr>
          <w:p w14:paraId="01B0BCE7">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质控参数</w:t>
            </w:r>
          </w:p>
        </w:tc>
        <w:tc>
          <w:tcPr>
            <w:tcW w:w="2378" w:type="dxa"/>
            <w:shd w:val="clear" w:color="auto" w:fill="00528E"/>
            <w:vAlign w:val="center"/>
          </w:tcPr>
          <w:p w14:paraId="5866182E">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质控数值</w:t>
            </w:r>
          </w:p>
        </w:tc>
        <w:tc>
          <w:tcPr>
            <w:tcW w:w="2731" w:type="dxa"/>
            <w:shd w:val="clear" w:color="auto" w:fill="00528E"/>
            <w:vAlign w:val="center"/>
          </w:tcPr>
          <w:p w14:paraId="1C455548">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质控标准</w:t>
            </w:r>
          </w:p>
        </w:tc>
      </w:tr>
      <w:tr w14:paraId="76AEAB0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61D96721">
            <w:pPr>
              <w:autoSpaceDE w:val="0"/>
              <w:ind w:left="105" w:leftChars="50"/>
              <w:jc w:val="center"/>
              <w:rPr>
                <w:rFonts w:hint="eastAsia" w:ascii="黑体" w:hAnsi="黑体" w:eastAsia="黑体" w:cs="黑体"/>
                <w:b/>
                <w:bCs/>
                <w:color w:val="01528E"/>
                <w:sz w:val="21"/>
                <w:szCs w:val="21"/>
              </w:rPr>
            </w:pPr>
            <w:r>
              <w:rPr>
                <w:rFonts w:hint="eastAsia" w:ascii="黑体" w:hAnsi="黑体" w:eastAsia="黑体" w:cs="黑体"/>
                <w:b/>
                <w:bCs/>
                <w:color w:val="01528E"/>
                <w:sz w:val="21"/>
                <w:szCs w:val="21"/>
                <w:lang w:eastAsia="zh-CN" w:bidi="ar"/>
              </w:rPr>
              <w:t>病理评估</w:t>
            </w:r>
          </w:p>
        </w:tc>
        <w:tc>
          <w:tcPr>
            <w:tcW w:w="2717" w:type="dxa"/>
            <w:shd w:val="clear" w:color="auto" w:fill="auto"/>
            <w:vAlign w:val="center"/>
          </w:tcPr>
          <w:p w14:paraId="39F4CF01">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肿瘤细胞含量</w:t>
            </w:r>
          </w:p>
        </w:tc>
        <w:tc>
          <w:tcPr>
            <w:tcW w:w="2378" w:type="dxa"/>
            <w:shd w:val="clear" w:color="auto" w:fill="auto"/>
            <w:vAlign w:val="center"/>
          </w:tcPr>
          <w:p w14:paraId="48B41806">
            <w:pPr>
              <w:ind w:left="119"/>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rPr>
              <w:t>{{ tumorcellcontent }}</w:t>
            </w:r>
          </w:p>
        </w:tc>
        <w:tc>
          <w:tcPr>
            <w:tcW w:w="2731" w:type="dxa"/>
            <w:shd w:val="clear" w:color="auto" w:fill="auto"/>
            <w:vAlign w:val="center"/>
          </w:tcPr>
          <w:p w14:paraId="59C4B337">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≥10%</w:t>
            </w:r>
          </w:p>
        </w:tc>
      </w:tr>
      <w:tr w14:paraId="49BB26A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A516C93">
            <w:pPr>
              <w:autoSpaceDE w:val="0"/>
              <w:ind w:left="105" w:leftChars="50"/>
              <w:jc w:val="center"/>
              <w:rPr>
                <w:rFonts w:hint="eastAsia" w:ascii="黑体" w:hAnsi="黑体" w:eastAsia="黑体" w:cs="黑体"/>
                <w:b/>
                <w:bCs/>
                <w:color w:val="01528E"/>
                <w:sz w:val="21"/>
                <w:szCs w:val="21"/>
              </w:rPr>
            </w:pPr>
            <w:r>
              <w:rPr>
                <w:rFonts w:hint="eastAsia" w:ascii="黑体" w:hAnsi="黑体" w:eastAsia="黑体" w:cs="黑体"/>
                <w:b/>
                <w:bCs/>
                <w:color w:val="01528E"/>
                <w:sz w:val="21"/>
                <w:szCs w:val="21"/>
                <w:lang w:eastAsia="zh-CN" w:bidi="ar"/>
              </w:rPr>
              <w:t>核酸质量评估</w:t>
            </w:r>
          </w:p>
        </w:tc>
        <w:tc>
          <w:tcPr>
            <w:tcW w:w="2717" w:type="dxa"/>
            <w:shd w:val="clear" w:color="auto" w:fill="auto"/>
            <w:vAlign w:val="center"/>
          </w:tcPr>
          <w:p w14:paraId="58C8A879">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DNA总量（ng）</w:t>
            </w:r>
          </w:p>
        </w:tc>
        <w:tc>
          <w:tcPr>
            <w:tcW w:w="2378" w:type="dxa"/>
            <w:shd w:val="clear" w:color="auto" w:fill="auto"/>
            <w:vAlign w:val="center"/>
          </w:tcPr>
          <w:p w14:paraId="67562AFE">
            <w:pPr>
              <w:ind w:left="119"/>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rPr>
              <w:t>{{ DNA_total }}</w:t>
            </w:r>
          </w:p>
        </w:tc>
        <w:tc>
          <w:tcPr>
            <w:tcW w:w="2731" w:type="dxa"/>
            <w:shd w:val="clear" w:color="auto" w:fill="auto"/>
            <w:vAlign w:val="center"/>
          </w:tcPr>
          <w:p w14:paraId="5B1993F1">
            <w:pPr>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w:t>
            </w:r>
            <w:r>
              <w:rPr>
                <w:rFonts w:hint="eastAsia" w:ascii="黑体" w:hAnsi="黑体" w:eastAsia="黑体" w:cs="黑体"/>
                <w:color w:val="595959"/>
                <w:sz w:val="18"/>
                <w:szCs w:val="18"/>
                <w:lang w:val="en-US" w:eastAsia="zh-CN" w:bidi="ar"/>
              </w:rPr>
              <w:t>1</w:t>
            </w:r>
            <w:r>
              <w:rPr>
                <w:rFonts w:hint="eastAsia" w:ascii="黑体" w:hAnsi="黑体" w:eastAsia="黑体" w:cs="黑体"/>
                <w:color w:val="595959"/>
                <w:sz w:val="18"/>
                <w:szCs w:val="18"/>
                <w:lang w:eastAsia="zh-CN" w:bidi="ar"/>
              </w:rPr>
              <w:t>0</w:t>
            </w:r>
          </w:p>
        </w:tc>
      </w:tr>
      <w:tr w14:paraId="1ACCF05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D3534C0">
            <w:pPr>
              <w:rPr>
                <w:rFonts w:hint="eastAsia" w:ascii="黑体" w:hAnsi="黑体" w:eastAsia="黑体" w:cs="黑体"/>
                <w:b/>
                <w:bCs/>
                <w:color w:val="01528E"/>
                <w:sz w:val="21"/>
                <w:szCs w:val="21"/>
              </w:rPr>
            </w:pPr>
          </w:p>
        </w:tc>
        <w:tc>
          <w:tcPr>
            <w:tcW w:w="2717" w:type="dxa"/>
            <w:shd w:val="clear" w:color="auto" w:fill="auto"/>
            <w:vAlign w:val="center"/>
          </w:tcPr>
          <w:p w14:paraId="371DE01E">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DNA降解程度</w:t>
            </w:r>
          </w:p>
        </w:tc>
        <w:tc>
          <w:tcPr>
            <w:tcW w:w="2378" w:type="dxa"/>
            <w:shd w:val="clear" w:color="auto" w:fill="auto"/>
            <w:vAlign w:val="center"/>
          </w:tcPr>
          <w:p w14:paraId="1248639F">
            <w:pPr>
              <w:ind w:left="119"/>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rPr>
              <w:t>{{ DNA_degradation }}</w:t>
            </w:r>
          </w:p>
        </w:tc>
        <w:tc>
          <w:tcPr>
            <w:tcW w:w="2731" w:type="dxa"/>
            <w:shd w:val="clear" w:color="auto" w:fill="auto"/>
            <w:vAlign w:val="center"/>
          </w:tcPr>
          <w:p w14:paraId="171E9A87">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val="en-US" w:eastAsia="zh-CN" w:bidi="ar"/>
              </w:rPr>
              <w:t>1-2</w:t>
            </w:r>
            <w:r>
              <w:rPr>
                <w:rFonts w:hint="eastAsia" w:ascii="黑体" w:hAnsi="黑体" w:eastAsia="黑体" w:cs="黑体"/>
                <w:color w:val="595959"/>
                <w:sz w:val="18"/>
                <w:szCs w:val="18"/>
                <w:lang w:eastAsia="zh-CN" w:bidi="ar"/>
              </w:rPr>
              <w:t>级</w:t>
            </w:r>
          </w:p>
        </w:tc>
      </w:tr>
      <w:tr w14:paraId="6EDCA43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36C8138">
            <w:pPr>
              <w:rPr>
                <w:rFonts w:hint="eastAsia" w:ascii="黑体" w:hAnsi="黑体" w:eastAsia="黑体" w:cs="黑体"/>
                <w:b/>
                <w:bCs/>
                <w:color w:val="01528E"/>
                <w:sz w:val="21"/>
                <w:szCs w:val="21"/>
              </w:rPr>
            </w:pPr>
          </w:p>
        </w:tc>
        <w:tc>
          <w:tcPr>
            <w:tcW w:w="2717" w:type="dxa"/>
            <w:shd w:val="clear" w:color="auto" w:fill="auto"/>
            <w:vAlign w:val="center"/>
          </w:tcPr>
          <w:p w14:paraId="33CDD96D">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预文库总量（ng）</w:t>
            </w:r>
          </w:p>
        </w:tc>
        <w:tc>
          <w:tcPr>
            <w:tcW w:w="2378" w:type="dxa"/>
            <w:shd w:val="clear" w:color="auto" w:fill="auto"/>
            <w:vAlign w:val="center"/>
          </w:tcPr>
          <w:p w14:paraId="6ECDEE33">
            <w:pPr>
              <w:ind w:left="119"/>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rPr>
              <w:t>{{ outbound_quantity }}</w:t>
            </w:r>
          </w:p>
        </w:tc>
        <w:tc>
          <w:tcPr>
            <w:tcW w:w="2731" w:type="dxa"/>
            <w:shd w:val="clear" w:color="auto" w:fill="auto"/>
            <w:vAlign w:val="center"/>
          </w:tcPr>
          <w:p w14:paraId="47C1DD7D">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w:t>
            </w:r>
            <w:r>
              <w:rPr>
                <w:rFonts w:hint="eastAsia" w:ascii="黑体" w:hAnsi="黑体" w:eastAsia="黑体" w:cs="黑体"/>
                <w:color w:val="595959"/>
                <w:sz w:val="18"/>
                <w:szCs w:val="18"/>
                <w:lang w:val="en-US" w:eastAsia="zh-CN" w:bidi="ar"/>
              </w:rPr>
              <w:t>32</w:t>
            </w:r>
            <w:r>
              <w:rPr>
                <w:rFonts w:hint="eastAsia" w:ascii="黑体" w:hAnsi="黑体" w:eastAsia="黑体" w:cs="黑体"/>
                <w:color w:val="595959"/>
                <w:sz w:val="18"/>
                <w:szCs w:val="18"/>
                <w:lang w:eastAsia="zh-CN" w:bidi="ar"/>
              </w:rPr>
              <w:t>0</w:t>
            </w:r>
          </w:p>
        </w:tc>
      </w:tr>
      <w:tr w14:paraId="04E3F98A">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46C7B769">
            <w:pPr>
              <w:autoSpaceDE w:val="0"/>
              <w:ind w:left="105" w:leftChars="50"/>
              <w:jc w:val="center"/>
              <w:rPr>
                <w:rFonts w:hint="eastAsia" w:ascii="黑体" w:hAnsi="黑体" w:eastAsia="黑体" w:cs="黑体"/>
                <w:b/>
                <w:bCs/>
                <w:color w:val="01528E"/>
                <w:sz w:val="21"/>
                <w:szCs w:val="21"/>
              </w:rPr>
            </w:pPr>
            <w:r>
              <w:rPr>
                <w:rFonts w:hint="eastAsia" w:ascii="黑体" w:hAnsi="黑体" w:eastAsia="黑体" w:cs="黑体"/>
                <w:b/>
                <w:bCs/>
                <w:color w:val="01528E"/>
                <w:sz w:val="21"/>
                <w:szCs w:val="21"/>
                <w:lang w:eastAsia="zh-CN" w:bidi="ar"/>
              </w:rPr>
              <w:t>测序质量评估</w:t>
            </w:r>
          </w:p>
        </w:tc>
        <w:tc>
          <w:tcPr>
            <w:tcW w:w="2717" w:type="dxa"/>
            <w:shd w:val="clear" w:color="auto" w:fill="auto"/>
            <w:vAlign w:val="center"/>
          </w:tcPr>
          <w:p w14:paraId="12EB2C56">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平均测序深度</w:t>
            </w:r>
          </w:p>
        </w:tc>
        <w:tc>
          <w:tcPr>
            <w:tcW w:w="2378" w:type="dxa"/>
            <w:shd w:val="clear" w:color="auto" w:fill="auto"/>
            <w:vAlign w:val="center"/>
          </w:tcPr>
          <w:p w14:paraId="1DD0A987">
            <w:pPr>
              <w:ind w:left="119"/>
              <w:jc w:val="center"/>
              <w:rPr>
                <w:rFonts w:hint="eastAsia" w:ascii="黑体" w:hAnsi="黑体" w:eastAsia="黑体" w:cs="黑体"/>
                <w:color w:val="595959"/>
                <w:sz w:val="18"/>
                <w:szCs w:val="18"/>
                <w:highlight w:val="lightGray"/>
              </w:rPr>
            </w:pPr>
            <w:r>
              <w:rPr>
                <w:rFonts w:hint="eastAsia" w:ascii="黑体" w:hAnsi="黑体" w:eastAsia="黑体" w:cs="黑体"/>
                <w:color w:val="595959"/>
                <w:sz w:val="18"/>
                <w:szCs w:val="18"/>
                <w:lang w:eastAsia="zh-CN"/>
              </w:rPr>
              <w:t>{{ sequencing_depth }}</w:t>
            </w:r>
          </w:p>
        </w:tc>
        <w:tc>
          <w:tcPr>
            <w:tcW w:w="2731" w:type="dxa"/>
            <w:shd w:val="clear" w:color="auto" w:fill="auto"/>
            <w:vAlign w:val="center"/>
          </w:tcPr>
          <w:p w14:paraId="1C4B42E5">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highlight w:val="none"/>
                <w:lang w:eastAsia="zh-CN" w:bidi="ar"/>
              </w:rPr>
              <w:t>≥</w:t>
            </w:r>
            <w:r>
              <w:rPr>
                <w:rFonts w:hint="eastAsia" w:ascii="黑体" w:hAnsi="黑体" w:eastAsia="黑体" w:cs="黑体"/>
                <w:color w:val="595959"/>
                <w:sz w:val="18"/>
                <w:szCs w:val="18"/>
                <w:highlight w:val="none"/>
                <w:lang w:val="en-US" w:eastAsia="zh-CN" w:bidi="ar"/>
              </w:rPr>
              <w:t>30000</w:t>
            </w:r>
          </w:p>
        </w:tc>
      </w:tr>
      <w:tr w14:paraId="1ABAEA73">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07FA47E">
            <w:pPr>
              <w:rPr>
                <w:rFonts w:hint="eastAsia" w:ascii="黑体" w:hAnsi="黑体" w:eastAsia="黑体" w:cs="黑体"/>
                <w:b/>
                <w:bCs/>
                <w:color w:val="01528E"/>
                <w:sz w:val="21"/>
                <w:szCs w:val="21"/>
              </w:rPr>
            </w:pPr>
          </w:p>
        </w:tc>
        <w:tc>
          <w:tcPr>
            <w:tcW w:w="2717" w:type="dxa"/>
            <w:shd w:val="clear" w:color="auto" w:fill="auto"/>
            <w:vAlign w:val="center"/>
          </w:tcPr>
          <w:p w14:paraId="3AE2E120">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覆盖均一性</w:t>
            </w:r>
          </w:p>
        </w:tc>
        <w:tc>
          <w:tcPr>
            <w:tcW w:w="2378" w:type="dxa"/>
            <w:shd w:val="clear" w:color="auto" w:fill="auto"/>
            <w:vAlign w:val="center"/>
          </w:tcPr>
          <w:p w14:paraId="7866C6F1">
            <w:pPr>
              <w:ind w:left="119"/>
              <w:jc w:val="center"/>
              <w:rPr>
                <w:rFonts w:hint="eastAsia" w:ascii="黑体" w:hAnsi="黑体" w:eastAsia="黑体" w:cs="黑体"/>
                <w:color w:val="595959"/>
                <w:sz w:val="18"/>
                <w:szCs w:val="18"/>
                <w:highlight w:val="lightGray"/>
              </w:rPr>
            </w:pPr>
            <w:r>
              <w:rPr>
                <w:rFonts w:hint="eastAsia" w:ascii="黑体" w:hAnsi="黑体" w:eastAsia="黑体" w:cs="黑体"/>
                <w:color w:val="595959"/>
                <w:sz w:val="18"/>
                <w:szCs w:val="18"/>
                <w:lang w:eastAsia="zh-CN"/>
              </w:rPr>
              <w:t>{{ coverage_uniformity }}</w:t>
            </w:r>
          </w:p>
        </w:tc>
        <w:tc>
          <w:tcPr>
            <w:tcW w:w="2731" w:type="dxa"/>
            <w:shd w:val="clear" w:color="auto" w:fill="auto"/>
            <w:vAlign w:val="center"/>
          </w:tcPr>
          <w:p w14:paraId="749EEA91">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≥90%</w:t>
            </w:r>
          </w:p>
        </w:tc>
      </w:tr>
      <w:tr w14:paraId="06327D2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7DADDBAE">
            <w:pPr>
              <w:rPr>
                <w:rFonts w:hint="eastAsia" w:ascii="黑体" w:hAnsi="黑体" w:eastAsia="黑体" w:cs="黑体"/>
                <w:b/>
                <w:bCs/>
                <w:color w:val="01528E"/>
                <w:sz w:val="21"/>
                <w:szCs w:val="21"/>
              </w:rPr>
            </w:pPr>
          </w:p>
        </w:tc>
        <w:tc>
          <w:tcPr>
            <w:tcW w:w="2717" w:type="dxa"/>
            <w:shd w:val="clear" w:color="auto" w:fill="auto"/>
            <w:vAlign w:val="center"/>
          </w:tcPr>
          <w:p w14:paraId="005FF2A4">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基因组比对率</w:t>
            </w:r>
          </w:p>
        </w:tc>
        <w:tc>
          <w:tcPr>
            <w:tcW w:w="2378" w:type="dxa"/>
            <w:shd w:val="clear" w:color="auto" w:fill="auto"/>
            <w:vAlign w:val="center"/>
          </w:tcPr>
          <w:p w14:paraId="4E9A03B5">
            <w:pPr>
              <w:ind w:left="119"/>
              <w:jc w:val="center"/>
              <w:rPr>
                <w:rFonts w:hint="eastAsia" w:ascii="黑体" w:hAnsi="黑体" w:eastAsia="黑体" w:cs="黑体"/>
                <w:color w:val="595959"/>
                <w:sz w:val="18"/>
                <w:szCs w:val="18"/>
                <w:highlight w:val="lightGray"/>
              </w:rPr>
            </w:pPr>
            <w:r>
              <w:rPr>
                <w:rFonts w:hint="eastAsia" w:ascii="黑体" w:hAnsi="黑体" w:eastAsia="黑体" w:cs="黑体"/>
                <w:color w:val="595959"/>
                <w:sz w:val="18"/>
                <w:szCs w:val="18"/>
                <w:lang w:eastAsia="zh-CN"/>
              </w:rPr>
              <w:t>{{ genome_alignment }}</w:t>
            </w:r>
          </w:p>
        </w:tc>
        <w:tc>
          <w:tcPr>
            <w:tcW w:w="2731" w:type="dxa"/>
            <w:shd w:val="clear" w:color="auto" w:fill="auto"/>
            <w:vAlign w:val="center"/>
          </w:tcPr>
          <w:p w14:paraId="058A45C4">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≥95%</w:t>
            </w:r>
          </w:p>
        </w:tc>
      </w:tr>
      <w:tr w14:paraId="03E60BB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233022AC">
            <w:pPr>
              <w:rPr>
                <w:rFonts w:hint="eastAsia" w:ascii="黑体" w:hAnsi="黑体" w:eastAsia="黑体" w:cs="黑体"/>
                <w:b/>
                <w:bCs/>
                <w:color w:val="01528E"/>
                <w:sz w:val="21"/>
                <w:szCs w:val="21"/>
              </w:rPr>
            </w:pPr>
          </w:p>
        </w:tc>
        <w:tc>
          <w:tcPr>
            <w:tcW w:w="2717" w:type="dxa"/>
            <w:shd w:val="clear" w:color="auto" w:fill="auto"/>
            <w:vAlign w:val="center"/>
          </w:tcPr>
          <w:p w14:paraId="4438C9D0">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碱基质量Q30占比</w:t>
            </w:r>
          </w:p>
        </w:tc>
        <w:tc>
          <w:tcPr>
            <w:tcW w:w="2378" w:type="dxa"/>
            <w:shd w:val="clear" w:color="auto" w:fill="auto"/>
            <w:vAlign w:val="center"/>
          </w:tcPr>
          <w:p w14:paraId="3A7B7607">
            <w:pPr>
              <w:autoSpaceDE w:val="0"/>
              <w:ind w:left="105" w:leftChars="50"/>
              <w:jc w:val="center"/>
              <w:rPr>
                <w:rFonts w:hint="eastAsia" w:ascii="黑体" w:hAnsi="黑体" w:eastAsia="黑体" w:cs="黑体"/>
                <w:color w:val="595959"/>
                <w:sz w:val="18"/>
                <w:szCs w:val="18"/>
                <w:highlight w:val="lightGray"/>
              </w:rPr>
            </w:pPr>
            <w:r>
              <w:rPr>
                <w:rFonts w:hint="eastAsia" w:ascii="黑体" w:hAnsi="黑体" w:eastAsia="黑体" w:cs="黑体"/>
                <w:color w:val="595959"/>
                <w:sz w:val="18"/>
                <w:szCs w:val="18"/>
                <w:lang w:eastAsia="zh-CN"/>
              </w:rPr>
              <w:t>{{ base_quality }}</w:t>
            </w:r>
          </w:p>
        </w:tc>
        <w:tc>
          <w:tcPr>
            <w:tcW w:w="2731" w:type="dxa"/>
            <w:shd w:val="clear" w:color="auto" w:fill="auto"/>
            <w:vAlign w:val="center"/>
          </w:tcPr>
          <w:p w14:paraId="65705CCF">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≥80%</w:t>
            </w:r>
          </w:p>
        </w:tc>
      </w:tr>
      <w:tr w14:paraId="6EF5F25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984" w:type="dxa"/>
            <w:shd w:val="clear" w:color="auto" w:fill="auto"/>
            <w:vAlign w:val="center"/>
          </w:tcPr>
          <w:p w14:paraId="289E261D">
            <w:pPr>
              <w:autoSpaceDE w:val="0"/>
              <w:ind w:left="105" w:leftChars="50"/>
              <w:jc w:val="center"/>
              <w:rPr>
                <w:rFonts w:hint="eastAsia" w:ascii="黑体" w:hAnsi="黑体" w:eastAsia="黑体" w:cs="黑体"/>
                <w:b/>
                <w:bCs/>
                <w:color w:val="01528E"/>
                <w:sz w:val="21"/>
                <w:szCs w:val="21"/>
              </w:rPr>
            </w:pPr>
            <w:r>
              <w:rPr>
                <w:rFonts w:hint="eastAsia" w:ascii="黑体" w:hAnsi="黑体" w:eastAsia="黑体" w:cs="黑体"/>
                <w:b/>
                <w:bCs/>
                <w:color w:val="01528E"/>
                <w:sz w:val="21"/>
                <w:szCs w:val="21"/>
                <w:lang w:eastAsia="zh-CN" w:bidi="ar"/>
              </w:rPr>
              <w:t>总体质量评估</w:t>
            </w:r>
          </w:p>
        </w:tc>
        <w:tc>
          <w:tcPr>
            <w:tcW w:w="7826" w:type="dxa"/>
            <w:gridSpan w:val="3"/>
            <w:shd w:val="clear" w:color="auto" w:fill="auto"/>
            <w:vAlign w:val="center"/>
          </w:tcPr>
          <w:p w14:paraId="5A1A7F20">
            <w:pPr>
              <w:autoSpaceDE w:val="0"/>
              <w:ind w:left="105" w:leftChars="50"/>
              <w:jc w:val="center"/>
              <w:rPr>
                <w:rFonts w:hint="eastAsia" w:ascii="黑体" w:hAnsi="黑体" w:eastAsia="黑体" w:cs="黑体"/>
                <w:color w:val="595959"/>
                <w:sz w:val="18"/>
                <w:szCs w:val="18"/>
                <w:lang w:eastAsia="zh-CN"/>
              </w:rPr>
            </w:pPr>
            <w:r>
              <w:rPr>
                <w:rFonts w:hint="eastAsia" w:ascii="黑体" w:hAnsi="黑体" w:eastAsia="黑体" w:cs="黑体"/>
                <w:color w:val="595959"/>
                <w:sz w:val="18"/>
                <w:szCs w:val="18"/>
                <w:lang w:eastAsia="zh-CN"/>
              </w:rPr>
              <w:t>{{ overall_quality_assessment }}</w:t>
            </w:r>
          </w:p>
        </w:tc>
      </w:tr>
    </w:tbl>
    <w:p w14:paraId="79953425">
      <w:pPr>
        <w:snapToGrid w:val="0"/>
        <w:spacing w:line="360" w:lineRule="auto"/>
        <w:ind w:left="0" w:leftChars="0" w:right="210" w:rightChars="100" w:firstLine="0" w:firstLineChars="0"/>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17EF8A02">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肿瘤细胞含量：送检样本经HE染色评估的肿瘤细胞含量。如送检样本不满足病理评估所需条件，则不进行此项评估。{% if summaryOfRresults.type == “blood” %}血浆cfDNA样本不做此项评估。{% endif %}</w:t>
      </w:r>
    </w:p>
    <w:p w14:paraId="5B4212A8">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DNA总量：送检样本的DNA提取总量。</w:t>
      </w:r>
    </w:p>
    <w:p w14:paraId="0F4CED26">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DNA降解程度：1-2级别样本质量较好，3级不能满足检测要求{% if summaryOfRresults.type == “blood” %}；cfDNA样本不适用于此项评估{% endif %}。</w:t>
      </w:r>
    </w:p>
    <w:p w14:paraId="1DA2734F">
      <w:pPr>
        <w:numPr>
          <w:ilvl w:val="0"/>
          <w:numId w:val="3"/>
        </w:numPr>
        <w:ind w:left="425" w:hanging="425"/>
        <w:rPr>
          <w:rFonts w:hint="eastAsia" w:ascii="黑体" w:hAnsi="黑体" w:eastAsia="黑体" w:cs="黑体"/>
          <w:color w:val="595959"/>
          <w:kern w:val="0"/>
          <w:sz w:val="18"/>
          <w:szCs w:val="18"/>
          <w:lang w:eastAsia="zh-CN"/>
        </w:rPr>
      </w:pPr>
      <w:bookmarkStart w:id="33" w:name="_GoBack"/>
      <w:bookmarkEnd w:id="33"/>
      <w:r>
        <w:rPr>
          <w:rFonts w:hint="eastAsia" w:ascii="黑体" w:hAnsi="黑体" w:eastAsia="黑体" w:cs="黑体"/>
          <w:color w:val="595959"/>
          <w:kern w:val="0"/>
          <w:sz w:val="18"/>
          <w:szCs w:val="18"/>
          <w:lang w:eastAsia="zh-CN"/>
        </w:rPr>
        <w:t>预文库总量：核酸片段经过接头连接和扩增纯化后中间产物的总量。</w:t>
      </w:r>
    </w:p>
    <w:p w14:paraId="67121B0C">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平均测序深度：目标区域每个碱基被测到的平均次数。</w:t>
      </w:r>
    </w:p>
    <w:p w14:paraId="41177580">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覆盖均一性：测序深度达到平均测序深度20%的碱基占比。</w:t>
      </w:r>
    </w:p>
    <w:p w14:paraId="259B0AB5">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基因组比对率：比对到参考基因组上的reads数目占比。</w:t>
      </w:r>
    </w:p>
    <w:p w14:paraId="668DCD34">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碱基质量Q30占比：测序数据中碱基质量在Q30以上（即碱基识别错误率在千分之一以下）的占比。</w:t>
      </w:r>
    </w:p>
    <w:p w14:paraId="220AAD26">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总体质量评估：根据 DNA 平均测序深度进行评估，分为“合格”、“警戒”、“不合格”三个等级。总体质量评估为“警戒”或者“不合格”时，均会影响检测的准确性和敏感性。</w:t>
      </w:r>
    </w:p>
    <w:bookmarkEnd w:id="17"/>
    <w:p w14:paraId="7F038BC7">
      <w:pPr>
        <w:rPr>
          <w:rFonts w:hint="eastAsia" w:ascii="黑体" w:hAnsi="黑体" w:eastAsia="黑体" w:cs="黑体"/>
        </w:rPr>
      </w:pPr>
      <w:r>
        <w:rPr>
          <w:rFonts w:hint="eastAsia" w:ascii="黑体" w:hAnsi="黑体" w:eastAsia="黑体" w:cs="黑体"/>
        </w:rPr>
        <w:br w:type="page"/>
      </w:r>
    </w:p>
    <w:p w14:paraId="521DD280">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bCs w:val="0"/>
          <w:color w:val="01528E"/>
          <w:sz w:val="44"/>
          <w:szCs w:val="44"/>
        </w:rPr>
      </w:pPr>
      <w:bookmarkStart w:id="18" w:name="_Toc2261"/>
      <w:r>
        <w:rPr>
          <w:rFonts w:hint="eastAsia" w:ascii="黑体" w:hAnsi="黑体" w:eastAsia="黑体" w:cs="黑体"/>
          <w:bCs w:val="0"/>
          <w:color w:val="01528E"/>
          <w:sz w:val="44"/>
          <w:szCs w:val="44"/>
          <w:lang w:val="en-US" w:eastAsia="zh-CN"/>
        </w:rPr>
        <w:t>第二</w:t>
      </w:r>
      <w:r>
        <w:rPr>
          <w:rFonts w:hint="eastAsia" w:ascii="黑体" w:hAnsi="黑体" w:eastAsia="黑体" w:cs="黑体"/>
          <w:bCs w:val="0"/>
          <w:color w:val="01528E"/>
          <w:sz w:val="44"/>
          <w:szCs w:val="44"/>
        </w:rPr>
        <w:t>部分：检测结果总览</w:t>
      </w:r>
      <w:bookmarkEnd w:id="18"/>
    </w:p>
    <w:p w14:paraId="50FAE5CE">
      <w:pPr>
        <w:pStyle w:val="3"/>
        <w:keepNext/>
        <w:keepLines/>
        <w:pageBreakBefore w:val="0"/>
        <w:widowControl w:val="0"/>
        <w:kinsoku/>
        <w:wordWrap/>
        <w:overflowPunct/>
        <w:topLinePunct w:val="0"/>
        <w:autoSpaceDE/>
        <w:autoSpaceDN/>
        <w:bidi w:val="0"/>
        <w:adjustRightInd/>
        <w:snapToGrid/>
        <w:spacing w:before="0" w:after="0" w:line="416" w:lineRule="auto"/>
        <w:jc w:val="center"/>
        <w:textAlignment w:val="auto"/>
        <w:rPr>
          <w:rFonts w:hint="eastAsia" w:ascii="黑体" w:hAnsi="黑体" w:eastAsia="黑体" w:cs="黑体"/>
          <w:bCs w:val="0"/>
          <w:color w:val="01528E"/>
          <w:sz w:val="36"/>
          <w:szCs w:val="36"/>
        </w:rPr>
      </w:pPr>
      <w:bookmarkStart w:id="19" w:name="_Toc12953"/>
      <w:r>
        <w:rPr>
          <w:rFonts w:hint="eastAsia" w:ascii="黑体" w:hAnsi="黑体" w:eastAsia="黑体" w:cs="黑体"/>
          <w:bCs w:val="0"/>
          <w:color w:val="01528E"/>
          <w:sz w:val="36"/>
          <w:szCs w:val="36"/>
        </w:rPr>
        <w:t>1. ctDNA检测预后提示</w:t>
      </w:r>
      <w:bookmarkEnd w:id="19"/>
    </w:p>
    <w:p w14:paraId="321C21CB">
      <w:pPr>
        <w:rPr>
          <w:rFonts w:hint="eastAsia" w:ascii="黑体" w:hAnsi="黑体" w:eastAsia="黑体" w:cs="黑体"/>
          <w:b/>
          <w:bCs/>
          <w:color w:val="02528E"/>
        </w:rPr>
      </w:pPr>
      <w:bookmarkStart w:id="20" w:name="_Toc8569"/>
      <w:bookmarkStart w:id="21" w:name="_Toc116571898"/>
      <w:bookmarkStart w:id="22" w:name="_Toc488"/>
      <w:r>
        <w:rPr>
          <w:rFonts w:hint="eastAsia" w:ascii="黑体" w:hAnsi="黑体" w:eastAsia="黑体" w:cs="黑体"/>
          <w:b/>
          <w:bCs/>
          <w:color w:val="02528E"/>
          <w:sz w:val="32"/>
          <w:szCs w:val="32"/>
        </w:rPr>
        <w:t>检测结果</w:t>
      </w:r>
      <w:bookmarkEnd w:id="20"/>
      <w:bookmarkEnd w:id="21"/>
      <w:bookmarkEnd w:id="22"/>
    </w:p>
    <w:tbl>
      <w:tblPr>
        <w:tblStyle w:val="15"/>
        <w:tblW w:w="9752" w:type="dxa"/>
        <w:tblInd w:w="0" w:type="dxa"/>
        <w:tblBorders>
          <w:top w:val="single" w:color="01528E" w:sz="4" w:space="0"/>
          <w:left w:val="single" w:color="01528E" w:sz="4" w:space="0"/>
          <w:bottom w:val="single" w:color="01528E" w:sz="4" w:space="0"/>
          <w:right w:val="single" w:color="01528E" w:sz="4" w:space="0"/>
          <w:insideH w:val="single" w:color="38849B" w:sz="4" w:space="0"/>
          <w:insideV w:val="none" w:color="auto" w:sz="0" w:space="0"/>
        </w:tblBorders>
        <w:tblLayout w:type="fixed"/>
        <w:tblCellMar>
          <w:top w:w="0" w:type="dxa"/>
          <w:left w:w="108" w:type="dxa"/>
          <w:bottom w:w="0" w:type="dxa"/>
          <w:right w:w="108" w:type="dxa"/>
        </w:tblCellMar>
      </w:tblPr>
      <w:tblGrid>
        <w:gridCol w:w="3078"/>
        <w:gridCol w:w="3337"/>
        <w:gridCol w:w="3337"/>
      </w:tblGrid>
      <w:tr w14:paraId="5F835075">
        <w:tblPrEx>
          <w:tblBorders>
            <w:top w:val="single" w:color="01528E" w:sz="4" w:space="0"/>
            <w:left w:val="single" w:color="01528E" w:sz="4" w:space="0"/>
            <w:bottom w:val="single" w:color="01528E" w:sz="4" w:space="0"/>
            <w:right w:val="single" w:color="01528E" w:sz="4" w:space="0"/>
            <w:insideH w:val="single" w:color="38849B" w:sz="4" w:space="0"/>
            <w:insideV w:val="none" w:color="auto" w:sz="0" w:space="0"/>
          </w:tblBorders>
          <w:tblCellMar>
            <w:top w:w="0" w:type="dxa"/>
            <w:left w:w="108" w:type="dxa"/>
            <w:bottom w:w="0" w:type="dxa"/>
            <w:right w:w="108" w:type="dxa"/>
          </w:tblCellMar>
        </w:tblPrEx>
        <w:trPr>
          <w:trHeight w:val="713" w:hRule="atLeast"/>
        </w:trPr>
        <w:tc>
          <w:tcPr>
            <w:tcW w:w="3078" w:type="dxa"/>
            <w:tcBorders>
              <w:bottom w:val="nil"/>
              <w:right w:val="nil"/>
            </w:tcBorders>
            <w:shd w:val="clear" w:color="auto" w:fill="01528E"/>
            <w:vAlign w:val="center"/>
          </w:tcPr>
          <w:p w14:paraId="785B1EAA">
            <w:pPr>
              <w:pStyle w:val="26"/>
              <w:rPr>
                <w:rFonts w:hint="eastAsia" w:ascii="黑体" w:hAnsi="黑体" w:eastAsia="黑体" w:cs="黑体"/>
                <w:sz w:val="21"/>
                <w:szCs w:val="21"/>
              </w:rPr>
            </w:pPr>
            <w:r>
              <w:rPr>
                <w:rFonts w:hint="eastAsia" w:ascii="黑体" w:hAnsi="黑体" w:eastAsia="黑体" w:cs="黑体"/>
                <w:sz w:val="21"/>
                <w:szCs w:val="21"/>
              </w:rPr>
              <w:t>检测指标</w:t>
            </w:r>
          </w:p>
        </w:tc>
        <w:tc>
          <w:tcPr>
            <w:tcW w:w="3337" w:type="dxa"/>
            <w:tcBorders>
              <w:left w:val="nil"/>
              <w:right w:val="nil"/>
            </w:tcBorders>
            <w:shd w:val="clear" w:color="auto" w:fill="01528E"/>
            <w:vAlign w:val="center"/>
          </w:tcPr>
          <w:p w14:paraId="159B1BA8">
            <w:pPr>
              <w:pStyle w:val="26"/>
              <w:rPr>
                <w:rFonts w:hint="eastAsia" w:ascii="黑体" w:hAnsi="黑体" w:eastAsia="黑体" w:cs="黑体"/>
                <w:sz w:val="21"/>
                <w:szCs w:val="21"/>
              </w:rPr>
            </w:pPr>
            <w:r>
              <w:rPr>
                <w:rFonts w:hint="eastAsia" w:ascii="黑体" w:hAnsi="黑体" w:eastAsia="黑体" w:cs="黑体"/>
                <w:sz w:val="21"/>
                <w:szCs w:val="21"/>
              </w:rPr>
              <w:t>检测方法</w:t>
            </w:r>
          </w:p>
        </w:tc>
        <w:tc>
          <w:tcPr>
            <w:tcW w:w="3337" w:type="dxa"/>
            <w:tcBorders>
              <w:left w:val="nil"/>
              <w:bottom w:val="nil"/>
            </w:tcBorders>
            <w:shd w:val="clear" w:color="auto" w:fill="01528E"/>
            <w:vAlign w:val="center"/>
          </w:tcPr>
          <w:p w14:paraId="681BAE4F">
            <w:pPr>
              <w:pStyle w:val="26"/>
              <w:rPr>
                <w:rFonts w:hint="eastAsia" w:ascii="黑体" w:hAnsi="黑体" w:eastAsia="黑体" w:cs="黑体"/>
                <w:sz w:val="21"/>
                <w:szCs w:val="21"/>
              </w:rPr>
            </w:pPr>
            <w:r>
              <w:rPr>
                <w:rFonts w:hint="eastAsia" w:ascii="黑体" w:hAnsi="黑体" w:eastAsia="黑体" w:cs="黑体"/>
                <w:sz w:val="21"/>
                <w:szCs w:val="21"/>
              </w:rPr>
              <w:t>检测结果</w:t>
            </w:r>
          </w:p>
        </w:tc>
      </w:tr>
      <w:tr w14:paraId="7B642211">
        <w:tblPrEx>
          <w:tblBorders>
            <w:top w:val="single" w:color="01528E" w:sz="4" w:space="0"/>
            <w:left w:val="single" w:color="01528E" w:sz="4" w:space="0"/>
            <w:bottom w:val="single" w:color="01528E" w:sz="4" w:space="0"/>
            <w:right w:val="single" w:color="01528E" w:sz="4" w:space="0"/>
            <w:insideH w:val="single" w:color="38849B" w:sz="4" w:space="0"/>
            <w:insideV w:val="none" w:color="auto" w:sz="0" w:space="0"/>
          </w:tblBorders>
          <w:tblCellMar>
            <w:top w:w="0" w:type="dxa"/>
            <w:left w:w="108" w:type="dxa"/>
            <w:bottom w:w="0" w:type="dxa"/>
            <w:right w:w="108" w:type="dxa"/>
          </w:tblCellMar>
        </w:tblPrEx>
        <w:tc>
          <w:tcPr>
            <w:tcW w:w="3078" w:type="dxa"/>
            <w:tcBorders>
              <w:top w:val="single" w:color="38849B" w:sz="4" w:space="0"/>
              <w:right w:val="nil"/>
            </w:tcBorders>
            <w:vAlign w:val="center"/>
          </w:tcPr>
          <w:p w14:paraId="04C1BD56">
            <w:pPr>
              <w:spacing w:before="72"/>
              <w:jc w:val="center"/>
              <w:rPr>
                <w:rFonts w:hint="eastAsia" w:ascii="黑体" w:hAnsi="黑体" w:eastAsia="黑体" w:cs="黑体"/>
                <w:color w:val="595959"/>
                <w:sz w:val="21"/>
                <w:szCs w:val="21"/>
              </w:rPr>
            </w:pPr>
            <w:r>
              <w:rPr>
                <w:rFonts w:hint="eastAsia" w:ascii="黑体" w:hAnsi="黑体" w:eastAsia="黑体" w:cs="黑体"/>
                <w:color w:val="595959"/>
                <w:sz w:val="21"/>
                <w:szCs w:val="21"/>
              </w:rPr>
              <w:t>术后外周血MRD</w:t>
            </w:r>
          </w:p>
        </w:tc>
        <w:tc>
          <w:tcPr>
            <w:tcW w:w="3337" w:type="dxa"/>
            <w:tcBorders>
              <w:top w:val="single" w:color="38849B" w:sz="4" w:space="0"/>
              <w:left w:val="nil"/>
              <w:right w:val="nil"/>
            </w:tcBorders>
          </w:tcPr>
          <w:p w14:paraId="31B3F5C4">
            <w:pPr>
              <w:spacing w:before="72"/>
              <w:jc w:val="center"/>
              <w:rPr>
                <w:rFonts w:hint="eastAsia" w:ascii="黑体" w:hAnsi="黑体" w:eastAsia="黑体" w:cs="黑体"/>
                <w:color w:val="595959"/>
                <w:sz w:val="21"/>
                <w:szCs w:val="21"/>
              </w:rPr>
            </w:pPr>
            <w:r>
              <w:rPr>
                <w:rFonts w:hint="eastAsia" w:ascii="黑体" w:hAnsi="黑体" w:eastAsia="黑体" w:cs="黑体"/>
                <w:color w:val="595959"/>
                <w:sz w:val="21"/>
                <w:szCs w:val="21"/>
              </w:rPr>
              <w:t>高通量基因测序</w:t>
            </w:r>
          </w:p>
        </w:tc>
        <w:tc>
          <w:tcPr>
            <w:tcW w:w="3337" w:type="dxa"/>
            <w:tcBorders>
              <w:top w:val="single" w:color="38849B" w:sz="4" w:space="0"/>
              <w:left w:val="nil"/>
            </w:tcBorders>
            <w:vAlign w:val="center"/>
          </w:tcPr>
          <w:p w14:paraId="59DBA7A3">
            <w:pPr>
              <w:spacing w:before="72"/>
              <w:jc w:val="center"/>
              <w:rPr>
                <w:rFonts w:hint="eastAsia" w:ascii="黑体" w:hAnsi="黑体" w:eastAsia="黑体" w:cs="黑体"/>
                <w:color w:val="01528E"/>
                <w:sz w:val="21"/>
                <w:szCs w:val="21"/>
              </w:rPr>
            </w:pPr>
            <w:r>
              <w:rPr>
                <w:rFonts w:hint="eastAsia" w:ascii="黑体" w:hAnsi="黑体" w:eastAsia="黑体" w:cs="黑体"/>
                <w:color w:val="595959"/>
                <w:kern w:val="0"/>
                <w:sz w:val="21"/>
                <w:szCs w:val="21"/>
                <w:lang w:val="en-US" w:eastAsia="zh-CN"/>
              </w:rPr>
              <w:t>{{mrd.mrd_status}}</w:t>
            </w:r>
          </w:p>
        </w:tc>
      </w:tr>
    </w:tbl>
    <w:p w14:paraId="37C0307C">
      <w:pPr>
        <w:rPr>
          <w:rFonts w:hint="eastAsia" w:ascii="黑体" w:hAnsi="黑体" w:eastAsia="黑体" w:cs="黑体"/>
          <w:sz w:val="18"/>
          <w:szCs w:val="18"/>
        </w:rPr>
      </w:pPr>
    </w:p>
    <w:p w14:paraId="20CB66C5">
      <w:pPr>
        <w:pStyle w:val="37"/>
        <w:spacing w:after="156"/>
        <w:rPr>
          <w:rFonts w:hint="eastAsia" w:ascii="黑体" w:hAnsi="黑体" w:eastAsia="黑体" w:cs="黑体"/>
        </w:rPr>
      </w:pPr>
      <w:r>
        <w:rPr>
          <w:rFonts w:hint="eastAsia" w:ascii="黑体" w:hAnsi="黑体" w:eastAsia="黑体" w:cs="黑体"/>
        </w:rPr>
        <w:t>临床意义：</w:t>
      </w:r>
    </w:p>
    <w:p w14:paraId="4DA8DD47">
      <w:pPr>
        <w:pStyle w:val="40"/>
        <w:spacing w:line="300" w:lineRule="auto"/>
        <w:ind w:firstLine="360" w:firstLineChars="200"/>
        <w:rPr>
          <w:rFonts w:hint="eastAsia" w:ascii="黑体" w:hAnsi="黑体" w:eastAsia="黑体" w:cs="黑体"/>
          <w:szCs w:val="18"/>
        </w:rPr>
      </w:pPr>
      <w:r>
        <w:rPr>
          <w:rFonts w:hint="eastAsia" w:ascii="黑体" w:hAnsi="黑体" w:eastAsia="黑体" w:cs="黑体"/>
          <w:szCs w:val="18"/>
        </w:rPr>
        <w:t>{% if mrd.mrd_status == “阳性”%}分子残留病灶（MRD）状态阳性：提示存在分子残留病灶（MRD）阳性，复发风险可能较高。{% else %}</w:t>
      </w:r>
      <w:r>
        <w:rPr>
          <w:rFonts w:hint="eastAsia" w:ascii="黑体" w:hAnsi="黑体" w:eastAsia="黑体" w:cs="黑体"/>
          <w:sz w:val="18"/>
          <w:highlight w:val="none"/>
          <w:lang w:eastAsia="zh-CN"/>
        </w:rPr>
        <w:t>分子残留病灶（MRD）状态</w:t>
      </w:r>
      <w:r>
        <w:rPr>
          <w:rFonts w:hint="eastAsia" w:ascii="黑体" w:hAnsi="黑体" w:eastAsia="黑体" w:cs="黑体"/>
          <w:sz w:val="18"/>
          <w:highlight w:val="none"/>
          <w:lang w:val="en-US" w:eastAsia="zh-CN"/>
        </w:rPr>
        <w:t>阴性</w:t>
      </w:r>
      <w:r>
        <w:rPr>
          <w:rFonts w:hint="eastAsia" w:ascii="黑体" w:hAnsi="黑体" w:eastAsia="黑体" w:cs="黑体"/>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r>
        <w:rPr>
          <w:rFonts w:hint="eastAsia" w:ascii="黑体" w:hAnsi="黑体" w:eastAsia="黑体" w:cs="黑体"/>
          <w:sz w:val="18"/>
          <w:highlight w:val="none"/>
          <w:lang w:val="en-US" w:eastAsia="zh-CN"/>
        </w:rPr>
        <w:t>{% endif %}</w:t>
      </w:r>
    </w:p>
    <w:p w14:paraId="599EC936">
      <w:pPr>
        <w:pStyle w:val="37"/>
        <w:spacing w:after="156"/>
        <w:rPr>
          <w:rFonts w:hint="eastAsia" w:ascii="黑体" w:hAnsi="黑体" w:eastAsia="黑体" w:cs="黑体"/>
        </w:rPr>
      </w:pPr>
      <w:r>
        <w:rPr>
          <w:rFonts w:hint="eastAsia" w:ascii="黑体" w:hAnsi="黑体" w:eastAsia="黑体" w:cs="黑体"/>
        </w:rPr>
        <w:t>MRD指标解析：</w:t>
      </w:r>
    </w:p>
    <w:p w14:paraId="1F4C635A">
      <w:pPr>
        <w:pStyle w:val="40"/>
        <w:spacing w:line="300" w:lineRule="auto"/>
        <w:ind w:firstLine="360" w:firstLineChars="200"/>
        <w:rPr>
          <w:rFonts w:hint="eastAsia" w:ascii="黑体" w:hAnsi="黑体" w:eastAsia="黑体" w:cs="黑体"/>
          <w:szCs w:val="18"/>
        </w:rPr>
      </w:pPr>
      <w:r>
        <w:rPr>
          <w:rFonts w:hint="eastAsia" w:ascii="黑体" w:hAnsi="黑体" w:eastAsia="黑体" w:cs="黑体"/>
          <w:szCs w:val="18"/>
        </w:rPr>
        <w:t>{% if mrd.mrd_status == “阳性”%}阳性：本次样本检测出与初次肿瘤组织样本相关的突变残存，提示存在分子残留病灶，复发风险可能较高。{% else%}阴性：本次样本未检测出与初次肿瘤组织样本相关的突变残存，提示复发风险可能较低。</w:t>
      </w:r>
    </w:p>
    <w:p w14:paraId="67FC83D7">
      <w:pPr>
        <w:pStyle w:val="40"/>
        <w:spacing w:line="300" w:lineRule="auto"/>
        <w:ind w:firstLine="360" w:firstLineChars="200"/>
        <w:rPr>
          <w:rFonts w:hint="eastAsia" w:ascii="黑体" w:hAnsi="黑体" w:eastAsia="黑体" w:cs="黑体"/>
          <w:szCs w:val="18"/>
        </w:rPr>
      </w:pPr>
      <w:r>
        <w:rPr>
          <w:rFonts w:hint="eastAsia" w:ascii="黑体" w:hAnsi="黑体" w:eastAsia="黑体" w:cs="黑体"/>
          <w:szCs w:val="18"/>
        </w:rPr>
        <w:t>(由于肿瘤生物学行为的复杂性，不排除有些肿瘤因释放 ctDNA 极少而导致 MRD 检测结果呈阴性。){% endif %}</w:t>
      </w:r>
    </w:p>
    <w:p w14:paraId="1188FD1D">
      <w:pPr>
        <w:pStyle w:val="37"/>
        <w:spacing w:after="156"/>
        <w:rPr>
          <w:rFonts w:hint="eastAsia" w:ascii="黑体" w:hAnsi="黑体" w:eastAsia="黑体" w:cs="黑体"/>
        </w:rPr>
      </w:pPr>
      <w:r>
        <w:rPr>
          <w:rFonts w:hint="eastAsia" w:ascii="黑体" w:hAnsi="黑体" w:eastAsia="黑体" w:cs="黑体"/>
        </w:rPr>
        <w:t>文献报道：</w:t>
      </w:r>
    </w:p>
    <w:p w14:paraId="29E8AAB1">
      <w:pPr>
        <w:pStyle w:val="40"/>
        <w:spacing w:line="240" w:lineRule="auto"/>
        <w:ind w:firstLine="360" w:firstLineChars="200"/>
        <w:rPr>
          <w:rFonts w:hint="eastAsia" w:ascii="黑体" w:hAnsi="黑体" w:eastAsia="黑体" w:cs="黑体"/>
          <w:szCs w:val="18"/>
        </w:rPr>
      </w:pPr>
      <w:r>
        <w:rPr>
          <w:rFonts w:hint="eastAsia" w:ascii="黑体" w:hAnsi="黑体" w:eastAsia="黑体" w:cs="黑体"/>
          <w:szCs w:val="18"/>
        </w:rPr>
        <w:t>在实体瘤中，MRD通常指分子残留病灶（molecular residual disease）也称微小残留病灶（minimal residual disease），即通过循环肿瘤DNA（circulating tumor DNA，ctDNA）等肿瘤来源的分子异常，发现影像学（包括正电子发射计算机断层显像）或传统实验室方法不能发现的潜在病灶，代表着肿瘤的持续存在和临床进展可能。</w:t>
      </w:r>
    </w:p>
    <w:p w14:paraId="3D4A086B">
      <w:pPr>
        <w:pStyle w:val="40"/>
        <w:spacing w:line="240" w:lineRule="auto"/>
        <w:ind w:firstLine="360" w:firstLineChars="200"/>
        <w:rPr>
          <w:rFonts w:hint="eastAsia" w:ascii="黑体" w:hAnsi="黑体" w:eastAsia="黑体" w:cs="黑体"/>
          <w:szCs w:val="18"/>
        </w:rPr>
      </w:pPr>
      <w:r>
        <w:rPr>
          <w:rFonts w:hint="eastAsia" w:ascii="黑体" w:hAnsi="黑体" w:eastAsia="黑体" w:cs="黑体"/>
          <w:szCs w:val="18"/>
        </w:rPr>
        <w:t>基于NGS的MRD检测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42A43ABC">
      <w:pPr>
        <w:pStyle w:val="40"/>
        <w:spacing w:line="240" w:lineRule="auto"/>
        <w:ind w:firstLine="360" w:firstLineChars="200"/>
        <w:rPr>
          <w:rFonts w:hint="eastAsia" w:ascii="黑体" w:hAnsi="黑体" w:eastAsia="黑体" w:cs="黑体"/>
          <w:szCs w:val="18"/>
        </w:rPr>
      </w:pPr>
      <w:r>
        <w:rPr>
          <w:rFonts w:hint="eastAsia" w:ascii="黑体" w:hAnsi="黑体" w:eastAsia="黑体" w:cs="黑体"/>
          <w:szCs w:val="18"/>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肺癌、乳腺癌等多种实体瘤中积累了大量证据，表明MRD检测可有效区分复发风险，可作为预后分层的重要指标 [PMID: 28445469；PMID: 34505064；PMID: 35543554；PMID: 28899864；PMID:26311728；PMID: 27384348；PMID: 31711920；PMID: 26154128；PMID: 31059311；PMID:34625408；ESMO2019 110P]。多项研究已证实MRD阳性实体瘤患者的无疾病生存期（DFS）与总生存期（OS）显著降低，复发风险显著升高（HR=3.1~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中国《实体瘤分子残留病灶检测共识》推荐意见：实体瘤MRD的Landmark检测（治疗后首次检测）大多选择在根治性治疗后1个月内进行，MRD动态监测有助于提升检测性能。中国《非小细胞肺癌分子残留病灶专家共识》建议对术后患者MRD进行密切随访管理，每3~6个月进行一次MRD检测。</w:t>
      </w:r>
    </w:p>
    <w:p w14:paraId="142A59BB">
      <w:pPr>
        <w:widowControl/>
        <w:spacing w:line="360" w:lineRule="atLeast"/>
        <w:ind w:right="210" w:rightChars="100"/>
        <w:jc w:val="left"/>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05D8BD2D">
      <w:pPr>
        <w:pStyle w:val="5"/>
        <w:spacing w:before="93"/>
        <w:rPr>
          <w:rFonts w:hint="eastAsia" w:ascii="黑体" w:hAnsi="黑体" w:eastAsia="黑体" w:cs="黑体"/>
          <w:color w:val="595959"/>
          <w:kern w:val="2"/>
        </w:rPr>
      </w:pPr>
      <w:r>
        <w:rPr>
          <w:rFonts w:hint="eastAsia" w:ascii="黑体" w:hAnsi="黑体" w:eastAsia="黑体" w:cs="黑体"/>
          <w:color w:val="595959"/>
          <w:kern w:val="2"/>
        </w:rPr>
        <w:t>MRD的预后提示基于现有临床研究报道，还需结合患者具体临床情况，不应单独作为指导临床决策的依据。</w:t>
      </w:r>
    </w:p>
    <w:p w14:paraId="7C169038">
      <w:pPr>
        <w:rPr>
          <w:rFonts w:hint="eastAsia" w:ascii="黑体" w:hAnsi="黑体" w:eastAsia="黑体" w:cs="黑体"/>
        </w:rPr>
      </w:pPr>
      <w:r>
        <w:rPr>
          <w:rFonts w:hint="eastAsia" w:ascii="黑体" w:hAnsi="黑体" w:eastAsia="黑体" w:cs="黑体"/>
        </w:rPr>
        <w:br w:type="page"/>
      </w:r>
    </w:p>
    <w:p w14:paraId="673967B0">
      <w:pPr>
        <w:pStyle w:val="3"/>
        <w:keepNext w:val="0"/>
        <w:keepLines w:val="0"/>
        <w:spacing w:before="0" w:after="0" w:line="240" w:lineRule="auto"/>
        <w:ind w:left="100"/>
        <w:jc w:val="center"/>
        <w:rPr>
          <w:rFonts w:hint="eastAsia" w:ascii="黑体" w:hAnsi="黑体" w:eastAsia="黑体" w:cs="黑体"/>
          <w:color w:val="01528E"/>
          <w:kern w:val="0"/>
          <w:sz w:val="36"/>
          <w:szCs w:val="36"/>
        </w:rPr>
      </w:pPr>
      <w:bookmarkStart w:id="23" w:name="_Toc114664082"/>
      <w:bookmarkStart w:id="24" w:name="_Toc5882"/>
      <w:r>
        <w:rPr>
          <w:rFonts w:hint="eastAsia" w:ascii="黑体" w:hAnsi="黑体" w:eastAsia="黑体" w:cs="黑体"/>
          <w:color w:val="01528E"/>
          <w:kern w:val="0"/>
          <w:sz w:val="36"/>
          <w:szCs w:val="36"/>
        </w:rPr>
        <w:t>2.</w:t>
      </w:r>
      <w:bookmarkEnd w:id="23"/>
      <w:r>
        <w:rPr>
          <w:rFonts w:hint="eastAsia" w:ascii="黑体" w:hAnsi="黑体" w:eastAsia="黑体" w:cs="黑体"/>
          <w:color w:val="01528E"/>
          <w:kern w:val="0"/>
          <w:sz w:val="36"/>
          <w:szCs w:val="36"/>
        </w:rPr>
        <w:t xml:space="preserve"> ctDNA变化趋势</w:t>
      </w:r>
      <w:bookmarkEnd w:id="24"/>
    </w:p>
    <w:p w14:paraId="03FEC65F">
      <w:pPr>
        <w:rPr>
          <w:rFonts w:hint="eastAsia" w:ascii="黑体" w:hAnsi="黑体" w:eastAsia="黑体" w:cs="黑体"/>
        </w:rPr>
      </w:pPr>
    </w:p>
    <w:p w14:paraId="7675C6C8">
      <w:pPr>
        <w:jc w:val="center"/>
        <w:rPr>
          <w:rFonts w:hint="eastAsia" w:ascii="黑体" w:hAnsi="黑体" w:eastAsia="黑体" w:cs="黑体"/>
          <w:b/>
          <w:bCs/>
          <w:sz w:val="18"/>
          <w:szCs w:val="18"/>
          <w:lang w:val="en-US" w:eastAsia="zh-CN" w:bidi="ar"/>
        </w:rPr>
      </w:pPr>
      <w:r>
        <w:rPr>
          <w:rFonts w:hint="eastAsia" w:ascii="黑体" w:hAnsi="黑体" w:eastAsia="黑体" w:cs="黑体"/>
          <w:b/>
          <w:bCs/>
          <w:sz w:val="18"/>
          <w:szCs w:val="18"/>
          <w:lang w:val="en-US" w:eastAsia="zh-CN" w:bidi="ar"/>
        </w:rPr>
        <w:t>{{mrd.imgStr | pdi(510.5,276.5)}}</w:t>
      </w:r>
    </w:p>
    <w:p w14:paraId="3EAF292D">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p w14:paraId="6C3EAE88">
      <w:pPr>
        <w:widowControl/>
        <w:jc w:val="left"/>
        <w:rPr>
          <w:rFonts w:hint="eastAsia" w:ascii="黑体" w:hAnsi="黑体" w:eastAsia="黑体" w:cs="黑体"/>
          <w:kern w:val="0"/>
          <w:sz w:val="24"/>
          <w:szCs w:val="24"/>
        </w:rPr>
      </w:pPr>
      <w:r>
        <w:rPr>
          <w:rFonts w:hint="eastAsia" w:ascii="黑体" w:hAnsi="黑体" w:eastAsia="黑体" w:cs="黑体"/>
          <w:b/>
          <w:bCs/>
          <w:color w:val="01528E"/>
          <w:kern w:val="0"/>
          <w:sz w:val="18"/>
          <w:szCs w:val="18"/>
        </w:rPr>
        <w:t xml:space="preserve">备注： </w:t>
      </w:r>
    </w:p>
    <w:p w14:paraId="150E4A8F">
      <w:pPr>
        <w:numPr>
          <w:ilvl w:val="0"/>
          <w:numId w:val="4"/>
        </w:numPr>
        <w:ind w:left="425" w:leftChars="0" w:hanging="425" w:firstLineChars="0"/>
        <w:rPr>
          <w:rFonts w:hint="eastAsia" w:ascii="黑体" w:hAnsi="黑体" w:eastAsia="黑体" w:cs="黑体"/>
          <w:color w:val="595959"/>
          <w:sz w:val="18"/>
          <w:highlight w:val="none"/>
          <w:lang w:eastAsia="zh-CN"/>
        </w:rPr>
      </w:pPr>
      <w:r>
        <w:rPr>
          <w:rFonts w:hint="eastAsia" w:ascii="黑体" w:hAnsi="黑体" w:eastAsia="黑体" w:cs="黑体"/>
          <w:color w:val="595959"/>
          <w:sz w:val="18"/>
          <w:highlight w:val="none"/>
          <w:lang w:eastAsia="zh-CN"/>
        </w:rPr>
        <w:t>ctDNA浓度：指每毫升血浆中的平均肿瘤分子含量（mean tumor molecule per milliliter，MTM/mL）。</w:t>
      </w:r>
    </w:p>
    <w:p w14:paraId="2AB40DE7">
      <w:pPr>
        <w:rPr>
          <w:rFonts w:hint="eastAsia" w:ascii="黑体" w:hAnsi="黑体" w:eastAsia="黑体" w:cs="黑体"/>
        </w:rPr>
      </w:pPr>
      <w:r>
        <w:rPr>
          <w:rFonts w:hint="eastAsia" w:ascii="黑体" w:hAnsi="黑体" w:eastAsia="黑体" w:cs="黑体"/>
        </w:rPr>
        <w:br w:type="page"/>
      </w:r>
    </w:p>
    <w:p w14:paraId="13440560">
      <w:pPr>
        <w:pStyle w:val="3"/>
        <w:keepNext w:val="0"/>
        <w:keepLines w:val="0"/>
        <w:spacing w:before="0" w:after="0" w:line="240" w:lineRule="auto"/>
        <w:ind w:left="100"/>
        <w:jc w:val="center"/>
        <w:rPr>
          <w:rFonts w:hint="eastAsia" w:ascii="黑体" w:hAnsi="黑体" w:eastAsia="黑体" w:cs="黑体"/>
          <w:color w:val="01528E"/>
          <w:kern w:val="0"/>
          <w:sz w:val="36"/>
          <w:szCs w:val="36"/>
        </w:rPr>
      </w:pPr>
      <w:bookmarkStart w:id="25" w:name="_Toc21244"/>
      <w:r>
        <w:rPr>
          <w:rFonts w:hint="eastAsia" w:ascii="黑体" w:hAnsi="黑体" w:eastAsia="黑体" w:cs="黑体"/>
          <w:color w:val="01528E"/>
          <w:kern w:val="0"/>
          <w:sz w:val="36"/>
          <w:szCs w:val="36"/>
        </w:rPr>
        <w:t>3. 循环肿瘤DNA检测结果</w:t>
      </w:r>
      <w:bookmarkEnd w:id="25"/>
    </w:p>
    <w:p w14:paraId="72FFC0C3">
      <w:pPr>
        <w:pStyle w:val="43"/>
        <w:outlineLvl w:val="9"/>
        <w:rPr>
          <w:rFonts w:hint="eastAsia" w:ascii="黑体" w:hAnsi="黑体" w:eastAsia="黑体" w:cs="黑体"/>
          <w:sz w:val="32"/>
          <w:szCs w:val="32"/>
        </w:rPr>
      </w:pPr>
      <w:bookmarkStart w:id="26" w:name="_Toc205305063"/>
      <w:bookmarkStart w:id="27" w:name="_Toc11900"/>
      <w:bookmarkStart w:id="28" w:name="_Toc8808"/>
      <w:r>
        <w:rPr>
          <w:rFonts w:hint="eastAsia" w:ascii="黑体" w:hAnsi="黑体" w:eastAsia="黑体" w:cs="黑体"/>
          <w:sz w:val="32"/>
          <w:szCs w:val="32"/>
        </w:rPr>
        <w:t>历次检测结果</w:t>
      </w:r>
      <w:bookmarkEnd w:id="26"/>
      <w:bookmarkEnd w:id="27"/>
      <w:bookmarkEnd w:id="28"/>
    </w:p>
    <w:tbl>
      <w:tblPr>
        <w:tblStyle w:val="60"/>
        <w:tblW w:w="10071"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2460"/>
        <w:gridCol w:w="4850"/>
        <w:gridCol w:w="2761"/>
      </w:tblGrid>
      <w:tr w14:paraId="0906C09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720" w:hRule="atLeast"/>
          <w:jc w:val="center"/>
        </w:trPr>
        <w:tc>
          <w:tcPr>
            <w:tcW w:w="2460" w:type="dxa"/>
            <w:shd w:val="clear" w:color="auto" w:fill="00528E"/>
            <w:vAlign w:val="center"/>
          </w:tcPr>
          <w:p w14:paraId="66827E51">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{%tc for th in mrd.mrdJson.mrd_th%}</w:t>
            </w:r>
          </w:p>
        </w:tc>
        <w:tc>
          <w:tcPr>
            <w:tcW w:w="4850" w:type="dxa"/>
            <w:shd w:val="clear" w:color="auto" w:fill="00528E"/>
            <w:vAlign w:val="center"/>
          </w:tcPr>
          <w:p w14:paraId="7DD96A74">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 endif %}{% endfor %}{% endif %}</w:t>
            </w:r>
          </w:p>
        </w:tc>
        <w:tc>
          <w:tcPr>
            <w:tcW w:w="2761" w:type="dxa"/>
            <w:shd w:val="clear" w:color="auto" w:fill="00528E"/>
            <w:vAlign w:val="center"/>
          </w:tcPr>
          <w:p w14:paraId="7F13BDF3">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{%tc endfor %}</w:t>
            </w:r>
          </w:p>
        </w:tc>
      </w:tr>
      <w:tr w14:paraId="6EC2D5E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0071" w:type="dxa"/>
            <w:gridSpan w:val="3"/>
            <w:shd w:val="clear" w:color="auto" w:fill="auto"/>
            <w:vAlign w:val="center"/>
          </w:tcPr>
          <w:p w14:paraId="7812739C">
            <w:pPr>
              <w:spacing w:before="20"/>
              <w:jc w:val="center"/>
              <w:rPr>
                <w:rFonts w:hint="eastAsia" w:ascii="黑体" w:hAnsi="黑体" w:eastAsia="黑体" w:cs="黑体"/>
                <w:b w:val="0"/>
                <w:bCs w:val="0"/>
                <w:color w:val="595959"/>
                <w:sz w:val="18"/>
                <w:szCs w:val="18"/>
                <w:lang w:val="en-US" w:eastAsia="zh-CN"/>
              </w:rPr>
            </w:pPr>
            <w:r>
              <w:rPr>
                <w:rFonts w:hint="eastAsia" w:ascii="黑体" w:hAnsi="黑体" w:eastAsia="黑体" w:cs="黑体"/>
                <w:b w:val="0"/>
                <w:bCs w:val="0"/>
                <w:color w:val="595959"/>
                <w:sz w:val="18"/>
                <w:szCs w:val="18"/>
                <w:lang w:val="en-US" w:eastAsia="zh-CN"/>
              </w:rPr>
              <w:t>{%tr for tds in mrd.mrdJson.mrd_tds %}</w:t>
            </w:r>
          </w:p>
        </w:tc>
      </w:tr>
      <w:tr w14:paraId="6B4BE24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2460" w:type="dxa"/>
            <w:shd w:val="clear" w:color="auto" w:fill="auto"/>
            <w:vAlign w:val="center"/>
          </w:tcPr>
          <w:p w14:paraId="2ACA92E0">
            <w:pPr>
              <w:spacing w:before="20"/>
              <w:jc w:val="center"/>
              <w:rPr>
                <w:rFonts w:hint="eastAsia" w:ascii="黑体" w:hAnsi="黑体" w:eastAsia="黑体" w:cs="黑体"/>
                <w:b/>
                <w:bCs/>
                <w:color w:val="595959"/>
                <w:sz w:val="18"/>
                <w:szCs w:val="18"/>
                <w:lang w:val="en-US" w:eastAsia="zh-CN"/>
              </w:rPr>
            </w:pPr>
            <w:r>
              <w:rPr>
                <w:rFonts w:hint="eastAsia" w:ascii="黑体" w:hAnsi="黑体" w:eastAsia="黑体" w:cs="黑体"/>
                <w:b/>
                <w:bCs/>
                <w:color w:val="595959"/>
                <w:sz w:val="18"/>
                <w:szCs w:val="18"/>
                <w:lang w:val="en-US" w:eastAsia="zh-CN"/>
              </w:rPr>
              <w:t>{%tc for td in tds%}</w:t>
            </w:r>
          </w:p>
        </w:tc>
        <w:tc>
          <w:tcPr>
            <w:tcW w:w="4850" w:type="dxa"/>
            <w:shd w:val="clear" w:color="auto" w:fill="auto"/>
            <w:vAlign w:val="center"/>
          </w:tcPr>
          <w:p w14:paraId="3E632BF5">
            <w:pPr>
              <w:spacing w:before="20"/>
              <w:jc w:val="center"/>
              <w:rPr>
                <w:rFonts w:hint="eastAsia" w:ascii="黑体" w:hAnsi="黑体" w:eastAsia="黑体" w:cs="黑体"/>
                <w:b w:val="0"/>
                <w:bCs w:val="0"/>
                <w:color w:val="595959"/>
                <w:sz w:val="18"/>
                <w:szCs w:val="18"/>
                <w:lang w:val="en-US" w:eastAsia="zh-CN"/>
              </w:rPr>
            </w:pPr>
            <w:r>
              <w:rPr>
                <w:rFonts w:hint="eastAsia" w:ascii="黑体" w:hAnsi="黑体" w:eastAsia="黑体" w:cs="黑体"/>
                <w:b w:val="0"/>
                <w:bCs w:val="0"/>
                <w:color w:val="595959"/>
                <w:sz w:val="18"/>
                <w:szCs w:val="18"/>
                <w:lang w:val="en-US" w:eastAsia="zh-CN"/>
              </w:rPr>
              <w:t>{{td}}</w:t>
            </w:r>
          </w:p>
        </w:tc>
        <w:tc>
          <w:tcPr>
            <w:tcW w:w="2761" w:type="dxa"/>
            <w:shd w:val="clear" w:color="auto" w:fill="auto"/>
            <w:vAlign w:val="center"/>
          </w:tcPr>
          <w:p w14:paraId="27950F4A">
            <w:pPr>
              <w:spacing w:before="20"/>
              <w:jc w:val="center"/>
              <w:rPr>
                <w:rFonts w:hint="eastAsia" w:ascii="黑体" w:hAnsi="黑体" w:eastAsia="黑体" w:cs="黑体"/>
                <w:b w:val="0"/>
                <w:bCs w:val="0"/>
                <w:color w:val="595959"/>
                <w:sz w:val="18"/>
                <w:szCs w:val="18"/>
                <w:lang w:val="en-US" w:eastAsia="zh-CN"/>
              </w:rPr>
            </w:pPr>
            <w:r>
              <w:rPr>
                <w:rFonts w:hint="eastAsia" w:ascii="黑体" w:hAnsi="黑体" w:eastAsia="黑体" w:cs="黑体"/>
                <w:b w:val="0"/>
                <w:bCs w:val="0"/>
                <w:color w:val="595959"/>
                <w:sz w:val="18"/>
                <w:szCs w:val="18"/>
                <w:lang w:val="en-US" w:eastAsia="zh-CN"/>
              </w:rPr>
              <w:t>{%tc endfor %}</w:t>
            </w:r>
          </w:p>
        </w:tc>
      </w:tr>
      <w:tr w14:paraId="6F587206">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0071" w:type="dxa"/>
            <w:gridSpan w:val="3"/>
            <w:shd w:val="clear" w:color="auto" w:fill="auto"/>
            <w:vAlign w:val="center"/>
          </w:tcPr>
          <w:p w14:paraId="003E9389">
            <w:pPr>
              <w:spacing w:before="20"/>
              <w:jc w:val="center"/>
              <w:rPr>
                <w:rFonts w:hint="eastAsia" w:ascii="黑体" w:hAnsi="黑体" w:eastAsia="黑体" w:cs="黑体"/>
                <w:color w:val="595959"/>
                <w:sz w:val="18"/>
                <w:szCs w:val="18"/>
                <w:lang w:val="en-US" w:eastAsia="zh-CN" w:bidi="ar-SA"/>
              </w:rPr>
            </w:pPr>
            <w:r>
              <w:rPr>
                <w:rFonts w:hint="eastAsia" w:ascii="黑体" w:hAnsi="黑体" w:eastAsia="黑体" w:cs="黑体"/>
                <w:color w:val="595959"/>
                <w:sz w:val="18"/>
                <w:szCs w:val="18"/>
                <w:lang w:val="en-US" w:eastAsia="zh-CN" w:bidi="ar-SA"/>
              </w:rPr>
              <w:t>{%tr endfor %}</w:t>
            </w:r>
          </w:p>
        </w:tc>
      </w:tr>
    </w:tbl>
    <w:p w14:paraId="718F9FB4">
      <w:pPr>
        <w:widowControl/>
        <w:jc w:val="left"/>
        <w:rPr>
          <w:rFonts w:hint="eastAsia" w:ascii="黑体" w:hAnsi="黑体" w:eastAsia="黑体" w:cs="黑体"/>
          <w:kern w:val="0"/>
          <w:sz w:val="18"/>
          <w:szCs w:val="18"/>
        </w:rPr>
      </w:pPr>
      <w:r>
        <w:rPr>
          <w:rFonts w:hint="eastAsia" w:ascii="黑体" w:hAnsi="黑体" w:eastAsia="黑体" w:cs="黑体"/>
          <w:b/>
          <w:bCs/>
          <w:color w:val="01528E"/>
          <w:kern w:val="0"/>
          <w:sz w:val="18"/>
          <w:szCs w:val="18"/>
        </w:rPr>
        <w:t xml:space="preserve">备注： </w:t>
      </w:r>
    </w:p>
    <w:p w14:paraId="17D17CF8">
      <w:pPr>
        <w:numPr>
          <w:ilvl w:val="0"/>
          <w:numId w:val="5"/>
        </w:numPr>
        <w:ind w:left="425" w:leftChars="0" w:hanging="425" w:firstLineChars="0"/>
        <w:rPr>
          <w:rFonts w:hint="eastAsia" w:ascii="黑体" w:hAnsi="黑体" w:eastAsia="黑体" w:cs="黑体"/>
          <w:color w:val="595959"/>
          <w:sz w:val="18"/>
          <w:szCs w:val="18"/>
          <w:highlight w:val="none"/>
          <w:lang w:eastAsia="zh-CN"/>
        </w:rPr>
      </w:pPr>
      <w:r>
        <w:rPr>
          <w:rFonts w:hint="eastAsia" w:ascii="黑体" w:hAnsi="黑体" w:eastAsia="黑体" w:cs="黑体"/>
          <w:color w:val="595959"/>
          <w:sz w:val="18"/>
          <w:szCs w:val="18"/>
          <w:highlight w:val="none"/>
          <w:lang w:eastAsia="zh-CN"/>
        </w:rPr>
        <w:t>历次检测结果展示突变为分子残留病灶（MRD）监测产品追踪的特异性突变（仅体细胞变异）。</w:t>
      </w:r>
    </w:p>
    <w:p w14:paraId="7D5F16EE">
      <w:pPr>
        <w:numPr>
          <w:ilvl w:val="0"/>
          <w:numId w:val="5"/>
        </w:numPr>
        <w:ind w:left="425" w:leftChars="0" w:hanging="425" w:firstLineChars="0"/>
        <w:rPr>
          <w:rFonts w:hint="eastAsia" w:ascii="黑体" w:hAnsi="黑体" w:eastAsia="黑体" w:cs="黑体"/>
          <w:color w:val="595959"/>
          <w:sz w:val="18"/>
          <w:szCs w:val="18"/>
          <w:lang w:eastAsia="zh-CN"/>
        </w:rPr>
      </w:pPr>
      <w:r>
        <w:rPr>
          <w:rFonts w:hint="eastAsia" w:ascii="黑体" w:hAnsi="黑体" w:eastAsia="黑体" w:cs="黑体"/>
          <w:color w:val="595959"/>
          <w:sz w:val="18"/>
          <w:szCs w:val="18"/>
          <w:lang w:eastAsia="zh-CN"/>
        </w:rPr>
        <w:t>"-"表示本次检测未发现</w:t>
      </w:r>
      <w:r>
        <w:rPr>
          <w:rFonts w:hint="eastAsia" w:ascii="黑体" w:hAnsi="黑体" w:eastAsia="黑体" w:cs="黑体"/>
          <w:color w:val="595959"/>
          <w:sz w:val="18"/>
          <w:szCs w:val="18"/>
          <w:lang w:val="en-US" w:eastAsia="zh-CN"/>
        </w:rPr>
        <w:t>该</w:t>
      </w:r>
      <w:r>
        <w:rPr>
          <w:rFonts w:hint="eastAsia" w:ascii="黑体" w:hAnsi="黑体" w:eastAsia="黑体" w:cs="黑体"/>
          <w:color w:val="595959"/>
          <w:sz w:val="18"/>
          <w:szCs w:val="18"/>
          <w:lang w:eastAsia="zh-CN"/>
        </w:rPr>
        <w:t>变异。</w:t>
      </w:r>
    </w:p>
    <w:p w14:paraId="4E1113EE">
      <w:pPr>
        <w:numPr>
          <w:ilvl w:val="0"/>
          <w:numId w:val="5"/>
        </w:numPr>
        <w:ind w:left="425" w:leftChars="0" w:hanging="425" w:firstLineChars="0"/>
        <w:rPr>
          <w:rFonts w:hint="eastAsia" w:ascii="黑体" w:hAnsi="黑体" w:eastAsia="黑体" w:cs="黑体"/>
          <w:color w:val="595959"/>
          <w:sz w:val="18"/>
          <w:szCs w:val="18"/>
          <w:lang w:eastAsia="zh-CN"/>
        </w:rPr>
      </w:pPr>
      <w:r>
        <w:rPr>
          <w:rFonts w:hint="eastAsia" w:ascii="黑体" w:hAnsi="黑体" w:eastAsia="黑体" w:cs="黑体"/>
          <w:color w:val="595959"/>
          <w:sz w:val="18"/>
          <w:szCs w:val="18"/>
          <w:lang w:eastAsia="zh-CN"/>
        </w:rPr>
        <w:t>变异丰度：在某位点产生突变的等位基因在该位点全部等位基因中所占比率。</w:t>
      </w:r>
    </w:p>
    <w:p w14:paraId="53ABFCF2">
      <w:pPr>
        <w:numPr>
          <w:ilvl w:val="0"/>
          <w:numId w:val="5"/>
        </w:numPr>
        <w:ind w:left="425" w:leftChars="0" w:hanging="425" w:firstLineChars="0"/>
        <w:rPr>
          <w:rFonts w:hint="eastAsia" w:ascii="黑体" w:hAnsi="黑体" w:eastAsia="黑体" w:cs="黑体"/>
          <w:color w:val="595959"/>
          <w:sz w:val="18"/>
          <w:szCs w:val="18"/>
          <w:lang w:eastAsia="zh-CN"/>
        </w:rPr>
      </w:pPr>
      <w:r>
        <w:rPr>
          <w:rFonts w:hint="eastAsia" w:ascii="黑体" w:hAnsi="黑体" w:eastAsia="黑体" w:cs="黑体"/>
          <w:color w:val="595959"/>
          <w:sz w:val="18"/>
          <w:szCs w:val="18"/>
          <w:lang w:eastAsia="zh-CN"/>
        </w:rPr>
        <w:t>基因变异检测结果：“c”为DNA序列，“p”为蛋白质。在DNA水平对某一突变位点的描述方式包括：碱基位点，正常碱基，“&gt;”符号，突变碱基。</w:t>
      </w:r>
    </w:p>
    <w:p w14:paraId="48A21059">
      <w:pPr>
        <w:rPr>
          <w:rFonts w:hint="eastAsia" w:ascii="黑体" w:hAnsi="黑体" w:eastAsia="黑体" w:cs="黑体"/>
        </w:rPr>
      </w:pPr>
      <w:r>
        <w:rPr>
          <w:rFonts w:hint="eastAsia" w:ascii="黑体" w:hAnsi="黑体" w:eastAsia="黑体" w:cs="黑体"/>
        </w:rPr>
        <w:br w:type="page"/>
      </w:r>
    </w:p>
    <w:p w14:paraId="0D10E726">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bCs w:val="0"/>
          <w:color w:val="01528E"/>
          <w:sz w:val="44"/>
          <w:szCs w:val="44"/>
        </w:rPr>
      </w:pPr>
      <w:bookmarkStart w:id="29" w:name="_Toc30962"/>
      <w:bookmarkStart w:id="30" w:name="_Toc114664096"/>
      <w:r>
        <w:rPr>
          <w:rFonts w:hint="eastAsia" w:ascii="黑体" w:hAnsi="黑体" w:eastAsia="黑体" w:cs="黑体"/>
          <w:bCs w:val="0"/>
          <w:color w:val="01528E"/>
          <w:sz w:val="44"/>
          <w:szCs w:val="44"/>
          <w:lang w:val="en-US" w:eastAsia="zh-CN"/>
        </w:rPr>
        <w:t>第三部分：备注与附录</w:t>
      </w:r>
      <w:bookmarkEnd w:id="29"/>
    </w:p>
    <w:p w14:paraId="7ECD8F27">
      <w:pPr>
        <w:pStyle w:val="2"/>
        <w:jc w:val="center"/>
        <w:rPr>
          <w:rFonts w:hint="eastAsia" w:ascii="黑体" w:hAnsi="黑体" w:eastAsia="黑体" w:cs="黑体"/>
          <w:bCs w:val="0"/>
          <w:color w:val="01528E"/>
          <w:sz w:val="36"/>
          <w:szCs w:val="36"/>
        </w:rPr>
      </w:pPr>
      <w:bookmarkStart w:id="31" w:name="_Toc30924"/>
      <w:r>
        <w:rPr>
          <w:rFonts w:hint="eastAsia" w:ascii="黑体" w:hAnsi="黑体" w:eastAsia="黑体" w:cs="黑体"/>
          <w:bCs w:val="0"/>
          <w:color w:val="01528E"/>
          <w:sz w:val="36"/>
          <w:szCs w:val="36"/>
        </w:rPr>
        <w:t>备  注</w:t>
      </w:r>
      <w:bookmarkEnd w:id="30"/>
      <w:bookmarkEnd w:id="31"/>
    </w:p>
    <w:p w14:paraId="6F892BE9">
      <w:pPr>
        <w:pStyle w:val="42"/>
        <w:numPr>
          <w:ilvl w:val="0"/>
          <w:numId w:val="6"/>
        </w:numPr>
        <w:snapToGrid w:val="0"/>
        <w:spacing w:before="156" w:beforeLines="50" w:after="156" w:afterLines="50" w:line="440" w:lineRule="exact"/>
        <w:ind w:right="210" w:rightChars="100" w:firstLineChars="0"/>
        <w:rPr>
          <w:rFonts w:hint="eastAsia" w:ascii="黑体" w:hAnsi="黑体" w:eastAsia="黑体" w:cs="黑体"/>
          <w:b/>
          <w:color w:val="01528E"/>
        </w:rPr>
      </w:pPr>
      <w:r>
        <w:rPr>
          <w:rFonts w:hint="eastAsia" w:ascii="黑体" w:hAnsi="黑体" w:eastAsia="黑体" w:cs="黑体"/>
          <w:b/>
          <w:color w:val="01528E"/>
        </w:rPr>
        <w:t>关于本产品</w:t>
      </w:r>
    </w:p>
    <w:p w14:paraId="18C302FC">
      <w:pPr>
        <w:snapToGrid w:val="0"/>
        <w:spacing w:line="440" w:lineRule="exact"/>
        <w:ind w:left="210" w:leftChars="100" w:right="210" w:rightChars="100"/>
        <w:rPr>
          <w:rFonts w:hint="eastAsia" w:ascii="黑体" w:hAnsi="黑体" w:eastAsia="黑体" w:cs="黑体"/>
          <w:color w:val="595959"/>
          <w:szCs w:val="21"/>
        </w:rPr>
      </w:pPr>
      <w:r>
        <w:rPr>
          <w:rFonts w:hint="eastAsia" w:ascii="黑体" w:hAnsi="黑体" w:eastAsia="黑体" w:cs="黑体"/>
          <w:bCs/>
          <w:color w:val="595959"/>
          <w:szCs w:val="21"/>
        </w:rPr>
        <w:t>1. 本次检测结果只对本次送检样本负责，检测结果的解释及建议基于当前的科学研究水平，</w:t>
      </w:r>
      <w:r>
        <w:rPr>
          <w:rFonts w:hint="eastAsia" w:ascii="黑体" w:hAnsi="黑体" w:eastAsia="黑体" w:cs="黑体"/>
          <w:color w:val="595959"/>
          <w:szCs w:val="21"/>
        </w:rPr>
        <w:t>已发表的文献和公开的数据库，随着科学研究的发展和数据库的更新，变异解读可能变化。</w:t>
      </w:r>
    </w:p>
    <w:p w14:paraId="15F7D835">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2. 本检测仅为临床诊断及治疗决策提供参考和辅助。临床诊断及治疗应由临床医生结合受检者全面的临床信息进行综合判断。</w:t>
      </w:r>
    </w:p>
    <w:p w14:paraId="378D406D">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3. 肿瘤具有异质性，组织检测到的变异可能无法完全反映病灶部位全部细胞变异情况，不应仅因本检测的结果评估判断肿瘤是否消失或复发。</w:t>
      </w:r>
    </w:p>
    <w:p w14:paraId="3543B5D8">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4.本检测采用特定肿瘤组织检测结果设计定制化panel进行高深度测序，不包含其他肿瘤相关的变异。</w:t>
      </w:r>
    </w:p>
    <w:p w14:paraId="78D2938A">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5.肿瘤生物学行为复杂，部分肿瘤的变异可能不释放入血（non-shedding），或者释放入血的ctDNA低于本检测的下限，而导致MRD阴性。</w:t>
      </w:r>
    </w:p>
    <w:p w14:paraId="09FBE4FC">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6.本检测个性化 panel的定制采用独家算法进行计算，筛选的位点高度个性化，报告中不提供定制化位点的信息。</w:t>
      </w:r>
    </w:p>
    <w:p w14:paraId="39822FB9">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7.某些患者可能由于个性化定制突变位点数量不足，将导致外周血监测质量存在风险或监测Panel定制失败。</w:t>
      </w:r>
    </w:p>
    <w:p w14:paraId="710C950F">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8．报告依据人类基因组变异学会（Human Genome Variation Society, HGVS）制定并公布的规则进行变异命名，变异的临床意义判断解读规则参考美国医学遗传学和基因组学学会（American College of Medical Genetics and Genomics，ACMG）指南，以及由美国分子病理学会（Association of Molecular Pathology, AMP）、美国临床肿瘤学会（American Society of Clinical Oncology, ASCO）和美国病理学家协会（College of American Pathologists, CAP）联合发布的癌症相关变异解读和报告指南。本报告结果采用的注释软件及数据库版本号：参考基因组（GRCh37）、注释版本（NCBI Annotation Release 104）、1000G（phaseIII - ucsc）、EXAC（0.3.1）、dbSNP（147）、PolyPhen2/SIFT（ensdb v73）、PhyloP（2013-12-06）、Clinvar（2017-12-12）、Cosmic（V80）。</w:t>
      </w:r>
    </w:p>
    <w:p w14:paraId="195B0B8F">
      <w:pPr>
        <w:snapToGrid w:val="0"/>
        <w:spacing w:line="440" w:lineRule="exact"/>
        <w:ind w:left="210" w:leftChars="100" w:right="210" w:rightChars="100"/>
        <w:rPr>
          <w:rFonts w:hint="eastAsia" w:ascii="黑体" w:hAnsi="黑体" w:eastAsia="黑体" w:cs="黑体"/>
          <w:szCs w:val="21"/>
        </w:rPr>
      </w:pPr>
      <w:r>
        <w:rPr>
          <w:rFonts w:hint="eastAsia" w:ascii="黑体" w:hAnsi="黑体" w:eastAsia="黑体" w:cs="黑体"/>
          <w:color w:val="595959"/>
          <w:szCs w:val="21"/>
        </w:rPr>
        <w:t xml:space="preserve">9.如对报告有异议，请在收到报告后的7个工作日内联系我们。  </w:t>
      </w:r>
    </w:p>
    <w:p w14:paraId="2459EB58">
      <w:pPr>
        <w:snapToGrid w:val="0"/>
        <w:spacing w:before="156" w:beforeLines="50" w:after="156" w:afterLines="50"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二、检测方法与局限性</w:t>
      </w:r>
    </w:p>
    <w:p w14:paraId="094336BC">
      <w:pPr>
        <w:snapToGrid w:val="0"/>
        <w:spacing w:before="156" w:beforeLines="50" w:after="156" w:afterLines="50" w:line="440" w:lineRule="exact"/>
        <w:ind w:left="210" w:leftChars="100" w:right="210" w:rightChars="100" w:firstLine="420" w:firstLineChars="200"/>
        <w:rPr>
          <w:rFonts w:hint="eastAsia" w:ascii="黑体" w:hAnsi="黑体" w:eastAsia="黑体" w:cs="黑体"/>
          <w:b/>
          <w:color w:val="595959" w:themeColor="text1" w:themeTint="A6"/>
          <w14:textFill>
            <w14:solidFill>
              <w14:schemeClr w14:val="tx1">
                <w14:lumMod w14:val="65000"/>
                <w14:lumOff w14:val="35000"/>
              </w14:schemeClr>
            </w14:solidFill>
          </w14:textFill>
        </w:rPr>
      </w:pPr>
      <w:r>
        <w:rPr>
          <w:rFonts w:hint="eastAsia" w:ascii="黑体" w:hAnsi="黑体" w:eastAsia="黑体" w:cs="黑体"/>
          <w:color w:val="595959" w:themeColor="text1" w:themeTint="A6"/>
          <w14:textFill>
            <w14:solidFill>
              <w14:schemeClr w14:val="tx1">
                <w14:lumMod w14:val="65000"/>
                <w14:lumOff w14:val="35000"/>
              </w14:schemeClr>
            </w14:solidFill>
          </w14:textFill>
        </w:rPr>
        <w:t>本产品采用高通量基因</w:t>
      </w:r>
      <w:r>
        <w:rPr>
          <w:rFonts w:hint="eastAsia" w:ascii="黑体" w:hAnsi="黑体" w:eastAsia="黑体" w:cs="黑体"/>
          <w:color w:val="595959"/>
        </w:rPr>
        <w:t>测序平台，对血浆游离D</w:t>
      </w:r>
      <w:r>
        <w:rPr>
          <w:rFonts w:hint="eastAsia" w:ascii="黑体" w:hAnsi="黑体" w:eastAsia="黑体" w:cs="黑体"/>
          <w:color w:val="595959" w:themeColor="text1" w:themeTint="A6"/>
          <w14:textFill>
            <w14:solidFill>
              <w14:schemeClr w14:val="tx1">
                <w14:lumMod w14:val="65000"/>
                <w14:lumOff w14:val="35000"/>
              </w14:schemeClr>
            </w14:solidFill>
          </w14:textFill>
        </w:rPr>
        <w:t>NA进行检测。根据患者肿瘤组织检测结果中的突变位点，结合癌种核心基因，为每位患者定制个性化探针。通过ER-Seq检测方法，对血浆中ctDNA（循环肿瘤DNA）进行超高深度测序，分析是否存在MRD（分子残留病变）。该检测方式兼具准确性与全面性，提供最全面可信的检测结果。</w:t>
      </w:r>
    </w:p>
    <w:p w14:paraId="286FE1D9">
      <w:pPr>
        <w:snapToGrid w:val="0"/>
        <w:spacing w:before="156" w:beforeLines="50" w:after="156" w:afterLines="50"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三、临床方案决定</w:t>
      </w:r>
    </w:p>
    <w:p w14:paraId="185D3B02">
      <w:pPr>
        <w:snapToGrid w:val="0"/>
        <w:spacing w:line="440" w:lineRule="exact"/>
        <w:ind w:left="210" w:leftChars="100" w:right="210" w:rightChars="100" w:firstLine="420" w:firstLineChars="200"/>
        <w:rPr>
          <w:rFonts w:hint="eastAsia" w:ascii="黑体" w:hAnsi="黑体" w:eastAsia="黑体" w:cs="黑体"/>
          <w:bCs/>
          <w:color w:val="595959"/>
          <w:szCs w:val="21"/>
        </w:rPr>
      </w:pPr>
      <w:r>
        <w:rPr>
          <w:rFonts w:hint="eastAsia" w:ascii="黑体" w:hAnsi="黑体" w:eastAsia="黑体" w:cs="黑体"/>
          <w:bCs/>
          <w:color w:val="595959"/>
          <w:szCs w:val="21"/>
        </w:rPr>
        <w:t>患者的治疗决策必须基于医生的医学判断，还需要考虑到患者所有可用信息，包括患者病史和家族史、体检、其他的医学检测信息等，并遵照医院给出的护理标准。医生的决策不能仅依赖于某一单个检测。本报告不是临床诊断报告，不具备医嘱性质，供医生参考，治疗方案由医生决策。</w:t>
      </w:r>
    </w:p>
    <w:p w14:paraId="5820F5AD">
      <w:pPr>
        <w:snapToGrid w:val="0"/>
        <w:spacing w:line="440" w:lineRule="exact"/>
        <w:ind w:right="210" w:rightChars="100"/>
        <w:rPr>
          <w:rFonts w:hint="eastAsia" w:ascii="黑体" w:hAnsi="黑体" w:eastAsia="黑体" w:cs="黑体"/>
          <w:color w:val="595959"/>
          <w:sz w:val="18"/>
          <w:szCs w:val="18"/>
        </w:rPr>
      </w:pPr>
    </w:p>
    <w:p w14:paraId="16CA3DF7">
      <w:pPr>
        <w:snapToGrid w:val="0"/>
        <w:spacing w:line="440" w:lineRule="exact"/>
        <w:ind w:right="210" w:rightChars="100"/>
        <w:rPr>
          <w:rFonts w:hint="eastAsia" w:ascii="黑体" w:hAnsi="黑体" w:eastAsia="黑体" w:cs="黑体"/>
          <w:color w:val="595959"/>
          <w:sz w:val="18"/>
          <w:szCs w:val="18"/>
        </w:rPr>
      </w:pPr>
    </w:p>
    <w:tbl>
      <w:tblPr>
        <w:tblStyle w:val="15"/>
        <w:tblpPr w:leftFromText="180" w:rightFromText="180" w:vertAnchor="text" w:horzAnchor="page" w:tblpXSpec="center" w:tblpY="368"/>
        <w:tblOverlap w:val="never"/>
        <w:tblW w:w="9560" w:type="dxa"/>
        <w:jc w:val="center"/>
        <w:tblLayout w:type="fixed"/>
        <w:tblCellMar>
          <w:top w:w="0" w:type="dxa"/>
          <w:left w:w="108" w:type="dxa"/>
          <w:bottom w:w="0" w:type="dxa"/>
          <w:right w:w="108" w:type="dxa"/>
        </w:tblCellMar>
      </w:tblPr>
      <w:tblGrid>
        <w:gridCol w:w="2660"/>
        <w:gridCol w:w="2881"/>
        <w:gridCol w:w="1123"/>
        <w:gridCol w:w="2887"/>
        <w:gridCol w:w="9"/>
      </w:tblGrid>
      <w:tr w14:paraId="30F40299">
        <w:tblPrEx>
          <w:tblCellMar>
            <w:top w:w="0" w:type="dxa"/>
            <w:left w:w="108" w:type="dxa"/>
            <w:bottom w:w="0" w:type="dxa"/>
            <w:right w:w="108" w:type="dxa"/>
          </w:tblCellMar>
        </w:tblPrEx>
        <w:trPr>
          <w:trHeight w:val="539" w:hRule="atLeast"/>
          <w:jc w:val="center"/>
        </w:trPr>
        <w:tc>
          <w:tcPr>
            <w:tcW w:w="2660" w:type="dxa"/>
            <w:tcBorders>
              <w:right w:val="nil"/>
            </w:tcBorders>
            <w:vAlign w:val="center"/>
          </w:tcPr>
          <w:p w14:paraId="1F22E5D6">
            <w:pPr>
              <w:spacing w:line="360" w:lineRule="auto"/>
              <w:jc w:val="left"/>
              <w:rPr>
                <w:rFonts w:hint="eastAsia" w:ascii="黑体" w:hAnsi="黑体" w:eastAsia="黑体" w:cs="黑体"/>
                <w:sz w:val="18"/>
                <w:szCs w:val="18"/>
              </w:rPr>
            </w:pPr>
          </w:p>
          <w:p w14:paraId="30AD068C">
            <w:pPr>
              <w:spacing w:line="360" w:lineRule="auto"/>
              <w:jc w:val="center"/>
              <w:rPr>
                <w:rFonts w:hint="eastAsia" w:ascii="黑体" w:hAnsi="黑体" w:eastAsia="黑体" w:cs="黑体"/>
                <w:sz w:val="18"/>
                <w:szCs w:val="18"/>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检测人：</w:t>
            </w:r>
            <w:r>
              <w:rPr>
                <w:rFonts w:hint="eastAsia" w:ascii="黑体" w:hAnsi="黑体" w:eastAsia="黑体" w:cs="黑体"/>
                <w:sz w:val="18"/>
                <w:szCs w:val="18"/>
              </w:rPr>
              <w:drawing>
                <wp:inline distT="0" distB="0" distL="0" distR="0">
                  <wp:extent cx="942975" cy="405765"/>
                  <wp:effectExtent l="0" t="0" r="9525" b="635"/>
                  <wp:docPr id="8" name="图片 2" descr="C:\Users\ADMINI~1\AppData\Local\Temp\WeChat Files\2c703b009205a96c1d7b6da9c88e0d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descr="C:\Users\ADMINI~1\AppData\Local\Temp\WeChat Files\2c703b009205a96c1d7b6da9c88e0d0.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970707" cy="417772"/>
                          </a:xfrm>
                          <a:prstGeom prst="rect">
                            <a:avLst/>
                          </a:prstGeom>
                          <a:noFill/>
                          <a:ln>
                            <a:noFill/>
                          </a:ln>
                        </pic:spPr>
                      </pic:pic>
                    </a:graphicData>
                  </a:graphic>
                </wp:inline>
              </w:drawing>
            </w:r>
            <w:r>
              <w:rPr>
                <w:rFonts w:hint="eastAsia" w:ascii="黑体" w:hAnsi="黑体" w:eastAsia="黑体" w:cs="黑体"/>
                <w:sz w:val="18"/>
                <w:szCs w:val="18"/>
              </w:rPr>
              <w:t xml:space="preserve">  </w:t>
            </w:r>
          </w:p>
        </w:tc>
        <w:tc>
          <w:tcPr>
            <w:tcW w:w="2881" w:type="dxa"/>
            <w:tcBorders>
              <w:left w:val="nil"/>
              <w:right w:val="nil"/>
            </w:tcBorders>
            <w:vAlign w:val="center"/>
          </w:tcPr>
          <w:p w14:paraId="1D15BA70">
            <w:pPr>
              <w:spacing w:line="360" w:lineRule="auto"/>
              <w:jc w:val="left"/>
              <w:rPr>
                <w:rFonts w:hint="eastAsia" w:ascii="黑体" w:hAnsi="黑体" w:eastAsia="黑体" w:cs="黑体"/>
                <w:bCs/>
                <w:sz w:val="22"/>
              </w:rPr>
            </w:pPr>
          </w:p>
        </w:tc>
        <w:tc>
          <w:tcPr>
            <w:tcW w:w="1123" w:type="dxa"/>
            <w:tcBorders>
              <w:left w:val="nil"/>
              <w:right w:val="nil"/>
            </w:tcBorders>
            <w:vAlign w:val="center"/>
          </w:tcPr>
          <w:p w14:paraId="60682608">
            <w:pPr>
              <w:spacing w:line="360" w:lineRule="auto"/>
              <w:jc w:val="left"/>
              <w:rPr>
                <w:rFonts w:hint="eastAsia" w:ascii="黑体" w:hAnsi="黑体" w:eastAsia="黑体" w:cs="黑体"/>
                <w:sz w:val="18"/>
                <w:szCs w:val="18"/>
              </w:rPr>
            </w:pPr>
          </w:p>
          <w:p w14:paraId="244481E7">
            <w:pPr>
              <w:spacing w:line="360" w:lineRule="auto"/>
              <w:jc w:val="left"/>
              <w:rPr>
                <w:rFonts w:hint="eastAsia" w:ascii="黑体" w:hAnsi="黑体" w:eastAsia="黑体" w:cs="黑体"/>
                <w:sz w:val="18"/>
                <w:szCs w:val="18"/>
              </w:rPr>
            </w:pPr>
          </w:p>
          <w:p w14:paraId="5DC3B0B5">
            <w:pPr>
              <w:spacing w:line="360" w:lineRule="auto"/>
              <w:jc w:val="left"/>
              <w:rPr>
                <w:rFonts w:hint="eastAsia" w:ascii="黑体" w:hAnsi="黑体" w:eastAsia="黑体" w:cs="黑体"/>
                <w:sz w:val="18"/>
                <w:szCs w:val="18"/>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审核人：</w:t>
            </w:r>
            <w:r>
              <w:rPr>
                <w:rFonts w:hint="eastAsia" w:ascii="黑体" w:hAnsi="黑体" w:eastAsia="黑体" w:cs="黑体"/>
                <w:sz w:val="18"/>
                <w:szCs w:val="18"/>
              </w:rPr>
              <w:t xml:space="preserve"> </w:t>
            </w:r>
          </w:p>
        </w:tc>
        <w:tc>
          <w:tcPr>
            <w:tcW w:w="2896" w:type="dxa"/>
            <w:gridSpan w:val="2"/>
            <w:tcBorders>
              <w:left w:val="nil"/>
            </w:tcBorders>
            <w:vAlign w:val="center"/>
          </w:tcPr>
          <w:p w14:paraId="6F799973">
            <w:pPr>
              <w:spacing w:line="360" w:lineRule="auto"/>
              <w:jc w:val="left"/>
              <w:rPr>
                <w:rFonts w:hint="eastAsia" w:ascii="黑体" w:hAnsi="黑体" w:eastAsia="黑体" w:cs="黑体"/>
                <w:sz w:val="18"/>
                <w:szCs w:val="18"/>
              </w:rPr>
            </w:pPr>
            <w:r>
              <w:rPr>
                <w:rFonts w:hint="eastAsia" w:ascii="黑体" w:hAnsi="黑体" w:eastAsia="黑体" w:cs="黑体"/>
                <w:sz w:val="18"/>
                <w:szCs w:val="18"/>
              </w:rPr>
              <w:drawing>
                <wp:inline distT="0" distB="0" distL="114300" distR="114300">
                  <wp:extent cx="1638300" cy="1159510"/>
                  <wp:effectExtent l="0" t="0" r="0" b="889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9" cstate="print"/>
                          <a:stretch>
                            <a:fillRect/>
                          </a:stretch>
                        </pic:blipFill>
                        <pic:spPr>
                          <a:xfrm>
                            <a:off x="0" y="0"/>
                            <a:ext cx="1648756" cy="1167097"/>
                          </a:xfrm>
                          <a:prstGeom prst="rect">
                            <a:avLst/>
                          </a:prstGeom>
                        </pic:spPr>
                      </pic:pic>
                    </a:graphicData>
                  </a:graphic>
                </wp:inline>
              </w:drawing>
            </w:r>
          </w:p>
        </w:tc>
      </w:tr>
      <w:tr w14:paraId="63B595CE">
        <w:tblPrEx>
          <w:tblCellMar>
            <w:top w:w="0" w:type="dxa"/>
            <w:left w:w="108" w:type="dxa"/>
            <w:bottom w:w="0" w:type="dxa"/>
            <w:right w:w="108" w:type="dxa"/>
          </w:tblCellMar>
        </w:tblPrEx>
        <w:trPr>
          <w:gridAfter w:val="1"/>
          <w:wAfter w:w="9" w:type="dxa"/>
          <w:trHeight w:val="396" w:hRule="atLeast"/>
          <w:jc w:val="center"/>
        </w:trPr>
        <w:tc>
          <w:tcPr>
            <w:tcW w:w="5541" w:type="dxa"/>
            <w:gridSpan w:val="2"/>
          </w:tcPr>
          <w:p w14:paraId="2EC92F8D">
            <w:pPr>
              <w:rPr>
                <w:rFonts w:hint="eastAsia" w:ascii="黑体" w:hAnsi="黑体" w:eastAsia="黑体" w:cs="黑体"/>
                <w:sz w:val="22"/>
              </w:rPr>
            </w:pPr>
          </w:p>
        </w:tc>
        <w:tc>
          <w:tcPr>
            <w:tcW w:w="4010" w:type="dxa"/>
            <w:gridSpan w:val="2"/>
            <w:vAlign w:val="center"/>
          </w:tcPr>
          <w:p w14:paraId="26932212">
            <w:pPr>
              <w:rPr>
                <w:rFonts w:hint="eastAsia" w:ascii="黑体" w:hAnsi="黑体" w:eastAsia="黑体" w:cs="黑体"/>
                <w:sz w:val="18"/>
                <w:szCs w:val="18"/>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日期：{{reportdate}}</w:t>
            </w:r>
          </w:p>
        </w:tc>
      </w:tr>
    </w:tbl>
    <w:p w14:paraId="2AABD9DC">
      <w:pPr>
        <w:rPr>
          <w:rFonts w:hint="eastAsia" w:ascii="黑体" w:hAnsi="黑体" w:eastAsia="黑体" w:cs="黑体"/>
        </w:rPr>
      </w:pPr>
    </w:p>
    <w:p w14:paraId="21E96CAD">
      <w:pPr>
        <w:rPr>
          <w:rFonts w:hint="eastAsia" w:ascii="黑体" w:hAnsi="黑体" w:eastAsia="黑体" w:cs="黑体"/>
        </w:rPr>
      </w:pPr>
    </w:p>
    <w:p w14:paraId="0BBC0D6D">
      <w:pPr>
        <w:rPr>
          <w:rFonts w:hint="eastAsia" w:ascii="黑体" w:hAnsi="黑体" w:eastAsia="黑体" w:cs="黑体"/>
        </w:rPr>
      </w:pPr>
      <w:r>
        <w:rPr>
          <w:rFonts w:hint="eastAsia" w:ascii="黑体" w:hAnsi="黑体" w:eastAsia="黑体" w:cs="黑体"/>
        </w:rPr>
        <w:t xml:space="preserve">                                                                </w:t>
      </w:r>
    </w:p>
    <w:p w14:paraId="6A010CD5">
      <w:pPr>
        <w:rPr>
          <w:rFonts w:hint="eastAsia" w:ascii="黑体" w:hAnsi="黑体" w:eastAsia="黑体" w:cs="黑体"/>
        </w:rPr>
      </w:pPr>
    </w:p>
    <w:p w14:paraId="4DB6ED7B">
      <w:pPr>
        <w:rPr>
          <w:rFonts w:hint="eastAsia" w:ascii="黑体" w:hAnsi="黑体" w:eastAsia="黑体" w:cs="黑体"/>
        </w:rPr>
      </w:pPr>
      <w:r>
        <w:rPr>
          <w:rFonts w:hint="eastAsia" w:ascii="黑体" w:hAnsi="黑体" w:eastAsia="黑体" w:cs="黑体"/>
        </w:rPr>
        <w:br w:type="page"/>
      </w:r>
    </w:p>
    <w:p w14:paraId="38AC2BFE">
      <w:pPr>
        <w:snapToGrid w:val="0"/>
        <w:spacing w:line="360" w:lineRule="auto"/>
        <w:ind w:left="102"/>
        <w:jc w:val="center"/>
        <w:outlineLvl w:val="1"/>
        <w:rPr>
          <w:rFonts w:hint="eastAsia" w:ascii="黑体" w:hAnsi="黑体" w:eastAsia="黑体" w:cs="黑体"/>
          <w:b/>
          <w:bCs/>
          <w:color w:val="01528E"/>
          <w:kern w:val="0"/>
          <w:sz w:val="32"/>
          <w:szCs w:val="32"/>
        </w:rPr>
      </w:pPr>
      <w:bookmarkStart w:id="32" w:name="_Toc25852"/>
      <w:r>
        <w:rPr>
          <w:rFonts w:hint="eastAsia" w:ascii="黑体" w:hAnsi="黑体" w:eastAsia="黑体" w:cs="黑体"/>
          <w:b/>
          <w:bCs/>
          <w:color w:val="01528E"/>
          <w:kern w:val="0"/>
          <w:sz w:val="32"/>
          <w:szCs w:val="32"/>
        </w:rPr>
        <w:t>附录.参考文献</w:t>
      </w:r>
      <w:bookmarkEnd w:id="32"/>
    </w:p>
    <w:p w14:paraId="00E202FB">
      <w:pPr>
        <w:pStyle w:val="13"/>
        <w:keepNext w:val="0"/>
        <w:keepLines w:val="0"/>
        <w:pageBreakBefore w:val="0"/>
        <w:widowControl/>
        <w:numPr>
          <w:ilvl w:val="0"/>
          <w:numId w:val="7"/>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《实体瘤分子残留病灶检测共识</w:t>
      </w:r>
      <w:r>
        <w:rPr>
          <w:rFonts w:hint="eastAsia" w:ascii="黑体" w:hAnsi="黑体" w:eastAsia="黑体" w:cs="黑体"/>
          <w:color w:val="595959"/>
          <w:sz w:val="18"/>
          <w:szCs w:val="18"/>
          <w:highlight w:val="none"/>
          <w:lang w:eastAsia="zh-CN"/>
        </w:rPr>
        <w:t>（202</w:t>
      </w:r>
      <w:r>
        <w:rPr>
          <w:rFonts w:hint="eastAsia" w:ascii="黑体" w:hAnsi="黑体" w:eastAsia="黑体" w:cs="黑体"/>
          <w:color w:val="595959"/>
          <w:sz w:val="18"/>
          <w:szCs w:val="18"/>
          <w:highlight w:val="none"/>
          <w:lang w:val="en-US" w:eastAsia="zh-CN"/>
        </w:rPr>
        <w:t>4</w:t>
      </w:r>
      <w:r>
        <w:rPr>
          <w:rFonts w:hint="eastAsia" w:ascii="黑体" w:hAnsi="黑体" w:eastAsia="黑体" w:cs="黑体"/>
          <w:color w:val="595959"/>
          <w:sz w:val="18"/>
          <w:szCs w:val="18"/>
          <w:highlight w:val="none"/>
          <w:lang w:eastAsia="zh-CN"/>
        </w:rPr>
        <w:t xml:space="preserve"> 年版）</w:t>
      </w:r>
      <w:r>
        <w:rPr>
          <w:rFonts w:hint="eastAsia" w:ascii="黑体" w:hAnsi="黑体" w:eastAsia="黑体" w:cs="黑体"/>
          <w:color w:val="595959"/>
          <w:sz w:val="18"/>
          <w:szCs w:val="18"/>
          <w:highlight w:val="none"/>
          <w:shd w:val="clear" w:color="auto" w:fill="FFFFFF"/>
          <w:lang w:eastAsia="zh-CN" w:bidi="ar"/>
        </w:rPr>
        <w:t>》</w:t>
      </w:r>
      <w:r>
        <w:rPr>
          <w:rFonts w:hint="eastAsia" w:ascii="黑体" w:hAnsi="黑体" w:eastAsia="黑体" w:cs="黑体"/>
          <w:color w:val="595959"/>
          <w:sz w:val="18"/>
          <w:szCs w:val="18"/>
          <w:highlight w:val="none"/>
          <w:lang w:eastAsia="zh-CN"/>
        </w:rPr>
        <w:t>,中华医学会病理学分会,国家病理质控中心.中华病理学202</w:t>
      </w:r>
      <w:r>
        <w:rPr>
          <w:rFonts w:hint="eastAsia" w:ascii="黑体" w:hAnsi="黑体" w:eastAsia="黑体" w:cs="黑体"/>
          <w:color w:val="595959"/>
          <w:sz w:val="18"/>
          <w:szCs w:val="18"/>
          <w:highlight w:val="none"/>
          <w:lang w:val="en-US" w:eastAsia="zh-CN"/>
        </w:rPr>
        <w:t>4</w:t>
      </w:r>
      <w:r>
        <w:rPr>
          <w:rFonts w:hint="eastAsia" w:ascii="黑体" w:hAnsi="黑体" w:eastAsia="黑体" w:cs="黑体"/>
          <w:color w:val="595959"/>
          <w:sz w:val="18"/>
          <w:szCs w:val="18"/>
          <w:highlight w:val="none"/>
          <w:lang w:eastAsia="zh-CN"/>
        </w:rPr>
        <w:t>年第</w:t>
      </w:r>
      <w:r>
        <w:rPr>
          <w:rFonts w:hint="eastAsia" w:ascii="黑体" w:hAnsi="黑体" w:eastAsia="黑体" w:cs="黑体"/>
          <w:color w:val="595959"/>
          <w:sz w:val="18"/>
          <w:szCs w:val="18"/>
          <w:highlight w:val="none"/>
          <w:lang w:val="en-US" w:eastAsia="zh-CN"/>
        </w:rPr>
        <w:t>53</w:t>
      </w:r>
      <w:r>
        <w:rPr>
          <w:rFonts w:hint="eastAsia" w:ascii="黑体" w:hAnsi="黑体" w:eastAsia="黑体" w:cs="黑体"/>
          <w:color w:val="595959"/>
          <w:sz w:val="18"/>
          <w:szCs w:val="18"/>
          <w:highlight w:val="none"/>
          <w:lang w:eastAsia="zh-CN"/>
        </w:rPr>
        <w:t>卷第</w:t>
      </w:r>
      <w:r>
        <w:rPr>
          <w:rFonts w:hint="eastAsia" w:ascii="黑体" w:hAnsi="黑体" w:eastAsia="黑体" w:cs="黑体"/>
          <w:color w:val="595959"/>
          <w:sz w:val="18"/>
          <w:szCs w:val="18"/>
          <w:highlight w:val="none"/>
          <w:lang w:val="en-US" w:eastAsia="zh-CN"/>
        </w:rPr>
        <w:t>11</w:t>
      </w:r>
      <w:r>
        <w:rPr>
          <w:rFonts w:hint="eastAsia" w:ascii="黑体" w:hAnsi="黑体" w:eastAsia="黑体" w:cs="黑体"/>
          <w:color w:val="595959"/>
          <w:sz w:val="18"/>
          <w:szCs w:val="18"/>
          <w:highlight w:val="none"/>
          <w:lang w:eastAsia="zh-CN"/>
        </w:rPr>
        <w:t>期.</w:t>
      </w:r>
    </w:p>
    <w:p w14:paraId="255611C9">
      <w:pPr>
        <w:pStyle w:val="13"/>
        <w:keepNext w:val="0"/>
        <w:keepLines w:val="0"/>
        <w:pageBreakBefore w:val="0"/>
        <w:widowControl/>
        <w:numPr>
          <w:ilvl w:val="0"/>
          <w:numId w:val="7"/>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《非小细胞肺癌分子残留病灶专家共识（202</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 xml:space="preserve"> 年版）》,中国抗癌协会肺癌</w:t>
      </w:r>
      <w:r>
        <w:rPr>
          <w:rFonts w:hint="eastAsia" w:ascii="黑体" w:hAnsi="黑体" w:eastAsia="黑体" w:cs="黑体"/>
          <w:color w:val="595959"/>
          <w:sz w:val="18"/>
          <w:szCs w:val="18"/>
          <w:highlight w:val="none"/>
          <w:shd w:val="clear" w:color="auto" w:fill="FFFFFF"/>
          <w:lang w:val="en-US" w:eastAsia="zh-CN" w:bidi="ar"/>
        </w:rPr>
        <w:t>专业委员会</w:t>
      </w:r>
      <w:r>
        <w:rPr>
          <w:rFonts w:hint="eastAsia" w:ascii="黑体" w:hAnsi="黑体" w:eastAsia="黑体" w:cs="黑体"/>
          <w:color w:val="595959"/>
          <w:sz w:val="18"/>
          <w:szCs w:val="18"/>
          <w:highlight w:val="none"/>
          <w:shd w:val="clear" w:color="auto" w:fill="FFFFFF"/>
          <w:lang w:eastAsia="zh-CN" w:bidi="ar"/>
        </w:rPr>
        <w:t>.</w:t>
      </w:r>
      <w:r>
        <w:rPr>
          <w:rFonts w:hint="eastAsia" w:ascii="黑体" w:hAnsi="黑体" w:eastAsia="黑体" w:cs="黑体"/>
          <w:color w:val="595959"/>
          <w:sz w:val="18"/>
          <w:szCs w:val="18"/>
          <w:highlight w:val="none"/>
          <w:shd w:val="clear" w:color="auto" w:fill="FFFFFF"/>
          <w:lang w:val="en-US" w:eastAsia="zh-CN" w:bidi="ar"/>
        </w:rPr>
        <w:t>循证医学</w:t>
      </w:r>
      <w:r>
        <w:rPr>
          <w:rFonts w:hint="eastAsia" w:ascii="黑体" w:hAnsi="黑体" w:eastAsia="黑体" w:cs="黑体"/>
          <w:color w:val="595959"/>
          <w:sz w:val="18"/>
          <w:szCs w:val="18"/>
          <w:highlight w:val="none"/>
          <w:shd w:val="clear" w:color="auto" w:fill="FFFFFF"/>
          <w:lang w:eastAsia="zh-CN" w:bidi="ar"/>
        </w:rPr>
        <w:t>202</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年第</w:t>
      </w:r>
      <w:r>
        <w:rPr>
          <w:rFonts w:hint="eastAsia" w:ascii="黑体" w:hAnsi="黑体" w:eastAsia="黑体" w:cs="黑体"/>
          <w:color w:val="595959"/>
          <w:sz w:val="18"/>
          <w:szCs w:val="18"/>
          <w:highlight w:val="none"/>
          <w:shd w:val="clear" w:color="auto" w:fill="FFFFFF"/>
          <w:lang w:val="en-US" w:eastAsia="zh-CN" w:bidi="ar"/>
        </w:rPr>
        <w:t>21</w:t>
      </w:r>
      <w:r>
        <w:rPr>
          <w:rFonts w:hint="eastAsia" w:ascii="黑体" w:hAnsi="黑体" w:eastAsia="黑体" w:cs="黑体"/>
          <w:color w:val="595959"/>
          <w:sz w:val="18"/>
          <w:szCs w:val="18"/>
          <w:highlight w:val="none"/>
          <w:shd w:val="clear" w:color="auto" w:fill="FFFFFF"/>
          <w:lang w:eastAsia="zh-CN" w:bidi="ar"/>
        </w:rPr>
        <w:t>卷第</w:t>
      </w:r>
      <w:r>
        <w:rPr>
          <w:rFonts w:hint="eastAsia" w:ascii="黑体" w:hAnsi="黑体" w:eastAsia="黑体" w:cs="黑体"/>
          <w:color w:val="595959"/>
          <w:sz w:val="18"/>
          <w:szCs w:val="18"/>
          <w:highlight w:val="none"/>
          <w:shd w:val="clear" w:color="auto" w:fill="FFFFFF"/>
          <w:lang w:val="en-US" w:eastAsia="zh-CN" w:bidi="ar"/>
        </w:rPr>
        <w:t>3</w:t>
      </w:r>
      <w:r>
        <w:rPr>
          <w:rFonts w:hint="eastAsia" w:ascii="黑体" w:hAnsi="黑体" w:eastAsia="黑体" w:cs="黑体"/>
          <w:color w:val="595959"/>
          <w:sz w:val="18"/>
          <w:szCs w:val="18"/>
          <w:highlight w:val="none"/>
          <w:shd w:val="clear" w:color="auto" w:fill="FFFFFF"/>
          <w:lang w:eastAsia="zh-CN" w:bidi="ar"/>
        </w:rPr>
        <w:t>期.</w:t>
      </w:r>
    </w:p>
    <w:p w14:paraId="30A4F914">
      <w:pPr>
        <w:pStyle w:val="13"/>
        <w:keepNext w:val="0"/>
        <w:keepLines w:val="0"/>
        <w:pageBreakBefore w:val="0"/>
        <w:widowControl/>
        <w:numPr>
          <w:ilvl w:val="0"/>
          <w:numId w:val="7"/>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《引领肺癌治疗新时代的标志物——微小残留病灶（202</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 xml:space="preserve"> 年版）》,张嘉涛</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杨学宁</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吴一龙.</w:t>
      </w:r>
      <w:r>
        <w:rPr>
          <w:rFonts w:hint="eastAsia" w:ascii="黑体" w:hAnsi="黑体" w:eastAsia="黑体" w:cs="黑体"/>
          <w:color w:val="595959"/>
          <w:sz w:val="18"/>
          <w:szCs w:val="18"/>
          <w:highlight w:val="none"/>
          <w:shd w:val="clear" w:color="auto" w:fill="FFFFFF"/>
          <w:lang w:val="en-US" w:eastAsia="zh-CN" w:bidi="ar"/>
        </w:rPr>
        <w:t>循证医学</w:t>
      </w:r>
      <w:r>
        <w:rPr>
          <w:rFonts w:hint="eastAsia" w:ascii="黑体" w:hAnsi="黑体" w:eastAsia="黑体" w:cs="黑体"/>
          <w:color w:val="595959"/>
          <w:sz w:val="18"/>
          <w:szCs w:val="18"/>
          <w:highlight w:val="none"/>
          <w:shd w:val="clear" w:color="auto" w:fill="FFFFFF"/>
          <w:lang w:eastAsia="zh-CN" w:bidi="ar"/>
        </w:rPr>
        <w:t>202</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年第</w:t>
      </w:r>
      <w:r>
        <w:rPr>
          <w:rFonts w:hint="eastAsia" w:ascii="黑体" w:hAnsi="黑体" w:eastAsia="黑体" w:cs="黑体"/>
          <w:color w:val="595959"/>
          <w:sz w:val="18"/>
          <w:szCs w:val="18"/>
          <w:highlight w:val="none"/>
          <w:shd w:val="clear" w:color="auto" w:fill="FFFFFF"/>
          <w:lang w:val="en-US" w:eastAsia="zh-CN" w:bidi="ar"/>
        </w:rPr>
        <w:t>21</w:t>
      </w:r>
      <w:r>
        <w:rPr>
          <w:rFonts w:hint="eastAsia" w:ascii="黑体" w:hAnsi="黑体" w:eastAsia="黑体" w:cs="黑体"/>
          <w:color w:val="595959"/>
          <w:sz w:val="18"/>
          <w:szCs w:val="18"/>
          <w:highlight w:val="none"/>
          <w:shd w:val="clear" w:color="auto" w:fill="FFFFFF"/>
          <w:lang w:eastAsia="zh-CN" w:bidi="ar"/>
        </w:rPr>
        <w:t>卷第</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期.</w:t>
      </w:r>
    </w:p>
    <w:p w14:paraId="371BD752">
      <w:pPr>
        <w:pStyle w:val="13"/>
        <w:keepNext w:val="0"/>
        <w:keepLines w:val="0"/>
        <w:pageBreakBefore w:val="0"/>
        <w:widowControl/>
        <w:numPr>
          <w:ilvl w:val="0"/>
          <w:numId w:val="7"/>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Chaudhuri AA, Chabon JJ, Lovejoy AF, et al. Early Detection of Molecular Residual Disease in Localized Lung Cancer by Circulating Tumor DNA Profiling. Cancer Discov 2017;7:1394-403.</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PMID: 28899864</w:t>
      </w:r>
      <w:r>
        <w:rPr>
          <w:rFonts w:hint="eastAsia" w:ascii="黑体" w:hAnsi="黑体" w:eastAsia="黑体" w:cs="黑体"/>
          <w:color w:val="595959"/>
          <w:sz w:val="18"/>
          <w:szCs w:val="18"/>
          <w:highlight w:val="none"/>
          <w:shd w:val="clear" w:color="auto" w:fill="FFFFFF"/>
          <w:lang w:val="en-US" w:eastAsia="zh-CN" w:bidi="ar"/>
        </w:rPr>
        <w:t>]</w:t>
      </w:r>
    </w:p>
    <w:p w14:paraId="517EE819">
      <w:pPr>
        <w:pStyle w:val="13"/>
        <w:keepNext w:val="0"/>
        <w:keepLines w:val="0"/>
        <w:pageBreakBefore w:val="0"/>
        <w:widowControl/>
        <w:numPr>
          <w:ilvl w:val="0"/>
          <w:numId w:val="7"/>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Abbosh C, Birkbak NJ, Wilson GA, et al. Phylogenetic ctDNA analysis depicts early-stage lung cancer evolution. Nature 2017;545:446-51.</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PMID: 28445469</w:t>
      </w:r>
      <w:r>
        <w:rPr>
          <w:rFonts w:hint="eastAsia" w:ascii="黑体" w:hAnsi="黑体" w:eastAsia="黑体" w:cs="黑体"/>
          <w:color w:val="595959"/>
          <w:sz w:val="18"/>
          <w:szCs w:val="18"/>
          <w:highlight w:val="none"/>
          <w:shd w:val="clear" w:color="auto" w:fill="FFFFFF"/>
          <w:lang w:val="en-US" w:eastAsia="zh-CN" w:bidi="ar"/>
        </w:rPr>
        <w:t>]</w:t>
      </w:r>
    </w:p>
    <w:p w14:paraId="5FB720B2">
      <w:pPr>
        <w:pStyle w:val="13"/>
        <w:keepNext w:val="0"/>
        <w:keepLines w:val="0"/>
        <w:pageBreakBefore w:val="0"/>
        <w:widowControl/>
        <w:numPr>
          <w:ilvl w:val="0"/>
          <w:numId w:val="7"/>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PMID: 34505064</w:t>
      </w:r>
      <w:r>
        <w:rPr>
          <w:rFonts w:hint="eastAsia" w:ascii="黑体" w:hAnsi="黑体" w:eastAsia="黑体" w:cs="黑体"/>
          <w:color w:val="595959"/>
          <w:sz w:val="18"/>
          <w:szCs w:val="18"/>
          <w:highlight w:val="none"/>
          <w:shd w:val="clear" w:color="auto" w:fill="FFFFFF"/>
          <w:lang w:val="en-US" w:eastAsia="zh-CN" w:bidi="ar"/>
        </w:rPr>
        <w:t>]</w:t>
      </w:r>
    </w:p>
    <w:p w14:paraId="04BB66ED">
      <w:pPr>
        <w:pStyle w:val="13"/>
        <w:keepNext w:val="0"/>
        <w:keepLines w:val="0"/>
        <w:pageBreakBefore w:val="0"/>
        <w:widowControl/>
        <w:numPr>
          <w:ilvl w:val="0"/>
          <w:numId w:val="7"/>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35543554</w:t>
      </w:r>
      <w:r>
        <w:rPr>
          <w:rFonts w:hint="eastAsia" w:ascii="黑体" w:hAnsi="黑体" w:eastAsia="黑体" w:cs="黑体"/>
          <w:color w:val="595959"/>
          <w:sz w:val="18"/>
          <w:szCs w:val="18"/>
          <w:highlight w:val="none"/>
          <w:shd w:val="clear" w:color="auto" w:fill="FFFFFF"/>
          <w:lang w:val="en-US" w:eastAsia="zh-CN" w:bidi="ar"/>
        </w:rPr>
        <w:t>]</w:t>
      </w:r>
    </w:p>
    <w:p w14:paraId="54CA06C3">
      <w:pPr>
        <w:pStyle w:val="13"/>
        <w:keepNext w:val="0"/>
        <w:keepLines w:val="0"/>
        <w:pageBreakBefore w:val="0"/>
        <w:widowControl/>
        <w:numPr>
          <w:ilvl w:val="0"/>
          <w:numId w:val="7"/>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12661006</w:t>
      </w:r>
      <w:r>
        <w:rPr>
          <w:rFonts w:hint="eastAsia" w:ascii="黑体" w:hAnsi="黑体" w:eastAsia="黑体" w:cs="黑体"/>
          <w:color w:val="595959"/>
          <w:sz w:val="18"/>
          <w:szCs w:val="18"/>
          <w:highlight w:val="none"/>
          <w:shd w:val="clear" w:color="auto" w:fill="FFFFFF"/>
          <w:lang w:val="en-US" w:eastAsia="zh-CN" w:bidi="ar"/>
        </w:rPr>
        <w:t>]</w:t>
      </w:r>
    </w:p>
    <w:p w14:paraId="2A3AE06C">
      <w:pPr>
        <w:pStyle w:val="13"/>
        <w:keepNext w:val="0"/>
        <w:keepLines w:val="0"/>
        <w:pageBreakBefore w:val="0"/>
        <w:widowControl/>
        <w:numPr>
          <w:ilvl w:val="0"/>
          <w:numId w:val="7"/>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val="en-US" w:eastAsia="zh-CN" w:bidi="ar"/>
        </w:rPr>
      </w:pPr>
      <w:r>
        <w:rPr>
          <w:rFonts w:hint="eastAsia" w:ascii="黑体" w:hAnsi="黑体" w:eastAsia="黑体" w:cs="黑体"/>
          <w:color w:val="595959"/>
          <w:sz w:val="18"/>
          <w:szCs w:val="18"/>
          <w:highlight w:val="none"/>
          <w:shd w:val="clear" w:color="auto" w:fill="FFFFFF"/>
          <w:lang w:eastAsia="zh-CN" w:bidi="ar"/>
        </w:rPr>
        <w:t>Rikova K, Guo A, Zeng Q, et al. Global survey of phosphotyrosine signaling identifies oncogenic kinases in lung cancer. Cell. 2007;131:1190–1203.</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PMID: 18083107</w:t>
      </w:r>
      <w:r>
        <w:rPr>
          <w:rFonts w:hint="eastAsia" w:ascii="黑体" w:hAnsi="黑体" w:eastAsia="黑体" w:cs="黑体"/>
          <w:color w:val="595959"/>
          <w:sz w:val="18"/>
          <w:szCs w:val="18"/>
          <w:highlight w:val="none"/>
          <w:shd w:val="clear" w:color="auto" w:fill="FFFFFF"/>
          <w:lang w:val="en-US" w:eastAsia="zh-CN" w:bidi="ar"/>
        </w:rPr>
        <w:t>]</w:t>
      </w:r>
    </w:p>
    <w:p w14:paraId="18C888B9">
      <w:pPr>
        <w:pStyle w:val="13"/>
        <w:keepNext w:val="0"/>
        <w:keepLines w:val="0"/>
        <w:pageBreakBefore w:val="0"/>
        <w:widowControl/>
        <w:numPr>
          <w:ilvl w:val="0"/>
          <w:numId w:val="7"/>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Gu TL</w:t>
      </w:r>
      <w:r>
        <w:rPr>
          <w:rFonts w:hint="eastAsia" w:ascii="黑体" w:hAnsi="黑体" w:eastAsia="黑体" w:cs="黑体"/>
          <w:color w:val="595959"/>
          <w:sz w:val="18"/>
          <w:szCs w:val="18"/>
          <w:highlight w:val="none"/>
          <w:shd w:val="clear" w:color="auto" w:fill="FFFFFF"/>
          <w:lang w:val="en-US" w:eastAsia="zh-CN" w:bidi="ar"/>
        </w:rPr>
        <w:t>, Deng X, Huang F,</w:t>
      </w:r>
      <w:r>
        <w:rPr>
          <w:rFonts w:hint="eastAsia" w:ascii="黑体" w:hAnsi="黑体" w:eastAsia="黑体" w:cs="黑体"/>
          <w:color w:val="595959"/>
          <w:sz w:val="18"/>
          <w:szCs w:val="18"/>
          <w:highlight w:val="none"/>
          <w:shd w:val="clear" w:color="auto" w:fill="FFFFFF"/>
          <w:lang w:eastAsia="zh-CN" w:bidi="ar"/>
        </w:rPr>
        <w:t xml:space="preserve"> et al. Survey of tyrosine kinase signaling reveals ROS kinase fusions in human cholangiocarcinoma. PLoS ONE. 2011;6(1):e15640.</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21253578</w:t>
      </w:r>
      <w:r>
        <w:rPr>
          <w:rFonts w:hint="eastAsia" w:ascii="黑体" w:hAnsi="黑体" w:eastAsia="黑体" w:cs="黑体"/>
          <w:color w:val="595959"/>
          <w:sz w:val="18"/>
          <w:szCs w:val="18"/>
          <w:highlight w:val="none"/>
          <w:shd w:val="clear" w:color="auto" w:fill="FFFFFF"/>
          <w:lang w:val="en-US" w:eastAsia="zh-CN" w:bidi="ar"/>
        </w:rPr>
        <w:t>]</w:t>
      </w:r>
    </w:p>
    <w:p w14:paraId="063C16EC">
      <w:pPr>
        <w:pStyle w:val="13"/>
        <w:keepNext w:val="0"/>
        <w:keepLines w:val="0"/>
        <w:pageBreakBefore w:val="0"/>
        <w:widowControl/>
        <w:numPr>
          <w:ilvl w:val="0"/>
          <w:numId w:val="7"/>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Davies KD, Doebele RC. Molecular pathways: ROS1 fusion proteins in cancer. Clin Cancer Res 2013; 19: 4040–4045.</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23719267</w:t>
      </w:r>
      <w:r>
        <w:rPr>
          <w:rFonts w:hint="eastAsia" w:ascii="黑体" w:hAnsi="黑体" w:eastAsia="黑体" w:cs="黑体"/>
          <w:color w:val="595959"/>
          <w:sz w:val="18"/>
          <w:szCs w:val="18"/>
          <w:highlight w:val="none"/>
          <w:shd w:val="clear" w:color="auto" w:fill="FFFFFF"/>
          <w:lang w:val="en-US" w:eastAsia="zh-CN" w:bidi="ar"/>
        </w:rPr>
        <w:t>]</w:t>
      </w:r>
    </w:p>
    <w:p w14:paraId="09A6F4A5">
      <w:pPr>
        <w:pStyle w:val="13"/>
        <w:keepNext w:val="0"/>
        <w:keepLines w:val="0"/>
        <w:pageBreakBefore w:val="0"/>
        <w:widowControl/>
        <w:numPr>
          <w:ilvl w:val="0"/>
          <w:numId w:val="7"/>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Chaudhuri AA, Chabon JJ, Lovejoy AF, et al. Early Detection of Molecular Residual Disease in Localized Lung Cancer by Circulating Tumor DNA Profiling. Cancer Discovery</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 xml:space="preserve"> 2017</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 xml:space="preserve"> 7:1394–403. [PMID: 28899864]</w:t>
      </w:r>
    </w:p>
    <w:p w14:paraId="0498AB3D">
      <w:pPr>
        <w:pStyle w:val="13"/>
        <w:keepNext w:val="0"/>
        <w:keepLines w:val="0"/>
        <w:pageBreakBefore w:val="0"/>
        <w:widowControl/>
        <w:numPr>
          <w:ilvl w:val="0"/>
          <w:numId w:val="7"/>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Garcia-Murillas I, Schiavon G, Weigelt B, et al. Mutation tracking in circulating tumor DNA predicts relapse in early breast cancer. Sci Transl Med</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2015</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7(302):302ra133. [PMID: 26311728]</w:t>
      </w:r>
    </w:p>
    <w:p w14:paraId="62730B64">
      <w:pPr>
        <w:pStyle w:val="13"/>
        <w:keepNext w:val="0"/>
        <w:keepLines w:val="0"/>
        <w:pageBreakBefore w:val="0"/>
        <w:widowControl/>
        <w:numPr>
          <w:ilvl w:val="0"/>
          <w:numId w:val="7"/>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Tie J, Wang Y, Tomasetti C, et al. Circulating tumor DNA analysis detects minimal residual disease and predicts recurrence in patients with stage II colon cancer. Sci Transl Med. 2016;8(346):346ra92 [PMID: 27384348]</w:t>
      </w:r>
    </w:p>
    <w:p w14:paraId="59E82092">
      <w:pPr>
        <w:pStyle w:val="13"/>
        <w:keepNext w:val="0"/>
        <w:keepLines w:val="0"/>
        <w:pageBreakBefore w:val="0"/>
        <w:widowControl/>
        <w:numPr>
          <w:ilvl w:val="0"/>
          <w:numId w:val="7"/>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68DBBB7A">
      <w:pPr>
        <w:pStyle w:val="13"/>
        <w:keepNext w:val="0"/>
        <w:keepLines w:val="0"/>
        <w:pageBreakBefore w:val="0"/>
        <w:widowControl/>
        <w:numPr>
          <w:ilvl w:val="0"/>
          <w:numId w:val="7"/>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Sausen M., Phallen J., Adleff V., et al. Clinical implications of genomic alterations in the tumour and circulation of pancreatic cancer patients. Nat. Commun. 2015;6:7686. [PMID: 26154128]</w:t>
      </w:r>
    </w:p>
    <w:p w14:paraId="250BE6D5">
      <w:pPr>
        <w:pStyle w:val="13"/>
        <w:keepNext w:val="0"/>
        <w:keepLines w:val="0"/>
        <w:pageBreakBefore w:val="0"/>
        <w:widowControl/>
        <w:numPr>
          <w:ilvl w:val="0"/>
          <w:numId w:val="7"/>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7E60BDA8">
      <w:pPr>
        <w:pStyle w:val="13"/>
        <w:keepNext w:val="0"/>
        <w:keepLines w:val="0"/>
        <w:pageBreakBefore w:val="0"/>
        <w:widowControl/>
        <w:numPr>
          <w:ilvl w:val="0"/>
          <w:numId w:val="7"/>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34625408]</w:t>
      </w:r>
    </w:p>
    <w:p w14:paraId="6A17961F">
      <w:pPr>
        <w:pStyle w:val="13"/>
        <w:keepNext w:val="0"/>
        <w:keepLines w:val="0"/>
        <w:pageBreakBefore w:val="0"/>
        <w:widowControl/>
        <w:numPr>
          <w:ilvl w:val="0"/>
          <w:numId w:val="7"/>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Coakley M., Garcia-Murillas I. Turner N.C. Molecular Residual Disease and Adjuvant Trial Design in Solid Tumors. Clin. Cancer Res. 2019;25:6026–6034. [PMID:</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31088829]</w:t>
      </w:r>
    </w:p>
    <w:p w14:paraId="5DA60A43">
      <w:pPr>
        <w:pStyle w:val="13"/>
        <w:keepNext w:val="0"/>
        <w:keepLines w:val="0"/>
        <w:pageBreakBefore w:val="0"/>
        <w:widowControl/>
        <w:numPr>
          <w:ilvl w:val="0"/>
          <w:numId w:val="7"/>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rPr>
      </w:pPr>
      <w:r>
        <w:rPr>
          <w:rFonts w:hint="eastAsia" w:ascii="黑体" w:hAnsi="黑体" w:eastAsia="黑体" w:cs="黑体"/>
          <w:color w:val="595959"/>
          <w:sz w:val="18"/>
          <w:szCs w:val="18"/>
          <w:highlight w:val="none"/>
          <w:shd w:val="clear" w:color="auto" w:fill="FFFFFF"/>
          <w:lang w:eastAsia="zh-CN" w:bidi="ar"/>
        </w:rPr>
        <w:t>Moding EJ, Nabet BY, Alizadeh AA, et al. Detecting liquid remnants of solid tumors: circulating tumor DNA minimal residual disease. Cancer Discov 2021;11:2968–86. [PMID: 34785539]</w:t>
      </w:r>
      <w:r>
        <w:rPr>
          <w:rFonts w:hint="eastAsia" w:ascii="黑体" w:hAnsi="黑体" w:eastAsia="黑体" w:cs="黑体"/>
          <w:color w:val="595959"/>
        </w:rPr>
        <w:br w:type="page"/>
      </w:r>
    </w:p>
    <w:p w14:paraId="3F5D182B">
      <w:pPr>
        <w:widowControl/>
        <w:jc w:val="left"/>
        <w:rPr>
          <w:rFonts w:hint="eastAsia" w:ascii="黑体" w:hAnsi="黑体" w:eastAsia="黑体" w:cs="黑体"/>
        </w:rPr>
      </w:pPr>
    </w:p>
    <w:p w14:paraId="1108A1FB">
      <w:pPr>
        <w:rPr>
          <w:rFonts w:hint="eastAsia" w:ascii="黑体" w:hAnsi="黑体" w:eastAsia="黑体" w:cs="黑体"/>
        </w:rPr>
      </w:pPr>
      <w:r>
        <w:rPr>
          <w:sz w:val="15"/>
        </w:rPr>
        <mc:AlternateContent>
          <mc:Choice Requires="wpg">
            <w:drawing>
              <wp:anchor distT="0" distB="0" distL="114300" distR="114300" simplePos="0" relativeHeight="251664384" behindDoc="0" locked="0" layoutInCell="1" allowOverlap="1">
                <wp:simplePos x="0" y="0"/>
                <wp:positionH relativeFrom="column">
                  <wp:posOffset>-636270</wp:posOffset>
                </wp:positionH>
                <wp:positionV relativeFrom="paragraph">
                  <wp:posOffset>-1207770</wp:posOffset>
                </wp:positionV>
                <wp:extent cx="4174490" cy="5801360"/>
                <wp:effectExtent l="0" t="0" r="1270" b="5080"/>
                <wp:wrapNone/>
                <wp:docPr id="3" name="组合 3"/>
                <wp:cNvGraphicFramePr/>
                <a:graphic xmlns:a="http://schemas.openxmlformats.org/drawingml/2006/main">
                  <a:graphicData uri="http://schemas.microsoft.com/office/word/2010/wordprocessingGroup">
                    <wpg:wgp>
                      <wpg:cNvGrpSpPr/>
                      <wpg:grpSpPr>
                        <a:xfrm>
                          <a:off x="0" y="0"/>
                          <a:ext cx="4174490" cy="5801360"/>
                          <a:chOff x="3698" y="719499"/>
                          <a:chExt cx="6574" cy="9136"/>
                        </a:xfrm>
                      </wpg:grpSpPr>
                      <wps:wsp>
                        <wps:cNvPr id="42" name="文本框 42"/>
                        <wps:cNvSpPr txBox="1"/>
                        <wps:spPr>
                          <a:xfrm>
                            <a:off x="3698" y="719499"/>
                            <a:ext cx="6575" cy="913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1"/>
                                <w:gridCol w:w="1340"/>
                                <w:gridCol w:w="1552"/>
                                <w:gridCol w:w="2140"/>
                              </w:tblGrid>
                              <w:tr w14:paraId="13E3A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top"/>
                                  </w:tcPr>
                                  <w:p w14:paraId="2842E82E">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eastAsia="zh-CN"/>
                                      </w:rPr>
                                      <w:t>门诊/住院号：</w:t>
                                    </w:r>
                                  </w:p>
                                </w:tc>
                                <w:tc>
                                  <w:tcPr>
                                    <w:tcW w:w="1340" w:type="dxa"/>
                                    <w:shd w:val="clear" w:color="auto" w:fill="auto"/>
                                    <w:vAlign w:val="top"/>
                                  </w:tcPr>
                                  <w:p w14:paraId="2A07C46B">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val="en-US" w:eastAsia="zh-CN"/>
                                      </w:rPr>
                                      <w:t>-</w:t>
                                    </w:r>
                                  </w:p>
                                </w:tc>
                                <w:tc>
                                  <w:tcPr>
                                    <w:tcW w:w="1552" w:type="dxa"/>
                                    <w:shd w:val="clear" w:color="auto" w:fill="auto"/>
                                    <w:vAlign w:val="top"/>
                                  </w:tcPr>
                                  <w:p w14:paraId="7B398CFF">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标本接收时间：</w:t>
                                    </w:r>
                                  </w:p>
                                </w:tc>
                                <w:tc>
                                  <w:tcPr>
                                    <w:tcW w:w="2140" w:type="dxa"/>
                                    <w:shd w:val="clear" w:color="auto" w:fill="auto"/>
                                    <w:vAlign w:val="top"/>
                                  </w:tcPr>
                                  <w:p w14:paraId="6CD2814B">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r w14:paraId="62E9B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center"/>
                                  </w:tcPr>
                                  <w:p w14:paraId="0BA3EDD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eastAsia="zh-CN"/>
                                      </w:rPr>
                                      <w:t>送检</w:t>
                                    </w:r>
                                    <w:r>
                                      <w:rPr>
                                        <w:rFonts w:hint="default" w:ascii="微软雅黑" w:hAnsi="微软雅黑" w:eastAsia="微软雅黑" w:cs="微软雅黑"/>
                                        <w:bCs/>
                                        <w:color w:val="auto"/>
                                        <w:sz w:val="18"/>
                                        <w:szCs w:val="18"/>
                                        <w:lang w:eastAsia="zh-CN"/>
                                      </w:rPr>
                                      <w:t>医院</w:t>
                                    </w:r>
                                    <w:r>
                                      <w:rPr>
                                        <w:rFonts w:hint="eastAsia" w:ascii="微软雅黑" w:hAnsi="微软雅黑" w:eastAsia="微软雅黑" w:cs="微软雅黑"/>
                                        <w:bCs/>
                                        <w:color w:val="auto"/>
                                        <w:sz w:val="18"/>
                                        <w:szCs w:val="18"/>
                                        <w:lang w:eastAsia="zh-CN"/>
                                      </w:rPr>
                                      <w:t>：</w:t>
                                    </w:r>
                                  </w:p>
                                </w:tc>
                                <w:tc>
                                  <w:tcPr>
                                    <w:tcW w:w="1340" w:type="dxa"/>
                                    <w:shd w:val="clear" w:color="auto" w:fill="auto"/>
                                    <w:vAlign w:val="center"/>
                                  </w:tcPr>
                                  <w:p w14:paraId="3F3B8B1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val="en-US" w:eastAsia="zh-CN"/>
                                      </w:rPr>
                                      <w:t>-</w:t>
                                    </w:r>
                                  </w:p>
                                </w:tc>
                                <w:tc>
                                  <w:tcPr>
                                    <w:tcW w:w="1552" w:type="dxa"/>
                                    <w:shd w:val="clear" w:color="auto" w:fill="auto"/>
                                    <w:vAlign w:val="top"/>
                                  </w:tcPr>
                                  <w:p w14:paraId="78183686">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标本采集时间：</w:t>
                                    </w:r>
                                  </w:p>
                                </w:tc>
                                <w:tc>
                                  <w:tcPr>
                                    <w:tcW w:w="2140" w:type="dxa"/>
                                    <w:shd w:val="clear" w:color="auto" w:fill="auto"/>
                                    <w:vAlign w:val="top"/>
                                  </w:tcPr>
                                  <w:p w14:paraId="7BD6BFC1">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kern w:val="2"/>
                                        <w:sz w:val="18"/>
                                        <w:szCs w:val="18"/>
                                        <w:vertAlign w:val="baseline"/>
                                        <w:lang w:val="en-US" w:eastAsia="zh-CN" w:bidi="ar-SA"/>
                                      </w:rPr>
                                      <w:t>{{sample.collect_date}}</w:t>
                                    </w:r>
                                  </w:p>
                                </w:tc>
                              </w:tr>
                            </w:tbl>
                            <w:p w14:paraId="302CAF34">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p>
                            <w:p w14:paraId="27C6403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广州诺禾医学检验实验室</w:t>
                              </w:r>
                            </w:p>
                            <w:p w14:paraId="3DCB35EA">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广州市黄埔区开源大道11号C6栋702室</w:t>
                              </w:r>
                            </w:p>
                            <w:p w14:paraId="042E95D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上海诺禾医学检验实验室</w:t>
                              </w:r>
                            </w:p>
                            <w:p w14:paraId="70396E7E">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上海市闵行区绿洲环路396弄9号201室</w:t>
                              </w:r>
                            </w:p>
                            <w:p w14:paraId="587EE956">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天津诺禾医学检验实验室</w:t>
                              </w:r>
                            </w:p>
                            <w:p w14:paraId="7A7B82BA">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天津市武清区创业总部基地B07</w:t>
                              </w:r>
                            </w:p>
                            <w:p w14:paraId="5BDF9C18">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kern w:val="0"/>
                                  <w:sz w:val="21"/>
                                  <w:szCs w:val="21"/>
                                  <w:lang w:val="en-US" w:eastAsia="zh-CN" w:bidi="ar-SA"/>
                                </w:rPr>
                              </w:pPr>
                            </w:p>
                            <w:p w14:paraId="039E3C7F">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kern w:val="0"/>
                                  <w:sz w:val="21"/>
                                  <w:szCs w:val="21"/>
                                  <w:lang w:val="en-US" w:eastAsia="zh-CN" w:bidi="ar-SA"/>
                                </w:rPr>
                              </w:pPr>
                              <w:r>
                                <w:rPr>
                                  <w:rFonts w:ascii="宋体" w:hAnsi="宋体" w:eastAsia="宋体" w:cs="宋体"/>
                                  <w:kern w:val="0"/>
                                  <w:sz w:val="21"/>
                                  <w:szCs w:val="21"/>
                                  <w:lang w:val="en-US" w:eastAsia="en-US" w:bidi="ar-SA"/>
                                </w:rPr>
                                <w:drawing>
                                  <wp:inline distT="0" distB="0" distL="114935" distR="114935">
                                    <wp:extent cx="438785" cy="438785"/>
                                    <wp:effectExtent l="0" t="0" r="3175" b="3175"/>
                                    <wp:docPr id="6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4" descr="IMG_256"/>
                                            <pic:cNvPicPr>
                                              <a:picLocks noChangeAspect="1"/>
                                            </pic:cNvPicPr>
                                          </pic:nvPicPr>
                                          <pic:blipFill>
                                            <a:blip r:embed="rId10"/>
                                            <a:stretch>
                                              <a:fillRect/>
                                            </a:stretch>
                                          </pic:blipFill>
                                          <pic:spPr>
                                            <a:xfrm>
                                              <a:off x="0" y="0"/>
                                              <a:ext cx="438785" cy="438785"/>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kern w:val="0"/>
                                  <w:sz w:val="21"/>
                                  <w:szCs w:val="21"/>
                                  <w:lang w:val="en-US" w:eastAsia="en-US" w:bidi="ar-SA"/>
                                </w:rPr>
                                <w:drawing>
                                  <wp:inline distT="0" distB="0" distL="114935" distR="114935">
                                    <wp:extent cx="439420" cy="439420"/>
                                    <wp:effectExtent l="0" t="0" r="2540" b="2540"/>
                                    <wp:docPr id="6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3" descr="IMG_256"/>
                                            <pic:cNvPicPr>
                                              <a:picLocks noChangeAspect="1"/>
                                            </pic:cNvPicPr>
                                          </pic:nvPicPr>
                                          <pic:blipFill>
                                            <a:blip r:embed="rId11"/>
                                            <a:stretch>
                                              <a:fillRect/>
                                            </a:stretch>
                                          </pic:blipFill>
                                          <pic:spPr>
                                            <a:xfrm>
                                              <a:off x="0" y="0"/>
                                              <a:ext cx="439420" cy="439420"/>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color w:val="7F7F7F"/>
                                  <w:kern w:val="0"/>
                                  <w:sz w:val="20"/>
                                  <w:szCs w:val="20"/>
                                  <w:lang w:eastAsia="zh-CN"/>
                                </w:rPr>
                                <w:drawing>
                                  <wp:inline distT="0" distB="0" distL="0" distR="0">
                                    <wp:extent cx="1369060" cy="389255"/>
                                    <wp:effectExtent l="0" t="0" r="2540" b="6985"/>
                                    <wp:docPr id="65" name="图片 6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C:\Users\JT\Desktop\2019.3.1-诺禾致源logo-最新版\logo-透明底.pnglogo-透明底"/>
                                            <pic:cNvPicPr>
                                              <a:picLocks noChangeAspect="1"/>
                                            </pic:cNvPicPr>
                                          </pic:nvPicPr>
                                          <pic:blipFill>
                                            <a:blip r:embed="rId6"/>
                                            <a:srcRect/>
                                            <a:stretch>
                                              <a:fillRect/>
                                            </a:stretch>
                                          </pic:blipFill>
                                          <pic:spPr>
                                            <a:xfrm>
                                              <a:off x="0" y="0"/>
                                              <a:ext cx="1369060" cy="389255"/>
                                            </a:xfrm>
                                            <a:prstGeom prst="rect">
                                              <a:avLst/>
                                            </a:prstGeom>
                                          </pic:spPr>
                                        </pic:pic>
                                      </a:graphicData>
                                    </a:graphic>
                                  </wp:inline>
                                </w:drawing>
                              </w:r>
                            </w:p>
                            <w:p w14:paraId="5D924412">
                              <w:pPr>
                                <w:keepNext w:val="0"/>
                                <w:keepLines w:val="0"/>
                                <w:pageBreakBefore w:val="0"/>
                                <w:widowControl/>
                                <w:kinsoku/>
                                <w:wordWrap/>
                                <w:overflowPunct/>
                                <w:topLinePunct w:val="0"/>
                                <w:bidi w:val="0"/>
                                <w:adjustRightInd/>
                                <w:snapToGrid w:val="0"/>
                                <w:jc w:val="left"/>
                                <w:textAlignment w:val="auto"/>
                                <w:rPr>
                                  <w:rFonts w:hint="eastAsia" w:ascii="微软雅黑" w:hAnsi="微软雅黑" w:eastAsia="微软雅黑" w:cs="微软雅黑"/>
                                  <w:b/>
                                  <w:bCs/>
                                  <w:color w:val="0083C3"/>
                                  <w:kern w:val="0"/>
                                  <w:sz w:val="21"/>
                                  <w:szCs w:val="21"/>
                                  <w:lang w:val="en-US" w:eastAsia="zh-CN" w:bidi="ar-SA"/>
                                </w:rPr>
                              </w:pPr>
                              <w:r>
                                <w:rPr>
                                  <w:rFonts w:hint="eastAsia" w:ascii="微软雅黑" w:hAnsi="微软雅黑" w:eastAsia="微软雅黑" w:cs="微软雅黑"/>
                                  <w:b/>
                                  <w:bCs/>
                                  <w:color w:val="0083C3"/>
                                  <w:kern w:val="0"/>
                                  <w:sz w:val="21"/>
                                  <w:szCs w:val="21"/>
                                  <w:lang w:val="en-US" w:eastAsia="zh-CN" w:bidi="ar-SA"/>
                                </w:rPr>
                                <w:t>诺禾医学   诺禾在线</w:t>
                              </w:r>
                            </w:p>
                            <w:p w14:paraId="518C6EBA">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0083C3"/>
                                  <w:kern w:val="0"/>
                                  <w:sz w:val="21"/>
                                  <w:szCs w:val="21"/>
                                  <w:lang w:val="en-US" w:eastAsia="zh-CN" w:bidi="ar-SA"/>
                                </w:rPr>
                              </w:pPr>
                              <w:r>
                                <w:rPr>
                                  <w:rFonts w:ascii="Times New Roman" w:hAnsi="Times New Roman" w:eastAsia="等线" w:cs="宋体"/>
                                  <w:b/>
                                  <w:bCs/>
                                  <w:color w:val="0083C3"/>
                                  <w:kern w:val="0"/>
                                  <w:sz w:val="21"/>
                                  <w:szCs w:val="21"/>
                                  <w:lang w:val="en-US" w:eastAsia="en-US" w:bidi="ar-SA"/>
                                </w:rPr>
                                <w:t>www.novogene.com</w:t>
                              </w:r>
                            </w:p>
                            <w:p w14:paraId="27A2B5BB">
                              <w:pPr>
                                <w:keepNext w:val="0"/>
                                <w:keepLines w:val="0"/>
                                <w:pageBreakBefore w:val="0"/>
                                <w:widowControl/>
                                <w:kinsoku/>
                                <w:wordWrap/>
                                <w:overflowPunct/>
                                <w:topLinePunct w:val="0"/>
                                <w:bidi w:val="0"/>
                                <w:adjustRightInd/>
                                <w:snapToGrid w:val="0"/>
                                <w:ind w:left="420" w:hanging="420" w:hangingChars="200"/>
                                <w:jc w:val="left"/>
                                <w:textAlignment w:val="auto"/>
                                <w:rPr>
                                  <w:rFonts w:hint="eastAsia" w:ascii="微软雅黑" w:hAnsi="微软雅黑" w:eastAsia="微软雅黑" w:cs="微软雅黑"/>
                                  <w:b/>
                                  <w:bCs/>
                                  <w:color w:val="auto"/>
                                  <w:kern w:val="0"/>
                                  <w:sz w:val="21"/>
                                  <w:szCs w:val="21"/>
                                  <w:lang w:val="en-US" w:eastAsia="zh-CN" w:bidi="ar-SA"/>
                                </w:rPr>
                              </w:pPr>
                              <w:r>
                                <w:rPr>
                                  <w:rFonts w:hint="eastAsia" w:ascii="微软雅黑" w:hAnsi="微软雅黑" w:eastAsia="微软雅黑" w:cs="微软雅黑"/>
                                  <w:b/>
                                  <w:bCs/>
                                  <w:color w:val="auto"/>
                                  <w:kern w:val="0"/>
                                  <w:sz w:val="21"/>
                                  <w:szCs w:val="21"/>
                                  <w:lang w:val="en-US" w:eastAsia="zh-CN" w:bidi="ar-SA"/>
                                </w:rPr>
                                <w:t>中国 · 美国 · 英国 · 新加坡 · 荷兰 · 日本</w:t>
                              </w:r>
                            </w:p>
                            <w:p w14:paraId="224F8763">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auto"/>
                                  <w:kern w:val="0"/>
                                  <w:sz w:val="21"/>
                                  <w:szCs w:val="21"/>
                                  <w:lang w:val="en-US" w:eastAsia="en-US" w:bidi="ar-SA"/>
                                </w:rPr>
                              </w:pPr>
                              <w:r>
                                <w:rPr>
                                  <w:rFonts w:ascii="Times New Roman" w:hAnsi="Times New Roman" w:eastAsia="等线" w:cs="宋体"/>
                                  <w:color w:val="auto"/>
                                  <w:kern w:val="0"/>
                                  <w:sz w:val="21"/>
                                  <w:szCs w:val="21"/>
                                  <w:lang w:val="en-US" w:eastAsia="en-US" w:bidi="ar-SA"/>
                                </w:rPr>
                                <w:t>China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USA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UK</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Singapore</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Netherlands</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hint="eastAsia" w:ascii="Times New Roman" w:hAnsi="Times New Roman" w:eastAsia="等线" w:cs="宋体"/>
                                  <w:color w:val="auto"/>
                                  <w:kern w:val="0"/>
                                  <w:sz w:val="21"/>
                                  <w:szCs w:val="21"/>
                                  <w:lang w:val="en-US" w:eastAsia="zh-CN" w:bidi="ar-SA"/>
                                </w:rPr>
                                <w:t>J</w:t>
                              </w:r>
                              <w:r>
                                <w:rPr>
                                  <w:rFonts w:ascii="Times New Roman" w:hAnsi="Times New Roman" w:eastAsia="等线" w:cs="宋体"/>
                                  <w:color w:val="auto"/>
                                  <w:kern w:val="0"/>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61"/>
                                <w:tblW w:w="4705" w:type="dxa"/>
                                <w:tblInd w:w="0" w:type="dxa"/>
                                <w:tblLayout w:type="fixed"/>
                                <w:tblCellMar>
                                  <w:top w:w="0" w:type="dxa"/>
                                  <w:left w:w="0" w:type="dxa"/>
                                  <w:bottom w:w="0" w:type="dxa"/>
                                  <w:right w:w="0" w:type="dxa"/>
                                </w:tblCellMar>
                              </w:tblPr>
                              <w:tblGrid>
                                <w:gridCol w:w="949"/>
                                <w:gridCol w:w="1344"/>
                                <w:gridCol w:w="918"/>
                                <w:gridCol w:w="1494"/>
                              </w:tblGrid>
                              <w:tr w14:paraId="2D23B2A5">
                                <w:tblPrEx>
                                  <w:tblCellMar>
                                    <w:top w:w="0" w:type="dxa"/>
                                    <w:left w:w="0" w:type="dxa"/>
                                    <w:bottom w:w="0" w:type="dxa"/>
                                    <w:right w:w="0" w:type="dxa"/>
                                  </w:tblCellMar>
                                </w:tblPrEx>
                                <w:trPr>
                                  <w:trHeight w:val="441" w:hRule="exact"/>
                                </w:trPr>
                                <w:tc>
                                  <w:tcPr>
                                    <w:tcW w:w="949" w:type="dxa"/>
                                    <w:vAlign w:val="center"/>
                                  </w:tcPr>
                                  <w:p w14:paraId="1E1A978C">
                                    <w:pPr>
                                      <w:pStyle w:val="59"/>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44" w:type="dxa"/>
                                    <w:vAlign w:val="center"/>
                                  </w:tcPr>
                                  <w:p w14:paraId="65E355B9">
                                    <w:pPr>
                                      <w:pStyle w:val="59"/>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{{"ty_tianjin1"|sign(</w:t>
                                    </w:r>
                                    <w:r>
                                      <w:rPr>
                                        <w:rFonts w:hint="eastAsia" w:ascii="Times New Roman" w:hAnsi="Times New Roman" w:cs="Times New Roman"/>
                                        <w:b/>
                                        <w:sz w:val="18"/>
                                        <w:szCs w:val="18"/>
                                        <w:lang w:val="en-US" w:eastAsia="zh-CN"/>
                                      </w:rPr>
                                      <w:t>46</w:t>
                                    </w:r>
                                    <w:r>
                                      <w:rPr>
                                        <w:rFonts w:hint="eastAsia" w:ascii="Times New Roman" w:hAnsi="Times New Roman" w:cs="Times New Roman"/>
                                        <w:b/>
                                        <w:sz w:val="18"/>
                                        <w:szCs w:val="18"/>
                                      </w:rPr>
                                      <w:t>,2</w:t>
                                    </w:r>
                                    <w:r>
                                      <w:rPr>
                                        <w:rFonts w:hint="eastAsia" w:ascii="Times New Roman" w:hAnsi="Times New Roman" w:cs="Times New Roman"/>
                                        <w:b/>
                                        <w:sz w:val="18"/>
                                        <w:szCs w:val="18"/>
                                        <w:lang w:val="en-US" w:eastAsia="zh-CN"/>
                                      </w:rPr>
                                      <w:t>1</w:t>
                                    </w:r>
                                    <w:r>
                                      <w:rPr>
                                        <w:rFonts w:hint="eastAsia" w:ascii="Times New Roman" w:hAnsi="Times New Roman" w:cs="Times New Roman"/>
                                        <w:b/>
                                        <w:sz w:val="18"/>
                                        <w:szCs w:val="18"/>
                                      </w:rPr>
                                      <w:t>)}}</w:t>
                                    </w:r>
                                  </w:p>
                                </w:tc>
                                <w:tc>
                                  <w:tcPr>
                                    <w:tcW w:w="918" w:type="dxa"/>
                                    <w:vAlign w:val="center"/>
                                  </w:tcPr>
                                  <w:p w14:paraId="5C3871F0">
                                    <w:pPr>
                                      <w:pStyle w:val="59"/>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94" w:type="dxa"/>
                                    <w:vAlign w:val="center"/>
                                  </w:tcPr>
                                  <w:p w14:paraId="1684B44B">
                                    <w:pPr>
                                      <w:pStyle w:val="59"/>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{{"ty_tianjin2"|sign(</w:t>
                                    </w:r>
                                    <w:r>
                                      <w:rPr>
                                        <w:rFonts w:hint="eastAsia" w:ascii="Times New Roman" w:hAnsi="Times New Roman" w:cs="Times New Roman"/>
                                        <w:b/>
                                        <w:sz w:val="18"/>
                                        <w:szCs w:val="18"/>
                                        <w:lang w:val="en-US" w:eastAsia="zh-CN"/>
                                      </w:rPr>
                                      <w:t>44</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r>
                              <w:tr w14:paraId="6293D3C9">
                                <w:tblPrEx>
                                  <w:tblCellMar>
                                    <w:top w:w="0" w:type="dxa"/>
                                    <w:left w:w="0" w:type="dxa"/>
                                    <w:bottom w:w="0" w:type="dxa"/>
                                    <w:right w:w="0" w:type="dxa"/>
                                  </w:tblCellMar>
                                </w:tblPrEx>
                                <w:trPr>
                                  <w:trHeight w:val="457" w:hRule="exact"/>
                                </w:trPr>
                                <w:tc>
                                  <w:tcPr>
                                    <w:tcW w:w="949" w:type="dxa"/>
                                    <w:vAlign w:val="center"/>
                                  </w:tcPr>
                                  <w:p w14:paraId="22300F1F">
                                    <w:pPr>
                                      <w:pStyle w:val="59"/>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44" w:type="dxa"/>
                                    <w:vAlign w:val="center"/>
                                  </w:tcPr>
                                  <w:p w14:paraId="618F2FB2">
                                    <w:pPr>
                                      <w:pStyle w:val="59"/>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8" w:type="dxa"/>
                                    <w:vAlign w:val="center"/>
                                  </w:tcPr>
                                  <w:p w14:paraId="19E268D7">
                                    <w:pPr>
                                      <w:pStyle w:val="59"/>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94" w:type="dxa"/>
                                    <w:vAlign w:val="center"/>
                                  </w:tcPr>
                                  <w:p w14:paraId="1FB0D37E">
                                    <w:pPr>
                                      <w:pStyle w:val="59"/>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E6872AD">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F3E0DDC">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61"/>
                                <w:tblW w:w="4693" w:type="dxa"/>
                                <w:tblInd w:w="0" w:type="dxa"/>
                                <w:tblLayout w:type="fixed"/>
                                <w:tblCellMar>
                                  <w:top w:w="0" w:type="dxa"/>
                                  <w:left w:w="0" w:type="dxa"/>
                                  <w:bottom w:w="0" w:type="dxa"/>
                                  <w:right w:w="0" w:type="dxa"/>
                                </w:tblCellMar>
                              </w:tblPr>
                              <w:tblGrid>
                                <w:gridCol w:w="961"/>
                                <w:gridCol w:w="1332"/>
                                <w:gridCol w:w="912"/>
                                <w:gridCol w:w="1488"/>
                              </w:tblGrid>
                              <w:tr w14:paraId="77A42122">
                                <w:trPr>
                                  <w:trHeight w:val="441" w:hRule="exact"/>
                                </w:trPr>
                                <w:tc>
                                  <w:tcPr>
                                    <w:tcW w:w="961" w:type="dxa"/>
                                    <w:vAlign w:val="center"/>
                                  </w:tcPr>
                                  <w:p w14:paraId="03BE1E5C">
                                    <w:pPr>
                                      <w:pStyle w:val="59"/>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32" w:type="dxa"/>
                                    <w:vAlign w:val="center"/>
                                  </w:tcPr>
                                  <w:p w14:paraId="6D512138">
                                    <w:pPr>
                                      <w:pStyle w:val="59"/>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{{"ty_guangzhou1"|sign(</w:t>
                                    </w:r>
                                    <w:r>
                                      <w:rPr>
                                        <w:rFonts w:hint="eastAsia" w:ascii="Times New Roman" w:hAnsi="Times New Roman" w:cs="Times New Roman"/>
                                        <w:b/>
                                        <w:sz w:val="18"/>
                                        <w:szCs w:val="18"/>
                                        <w:lang w:val="en-US" w:eastAsia="zh-CN"/>
                                      </w:rPr>
                                      <w:t>47</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c>
                                  <w:tcPr>
                                    <w:tcW w:w="912" w:type="dxa"/>
                                    <w:vAlign w:val="center"/>
                                  </w:tcPr>
                                  <w:p w14:paraId="7369C58C">
                                    <w:pPr>
                                      <w:pStyle w:val="59"/>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8F9356D">
                                    <w:pPr>
                                      <w:pStyle w:val="59"/>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{{"ty_guangzhou2"|sign(</w:t>
                                    </w:r>
                                    <w:r>
                                      <w:rPr>
                                        <w:rFonts w:hint="eastAsia" w:ascii="Times New Roman" w:hAnsi="Times New Roman" w:cs="Times New Roman"/>
                                        <w:b/>
                                        <w:sz w:val="18"/>
                                        <w:szCs w:val="18"/>
                                        <w:lang w:val="en-US" w:eastAsia="zh-CN"/>
                                      </w:rPr>
                                      <w:t>44</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r>
                              <w:tr w14:paraId="48395842">
                                <w:tblPrEx>
                                  <w:tblCellMar>
                                    <w:top w:w="0" w:type="dxa"/>
                                    <w:left w:w="0" w:type="dxa"/>
                                    <w:bottom w:w="0" w:type="dxa"/>
                                    <w:right w:w="0" w:type="dxa"/>
                                  </w:tblCellMar>
                                </w:tblPrEx>
                                <w:trPr>
                                  <w:trHeight w:val="457" w:hRule="exact"/>
                                </w:trPr>
                                <w:tc>
                                  <w:tcPr>
                                    <w:tcW w:w="961" w:type="dxa"/>
                                    <w:vAlign w:val="center"/>
                                  </w:tcPr>
                                  <w:p w14:paraId="10E1D0B3">
                                    <w:pPr>
                                      <w:pStyle w:val="59"/>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32" w:type="dxa"/>
                                    <w:vAlign w:val="center"/>
                                  </w:tcPr>
                                  <w:p w14:paraId="2864B802">
                                    <w:pPr>
                                      <w:pStyle w:val="59"/>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E30E500">
                                    <w:pPr>
                                      <w:pStyle w:val="59"/>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BA7BF47">
                                    <w:pPr>
                                      <w:pStyle w:val="59"/>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p w14:paraId="5FD3E9FA">
                              <w:pPr>
                                <w:keepNext w:val="0"/>
                                <w:keepLines w:val="0"/>
                                <w:pageBreakBefore w:val="0"/>
                                <w:widowControl/>
                                <w:kinsoku/>
                                <w:wordWrap/>
                                <w:overflowPunct/>
                                <w:topLinePunct w:val="0"/>
                                <w:bidi w:val="0"/>
                                <w:adjustRightInd/>
                                <w:snapToGrid w:val="0"/>
                                <w:jc w:val="left"/>
                                <w:textAlignment w:val="auto"/>
                                <w:rPr>
                                  <w:rFonts w:hint="default" w:ascii="Times New Roman" w:hAnsi="Times New Roman" w:eastAsia="等线" w:cs="宋体"/>
                                  <w:sz w:val="18"/>
                                  <w:szCs w:val="18"/>
                                  <w:lang w:val="en-US" w:eastAsia="zh-CN" w:bidi="ar-SA"/>
                                </w:rPr>
                              </w:pP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4"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6863" y="725010"/>
                            <a:ext cx="1098" cy="1098"/>
                          </a:xfrm>
                          <a:prstGeom prst="rect">
                            <a:avLst/>
                          </a:prstGeom>
                          <a:noFill/>
                          <a:ln>
                            <a:noFill/>
                          </a:ln>
                        </pic:spPr>
                      </pic:pic>
                    </wpg:wgp>
                  </a:graphicData>
                </a:graphic>
              </wp:anchor>
            </w:drawing>
          </mc:Choice>
          <mc:Fallback>
            <w:pict>
              <v:group id="_x0000_s1026" o:spid="_x0000_s1026" o:spt="203" style="position:absolute;left:0pt;margin-left:-50.1pt;margin-top:-95.1pt;height:456.8pt;width:328.7pt;z-index:251664384;mso-width-relative:page;mso-height-relative:page;" coordorigin="3698,719499" coordsize="6574,9136" o:gfxdata="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qiYOvrYAAAAhAQAAGQAAAGRycy9fcmVs&#10;cy9lMm9Eb2MueG1sLnJlbHOFj0FqwzAQRfeF3EHMPpadRSjFsjeh4G1IDjBIY1nEGglJLfXtI8gm&#10;gUCX8z//PaYf//wqfillF1hB17QgiHUwjq2C6+V7/wkiF2SDa2BSsFGGcdh99GdasdRRXlzMolI4&#10;K1hKiV9SZr2Qx9yESFybOSSPpZ7Jyoj6hpbkoW2PMj0zYHhhiskoSJPpQFy2WM3/s8M8O02noH88&#10;cXmjkM5XdwVislQUeDIOH2HXRLYgh16+PDbcAV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">
                <o:lock v:ext="edit" aspectratio="f"/>
                <v:shape id="_x0000_s1026" o:spid="_x0000_s1026" o:spt="202" type="#_x0000_t202" style="position:absolute;left:3698;top:719499;height:9137;width:6575;" fillcolor="#FFFFFF [3201]" filled="t" stroked="f" coordsize="21600,21600" o:gfxdata="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edvke2AAAA2wAAAA8A&#10;AAAAAAAAAQAgAAAAIgAAAGRycy9kb3ducmV2LnhtbFBLAQIUABQAAAAIAIdO4kAzLwWeOwAAADkA&#10;AAAQAAAAAAAAAAEAIAAAAAUBAABkcnMvc2hhcGV4bWwueG1sUEsFBgAAAAAGAAYAWwEAAK8DAAAA&#10;AA==&#10;">
                  <v:fill on="t" focussize="0,0"/>
                  <v:stroke on="f" weight="0.5pt"/>
                  <v:imagedata o:title=""/>
                  <o:lock v:ext="edit" aspectratio="f"/>
                  <v:textbox>
                    <w:txbxContent>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1"/>
                          <w:gridCol w:w="1340"/>
                          <w:gridCol w:w="1552"/>
                          <w:gridCol w:w="2140"/>
                        </w:tblGrid>
                        <w:tr w14:paraId="13E3A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top"/>
                            </w:tcPr>
                            <w:p w14:paraId="2842E82E">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eastAsia="zh-CN"/>
                                </w:rPr>
                                <w:t>门诊/住院号：</w:t>
                              </w:r>
                            </w:p>
                          </w:tc>
                          <w:tc>
                            <w:tcPr>
                              <w:tcW w:w="1340" w:type="dxa"/>
                              <w:shd w:val="clear" w:color="auto" w:fill="auto"/>
                              <w:vAlign w:val="top"/>
                            </w:tcPr>
                            <w:p w14:paraId="2A07C46B">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val="en-US" w:eastAsia="zh-CN"/>
                                </w:rPr>
                                <w:t>-</w:t>
                              </w:r>
                            </w:p>
                          </w:tc>
                          <w:tc>
                            <w:tcPr>
                              <w:tcW w:w="1552" w:type="dxa"/>
                              <w:shd w:val="clear" w:color="auto" w:fill="auto"/>
                              <w:vAlign w:val="top"/>
                            </w:tcPr>
                            <w:p w14:paraId="7B398CFF">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标本接收时间：</w:t>
                              </w:r>
                            </w:p>
                          </w:tc>
                          <w:tc>
                            <w:tcPr>
                              <w:tcW w:w="2140" w:type="dxa"/>
                              <w:shd w:val="clear" w:color="auto" w:fill="auto"/>
                              <w:vAlign w:val="top"/>
                            </w:tcPr>
                            <w:p w14:paraId="6CD2814B">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r w14:paraId="62E9B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center"/>
                            </w:tcPr>
                            <w:p w14:paraId="0BA3EDD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eastAsia="zh-CN"/>
                                </w:rPr>
                                <w:t>送检</w:t>
                              </w:r>
                              <w:r>
                                <w:rPr>
                                  <w:rFonts w:hint="default" w:ascii="微软雅黑" w:hAnsi="微软雅黑" w:eastAsia="微软雅黑" w:cs="微软雅黑"/>
                                  <w:bCs/>
                                  <w:color w:val="auto"/>
                                  <w:sz w:val="18"/>
                                  <w:szCs w:val="18"/>
                                  <w:lang w:eastAsia="zh-CN"/>
                                </w:rPr>
                                <w:t>医院</w:t>
                              </w:r>
                              <w:r>
                                <w:rPr>
                                  <w:rFonts w:hint="eastAsia" w:ascii="微软雅黑" w:hAnsi="微软雅黑" w:eastAsia="微软雅黑" w:cs="微软雅黑"/>
                                  <w:bCs/>
                                  <w:color w:val="auto"/>
                                  <w:sz w:val="18"/>
                                  <w:szCs w:val="18"/>
                                  <w:lang w:eastAsia="zh-CN"/>
                                </w:rPr>
                                <w:t>：</w:t>
                              </w:r>
                            </w:p>
                          </w:tc>
                          <w:tc>
                            <w:tcPr>
                              <w:tcW w:w="1340" w:type="dxa"/>
                              <w:shd w:val="clear" w:color="auto" w:fill="auto"/>
                              <w:vAlign w:val="center"/>
                            </w:tcPr>
                            <w:p w14:paraId="3F3B8B1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val="en-US" w:eastAsia="zh-CN"/>
                                </w:rPr>
                                <w:t>-</w:t>
                              </w:r>
                            </w:p>
                          </w:tc>
                          <w:tc>
                            <w:tcPr>
                              <w:tcW w:w="1552" w:type="dxa"/>
                              <w:shd w:val="clear" w:color="auto" w:fill="auto"/>
                              <w:vAlign w:val="top"/>
                            </w:tcPr>
                            <w:p w14:paraId="78183686">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标本采集时间：</w:t>
                              </w:r>
                            </w:p>
                          </w:tc>
                          <w:tc>
                            <w:tcPr>
                              <w:tcW w:w="2140" w:type="dxa"/>
                              <w:shd w:val="clear" w:color="auto" w:fill="auto"/>
                              <w:vAlign w:val="top"/>
                            </w:tcPr>
                            <w:p w14:paraId="7BD6BFC1">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kern w:val="2"/>
                                  <w:sz w:val="18"/>
                                  <w:szCs w:val="18"/>
                                  <w:vertAlign w:val="baseline"/>
                                  <w:lang w:val="en-US" w:eastAsia="zh-CN" w:bidi="ar-SA"/>
                                </w:rPr>
                                <w:t>{{sample.collect_date}}</w:t>
                              </w:r>
                            </w:p>
                          </w:tc>
                        </w:tr>
                      </w:tbl>
                      <w:p w14:paraId="302CAF34">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p>
                      <w:p w14:paraId="27C6403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广州诺禾医学检验实验室</w:t>
                        </w:r>
                      </w:p>
                      <w:p w14:paraId="3DCB35EA">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广州市黄埔区开源大道11号C6栋702室</w:t>
                        </w:r>
                      </w:p>
                      <w:p w14:paraId="042E95D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上海诺禾医学检验实验室</w:t>
                        </w:r>
                      </w:p>
                      <w:p w14:paraId="70396E7E">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上海市闵行区绿洲环路396弄9号201室</w:t>
                        </w:r>
                      </w:p>
                      <w:p w14:paraId="587EE956">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天津诺禾医学检验实验室</w:t>
                        </w:r>
                      </w:p>
                      <w:p w14:paraId="7A7B82BA">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天津市武清区创业总部基地B07</w:t>
                        </w:r>
                      </w:p>
                      <w:p w14:paraId="5BDF9C18">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kern w:val="0"/>
                            <w:sz w:val="21"/>
                            <w:szCs w:val="21"/>
                            <w:lang w:val="en-US" w:eastAsia="zh-CN" w:bidi="ar-SA"/>
                          </w:rPr>
                        </w:pPr>
                      </w:p>
                      <w:p w14:paraId="039E3C7F">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kern w:val="0"/>
                            <w:sz w:val="21"/>
                            <w:szCs w:val="21"/>
                            <w:lang w:val="en-US" w:eastAsia="zh-CN" w:bidi="ar-SA"/>
                          </w:rPr>
                        </w:pPr>
                        <w:r>
                          <w:rPr>
                            <w:rFonts w:ascii="宋体" w:hAnsi="宋体" w:eastAsia="宋体" w:cs="宋体"/>
                            <w:kern w:val="0"/>
                            <w:sz w:val="21"/>
                            <w:szCs w:val="21"/>
                            <w:lang w:val="en-US" w:eastAsia="en-US" w:bidi="ar-SA"/>
                          </w:rPr>
                          <w:drawing>
                            <wp:inline distT="0" distB="0" distL="114935" distR="114935">
                              <wp:extent cx="438785" cy="438785"/>
                              <wp:effectExtent l="0" t="0" r="3175" b="3175"/>
                              <wp:docPr id="6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4" descr="IMG_256"/>
                                      <pic:cNvPicPr>
                                        <a:picLocks noChangeAspect="1"/>
                                      </pic:cNvPicPr>
                                    </pic:nvPicPr>
                                    <pic:blipFill>
                                      <a:blip r:embed="rId10"/>
                                      <a:stretch>
                                        <a:fillRect/>
                                      </a:stretch>
                                    </pic:blipFill>
                                    <pic:spPr>
                                      <a:xfrm>
                                        <a:off x="0" y="0"/>
                                        <a:ext cx="438785" cy="438785"/>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kern w:val="0"/>
                            <w:sz w:val="21"/>
                            <w:szCs w:val="21"/>
                            <w:lang w:val="en-US" w:eastAsia="en-US" w:bidi="ar-SA"/>
                          </w:rPr>
                          <w:drawing>
                            <wp:inline distT="0" distB="0" distL="114935" distR="114935">
                              <wp:extent cx="439420" cy="439420"/>
                              <wp:effectExtent l="0" t="0" r="2540" b="2540"/>
                              <wp:docPr id="6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3" descr="IMG_256"/>
                                      <pic:cNvPicPr>
                                        <a:picLocks noChangeAspect="1"/>
                                      </pic:cNvPicPr>
                                    </pic:nvPicPr>
                                    <pic:blipFill>
                                      <a:blip r:embed="rId11"/>
                                      <a:stretch>
                                        <a:fillRect/>
                                      </a:stretch>
                                    </pic:blipFill>
                                    <pic:spPr>
                                      <a:xfrm>
                                        <a:off x="0" y="0"/>
                                        <a:ext cx="439420" cy="439420"/>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color w:val="7F7F7F"/>
                            <w:kern w:val="0"/>
                            <w:sz w:val="20"/>
                            <w:szCs w:val="20"/>
                            <w:lang w:eastAsia="zh-CN"/>
                          </w:rPr>
                          <w:drawing>
                            <wp:inline distT="0" distB="0" distL="0" distR="0">
                              <wp:extent cx="1369060" cy="389255"/>
                              <wp:effectExtent l="0" t="0" r="2540" b="6985"/>
                              <wp:docPr id="65" name="图片 6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C:\Users\JT\Desktop\2019.3.1-诺禾致源logo-最新版\logo-透明底.pnglogo-透明底"/>
                                      <pic:cNvPicPr>
                                        <a:picLocks noChangeAspect="1"/>
                                      </pic:cNvPicPr>
                                    </pic:nvPicPr>
                                    <pic:blipFill>
                                      <a:blip r:embed="rId6"/>
                                      <a:srcRect/>
                                      <a:stretch>
                                        <a:fillRect/>
                                      </a:stretch>
                                    </pic:blipFill>
                                    <pic:spPr>
                                      <a:xfrm>
                                        <a:off x="0" y="0"/>
                                        <a:ext cx="1369060" cy="389255"/>
                                      </a:xfrm>
                                      <a:prstGeom prst="rect">
                                        <a:avLst/>
                                      </a:prstGeom>
                                    </pic:spPr>
                                  </pic:pic>
                                </a:graphicData>
                              </a:graphic>
                            </wp:inline>
                          </w:drawing>
                        </w:r>
                      </w:p>
                      <w:p w14:paraId="5D924412">
                        <w:pPr>
                          <w:keepNext w:val="0"/>
                          <w:keepLines w:val="0"/>
                          <w:pageBreakBefore w:val="0"/>
                          <w:widowControl/>
                          <w:kinsoku/>
                          <w:wordWrap/>
                          <w:overflowPunct/>
                          <w:topLinePunct w:val="0"/>
                          <w:bidi w:val="0"/>
                          <w:adjustRightInd/>
                          <w:snapToGrid w:val="0"/>
                          <w:jc w:val="left"/>
                          <w:textAlignment w:val="auto"/>
                          <w:rPr>
                            <w:rFonts w:hint="eastAsia" w:ascii="微软雅黑" w:hAnsi="微软雅黑" w:eastAsia="微软雅黑" w:cs="微软雅黑"/>
                            <w:b/>
                            <w:bCs/>
                            <w:color w:val="0083C3"/>
                            <w:kern w:val="0"/>
                            <w:sz w:val="21"/>
                            <w:szCs w:val="21"/>
                            <w:lang w:val="en-US" w:eastAsia="zh-CN" w:bidi="ar-SA"/>
                          </w:rPr>
                        </w:pPr>
                        <w:r>
                          <w:rPr>
                            <w:rFonts w:hint="eastAsia" w:ascii="微软雅黑" w:hAnsi="微软雅黑" w:eastAsia="微软雅黑" w:cs="微软雅黑"/>
                            <w:b/>
                            <w:bCs/>
                            <w:color w:val="0083C3"/>
                            <w:kern w:val="0"/>
                            <w:sz w:val="21"/>
                            <w:szCs w:val="21"/>
                            <w:lang w:val="en-US" w:eastAsia="zh-CN" w:bidi="ar-SA"/>
                          </w:rPr>
                          <w:t>诺禾医学   诺禾在线</w:t>
                        </w:r>
                      </w:p>
                      <w:p w14:paraId="518C6EBA">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0083C3"/>
                            <w:kern w:val="0"/>
                            <w:sz w:val="21"/>
                            <w:szCs w:val="21"/>
                            <w:lang w:val="en-US" w:eastAsia="zh-CN" w:bidi="ar-SA"/>
                          </w:rPr>
                        </w:pPr>
                        <w:r>
                          <w:rPr>
                            <w:rFonts w:ascii="Times New Roman" w:hAnsi="Times New Roman" w:eastAsia="等线" w:cs="宋体"/>
                            <w:b/>
                            <w:bCs/>
                            <w:color w:val="0083C3"/>
                            <w:kern w:val="0"/>
                            <w:sz w:val="21"/>
                            <w:szCs w:val="21"/>
                            <w:lang w:val="en-US" w:eastAsia="en-US" w:bidi="ar-SA"/>
                          </w:rPr>
                          <w:t>www.novogene.com</w:t>
                        </w:r>
                      </w:p>
                      <w:p w14:paraId="27A2B5BB">
                        <w:pPr>
                          <w:keepNext w:val="0"/>
                          <w:keepLines w:val="0"/>
                          <w:pageBreakBefore w:val="0"/>
                          <w:widowControl/>
                          <w:kinsoku/>
                          <w:wordWrap/>
                          <w:overflowPunct/>
                          <w:topLinePunct w:val="0"/>
                          <w:bidi w:val="0"/>
                          <w:adjustRightInd/>
                          <w:snapToGrid w:val="0"/>
                          <w:ind w:left="420" w:hanging="420" w:hangingChars="200"/>
                          <w:jc w:val="left"/>
                          <w:textAlignment w:val="auto"/>
                          <w:rPr>
                            <w:rFonts w:hint="eastAsia" w:ascii="微软雅黑" w:hAnsi="微软雅黑" w:eastAsia="微软雅黑" w:cs="微软雅黑"/>
                            <w:b/>
                            <w:bCs/>
                            <w:color w:val="auto"/>
                            <w:kern w:val="0"/>
                            <w:sz w:val="21"/>
                            <w:szCs w:val="21"/>
                            <w:lang w:val="en-US" w:eastAsia="zh-CN" w:bidi="ar-SA"/>
                          </w:rPr>
                        </w:pPr>
                        <w:r>
                          <w:rPr>
                            <w:rFonts w:hint="eastAsia" w:ascii="微软雅黑" w:hAnsi="微软雅黑" w:eastAsia="微软雅黑" w:cs="微软雅黑"/>
                            <w:b/>
                            <w:bCs/>
                            <w:color w:val="auto"/>
                            <w:kern w:val="0"/>
                            <w:sz w:val="21"/>
                            <w:szCs w:val="21"/>
                            <w:lang w:val="en-US" w:eastAsia="zh-CN" w:bidi="ar-SA"/>
                          </w:rPr>
                          <w:t>中国 · 美国 · 英国 · 新加坡 · 荷兰 · 日本</w:t>
                        </w:r>
                      </w:p>
                      <w:p w14:paraId="224F8763">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auto"/>
                            <w:kern w:val="0"/>
                            <w:sz w:val="21"/>
                            <w:szCs w:val="21"/>
                            <w:lang w:val="en-US" w:eastAsia="en-US" w:bidi="ar-SA"/>
                          </w:rPr>
                        </w:pPr>
                        <w:r>
                          <w:rPr>
                            <w:rFonts w:ascii="Times New Roman" w:hAnsi="Times New Roman" w:eastAsia="等线" w:cs="宋体"/>
                            <w:color w:val="auto"/>
                            <w:kern w:val="0"/>
                            <w:sz w:val="21"/>
                            <w:szCs w:val="21"/>
                            <w:lang w:val="en-US" w:eastAsia="en-US" w:bidi="ar-SA"/>
                          </w:rPr>
                          <w:t>China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USA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UK</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Singapore</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Netherlands</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hint="eastAsia" w:ascii="Times New Roman" w:hAnsi="Times New Roman" w:eastAsia="等线" w:cs="宋体"/>
                            <w:color w:val="auto"/>
                            <w:kern w:val="0"/>
                            <w:sz w:val="21"/>
                            <w:szCs w:val="21"/>
                            <w:lang w:val="en-US" w:eastAsia="zh-CN" w:bidi="ar-SA"/>
                          </w:rPr>
                          <w:t>J</w:t>
                        </w:r>
                        <w:r>
                          <w:rPr>
                            <w:rFonts w:ascii="Times New Roman" w:hAnsi="Times New Roman" w:eastAsia="等线" w:cs="宋体"/>
                            <w:color w:val="auto"/>
                            <w:kern w:val="0"/>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61"/>
                          <w:tblW w:w="4705" w:type="dxa"/>
                          <w:tblInd w:w="0" w:type="dxa"/>
                          <w:tblLayout w:type="fixed"/>
                          <w:tblCellMar>
                            <w:top w:w="0" w:type="dxa"/>
                            <w:left w:w="0" w:type="dxa"/>
                            <w:bottom w:w="0" w:type="dxa"/>
                            <w:right w:w="0" w:type="dxa"/>
                          </w:tblCellMar>
                        </w:tblPr>
                        <w:tblGrid>
                          <w:gridCol w:w="949"/>
                          <w:gridCol w:w="1344"/>
                          <w:gridCol w:w="918"/>
                          <w:gridCol w:w="1494"/>
                        </w:tblGrid>
                        <w:tr w14:paraId="2D23B2A5">
                          <w:tblPrEx>
                            <w:tblCellMar>
                              <w:top w:w="0" w:type="dxa"/>
                              <w:left w:w="0" w:type="dxa"/>
                              <w:bottom w:w="0" w:type="dxa"/>
                              <w:right w:w="0" w:type="dxa"/>
                            </w:tblCellMar>
                          </w:tblPrEx>
                          <w:trPr>
                            <w:trHeight w:val="441" w:hRule="exact"/>
                          </w:trPr>
                          <w:tc>
                            <w:tcPr>
                              <w:tcW w:w="949" w:type="dxa"/>
                              <w:vAlign w:val="center"/>
                            </w:tcPr>
                            <w:p w14:paraId="1E1A978C">
                              <w:pPr>
                                <w:pStyle w:val="59"/>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44" w:type="dxa"/>
                              <w:vAlign w:val="center"/>
                            </w:tcPr>
                            <w:p w14:paraId="65E355B9">
                              <w:pPr>
                                <w:pStyle w:val="59"/>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{{"ty_tianjin1"|sign(</w:t>
                              </w:r>
                              <w:r>
                                <w:rPr>
                                  <w:rFonts w:hint="eastAsia" w:ascii="Times New Roman" w:hAnsi="Times New Roman" w:cs="Times New Roman"/>
                                  <w:b/>
                                  <w:sz w:val="18"/>
                                  <w:szCs w:val="18"/>
                                  <w:lang w:val="en-US" w:eastAsia="zh-CN"/>
                                </w:rPr>
                                <w:t>46</w:t>
                              </w:r>
                              <w:r>
                                <w:rPr>
                                  <w:rFonts w:hint="eastAsia" w:ascii="Times New Roman" w:hAnsi="Times New Roman" w:cs="Times New Roman"/>
                                  <w:b/>
                                  <w:sz w:val="18"/>
                                  <w:szCs w:val="18"/>
                                </w:rPr>
                                <w:t>,2</w:t>
                              </w:r>
                              <w:r>
                                <w:rPr>
                                  <w:rFonts w:hint="eastAsia" w:ascii="Times New Roman" w:hAnsi="Times New Roman" w:cs="Times New Roman"/>
                                  <w:b/>
                                  <w:sz w:val="18"/>
                                  <w:szCs w:val="18"/>
                                  <w:lang w:val="en-US" w:eastAsia="zh-CN"/>
                                </w:rPr>
                                <w:t>1</w:t>
                              </w:r>
                              <w:r>
                                <w:rPr>
                                  <w:rFonts w:hint="eastAsia" w:ascii="Times New Roman" w:hAnsi="Times New Roman" w:cs="Times New Roman"/>
                                  <w:b/>
                                  <w:sz w:val="18"/>
                                  <w:szCs w:val="18"/>
                                </w:rPr>
                                <w:t>)}}</w:t>
                              </w:r>
                            </w:p>
                          </w:tc>
                          <w:tc>
                            <w:tcPr>
                              <w:tcW w:w="918" w:type="dxa"/>
                              <w:vAlign w:val="center"/>
                            </w:tcPr>
                            <w:p w14:paraId="5C3871F0">
                              <w:pPr>
                                <w:pStyle w:val="59"/>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94" w:type="dxa"/>
                              <w:vAlign w:val="center"/>
                            </w:tcPr>
                            <w:p w14:paraId="1684B44B">
                              <w:pPr>
                                <w:pStyle w:val="59"/>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{{"ty_tianjin2"|sign(</w:t>
                              </w:r>
                              <w:r>
                                <w:rPr>
                                  <w:rFonts w:hint="eastAsia" w:ascii="Times New Roman" w:hAnsi="Times New Roman" w:cs="Times New Roman"/>
                                  <w:b/>
                                  <w:sz w:val="18"/>
                                  <w:szCs w:val="18"/>
                                  <w:lang w:val="en-US" w:eastAsia="zh-CN"/>
                                </w:rPr>
                                <w:t>44</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r>
                        <w:tr w14:paraId="6293D3C9">
                          <w:tblPrEx>
                            <w:tblCellMar>
                              <w:top w:w="0" w:type="dxa"/>
                              <w:left w:w="0" w:type="dxa"/>
                              <w:bottom w:w="0" w:type="dxa"/>
                              <w:right w:w="0" w:type="dxa"/>
                            </w:tblCellMar>
                          </w:tblPrEx>
                          <w:trPr>
                            <w:trHeight w:val="457" w:hRule="exact"/>
                          </w:trPr>
                          <w:tc>
                            <w:tcPr>
                              <w:tcW w:w="949" w:type="dxa"/>
                              <w:vAlign w:val="center"/>
                            </w:tcPr>
                            <w:p w14:paraId="22300F1F">
                              <w:pPr>
                                <w:pStyle w:val="59"/>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44" w:type="dxa"/>
                              <w:vAlign w:val="center"/>
                            </w:tcPr>
                            <w:p w14:paraId="618F2FB2">
                              <w:pPr>
                                <w:pStyle w:val="59"/>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8" w:type="dxa"/>
                              <w:vAlign w:val="center"/>
                            </w:tcPr>
                            <w:p w14:paraId="19E268D7">
                              <w:pPr>
                                <w:pStyle w:val="59"/>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94" w:type="dxa"/>
                              <w:vAlign w:val="center"/>
                            </w:tcPr>
                            <w:p w14:paraId="1FB0D37E">
                              <w:pPr>
                                <w:pStyle w:val="59"/>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E6872AD">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F3E0DDC">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61"/>
                          <w:tblW w:w="4693" w:type="dxa"/>
                          <w:tblInd w:w="0" w:type="dxa"/>
                          <w:tblLayout w:type="fixed"/>
                          <w:tblCellMar>
                            <w:top w:w="0" w:type="dxa"/>
                            <w:left w:w="0" w:type="dxa"/>
                            <w:bottom w:w="0" w:type="dxa"/>
                            <w:right w:w="0" w:type="dxa"/>
                          </w:tblCellMar>
                        </w:tblPr>
                        <w:tblGrid>
                          <w:gridCol w:w="961"/>
                          <w:gridCol w:w="1332"/>
                          <w:gridCol w:w="912"/>
                          <w:gridCol w:w="1488"/>
                        </w:tblGrid>
                        <w:tr w14:paraId="77A42122">
                          <w:tblPrEx>
                            <w:tblCellMar>
                              <w:top w:w="0" w:type="dxa"/>
                              <w:left w:w="0" w:type="dxa"/>
                              <w:bottom w:w="0" w:type="dxa"/>
                              <w:right w:w="0" w:type="dxa"/>
                            </w:tblCellMar>
                          </w:tblPrEx>
                          <w:trPr>
                            <w:trHeight w:val="441" w:hRule="exact"/>
                          </w:trPr>
                          <w:tc>
                            <w:tcPr>
                              <w:tcW w:w="961" w:type="dxa"/>
                              <w:vAlign w:val="center"/>
                            </w:tcPr>
                            <w:p w14:paraId="03BE1E5C">
                              <w:pPr>
                                <w:pStyle w:val="59"/>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32" w:type="dxa"/>
                              <w:vAlign w:val="center"/>
                            </w:tcPr>
                            <w:p w14:paraId="6D512138">
                              <w:pPr>
                                <w:pStyle w:val="59"/>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{{"ty_guangzhou1"|sign(</w:t>
                              </w:r>
                              <w:r>
                                <w:rPr>
                                  <w:rFonts w:hint="eastAsia" w:ascii="Times New Roman" w:hAnsi="Times New Roman" w:cs="Times New Roman"/>
                                  <w:b/>
                                  <w:sz w:val="18"/>
                                  <w:szCs w:val="18"/>
                                  <w:lang w:val="en-US" w:eastAsia="zh-CN"/>
                                </w:rPr>
                                <w:t>47</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c>
                            <w:tcPr>
                              <w:tcW w:w="912" w:type="dxa"/>
                              <w:vAlign w:val="center"/>
                            </w:tcPr>
                            <w:p w14:paraId="7369C58C">
                              <w:pPr>
                                <w:pStyle w:val="59"/>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8F9356D">
                              <w:pPr>
                                <w:pStyle w:val="59"/>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{{"ty_guangzhou2"|sign(</w:t>
                              </w:r>
                              <w:r>
                                <w:rPr>
                                  <w:rFonts w:hint="eastAsia" w:ascii="Times New Roman" w:hAnsi="Times New Roman" w:cs="Times New Roman"/>
                                  <w:b/>
                                  <w:sz w:val="18"/>
                                  <w:szCs w:val="18"/>
                                  <w:lang w:val="en-US" w:eastAsia="zh-CN"/>
                                </w:rPr>
                                <w:t>44</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r>
                        <w:tr w14:paraId="48395842">
                          <w:tblPrEx>
                            <w:tblCellMar>
                              <w:top w:w="0" w:type="dxa"/>
                              <w:left w:w="0" w:type="dxa"/>
                              <w:bottom w:w="0" w:type="dxa"/>
                              <w:right w:w="0" w:type="dxa"/>
                            </w:tblCellMar>
                          </w:tblPrEx>
                          <w:trPr>
                            <w:trHeight w:val="457" w:hRule="exact"/>
                          </w:trPr>
                          <w:tc>
                            <w:tcPr>
                              <w:tcW w:w="961" w:type="dxa"/>
                              <w:vAlign w:val="center"/>
                            </w:tcPr>
                            <w:p w14:paraId="10E1D0B3">
                              <w:pPr>
                                <w:pStyle w:val="59"/>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32" w:type="dxa"/>
                              <w:vAlign w:val="center"/>
                            </w:tcPr>
                            <w:p w14:paraId="2864B802">
                              <w:pPr>
                                <w:pStyle w:val="59"/>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E30E500">
                              <w:pPr>
                                <w:pStyle w:val="59"/>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BA7BF47">
                              <w:pPr>
                                <w:pStyle w:val="59"/>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p w14:paraId="5FD3E9FA">
                        <w:pPr>
                          <w:keepNext w:val="0"/>
                          <w:keepLines w:val="0"/>
                          <w:pageBreakBefore w:val="0"/>
                          <w:widowControl/>
                          <w:kinsoku/>
                          <w:wordWrap/>
                          <w:overflowPunct/>
                          <w:topLinePunct w:val="0"/>
                          <w:bidi w:val="0"/>
                          <w:adjustRightInd/>
                          <w:snapToGrid w:val="0"/>
                          <w:jc w:val="left"/>
                          <w:textAlignment w:val="auto"/>
                          <w:rPr>
                            <w:rFonts w:hint="default" w:ascii="Times New Roman" w:hAnsi="Times New Roman" w:eastAsia="等线" w:cs="宋体"/>
                            <w:sz w:val="18"/>
                            <w:szCs w:val="18"/>
                            <w:lang w:val="en-US" w:eastAsia="zh-CN" w:bidi="ar-SA"/>
                          </w:rPr>
                        </w:pPr>
                      </w:p>
                    </w:txbxContent>
                  </v:textbox>
                </v:shape>
                <v:shape id="图片 25" o:spid="_x0000_s1026" o:spt="75" type="#_x0000_t75" style="position:absolute;left:6863;top:725010;height:1098;width:1098;"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2" o:title=""/>
                  <o:lock v:ext="edit" aspectratio="t"/>
                </v:shape>
              </v:group>
            </w:pict>
          </mc:Fallback>
        </mc:AlternateContent>
      </w:r>
      <w:r>
        <w:rPr>
          <w:rFonts w:hint="eastAsia" w:ascii="黑体" w:hAnsi="黑体" w:eastAsia="黑体" w:cs="黑体"/>
          <w:b/>
          <w:bCs/>
          <w:color w:val="005BAB"/>
          <w:sz w:val="28"/>
          <w:szCs w:val="28"/>
        </w:rPr>
        <w:drawing>
          <wp:anchor distT="0" distB="0" distL="0" distR="0" simplePos="0" relativeHeight="251660288" behindDoc="0" locked="0" layoutInCell="1" allowOverlap="1">
            <wp:simplePos x="0" y="0"/>
            <wp:positionH relativeFrom="page">
              <wp:posOffset>-19050</wp:posOffset>
            </wp:positionH>
            <wp:positionV relativeFrom="paragraph">
              <wp:posOffset>-1316990</wp:posOffset>
            </wp:positionV>
            <wp:extent cx="7741920" cy="10893425"/>
            <wp:effectExtent l="0" t="0" r="0" b="3175"/>
            <wp:wrapNone/>
            <wp:docPr id="11" name="图片 24"/>
            <wp:cNvGraphicFramePr/>
            <a:graphic xmlns:a="http://schemas.openxmlformats.org/drawingml/2006/main">
              <a:graphicData uri="http://schemas.openxmlformats.org/drawingml/2006/picture">
                <pic:pic xmlns:pic="http://schemas.openxmlformats.org/drawingml/2006/picture">
                  <pic:nvPicPr>
                    <pic:cNvPr id="11" name="图片 24"/>
                    <pic:cNvPicPr/>
                  </pic:nvPicPr>
                  <pic:blipFill>
                    <a:blip r:embed="rId13" cstate="print"/>
                    <a:srcRect/>
                    <a:stretch>
                      <a:fillRect/>
                    </a:stretch>
                  </pic:blipFill>
                  <pic:spPr>
                    <a:xfrm>
                      <a:off x="0" y="0"/>
                      <a:ext cx="7741919" cy="10893425"/>
                    </a:xfrm>
                    <a:prstGeom prst="rect">
                      <a:avLst/>
                    </a:prstGeom>
                  </pic:spPr>
                </pic:pic>
              </a:graphicData>
            </a:graphic>
          </wp:anchor>
        </w:drawing>
      </w:r>
    </w:p>
    <w:sectPr>
      <w:headerReference r:id="rId3" w:type="default"/>
      <w:footerReference r:id="rId4" w:type="default"/>
      <w:pgSz w:w="11906" w:h="16838"/>
      <w:pgMar w:top="1724" w:right="1077" w:bottom="1440" w:left="1077" w:header="851" w:footer="567" w:gutter="0"/>
      <w:pgBorders>
        <w:top w:val="none" w:sz="0" w:space="0"/>
        <w:left w:val="none" w:sz="0" w:space="0"/>
        <w:bottom w:val="none" w:sz="0" w:space="0"/>
        <w:right w:val="none" w:sz="0" w:space="0"/>
      </w:pgBorders>
      <w:pgNumType w:start="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OPPOSans R">
    <w:altName w:val="宋体"/>
    <w:panose1 w:val="00000000000000000000"/>
    <w:charset w:val="86"/>
    <w:family w:val="auto"/>
    <w:pitch w:val="default"/>
    <w:sig w:usb0="00000000" w:usb1="00000000" w:usb2="00000016" w:usb3="00000000" w:csb0="0004009F" w:csb1="00000000"/>
  </w:font>
  <w:font w:name="Heiti SC Medium">
    <w:altName w:val="微软雅黑"/>
    <w:panose1 w:val="00000000000000000000"/>
    <w:charset w:val="86"/>
    <w:family w:val="auto"/>
    <w:pitch w:val="default"/>
    <w:sig w:usb0="00000000" w:usb1="00000000" w:usb2="00000000" w:usb3="00000000" w:csb0="203E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BE9766">
    <w:pPr>
      <w:pStyle w:val="8"/>
      <w:jc w:val="center"/>
      <w:rPr>
        <w:rFonts w:hint="eastAsia"/>
      </w:rPr>
    </w:pPr>
    <w:r>
      <w:fldChar w:fldCharType="begin"/>
    </w:r>
    <w:r>
      <w:instrText xml:space="preserve">PAGE   \* MERGEFORMAT</w:instrText>
    </w:r>
    <w:r>
      <w:fldChar w:fldCharType="separate"/>
    </w:r>
    <w:r>
      <w:rPr>
        <w:lang w:val="zh-CN"/>
      </w:rPr>
      <w:t>2</w:t>
    </w:r>
    <w:r>
      <w:fldChar w:fldCharType="end"/>
    </w:r>
  </w:p>
  <w:p w14:paraId="12D820DD">
    <w:pPr>
      <w:pStyle w:val="8"/>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399C6E">
    <w:pPr>
      <w:pStyle w:val="9"/>
      <w:pBdr>
        <w:bottom w:val="none" w:color="auto" w:sz="0" w:space="1"/>
      </w:pBdr>
      <w:ind w:left="-991" w:leftChars="-472"/>
      <w:rPr>
        <w:rFonts w:hint="eastAsia"/>
      </w:rPr>
    </w:pPr>
    <w:r>
      <w:drawing>
        <wp:anchor distT="0" distB="0" distL="0" distR="0" simplePos="0" relativeHeight="251661312" behindDoc="0" locked="0" layoutInCell="1" allowOverlap="1">
          <wp:simplePos x="0" y="0"/>
          <wp:positionH relativeFrom="margin">
            <wp:posOffset>5067935</wp:posOffset>
          </wp:positionH>
          <wp:positionV relativeFrom="paragraph">
            <wp:posOffset>166370</wp:posOffset>
          </wp:positionV>
          <wp:extent cx="1109980" cy="342900"/>
          <wp:effectExtent l="0" t="0" r="7620" b="0"/>
          <wp:wrapNone/>
          <wp:docPr id="12" name="图片 5"/>
          <wp:cNvGraphicFramePr/>
          <a:graphic xmlns:a="http://schemas.openxmlformats.org/drawingml/2006/main">
            <a:graphicData uri="http://schemas.openxmlformats.org/drawingml/2006/picture">
              <pic:pic xmlns:pic="http://schemas.openxmlformats.org/drawingml/2006/picture">
                <pic:nvPicPr>
                  <pic:cNvPr id="12" name="图片 5"/>
                  <pic:cNvPicPr/>
                </pic:nvPicPr>
                <pic:blipFill>
                  <a:blip r:embed="rId1" cstate="print"/>
                  <a:srcRect/>
                  <a:stretch>
                    <a:fillRect/>
                  </a:stretch>
                </pic:blipFill>
                <pic:spPr>
                  <a:xfrm>
                    <a:off x="0" y="0"/>
                    <a:ext cx="1109979" cy="342899"/>
                  </a:xfrm>
                  <a:prstGeom prst="rect">
                    <a:avLst/>
                  </a:prstGeom>
                </pic:spPr>
              </pic:pic>
            </a:graphicData>
          </a:graphic>
        </wp:anchor>
      </w:drawing>
    </w:r>
    <w:r>
      <w:drawing>
        <wp:anchor distT="0" distB="0" distL="0" distR="0" simplePos="0" relativeHeight="251662336" behindDoc="0" locked="0" layoutInCell="1" allowOverlap="1">
          <wp:simplePos x="0" y="0"/>
          <wp:positionH relativeFrom="column">
            <wp:posOffset>6985</wp:posOffset>
          </wp:positionH>
          <wp:positionV relativeFrom="paragraph">
            <wp:posOffset>166370</wp:posOffset>
          </wp:positionV>
          <wp:extent cx="1026160" cy="329565"/>
          <wp:effectExtent l="0" t="0" r="15240" b="635"/>
          <wp:wrapNone/>
          <wp:docPr id="13" name="图片 6" descr="标准logo"/>
          <wp:cNvGraphicFramePr/>
          <a:graphic xmlns:a="http://schemas.openxmlformats.org/drawingml/2006/main">
            <a:graphicData uri="http://schemas.openxmlformats.org/drawingml/2006/picture">
              <pic:pic xmlns:pic="http://schemas.openxmlformats.org/drawingml/2006/picture">
                <pic:nvPicPr>
                  <pic:cNvPr id="13" name="图片 6" descr="标准logo"/>
                  <pic:cNvPicPr/>
                </pic:nvPicPr>
                <pic:blipFill>
                  <a:blip r:embed="rId2" cstate="print"/>
                  <a:srcRect/>
                  <a:stretch>
                    <a:fillRect/>
                  </a:stretch>
                </pic:blipFill>
                <pic:spPr>
                  <a:xfrm>
                    <a:off x="0" y="0"/>
                    <a:ext cx="1026159" cy="32956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9D90A2"/>
    <w:multiLevelType w:val="singleLevel"/>
    <w:tmpl w:val="A99D90A2"/>
    <w:lvl w:ilvl="0" w:tentative="0">
      <w:start w:val="1"/>
      <w:numFmt w:val="decimal"/>
      <w:lvlText w:val="%1."/>
      <w:lvlJc w:val="left"/>
      <w:pPr>
        <w:ind w:left="425" w:hanging="425"/>
      </w:pPr>
      <w:rPr>
        <w:rFonts w:hint="default"/>
      </w:rPr>
    </w:lvl>
  </w:abstractNum>
  <w:abstractNum w:abstractNumId="1">
    <w:nsid w:val="EB7C32C1"/>
    <w:multiLevelType w:val="multilevel"/>
    <w:tmpl w:val="EB7C32C1"/>
    <w:lvl w:ilvl="0" w:tentative="0">
      <w:start w:val="1"/>
      <w:numFmt w:val="decimal"/>
      <w:lvlText w:val="%1."/>
      <w:lvlJc w:val="left"/>
      <w:pPr>
        <w:ind w:left="425" w:hanging="425"/>
      </w:pPr>
      <w:rPr>
        <w:rFonts w:hint="default" w:ascii="黑体" w:hAnsi="黑体" w:eastAsia="黑体" w:cs="黑体"/>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EFA4EED"/>
    <w:multiLevelType w:val="singleLevel"/>
    <w:tmpl w:val="EEFA4EED"/>
    <w:lvl w:ilvl="0" w:tentative="0">
      <w:start w:val="1"/>
      <w:numFmt w:val="decimal"/>
      <w:suff w:val="nothing"/>
      <w:lvlText w:val="%1."/>
      <w:lvlJc w:val="left"/>
      <w:pPr>
        <w:ind w:left="425" w:hanging="425"/>
      </w:pPr>
      <w:rPr>
        <w:rFonts w:hint="default"/>
      </w:rPr>
    </w:lvl>
  </w:abstractNum>
  <w:abstractNum w:abstractNumId="3">
    <w:nsid w:val="00000002"/>
    <w:multiLevelType w:val="multilevel"/>
    <w:tmpl w:val="00000002"/>
    <w:lvl w:ilvl="0" w:tentative="0">
      <w:start w:val="1"/>
      <w:numFmt w:val="none"/>
      <w:pStyle w:val="46"/>
      <w:suff w:val="nothing"/>
      <w:lvlText w:val="%1"/>
      <w:lvlJc w:val="left"/>
      <w:pPr>
        <w:ind w:left="0" w:firstLine="0"/>
      </w:pPr>
      <w:rPr>
        <w:rFonts w:hint="eastAsia"/>
        <w:b/>
        <w:bCs/>
        <w:color w:val="auto"/>
        <w:sz w:val="21"/>
        <w:szCs w:val="22"/>
      </w:rPr>
    </w:lvl>
    <w:lvl w:ilvl="1" w:tentative="0">
      <w:start w:val="1"/>
      <w:numFmt w:val="bullet"/>
      <w:suff w:val="space"/>
      <w:lvlText w:val=""/>
      <w:lvlJc w:val="left"/>
      <w:pPr>
        <w:ind w:left="0" w:firstLine="0"/>
      </w:pPr>
      <w:rPr>
        <w:rFonts w:hint="default" w:ascii="Symbol" w:hAnsi="Symbol"/>
        <w:b/>
        <w:bCs/>
        <w:i w:val="0"/>
        <w:iCs w:val="0"/>
        <w:caps w:val="0"/>
        <w:smallCaps w:val="0"/>
        <w:outline w:val="0"/>
        <w:emboss w:val="0"/>
        <w:imprint w:val="0"/>
        <w:color w:val="auto"/>
        <w:spacing w:val="0"/>
        <w:position w:val="0"/>
        <w:u w:val="none"/>
        <w:vertAlign w:val="baseline"/>
        <w14:shadow w14:blurRad="0" w14:dist="0" w14:dir="0" w14:sx="0" w14:sy="0" w14:kx="0" w14:ky="0" w14:algn="none">
          <w14:srgbClr w14:val="000000"/>
        </w14:shadow>
      </w:rPr>
    </w:lvl>
    <w:lvl w:ilvl="2" w:tentative="0">
      <w:start w:val="1"/>
      <w:numFmt w:val="decimal"/>
      <w:pStyle w:val="47"/>
      <w:suff w:val="space"/>
      <w:lvlText w:val="%2%3."/>
      <w:lvlJc w:val="left"/>
      <w:pPr>
        <w:ind w:left="284" w:hanging="284"/>
      </w:pPr>
      <w:rPr>
        <w:rFonts w:hint="eastAsia" w:ascii="OPPOSans R" w:eastAsia="OPPOSans R"/>
        <w:b/>
        <w:bCs w:val="0"/>
        <w:i w:val="0"/>
        <w:iCs w:val="0"/>
        <w:caps w:val="0"/>
        <w:smallCaps w:val="0"/>
        <w:color w:val="2A728E"/>
        <w:spacing w:val="0"/>
        <w:kern w:val="0"/>
        <w:position w:val="0"/>
        <w:sz w:val="18"/>
        <w:szCs w:val="18"/>
        <w:u w:val="none"/>
        <w:vertAlign w:val="baseline"/>
      </w:rPr>
    </w:lvl>
    <w:lvl w:ilvl="3" w:tentative="0">
      <w:start w:val="1"/>
      <w:numFmt w:val="decimal"/>
      <w:pStyle w:val="48"/>
      <w:suff w:val="space"/>
      <w:lvlText w:val="%2%3.%4"/>
      <w:lvlJc w:val="left"/>
      <w:pPr>
        <w:ind w:left="284" w:hanging="284"/>
      </w:pPr>
      <w:rPr>
        <w:rFonts w:hint="eastAsia" w:ascii="OPPOSans R" w:eastAsia="OPPOSans R"/>
        <w:b/>
        <w:i w:val="0"/>
        <w:color w:val="098688"/>
        <w:sz w:val="18"/>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226C46CD"/>
    <w:multiLevelType w:val="multilevel"/>
    <w:tmpl w:val="226C46CD"/>
    <w:lvl w:ilvl="0" w:tentative="0">
      <w:start w:val="1"/>
      <w:numFmt w:val="decimal"/>
      <w:pStyle w:val="51"/>
      <w:lvlText w:val="%1."/>
      <w:lvlJc w:val="left"/>
      <w:pPr>
        <w:ind w:left="1260" w:hanging="420"/>
      </w:pPr>
      <w:rPr>
        <w:rFonts w:hint="eastAsia" w:eastAsia="微软雅黑"/>
        <w:b w:val="0"/>
        <w:i w:val="0"/>
      </w:rPr>
    </w:lvl>
    <w:lvl w:ilvl="1" w:tentative="0">
      <w:start w:val="1"/>
      <w:numFmt w:val="lowerLetter"/>
      <w:lvlText w:val="%2)"/>
      <w:lvlJc w:val="left"/>
      <w:pPr>
        <w:ind w:left="1680" w:hanging="420"/>
      </w:pPr>
    </w:lvl>
    <w:lvl w:ilvl="2" w:tentative="0">
      <w:start w:val="1"/>
      <w:numFmt w:val="lowerRoman"/>
      <w:lvlText w:val="%3."/>
      <w:lvlJc w:val="right"/>
      <w:pPr>
        <w:ind w:left="2100" w:hanging="420"/>
      </w:pPr>
    </w:lvl>
    <w:lvl w:ilvl="3" w:tentative="0">
      <w:start w:val="1"/>
      <w:numFmt w:val="decimal"/>
      <w:lvlText w:val="%4."/>
      <w:lvlJc w:val="left"/>
      <w:pPr>
        <w:ind w:left="2520" w:hanging="420"/>
      </w:pPr>
    </w:lvl>
    <w:lvl w:ilvl="4" w:tentative="0">
      <w:start w:val="1"/>
      <w:numFmt w:val="lowerLetter"/>
      <w:lvlText w:val="%5)"/>
      <w:lvlJc w:val="left"/>
      <w:pPr>
        <w:ind w:left="2940" w:hanging="420"/>
      </w:pPr>
    </w:lvl>
    <w:lvl w:ilvl="5" w:tentative="0">
      <w:start w:val="1"/>
      <w:numFmt w:val="lowerRoman"/>
      <w:lvlText w:val="%6."/>
      <w:lvlJc w:val="right"/>
      <w:pPr>
        <w:ind w:left="3360" w:hanging="420"/>
      </w:pPr>
    </w:lvl>
    <w:lvl w:ilvl="6" w:tentative="0">
      <w:start w:val="1"/>
      <w:numFmt w:val="decimal"/>
      <w:lvlText w:val="%7."/>
      <w:lvlJc w:val="left"/>
      <w:pPr>
        <w:ind w:left="3780" w:hanging="420"/>
      </w:pPr>
    </w:lvl>
    <w:lvl w:ilvl="7" w:tentative="0">
      <w:start w:val="1"/>
      <w:numFmt w:val="lowerLetter"/>
      <w:lvlText w:val="%8)"/>
      <w:lvlJc w:val="left"/>
      <w:pPr>
        <w:ind w:left="4200" w:hanging="420"/>
      </w:pPr>
    </w:lvl>
    <w:lvl w:ilvl="8" w:tentative="0">
      <w:start w:val="1"/>
      <w:numFmt w:val="lowerRoman"/>
      <w:lvlText w:val="%9."/>
      <w:lvlJc w:val="right"/>
      <w:pPr>
        <w:ind w:left="4620" w:hanging="420"/>
      </w:pPr>
    </w:lvl>
  </w:abstractNum>
  <w:abstractNum w:abstractNumId="5">
    <w:nsid w:val="55AD84B2"/>
    <w:multiLevelType w:val="singleLevel"/>
    <w:tmpl w:val="55AD84B2"/>
    <w:lvl w:ilvl="0" w:tentative="0">
      <w:start w:val="1"/>
      <w:numFmt w:val="decimal"/>
      <w:lvlText w:val="%1."/>
      <w:lvlJc w:val="left"/>
      <w:pPr>
        <w:ind w:left="425" w:hanging="425"/>
      </w:pPr>
      <w:rPr>
        <w:rFonts w:hint="default"/>
      </w:rPr>
    </w:lvl>
  </w:abstractNum>
  <w:abstractNum w:abstractNumId="6">
    <w:nsid w:val="689C4F3F"/>
    <w:multiLevelType w:val="multilevel"/>
    <w:tmpl w:val="689C4F3F"/>
    <w:lvl w:ilvl="0" w:tentative="0">
      <w:start w:val="1"/>
      <w:numFmt w:val="japaneseCounting"/>
      <w:lvlText w:val="%1、"/>
      <w:lvlJc w:val="left"/>
      <w:pPr>
        <w:ind w:left="456" w:hanging="456"/>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3"/>
  </w:num>
  <w:num w:numId="2">
    <w:abstractNumId w:val="4"/>
  </w:num>
  <w:num w:numId="3">
    <w:abstractNumId w:val="1"/>
  </w:num>
  <w:num w:numId="4">
    <w:abstractNumId w:val="0"/>
  </w:num>
  <w:num w:numId="5">
    <w:abstractNumId w:val="5"/>
  </w:num>
  <w:num w:numId="6">
    <w:abstractNumId w:val="6"/>
    <w:lvlOverride w:ilvl="0">
      <w:startOverride w:val="1"/>
    </w:lvlOverride>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4A4B87"/>
    <w:rsid w:val="03F139E0"/>
    <w:rsid w:val="05502988"/>
    <w:rsid w:val="06694871"/>
    <w:rsid w:val="06AE3E0A"/>
    <w:rsid w:val="06F83075"/>
    <w:rsid w:val="0ACA39F0"/>
    <w:rsid w:val="0ACC2D2E"/>
    <w:rsid w:val="0AF4446C"/>
    <w:rsid w:val="0C9B4C39"/>
    <w:rsid w:val="0F210455"/>
    <w:rsid w:val="11744968"/>
    <w:rsid w:val="11991213"/>
    <w:rsid w:val="12C10918"/>
    <w:rsid w:val="14C21C66"/>
    <w:rsid w:val="15C62BE0"/>
    <w:rsid w:val="15FA6724"/>
    <w:rsid w:val="16331C36"/>
    <w:rsid w:val="16393C27"/>
    <w:rsid w:val="17667CD2"/>
    <w:rsid w:val="194E7F6F"/>
    <w:rsid w:val="19D16FD9"/>
    <w:rsid w:val="1C2838BF"/>
    <w:rsid w:val="1C3B3107"/>
    <w:rsid w:val="1DF81251"/>
    <w:rsid w:val="1F2760BC"/>
    <w:rsid w:val="1FEF4A96"/>
    <w:rsid w:val="204937EF"/>
    <w:rsid w:val="2213315F"/>
    <w:rsid w:val="290D24E8"/>
    <w:rsid w:val="2A314286"/>
    <w:rsid w:val="2A6E5785"/>
    <w:rsid w:val="2C1A44DE"/>
    <w:rsid w:val="2E786529"/>
    <w:rsid w:val="2F3E4062"/>
    <w:rsid w:val="30134D2F"/>
    <w:rsid w:val="311E63F9"/>
    <w:rsid w:val="31316D92"/>
    <w:rsid w:val="321E71A6"/>
    <w:rsid w:val="33FD1962"/>
    <w:rsid w:val="37307DA0"/>
    <w:rsid w:val="37694EA4"/>
    <w:rsid w:val="381F0AD4"/>
    <w:rsid w:val="38877E93"/>
    <w:rsid w:val="39316051"/>
    <w:rsid w:val="3A845D87"/>
    <w:rsid w:val="3B082DE1"/>
    <w:rsid w:val="3C0A2068"/>
    <w:rsid w:val="3EB23790"/>
    <w:rsid w:val="404B5C4A"/>
    <w:rsid w:val="40CD665F"/>
    <w:rsid w:val="42B23D5F"/>
    <w:rsid w:val="432A5D73"/>
    <w:rsid w:val="487A3570"/>
    <w:rsid w:val="495F4514"/>
    <w:rsid w:val="4D1F6B46"/>
    <w:rsid w:val="4E5B79A0"/>
    <w:rsid w:val="4F3B1580"/>
    <w:rsid w:val="508A3A3E"/>
    <w:rsid w:val="51071EFE"/>
    <w:rsid w:val="528D20F2"/>
    <w:rsid w:val="52A02093"/>
    <w:rsid w:val="52DC2732"/>
    <w:rsid w:val="54FE4BE1"/>
    <w:rsid w:val="58413C5F"/>
    <w:rsid w:val="58CF5213"/>
    <w:rsid w:val="58DB5141"/>
    <w:rsid w:val="599D7038"/>
    <w:rsid w:val="5CFE08AF"/>
    <w:rsid w:val="5D9814F7"/>
    <w:rsid w:val="5EEA4A34"/>
    <w:rsid w:val="5F602F3B"/>
    <w:rsid w:val="62CF5694"/>
    <w:rsid w:val="63100901"/>
    <w:rsid w:val="636E387A"/>
    <w:rsid w:val="637F15E3"/>
    <w:rsid w:val="652F1BCA"/>
    <w:rsid w:val="65440D49"/>
    <w:rsid w:val="67553A45"/>
    <w:rsid w:val="6965127B"/>
    <w:rsid w:val="697D4817"/>
    <w:rsid w:val="6BC10B9D"/>
    <w:rsid w:val="6C507FC1"/>
    <w:rsid w:val="6F32654D"/>
    <w:rsid w:val="70390D6C"/>
    <w:rsid w:val="70A739A2"/>
    <w:rsid w:val="70CE5958"/>
    <w:rsid w:val="711A34A8"/>
    <w:rsid w:val="735073B5"/>
    <w:rsid w:val="73E071AD"/>
    <w:rsid w:val="7440091B"/>
    <w:rsid w:val="77E912C9"/>
    <w:rsid w:val="782A7184"/>
    <w:rsid w:val="7AA54114"/>
    <w:rsid w:val="7C8F68E3"/>
    <w:rsid w:val="7DD46199"/>
    <w:rsid w:val="7E64651B"/>
    <w:rsid w:val="7EEF18BB"/>
    <w:rsid w:val="7FDA1D9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1" w:semiHidden="0" w:name="heading 2"/>
    <w:lsdException w:qFormat="1" w:unhideWhenUsed="0"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99"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99"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iPriority="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99"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等线" w:hAnsi="等线" w:eastAsia="等线" w:cs="宋体"/>
      <w:kern w:val="2"/>
      <w:sz w:val="21"/>
      <w:szCs w:val="22"/>
      <w:lang w:val="en-US" w:eastAsia="zh-CN" w:bidi="ar-SA"/>
    </w:rPr>
  </w:style>
  <w:style w:type="paragraph" w:styleId="2">
    <w:name w:val="heading 1"/>
    <w:basedOn w:val="1"/>
    <w:next w:val="1"/>
    <w:link w:val="23"/>
    <w:qFormat/>
    <w:uiPriority w:val="0"/>
    <w:pPr>
      <w:spacing w:before="240" w:after="240" w:line="300" w:lineRule="auto"/>
      <w:outlineLvl w:val="0"/>
    </w:pPr>
    <w:rPr>
      <w:rFonts w:ascii="黑体" w:hAnsi="黑体" w:eastAsia="微软雅黑" w:cs="黑体"/>
      <w:b/>
      <w:bCs/>
      <w:color w:val="006AB4"/>
      <w:kern w:val="44"/>
      <w:sz w:val="24"/>
      <w:szCs w:val="44"/>
    </w:rPr>
  </w:style>
  <w:style w:type="paragraph" w:styleId="3">
    <w:name w:val="heading 2"/>
    <w:basedOn w:val="1"/>
    <w:next w:val="1"/>
    <w:link w:val="24"/>
    <w:qFormat/>
    <w:uiPriority w:val="1"/>
    <w:pPr>
      <w:keepNext/>
      <w:keepLines/>
      <w:spacing w:before="260" w:after="260" w:line="416" w:lineRule="auto"/>
      <w:outlineLvl w:val="1"/>
    </w:pPr>
    <w:rPr>
      <w:rFonts w:ascii="等线 Light" w:hAnsi="等线 Light" w:eastAsia="等线 Light"/>
      <w:b/>
      <w:bCs/>
      <w:sz w:val="32"/>
      <w:szCs w:val="32"/>
    </w:rPr>
  </w:style>
  <w:style w:type="paragraph" w:styleId="4">
    <w:name w:val="heading 3"/>
    <w:basedOn w:val="1"/>
    <w:next w:val="1"/>
    <w:link w:val="49"/>
    <w:qFormat/>
    <w:uiPriority w:val="9"/>
    <w:pPr>
      <w:keepNext/>
      <w:keepLines/>
      <w:spacing w:before="260" w:after="260" w:line="416" w:lineRule="auto"/>
      <w:outlineLvl w:val="2"/>
    </w:pPr>
    <w:rPr>
      <w:b/>
      <w:bCs/>
      <w:sz w:val="32"/>
      <w:szCs w:val="32"/>
    </w:rPr>
  </w:style>
  <w:style w:type="character" w:default="1" w:styleId="17">
    <w:name w:val="Default Paragraph Font"/>
    <w:unhideWhenUsed/>
    <w:qFormat/>
    <w:uiPriority w:val="1"/>
  </w:style>
  <w:style w:type="table" w:default="1" w:styleId="15">
    <w:name w:val="Normal Table"/>
    <w:unhideWhenUsed/>
    <w:qFormat/>
    <w:uiPriority w:val="99"/>
    <w:tblPr>
      <w:tblCellMar>
        <w:top w:w="0" w:type="dxa"/>
        <w:left w:w="108" w:type="dxa"/>
        <w:bottom w:w="0" w:type="dxa"/>
        <w:right w:w="108" w:type="dxa"/>
      </w:tblCellMar>
    </w:tblPr>
  </w:style>
  <w:style w:type="paragraph" w:styleId="5">
    <w:name w:val="annotation text"/>
    <w:basedOn w:val="1"/>
    <w:link w:val="35"/>
    <w:qFormat/>
    <w:uiPriority w:val="99"/>
    <w:pPr>
      <w:widowControl/>
      <w:adjustRightInd w:val="0"/>
      <w:snapToGrid w:val="0"/>
      <w:spacing w:before="30" w:beforeLines="30" w:line="288" w:lineRule="auto"/>
      <w:jc w:val="left"/>
    </w:pPr>
    <w:rPr>
      <w:rFonts w:ascii="OPPOSans R" w:hAnsi="OPPOSans R" w:eastAsia="OPPOSans R" w:cs="OPPOSans R"/>
      <w:color w:val="262626"/>
      <w:kern w:val="0"/>
      <w:sz w:val="18"/>
      <w:szCs w:val="18"/>
    </w:rPr>
  </w:style>
  <w:style w:type="paragraph" w:styleId="6">
    <w:name w:val="toc 3"/>
    <w:basedOn w:val="1"/>
    <w:next w:val="1"/>
    <w:qFormat/>
    <w:uiPriority w:val="39"/>
    <w:pPr>
      <w:widowControl/>
      <w:spacing w:after="100" w:line="259" w:lineRule="auto"/>
      <w:ind w:left="440"/>
      <w:jc w:val="left"/>
    </w:pPr>
    <w:rPr>
      <w:rFonts w:cs="Times New Roman"/>
      <w:kern w:val="0"/>
      <w:sz w:val="22"/>
    </w:rPr>
  </w:style>
  <w:style w:type="paragraph" w:styleId="7">
    <w:name w:val="Plain Text"/>
    <w:basedOn w:val="1"/>
    <w:link w:val="39"/>
    <w:qFormat/>
    <w:uiPriority w:val="99"/>
    <w:rPr>
      <w:rFonts w:hAnsi="Courier New" w:cs="Courier New"/>
    </w:rPr>
  </w:style>
  <w:style w:type="paragraph" w:styleId="8">
    <w:name w:val="footer"/>
    <w:basedOn w:val="1"/>
    <w:link w:val="22"/>
    <w:qFormat/>
    <w:uiPriority w:val="99"/>
    <w:pPr>
      <w:tabs>
        <w:tab w:val="center" w:pos="4153"/>
        <w:tab w:val="right" w:pos="8306"/>
      </w:tabs>
      <w:snapToGrid w:val="0"/>
      <w:jc w:val="left"/>
    </w:pPr>
    <w:rPr>
      <w:sz w:val="18"/>
      <w:szCs w:val="18"/>
    </w:rPr>
  </w:style>
  <w:style w:type="paragraph" w:styleId="9">
    <w:name w:val="header"/>
    <w:basedOn w:val="1"/>
    <w:link w:val="21"/>
    <w:qFormat/>
    <w:uiPriority w:val="99"/>
    <w:pPr>
      <w:pBdr>
        <w:bottom w:val="single" w:color="auto" w:sz="6" w:space="1"/>
      </w:pBdr>
      <w:tabs>
        <w:tab w:val="center" w:pos="4153"/>
        <w:tab w:val="right" w:pos="8306"/>
      </w:tabs>
      <w:snapToGrid w:val="0"/>
      <w:jc w:val="center"/>
    </w:pPr>
    <w:rPr>
      <w:sz w:val="18"/>
      <w:szCs w:val="18"/>
    </w:rPr>
  </w:style>
  <w:style w:type="paragraph" w:styleId="10">
    <w:name w:val="toc 1"/>
    <w:basedOn w:val="1"/>
    <w:next w:val="1"/>
    <w:qFormat/>
    <w:uiPriority w:val="39"/>
    <w:pPr>
      <w:widowControl/>
      <w:tabs>
        <w:tab w:val="right" w:leader="dot" w:pos="9742"/>
      </w:tabs>
      <w:spacing w:after="100" w:line="360" w:lineRule="auto"/>
      <w:jc w:val="left"/>
    </w:pPr>
    <w:rPr>
      <w:rFonts w:ascii="黑体" w:hAnsi="黑体" w:eastAsia="黑体" w:cs="Heiti SC Medium"/>
      <w:color w:val="0070C0"/>
      <w:kern w:val="0"/>
      <w:sz w:val="24"/>
      <w:szCs w:val="24"/>
    </w:rPr>
  </w:style>
  <w:style w:type="paragraph" w:styleId="11">
    <w:name w:val="toc 2"/>
    <w:basedOn w:val="1"/>
    <w:next w:val="1"/>
    <w:qFormat/>
    <w:uiPriority w:val="39"/>
    <w:pPr>
      <w:widowControl/>
      <w:spacing w:after="100" w:line="259" w:lineRule="auto"/>
      <w:ind w:left="220"/>
      <w:jc w:val="left"/>
    </w:pPr>
    <w:rPr>
      <w:rFonts w:cs="Times New Roman"/>
      <w:kern w:val="0"/>
      <w:sz w:val="22"/>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qFormat/>
    <w:uiPriority w:val="99"/>
    <w:pPr>
      <w:widowControl/>
      <w:adjustRightInd w:val="0"/>
      <w:snapToGrid w:val="0"/>
      <w:spacing w:before="100" w:beforeLines="30" w:beforeAutospacing="1" w:after="100" w:afterAutospacing="1" w:line="288" w:lineRule="auto"/>
      <w:jc w:val="left"/>
    </w:pPr>
    <w:rPr>
      <w:rFonts w:ascii="Times New Roman" w:hAnsi="Times New Roman" w:eastAsia="OPPOSans R" w:cs="Times New Roman"/>
      <w:color w:val="262626"/>
      <w:kern w:val="0"/>
      <w:sz w:val="18"/>
      <w:szCs w:val="18"/>
    </w:rPr>
  </w:style>
  <w:style w:type="paragraph" w:styleId="14">
    <w:name w:val="annotation subject"/>
    <w:basedOn w:val="5"/>
    <w:next w:val="5"/>
    <w:link w:val="36"/>
    <w:qFormat/>
    <w:uiPriority w:val="99"/>
    <w:rPr>
      <w:b/>
      <w:bCs/>
      <w:color w:val="2A728E"/>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Hyperlink"/>
    <w:basedOn w:val="17"/>
    <w:qFormat/>
    <w:uiPriority w:val="99"/>
    <w:rPr>
      <w:color w:val="0563C1"/>
      <w:u w:val="single"/>
    </w:rPr>
  </w:style>
  <w:style w:type="character" w:styleId="19">
    <w:name w:val="HTML Code"/>
    <w:basedOn w:val="17"/>
    <w:qFormat/>
    <w:uiPriority w:val="0"/>
    <w:rPr>
      <w:rFonts w:ascii="Courier New" w:hAnsi="Courier New"/>
      <w:sz w:val="20"/>
    </w:rPr>
  </w:style>
  <w:style w:type="character" w:styleId="20">
    <w:name w:val="annotation reference"/>
    <w:basedOn w:val="17"/>
    <w:qFormat/>
    <w:uiPriority w:val="99"/>
    <w:rPr>
      <w:sz w:val="21"/>
      <w:szCs w:val="21"/>
    </w:rPr>
  </w:style>
  <w:style w:type="character" w:customStyle="1" w:styleId="21">
    <w:name w:val="页眉 字符"/>
    <w:basedOn w:val="17"/>
    <w:link w:val="9"/>
    <w:qFormat/>
    <w:uiPriority w:val="99"/>
    <w:rPr>
      <w:sz w:val="18"/>
      <w:szCs w:val="18"/>
    </w:rPr>
  </w:style>
  <w:style w:type="character" w:customStyle="1" w:styleId="22">
    <w:name w:val="页脚 字符"/>
    <w:basedOn w:val="17"/>
    <w:link w:val="8"/>
    <w:qFormat/>
    <w:uiPriority w:val="99"/>
    <w:rPr>
      <w:sz w:val="18"/>
      <w:szCs w:val="18"/>
    </w:rPr>
  </w:style>
  <w:style w:type="character" w:customStyle="1" w:styleId="23">
    <w:name w:val="标题 1 字符"/>
    <w:basedOn w:val="17"/>
    <w:link w:val="2"/>
    <w:qFormat/>
    <w:uiPriority w:val="0"/>
    <w:rPr>
      <w:rFonts w:ascii="黑体" w:hAnsi="黑体" w:eastAsia="微软雅黑" w:cs="黑体"/>
      <w:b/>
      <w:bCs/>
      <w:color w:val="006AB4"/>
      <w:kern w:val="44"/>
      <w:sz w:val="24"/>
      <w:szCs w:val="44"/>
    </w:rPr>
  </w:style>
  <w:style w:type="character" w:customStyle="1" w:styleId="24">
    <w:name w:val="标题 2 字符"/>
    <w:basedOn w:val="17"/>
    <w:link w:val="3"/>
    <w:qFormat/>
    <w:uiPriority w:val="9"/>
    <w:rPr>
      <w:rFonts w:ascii="等线 Light" w:hAnsi="等线 Light" w:eastAsia="等线 Light" w:cs="宋体"/>
      <w:b/>
      <w:bCs/>
      <w:sz w:val="32"/>
      <w:szCs w:val="32"/>
    </w:rPr>
  </w:style>
  <w:style w:type="table" w:customStyle="1" w:styleId="25">
    <w:name w:val="网格型1"/>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6">
    <w:name w:val="表格表头"/>
    <w:qFormat/>
    <w:uiPriority w:val="0"/>
    <w:pPr>
      <w:adjustRightInd w:val="0"/>
      <w:snapToGrid w:val="0"/>
      <w:spacing w:line="288" w:lineRule="auto"/>
      <w:jc w:val="center"/>
    </w:pPr>
    <w:rPr>
      <w:rFonts w:ascii="OPPOSans R" w:hAnsi="OPPOSans R" w:eastAsia="OPPOSans R" w:cs="OPPOSans R"/>
      <w:b/>
      <w:color w:val="FFFFFF"/>
      <w:sz w:val="18"/>
      <w:szCs w:val="18"/>
      <w:lang w:val="en-US" w:eastAsia="zh-CN" w:bidi="ar-SA"/>
    </w:rPr>
  </w:style>
  <w:style w:type="paragraph" w:customStyle="1" w:styleId="27">
    <w:name w:val="表格内容"/>
    <w:qFormat/>
    <w:uiPriority w:val="0"/>
    <w:pPr>
      <w:adjustRightInd w:val="0"/>
      <w:snapToGrid w:val="0"/>
      <w:spacing w:before="30" w:beforeLines="30" w:line="288" w:lineRule="auto"/>
    </w:pPr>
    <w:rPr>
      <w:rFonts w:ascii="OPPOSans R" w:hAnsi="OPPOSans R" w:eastAsia="OPPOSans R" w:cs="OPPOSans R"/>
      <w:color w:val="262626"/>
      <w:sz w:val="18"/>
      <w:szCs w:val="21"/>
      <w:lang w:val="en-US" w:eastAsia="zh-CN" w:bidi="ar-SA"/>
    </w:rPr>
  </w:style>
  <w:style w:type="character" w:customStyle="1" w:styleId="28">
    <w:name w:val="未处理的提及1"/>
    <w:basedOn w:val="17"/>
    <w:qFormat/>
    <w:uiPriority w:val="99"/>
    <w:rPr>
      <w:color w:val="605E5C"/>
      <w:shd w:val="clear" w:color="auto" w:fill="E1DFDD"/>
    </w:rPr>
  </w:style>
  <w:style w:type="table" w:customStyle="1" w:styleId="29">
    <w:name w:val="表1-检测概况"/>
    <w:basedOn w:val="15"/>
    <w:qFormat/>
    <w:uiPriority w:val="99"/>
    <w:rPr>
      <w:rFonts w:eastAsia="黑体"/>
      <w:color w:val="595959"/>
      <w:sz w:val="18"/>
    </w:r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4"/>
      </w:rPr>
      <w:tcPr>
        <w:shd w:val="clear" w:color="auto" w:fill="01528E"/>
      </w:tcPr>
    </w:tblStylePr>
    <w:tblStylePr w:type="firstCol">
      <w:rPr>
        <w:rFonts w:eastAsia="黑体"/>
        <w:b/>
        <w:color w:val="01528E"/>
        <w:sz w:val="22"/>
      </w:rPr>
    </w:tblStylePr>
    <w:tblStylePr w:type="nwCell">
      <w:rPr>
        <w:rFonts w:eastAsia="黑体"/>
        <w:b/>
        <w:i w:val="0"/>
        <w:color w:val="FFFFFF"/>
        <w:sz w:val="24"/>
      </w:rPr>
    </w:tblStylePr>
  </w:style>
  <w:style w:type="paragraph" w:customStyle="1" w:styleId="30">
    <w:name w:val="摘要段落"/>
    <w:basedOn w:val="1"/>
    <w:link w:val="31"/>
    <w:qFormat/>
    <w:uiPriority w:val="0"/>
    <w:pPr>
      <w:spacing w:before="78" w:beforeLines="25" w:after="78" w:afterLines="25" w:line="360" w:lineRule="auto"/>
      <w:ind w:firstLine="420" w:firstLineChars="200"/>
    </w:pPr>
    <w:rPr>
      <w:rFonts w:ascii="黑体" w:hAnsi="黑体" w:eastAsia="黑体" w:cs="黑体"/>
      <w:szCs w:val="21"/>
    </w:rPr>
  </w:style>
  <w:style w:type="character" w:customStyle="1" w:styleId="31">
    <w:name w:val="摘要段落 字符"/>
    <w:basedOn w:val="17"/>
    <w:link w:val="30"/>
    <w:qFormat/>
    <w:uiPriority w:val="0"/>
    <w:rPr>
      <w:rFonts w:ascii="黑体" w:hAnsi="黑体" w:eastAsia="黑体" w:cs="黑体"/>
      <w:szCs w:val="21"/>
    </w:rPr>
  </w:style>
  <w:style w:type="paragraph" w:customStyle="1" w:styleId="32">
    <w:name w:val="免疫段落"/>
    <w:basedOn w:val="1"/>
    <w:link w:val="33"/>
    <w:qFormat/>
    <w:uiPriority w:val="0"/>
    <w:pPr>
      <w:adjustRightInd w:val="0"/>
      <w:snapToGrid w:val="0"/>
      <w:spacing w:before="25" w:beforeLines="25" w:after="25" w:afterLines="25" w:line="360" w:lineRule="auto"/>
      <w:jc w:val="left"/>
    </w:pPr>
    <w:rPr>
      <w:rFonts w:ascii="黑体" w:hAnsi="黑体" w:eastAsia="黑体" w:cs="黑体"/>
      <w:szCs w:val="21"/>
    </w:rPr>
  </w:style>
  <w:style w:type="character" w:customStyle="1" w:styleId="33">
    <w:name w:val="免疫段落 字符"/>
    <w:basedOn w:val="17"/>
    <w:link w:val="32"/>
    <w:qFormat/>
    <w:uiPriority w:val="0"/>
    <w:rPr>
      <w:rFonts w:ascii="黑体" w:hAnsi="黑体" w:eastAsia="黑体" w:cs="黑体"/>
      <w:szCs w:val="21"/>
    </w:rPr>
  </w:style>
  <w:style w:type="table" w:customStyle="1" w:styleId="34">
    <w:name w:val="表2-结果摘要小标题"/>
    <w:basedOn w:val="15"/>
    <w:qFormat/>
    <w:uiPriority w:val="99"/>
    <w:rPr>
      <w:rFonts w:eastAsia="黑体"/>
      <w:color w:val="FFFFFF"/>
    </w:rPr>
    <w:tcPr>
      <w:shd w:val="clear" w:color="auto" w:fill="01528E"/>
      <w:vAlign w:val="center"/>
    </w:tcPr>
  </w:style>
  <w:style w:type="character" w:customStyle="1" w:styleId="35">
    <w:name w:val="批注文字 字符"/>
    <w:basedOn w:val="17"/>
    <w:link w:val="5"/>
    <w:qFormat/>
    <w:uiPriority w:val="99"/>
    <w:rPr>
      <w:rFonts w:ascii="OPPOSans R" w:hAnsi="OPPOSans R" w:eastAsia="OPPOSans R" w:cs="OPPOSans R"/>
      <w:color w:val="262626"/>
      <w:kern w:val="0"/>
      <w:sz w:val="18"/>
      <w:szCs w:val="18"/>
    </w:rPr>
  </w:style>
  <w:style w:type="character" w:customStyle="1" w:styleId="36">
    <w:name w:val="批注主题 字符"/>
    <w:basedOn w:val="35"/>
    <w:link w:val="14"/>
    <w:qFormat/>
    <w:uiPriority w:val="99"/>
    <w:rPr>
      <w:rFonts w:ascii="OPPOSans R" w:hAnsi="OPPOSans R" w:eastAsia="OPPOSans R" w:cs="OPPOSans R"/>
      <w:b/>
      <w:bCs/>
      <w:color w:val="2A728E"/>
      <w:kern w:val="0"/>
      <w:sz w:val="18"/>
      <w:szCs w:val="18"/>
    </w:rPr>
  </w:style>
  <w:style w:type="paragraph" w:customStyle="1" w:styleId="37">
    <w:name w:val="3_2_p4"/>
    <w:basedOn w:val="7"/>
    <w:link w:val="38"/>
    <w:qFormat/>
    <w:uiPriority w:val="0"/>
    <w:pPr>
      <w:snapToGrid w:val="0"/>
      <w:spacing w:after="50" w:afterLines="50"/>
    </w:pPr>
    <w:rPr>
      <w:rFonts w:ascii="宋体" w:eastAsia="黑体"/>
      <w:b/>
      <w:color w:val="01528E"/>
      <w:sz w:val="24"/>
      <w:szCs w:val="21"/>
    </w:rPr>
  </w:style>
  <w:style w:type="character" w:customStyle="1" w:styleId="38">
    <w:name w:val="3_2_p4 字符"/>
    <w:basedOn w:val="39"/>
    <w:link w:val="37"/>
    <w:qFormat/>
    <w:uiPriority w:val="0"/>
    <w:rPr>
      <w:rFonts w:ascii="宋体" w:hAnsi="Courier New" w:eastAsia="黑体" w:cs="Courier New"/>
      <w:b/>
      <w:color w:val="01528E"/>
      <w:sz w:val="24"/>
      <w:szCs w:val="21"/>
    </w:rPr>
  </w:style>
  <w:style w:type="character" w:customStyle="1" w:styleId="39">
    <w:name w:val="纯文本 字符"/>
    <w:basedOn w:val="17"/>
    <w:link w:val="7"/>
    <w:qFormat/>
    <w:uiPriority w:val="99"/>
    <w:rPr>
      <w:rFonts w:ascii="等线" w:hAnsi="Courier New" w:cs="Courier New"/>
    </w:rPr>
  </w:style>
  <w:style w:type="paragraph" w:customStyle="1" w:styleId="40">
    <w:name w:val="3_2_p5"/>
    <w:basedOn w:val="7"/>
    <w:link w:val="41"/>
    <w:qFormat/>
    <w:uiPriority w:val="0"/>
    <w:rPr>
      <w:rFonts w:eastAsia="黑体"/>
      <w:color w:val="595959"/>
      <w:sz w:val="18"/>
      <w:szCs w:val="21"/>
    </w:rPr>
  </w:style>
  <w:style w:type="character" w:customStyle="1" w:styleId="41">
    <w:name w:val="3_2_p5 字符"/>
    <w:basedOn w:val="39"/>
    <w:link w:val="40"/>
    <w:qFormat/>
    <w:uiPriority w:val="0"/>
    <w:rPr>
      <w:rFonts w:ascii="等线" w:hAnsi="Courier New" w:eastAsia="黑体" w:cs="Courier New"/>
      <w:color w:val="595959"/>
      <w:sz w:val="18"/>
      <w:szCs w:val="21"/>
    </w:rPr>
  </w:style>
  <w:style w:type="paragraph" w:customStyle="1" w:styleId="42">
    <w:name w:val="List Paragraph"/>
    <w:basedOn w:val="1"/>
    <w:qFormat/>
    <w:uiPriority w:val="34"/>
    <w:pPr>
      <w:ind w:firstLine="420" w:firstLineChars="200"/>
    </w:pPr>
  </w:style>
  <w:style w:type="paragraph" w:customStyle="1" w:styleId="43">
    <w:name w:val="3_2_p3"/>
    <w:basedOn w:val="7"/>
    <w:link w:val="44"/>
    <w:qFormat/>
    <w:uiPriority w:val="0"/>
    <w:pPr>
      <w:spacing w:line="360" w:lineRule="auto"/>
      <w:outlineLvl w:val="2"/>
    </w:pPr>
    <w:rPr>
      <w:rFonts w:ascii="黑体" w:hAnsi="黑体" w:eastAsia="黑体" w:cs="黑体"/>
      <w:b/>
      <w:color w:val="01528E"/>
      <w:sz w:val="28"/>
      <w:szCs w:val="28"/>
    </w:rPr>
  </w:style>
  <w:style w:type="character" w:customStyle="1" w:styleId="44">
    <w:name w:val="3_2_p3 字符"/>
    <w:basedOn w:val="39"/>
    <w:link w:val="43"/>
    <w:qFormat/>
    <w:uiPriority w:val="0"/>
    <w:rPr>
      <w:rFonts w:ascii="黑体" w:hAnsi="黑体" w:eastAsia="黑体" w:cs="黑体"/>
      <w:b/>
      <w:color w:val="01528E"/>
      <w:sz w:val="28"/>
      <w:szCs w:val="28"/>
    </w:rPr>
  </w:style>
  <w:style w:type="paragraph" w:customStyle="1" w:styleId="45">
    <w:name w:val="JYJ1表格内容带颜色加粗"/>
    <w:basedOn w:val="27"/>
    <w:qFormat/>
    <w:uiPriority w:val="0"/>
    <w:pPr>
      <w:framePr w:hSpace="180" w:wrap="around" w:vAnchor="text" w:hAnchor="text" w:y="1"/>
      <w:spacing w:before="72"/>
    </w:pPr>
    <w:rPr>
      <w:b/>
      <w:color w:val="2A728E"/>
    </w:rPr>
  </w:style>
  <w:style w:type="paragraph" w:customStyle="1" w:styleId="46">
    <w:name w:val="JYJ1级"/>
    <w:qFormat/>
    <w:uiPriority w:val="0"/>
    <w:pPr>
      <w:numPr>
        <w:ilvl w:val="0"/>
        <w:numId w:val="1"/>
      </w:numPr>
      <w:adjustRightInd w:val="0"/>
      <w:snapToGrid w:val="0"/>
      <w:spacing w:before="72"/>
      <w:jc w:val="center"/>
      <w:outlineLvl w:val="0"/>
    </w:pPr>
    <w:rPr>
      <w:rFonts w:ascii="OPPOSans R" w:hAnsi="OPPOSans R" w:eastAsia="OPPOSans R" w:cs="OPPOSans R"/>
      <w:b/>
      <w:color w:val="595959"/>
      <w:spacing w:val="5"/>
      <w:sz w:val="21"/>
      <w:szCs w:val="21"/>
      <w:lang w:val="en-US" w:eastAsia="zh-CN" w:bidi="ar-SA"/>
    </w:rPr>
  </w:style>
  <w:style w:type="paragraph" w:customStyle="1" w:styleId="47">
    <w:name w:val="JYJ3级"/>
    <w:basedOn w:val="4"/>
    <w:qFormat/>
    <w:uiPriority w:val="0"/>
    <w:pPr>
      <w:keepNext w:val="0"/>
      <w:keepLines w:val="0"/>
      <w:widowControl/>
      <w:numPr>
        <w:ilvl w:val="2"/>
        <w:numId w:val="1"/>
      </w:numPr>
      <w:tabs>
        <w:tab w:val="left" w:pos="360"/>
      </w:tabs>
      <w:adjustRightInd w:val="0"/>
      <w:snapToGrid w:val="0"/>
      <w:spacing w:before="30" w:beforeLines="30" w:after="0" w:line="288" w:lineRule="auto"/>
      <w:ind w:left="0" w:firstLine="0"/>
      <w:jc w:val="left"/>
    </w:pPr>
    <w:rPr>
      <w:rFonts w:ascii="OPPOSans R" w:hAnsi="OPPOSans R" w:eastAsia="OPPOSans R" w:cs="OPPOSans R"/>
      <w:bCs w:val="0"/>
      <w:color w:val="2A728E"/>
      <w:spacing w:val="5"/>
      <w:kern w:val="0"/>
      <w:sz w:val="18"/>
      <w:szCs w:val="18"/>
    </w:rPr>
  </w:style>
  <w:style w:type="paragraph" w:customStyle="1" w:styleId="48">
    <w:name w:val="JYJ4级"/>
    <w:qFormat/>
    <w:uiPriority w:val="0"/>
    <w:pPr>
      <w:keepNext/>
      <w:keepLines/>
      <w:numPr>
        <w:ilvl w:val="3"/>
        <w:numId w:val="1"/>
      </w:numPr>
      <w:adjustRightInd w:val="0"/>
      <w:snapToGrid w:val="0"/>
      <w:spacing w:before="30" w:beforeLines="30" w:line="288" w:lineRule="auto"/>
      <w:outlineLvl w:val="3"/>
    </w:pPr>
    <w:rPr>
      <w:rFonts w:ascii="OPPOSans R" w:hAnsi="OPPOSans R" w:eastAsia="OPPOSans R" w:cs="OPPOSans R"/>
      <w:b/>
      <w:bCs/>
      <w:color w:val="2A728E"/>
      <w:kern w:val="2"/>
      <w:sz w:val="18"/>
      <w:szCs w:val="22"/>
      <w:lang w:val="en-US" w:eastAsia="zh-CN" w:bidi="ar-SA"/>
    </w:rPr>
  </w:style>
  <w:style w:type="character" w:customStyle="1" w:styleId="49">
    <w:name w:val="标题 3 字符"/>
    <w:basedOn w:val="17"/>
    <w:link w:val="4"/>
    <w:qFormat/>
    <w:uiPriority w:val="9"/>
    <w:rPr>
      <w:b/>
      <w:bCs/>
      <w:sz w:val="32"/>
      <w:szCs w:val="32"/>
    </w:rPr>
  </w:style>
  <w:style w:type="paragraph" w:customStyle="1" w:styleId="50">
    <w:name w:val="JYJ正文"/>
    <w:qFormat/>
    <w:uiPriority w:val="0"/>
    <w:pPr>
      <w:adjustRightInd w:val="0"/>
      <w:snapToGrid w:val="0"/>
      <w:spacing w:before="30" w:beforeLines="30"/>
    </w:pPr>
    <w:rPr>
      <w:rFonts w:ascii="OPPOSans R" w:hAnsi="OPPOSans R" w:eastAsia="OPPOSans R" w:cs="OPPOSans R"/>
      <w:color w:val="262626"/>
      <w:sz w:val="18"/>
      <w:szCs w:val="18"/>
      <w:lang w:val="en-US" w:eastAsia="zh-CN" w:bidi="ar-SA"/>
    </w:rPr>
  </w:style>
  <w:style w:type="paragraph" w:customStyle="1" w:styleId="51">
    <w:name w:val="JYJ正文序号"/>
    <w:basedOn w:val="1"/>
    <w:qFormat/>
    <w:uiPriority w:val="0"/>
    <w:pPr>
      <w:widowControl/>
      <w:numPr>
        <w:ilvl w:val="0"/>
        <w:numId w:val="2"/>
      </w:numPr>
      <w:adjustRightInd w:val="0"/>
      <w:snapToGrid w:val="0"/>
      <w:spacing w:before="72" w:beforeLines="30" w:line="288" w:lineRule="auto"/>
      <w:jc w:val="left"/>
    </w:pPr>
    <w:rPr>
      <w:rFonts w:ascii="OPPOSans R" w:hAnsi="OPPOSans R" w:eastAsia="OPPOSans R" w:cs="OPPOSans R"/>
      <w:color w:val="262626"/>
      <w:kern w:val="0"/>
      <w:sz w:val="18"/>
      <w:szCs w:val="18"/>
    </w:rPr>
  </w:style>
  <w:style w:type="character" w:customStyle="1" w:styleId="52">
    <w:name w:val="正文-带序号 字符"/>
    <w:basedOn w:val="17"/>
    <w:qFormat/>
    <w:uiPriority w:val="0"/>
    <w:rPr>
      <w:rFonts w:ascii="OPPOSans R" w:hAnsi="OPPOSans R" w:eastAsia="OPPOSans R" w:cs="OPPOSans R"/>
      <w:sz w:val="18"/>
      <w:szCs w:val="18"/>
    </w:rPr>
  </w:style>
  <w:style w:type="paragraph" w:customStyle="1" w:styleId="53">
    <w:name w:val="TOC Heading_fa38b769-2182-4a0a-82a0-4eb9c6679dd8"/>
    <w:basedOn w:val="2"/>
    <w:next w:val="1"/>
    <w:qFormat/>
    <w:uiPriority w:val="39"/>
    <w:pPr>
      <w:keepNext/>
      <w:keepLines/>
      <w:widowControl/>
      <w:spacing w:after="0" w:line="259" w:lineRule="auto"/>
      <w:jc w:val="left"/>
      <w:outlineLvl w:val="9"/>
    </w:pPr>
    <w:rPr>
      <w:rFonts w:ascii="等线 Light" w:hAnsi="等线 Light" w:eastAsia="等线 Light" w:cs="宋体"/>
      <w:b w:val="0"/>
      <w:bCs w:val="0"/>
      <w:color w:val="2F5597"/>
      <w:kern w:val="0"/>
      <w:sz w:val="32"/>
      <w:szCs w:val="32"/>
    </w:rPr>
  </w:style>
  <w:style w:type="table" w:customStyle="1" w:styleId="54">
    <w:name w:val="网格型2"/>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55">
    <w:name w:val="Revision_e3a7762f-15d4-46a6-bf88-945a50bca01f"/>
    <w:qFormat/>
    <w:uiPriority w:val="99"/>
    <w:rPr>
      <w:rFonts w:ascii="等线" w:hAnsi="等线" w:eastAsia="等线" w:cs="宋体"/>
      <w:kern w:val="2"/>
      <w:sz w:val="21"/>
      <w:szCs w:val="22"/>
      <w:lang w:val="en-US" w:eastAsia="zh-CN" w:bidi="ar-SA"/>
    </w:rPr>
  </w:style>
  <w:style w:type="paragraph" w:customStyle="1" w:styleId="56">
    <w:name w:val="Revision"/>
    <w:hidden/>
    <w:semiHidden/>
    <w:qFormat/>
    <w:uiPriority w:val="99"/>
    <w:rPr>
      <w:rFonts w:ascii="等线" w:hAnsi="等线" w:eastAsia="等线" w:cs="宋体"/>
      <w:kern w:val="2"/>
      <w:sz w:val="21"/>
      <w:szCs w:val="22"/>
      <w:lang w:val="en-US" w:eastAsia="zh-CN" w:bidi="ar-SA"/>
    </w:rPr>
  </w:style>
  <w:style w:type="character" w:customStyle="1" w:styleId="57">
    <w:name w:val="15"/>
    <w:basedOn w:val="17"/>
    <w:qFormat/>
    <w:uiPriority w:val="0"/>
    <w:rPr>
      <w:rFonts w:hint="eastAsia" w:ascii="OPPOSans R" w:hAnsi="OPPOSans R" w:eastAsia="OPPOSans R"/>
      <w:sz w:val="18"/>
      <w:szCs w:val="18"/>
    </w:rPr>
  </w:style>
  <w:style w:type="character" w:customStyle="1" w:styleId="58">
    <w:name w:val="未处理的提及2"/>
    <w:basedOn w:val="17"/>
    <w:unhideWhenUsed/>
    <w:qFormat/>
    <w:uiPriority w:val="99"/>
    <w:rPr>
      <w:color w:val="605E5C"/>
      <w:shd w:val="clear" w:color="auto" w:fill="E1DFDD"/>
    </w:rPr>
  </w:style>
  <w:style w:type="paragraph" w:customStyle="1" w:styleId="59">
    <w:name w:val="Table Paragraph"/>
    <w:basedOn w:val="1"/>
    <w:autoRedefine/>
    <w:qFormat/>
    <w:uiPriority w:val="1"/>
  </w:style>
  <w:style w:type="table" w:customStyle="1" w:styleId="60">
    <w:name w:val="Table Normal1"/>
    <w:autoRedefine/>
    <w:unhideWhenUsed/>
    <w:qFormat/>
    <w:uiPriority w:val="2"/>
    <w:tblPr>
      <w:tblCellMar>
        <w:top w:w="0" w:type="dxa"/>
        <w:left w:w="0" w:type="dxa"/>
        <w:bottom w:w="0" w:type="dxa"/>
        <w:right w:w="0" w:type="dxa"/>
      </w:tblCellMar>
    </w:tblPr>
  </w:style>
  <w:style w:type="table" w:customStyle="1" w:styleId="61">
    <w:name w:val="Table Normal"/>
    <w:basedOn w:val="15"/>
    <w:autoRedefine/>
    <w:qFormat/>
    <w:uiPriority w:val="0"/>
    <w:tblPr>
      <w:tblCellMar>
        <w:left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jpeg"/><Relationship Id="rId6" Type="http://schemas.openxmlformats.org/officeDocument/2006/relationships/image" Target="media/image3.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10.jpe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14</Pages>
  <Words>4451</Words>
  <Characters>8619</Characters>
  <Lines>57</Lines>
  <Paragraphs>16</Paragraphs>
  <TotalTime>0</TotalTime>
  <ScaleCrop>false</ScaleCrop>
  <LinksUpToDate>false</LinksUpToDate>
  <CharactersWithSpaces>9419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2025-08-05T16:37:00Z</dcterms:created>
  <dc:creator>Administrator</dc:creator>
  <cp:lastModifiedBy>tassles-L</cp:lastModifiedBy>
  <cp:lastPrinted>2025-08-05T16:51:00Z</cp:lastPrinted>
  <dcterms:modified xsi:type="dcterms:W3CDTF">2026-05-27T07:58:38Z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CA6A78B812A34DF28E86CED556CD2086</vt:lpwstr>
  </property>
  <property fmtid="{D5CDD505-2E9C-101B-9397-08002B2CF9AE}" pid="4" name="KSOTemplateDocerSaveRecord">
    <vt:lpwstr>eyJoZGlkIjoiY2Y2NjU5MGIzZGFmM2M5NTIxMmI2NjdmNGQ0NDdjMDUiLCJ1c2VySWQiOiI2MjE3NDUxNTQifQ==</vt:lpwstr>
  </property>
</Properties>
</file>