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98A5E">
      <w:pPr>
        <w:jc w:val="center"/>
        <w:rPr>
          <w:rFonts w:ascii="Times New Roman" w:hAnsi="Times New Roman" w:eastAsia="微软雅黑" w:cs="Times New Roman"/>
          <w:sz w:val="52"/>
          <w:szCs w:val="44"/>
          <w:lang w:eastAsia="zh-CN"/>
        </w:rPr>
      </w:pPr>
    </w:p>
    <w:p w14:paraId="516A34D1">
      <w:pPr>
        <w:rPr>
          <w:rFonts w:ascii="Times New Roman" w:hAnsi="Times New Roman" w:eastAsia="微软雅黑" w:cs="Times New Roman"/>
          <w:sz w:val="52"/>
          <w:szCs w:val="44"/>
          <w:lang w:eastAsia="zh-CN"/>
        </w:rPr>
      </w:pPr>
    </w:p>
    <w:p w14:paraId="1C53B587">
      <w:pPr>
        <w:rPr>
          <w:rFonts w:ascii="Times New Roman" w:hAnsi="Times New Roman" w:eastAsia="微软雅黑" w:cs="Times New Roman"/>
          <w:sz w:val="52"/>
          <w:szCs w:val="44"/>
          <w:lang w:eastAsia="zh-CN"/>
        </w:rPr>
      </w:pPr>
    </w:p>
    <w:p w14:paraId="011D2BAB">
      <w:pPr>
        <w:rPr>
          <w:rFonts w:ascii="Times New Roman" w:hAnsi="Times New Roman" w:eastAsia="微软雅黑" w:cs="Times New Roman"/>
          <w:sz w:val="52"/>
          <w:szCs w:val="44"/>
          <w:lang w:eastAsia="zh-CN"/>
        </w:rPr>
      </w:pPr>
    </w:p>
    <w:p w14:paraId="63AB1E77">
      <w:pPr>
        <w:jc w:val="cente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实体瘤</w:t>
      </w:r>
      <w:r>
        <w:rPr>
          <w:rFonts w:hint="eastAsia" w:ascii="黑体" w:hAnsi="黑体" w:eastAsia="黑体" w:cs="黑体"/>
          <w:color w:val="548235" w:themeColor="accent6" w:themeShade="BF"/>
          <w:sz w:val="72"/>
          <w:szCs w:val="72"/>
          <w:highlight w:val="none"/>
          <w:lang w:val="en-US" w:eastAsia="zh-CN"/>
        </w:rPr>
        <w:t>分子</w:t>
      </w:r>
      <w:r>
        <w:rPr>
          <w:rFonts w:hint="eastAsia" w:ascii="黑体" w:hAnsi="黑体" w:eastAsia="黑体" w:cs="黑体"/>
          <w:color w:val="548235" w:themeColor="accent6" w:themeShade="BF"/>
          <w:sz w:val="72"/>
          <w:szCs w:val="72"/>
          <w:highlight w:val="none"/>
          <w:lang w:eastAsia="zh-CN"/>
        </w:rPr>
        <w:t>残留病灶（MRD）</w:t>
      </w:r>
    </w:p>
    <w:p w14:paraId="49BE9E3C">
      <w:pPr>
        <w:jc w:val="cente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检测报告</w:t>
      </w:r>
    </w:p>
    <w:p w14:paraId="279F6F2C">
      <w:pPr>
        <w:tabs>
          <w:tab w:val="left" w:pos="6082"/>
          <w:tab w:val="left" w:pos="6324"/>
          <w:tab w:val="left" w:pos="9183"/>
        </w:tabs>
        <w:spacing w:before="411" w:line="308" w:lineRule="auto"/>
        <w:ind w:right="2699"/>
        <w:jc w:val="both"/>
        <w:rPr>
          <w:sz w:val="30"/>
          <w:u w:val="single"/>
          <w:lang w:eastAsia="zh-CN"/>
        </w:rPr>
      </w:pPr>
    </w:p>
    <w:p w14:paraId="3B4E490E">
      <w:pPr>
        <w:tabs>
          <w:tab w:val="left" w:pos="6082"/>
          <w:tab w:val="left" w:pos="6324"/>
          <w:tab w:val="left" w:pos="9183"/>
        </w:tabs>
        <w:spacing w:before="411" w:line="308" w:lineRule="auto"/>
        <w:ind w:right="2699"/>
        <w:jc w:val="both"/>
        <w:rPr>
          <w:sz w:val="30"/>
          <w:u w:val="single"/>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E17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EE97786">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5EECC4E">
            <w:pPr>
              <w:pStyle w:val="6"/>
              <w:jc w:val="center"/>
              <w:rPr>
                <w:rFonts w:ascii="黑体"/>
                <w:sz w:val="48"/>
                <w:lang w:eastAsia="zh-CN"/>
              </w:rPr>
            </w:pPr>
            <w:r>
              <w:rPr>
                <w:rFonts w:hint="eastAsia" w:ascii="微软雅黑" w:eastAsia="微软雅黑"/>
                <w:sz w:val="30"/>
                <w:lang w:eastAsia="zh-CN"/>
              </w:rPr>
              <w:t>{{ client }}</w:t>
            </w:r>
          </w:p>
        </w:tc>
      </w:tr>
      <w:tr w14:paraId="0C1C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4DFA620">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45B35F8B">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4A01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F3F7C3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17AD914">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4DA9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E0FE554">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CDECD5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3FE28238">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sectPr>
      </w:pPr>
    </w:p>
    <w:p w14:paraId="405CAB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A24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7D94466F">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default" w:ascii="Times New Roman" w:hAnsi="Times New Roman" w:eastAsia="微软雅黑" w:cs="Times New Roman"/>
          <w:color w:val="auto"/>
          <w:sz w:val="36"/>
          <w:szCs w:val="36"/>
          <w:lang w:val="en-US" w:eastAsia="zh-CN"/>
        </w:rPr>
      </w:pPr>
    </w:p>
    <w:sdt>
      <w:sdtPr>
        <w:rPr>
          <w:rFonts w:hint="default" w:ascii="Times New Roman" w:hAnsi="Times New Roman" w:eastAsia="微软雅黑" w:cs="Times New Roman"/>
          <w:sz w:val="21"/>
        </w:rPr>
        <w:id w:val="147459207"/>
        <w:docPartObj>
          <w:docPartGallery w:val="Table of Contents"/>
          <w:docPartUnique/>
        </w:docPartObj>
      </w:sdtPr>
      <w:sdtEndPr>
        <w:rPr>
          <w:rFonts w:hint="default" w:ascii="Times New Roman" w:hAnsi="Times New Roman" w:eastAsia="微软雅黑" w:cs="Times New Roman"/>
          <w:b/>
          <w:sz w:val="22"/>
          <w:szCs w:val="24"/>
          <w:lang w:eastAsia="zh-CN"/>
        </w:rPr>
      </w:sdtEndPr>
      <w:sdtContent>
        <w:p w14:paraId="6ED74FC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sz w:val="24"/>
              <w:szCs w:val="24"/>
            </w:rPr>
            <w:fldChar w:fldCharType="begin"/>
          </w:r>
          <w:r>
            <w:rPr>
              <w:rFonts w:hint="default" w:ascii="Times New Roman" w:hAnsi="Times New Roman" w:eastAsia="微软雅黑" w:cs="Times New Roman"/>
              <w:sz w:val="24"/>
              <w:szCs w:val="24"/>
            </w:rPr>
            <w:instrText xml:space="preserve">TOC \o "1-2" \h \u </w:instrText>
          </w:r>
          <w:r>
            <w:rPr>
              <w:rFonts w:hint="default" w:ascii="Times New Roman" w:hAnsi="Times New Roman" w:eastAsia="微软雅黑" w:cs="Times New Roman"/>
              <w:sz w:val="24"/>
              <w:szCs w:val="24"/>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_Toc7591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_Toc7591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B152B3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_Toc6661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w:t>
          </w:r>
          <w:r>
            <w:rPr>
              <w:rFonts w:hint="eastAsia" w:ascii="Times New Roman" w:hAnsi="Times New Roman" w:eastAsia="微软雅黑" w:cs="Times New Roman"/>
              <w:b/>
              <w:color w:val="62B541"/>
              <w:sz w:val="32"/>
              <w:lang w:val="en-US" w:eastAsia="zh-CN"/>
            </w:rPr>
            <w:t>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_Toc6661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40F7F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_Toc23161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_Toc23161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9A6622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_Toc6374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_Toc6374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8AD601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highlight w:val="none"/>
              <w:lang w:eastAsia="zh-CN"/>
            </w:rPr>
          </w:pP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HYPERLINK \l _Toc15607 </w:instrText>
          </w:r>
          <w:r>
            <w:rPr>
              <w:rFonts w:hint="default" w:ascii="Times New Roman" w:hAnsi="Times New Roman" w:eastAsia="微软雅黑" w:cs="Times New Roman"/>
              <w:color w:val="auto"/>
              <w:sz w:val="28"/>
              <w:szCs w:val="28"/>
              <w:highlight w:val="none"/>
              <w:lang w:eastAsia="zh-CN"/>
            </w:rPr>
            <w:fldChar w:fldCharType="separate"/>
          </w:r>
          <w:r>
            <w:rPr>
              <w:rFonts w:hint="eastAsia" w:ascii="Times New Roman" w:hAnsi="Times New Roman" w:eastAsia="微软雅黑" w:cs="Times New Roman"/>
              <w:color w:val="auto"/>
              <w:sz w:val="28"/>
              <w:szCs w:val="28"/>
              <w:highlight w:val="none"/>
              <w:lang w:val="en-US" w:eastAsia="zh-CN"/>
            </w:rPr>
            <w:t>本次检测结果及解析</w:t>
          </w:r>
          <w:r>
            <w:rPr>
              <w:rFonts w:hint="default" w:ascii="Times New Roman" w:hAnsi="Times New Roman" w:eastAsia="微软雅黑" w:cs="Times New Roman"/>
              <w:color w:val="auto"/>
              <w:sz w:val="28"/>
              <w:szCs w:val="28"/>
              <w:highlight w:val="none"/>
              <w:lang w:eastAsia="zh-CN"/>
            </w:rPr>
            <w:tab/>
          </w: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PAGEREF _Toc15607 \h </w:instrText>
          </w:r>
          <w:r>
            <w:rPr>
              <w:rFonts w:hint="default" w:ascii="Times New Roman" w:hAnsi="Times New Roman" w:eastAsia="微软雅黑" w:cs="Times New Roman"/>
              <w:color w:val="auto"/>
              <w:sz w:val="28"/>
              <w:szCs w:val="28"/>
              <w:highlight w:val="none"/>
              <w:lang w:eastAsia="zh-CN"/>
            </w:rPr>
            <w:fldChar w:fldCharType="separate"/>
          </w:r>
          <w:r>
            <w:rPr>
              <w:rFonts w:hint="default" w:ascii="Times New Roman" w:hAnsi="Times New Roman" w:eastAsia="微软雅黑" w:cs="Times New Roman"/>
              <w:color w:val="auto"/>
              <w:sz w:val="28"/>
              <w:szCs w:val="28"/>
              <w:highlight w:val="none"/>
              <w:lang w:eastAsia="zh-CN"/>
            </w:rPr>
            <w:t>3</w:t>
          </w:r>
          <w:r>
            <w:rPr>
              <w:rFonts w:hint="default" w:ascii="Times New Roman" w:hAnsi="Times New Roman" w:eastAsia="微软雅黑" w:cs="Times New Roman"/>
              <w:color w:val="auto"/>
              <w:sz w:val="28"/>
              <w:szCs w:val="28"/>
              <w:highlight w:val="none"/>
              <w:lang w:eastAsia="zh-CN"/>
            </w:rPr>
            <w:fldChar w:fldCharType="end"/>
          </w:r>
          <w:r>
            <w:rPr>
              <w:rFonts w:hint="default" w:ascii="Times New Roman" w:hAnsi="Times New Roman" w:eastAsia="微软雅黑" w:cs="Times New Roman"/>
              <w:color w:val="auto"/>
              <w:sz w:val="28"/>
              <w:szCs w:val="28"/>
              <w:highlight w:val="none"/>
              <w:lang w:eastAsia="zh-CN"/>
            </w:rPr>
            <w:fldChar w:fldCharType="end"/>
          </w:r>
        </w:p>
        <w:p w14:paraId="110F983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highlight w:val="none"/>
              <w:lang w:eastAsia="zh-CN"/>
            </w:rPr>
          </w:pP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HYPERLINK \l _Toc22187 </w:instrText>
          </w:r>
          <w:r>
            <w:rPr>
              <w:rFonts w:hint="default" w:ascii="Times New Roman" w:hAnsi="Times New Roman" w:eastAsia="微软雅黑" w:cs="Times New Roman"/>
              <w:color w:val="auto"/>
              <w:sz w:val="28"/>
              <w:szCs w:val="28"/>
              <w:highlight w:val="none"/>
              <w:lang w:eastAsia="zh-CN"/>
            </w:rPr>
            <w:fldChar w:fldCharType="separate"/>
          </w:r>
          <w:r>
            <w:rPr>
              <w:rFonts w:hint="eastAsia" w:ascii="Times New Roman" w:hAnsi="Times New Roman" w:eastAsia="微软雅黑" w:cs="Times New Roman"/>
              <w:color w:val="auto"/>
              <w:sz w:val="28"/>
              <w:szCs w:val="28"/>
              <w:highlight w:val="none"/>
              <w:lang w:val="en-US" w:eastAsia="zh-CN"/>
            </w:rPr>
            <w:t>历史检测结果汇总</w:t>
          </w:r>
          <w:r>
            <w:rPr>
              <w:rFonts w:hint="default" w:ascii="Times New Roman" w:hAnsi="Times New Roman" w:eastAsia="微软雅黑" w:cs="Times New Roman"/>
              <w:color w:val="auto"/>
              <w:sz w:val="28"/>
              <w:szCs w:val="28"/>
              <w:highlight w:val="none"/>
              <w:lang w:eastAsia="zh-CN"/>
            </w:rPr>
            <w:tab/>
          </w: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PAGEREF _Toc22187 \h </w:instrText>
          </w:r>
          <w:r>
            <w:rPr>
              <w:rFonts w:hint="default" w:ascii="Times New Roman" w:hAnsi="Times New Roman" w:eastAsia="微软雅黑" w:cs="Times New Roman"/>
              <w:color w:val="auto"/>
              <w:sz w:val="28"/>
              <w:szCs w:val="28"/>
              <w:highlight w:val="none"/>
              <w:lang w:eastAsia="zh-CN"/>
            </w:rPr>
            <w:fldChar w:fldCharType="separate"/>
          </w:r>
          <w:r>
            <w:rPr>
              <w:rFonts w:hint="default" w:ascii="Times New Roman" w:hAnsi="Times New Roman" w:eastAsia="微软雅黑" w:cs="Times New Roman"/>
              <w:color w:val="auto"/>
              <w:sz w:val="28"/>
              <w:szCs w:val="28"/>
              <w:highlight w:val="none"/>
              <w:lang w:eastAsia="zh-CN"/>
            </w:rPr>
            <w:t>4</w:t>
          </w:r>
          <w:r>
            <w:rPr>
              <w:rFonts w:hint="default" w:ascii="Times New Roman" w:hAnsi="Times New Roman" w:eastAsia="微软雅黑" w:cs="Times New Roman"/>
              <w:color w:val="auto"/>
              <w:sz w:val="28"/>
              <w:szCs w:val="28"/>
              <w:highlight w:val="none"/>
              <w:lang w:eastAsia="zh-CN"/>
            </w:rPr>
            <w:fldChar w:fldCharType="end"/>
          </w:r>
          <w:r>
            <w:rPr>
              <w:rFonts w:hint="default" w:ascii="Times New Roman" w:hAnsi="Times New Roman" w:eastAsia="微软雅黑" w:cs="Times New Roman"/>
              <w:color w:val="auto"/>
              <w:sz w:val="28"/>
              <w:szCs w:val="28"/>
              <w:highlight w:val="none"/>
              <w:lang w:eastAsia="zh-CN"/>
            </w:rPr>
            <w:fldChar w:fldCharType="end"/>
          </w:r>
        </w:p>
        <w:p w14:paraId="11AAC4B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_Toc19463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_Toc19463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6214F2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_Toc26613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_Toc26613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5</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7BC3F73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_Toc26147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_Toc26147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6</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31FBCF5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_Toc2719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_Toc2719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7</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1A8D7605">
          <w:pPr>
            <w:pStyle w:val="11"/>
            <w:keepNext w:val="0"/>
            <w:keepLines w:val="0"/>
            <w:pageBreakBefore w:val="0"/>
            <w:widowControl w:val="0"/>
            <w:tabs>
              <w:tab w:val="right" w:leader="dot" w:pos="9870"/>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szCs w:val="24"/>
              <w:lang w:eastAsia="zh-CN"/>
            </w:rPr>
            <w:fldChar w:fldCharType="end"/>
          </w:r>
        </w:p>
      </w:sdtContent>
    </w:sdt>
    <w:p w14:paraId="62CE9DF5">
      <w:pP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fmt="decimal" w:start="1"/>
          <w:cols w:equalWidth="0" w:num="1">
            <w:col w:w="9870"/>
          </w:cols>
          <w:docGrid w:linePitch="299" w:charSpace="0"/>
        </w:sectPr>
      </w:pPr>
      <w:bookmarkStart w:id="0" w:name="_Toc21669"/>
      <w:bookmarkStart w:id="1" w:name="_Toc32054"/>
      <w:bookmarkStart w:id="2" w:name="_Toc24178_WPSOffice_Level1"/>
      <w:bookmarkStart w:id="3" w:name="_Toc24397"/>
      <w:bookmarkStart w:id="4" w:name="_Toc27500"/>
      <w:bookmarkStart w:id="5" w:name="_Toc13806"/>
      <w:bookmarkStart w:id="6" w:name="_Toc21009_WPSOffice_Level1"/>
      <w:bookmarkStart w:id="7" w:name="_Toc30143_WPSOffice_Level1"/>
    </w:p>
    <w:p w14:paraId="77309C92">
      <w:pPr>
        <w:pStyle w:val="2"/>
        <w:numPr>
          <w:ilvl w:val="-1"/>
          <w:numId w:val="0"/>
        </w:numPr>
        <w:ind w:left="0" w:firstLine="0"/>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8" w:name="_Toc7591"/>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样本信息</w:t>
      </w:r>
      <w:bookmarkEnd w:id="8"/>
    </w:p>
    <w:tbl>
      <w:tblPr>
        <w:tblStyle w:val="14"/>
        <w:tblpPr w:leftFromText="180" w:rightFromText="180" w:vertAnchor="text" w:horzAnchor="margin" w:tblpXSpec="center" w:tblpY="11"/>
        <w:tblW w:w="1026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629"/>
        <w:gridCol w:w="3323"/>
        <w:gridCol w:w="3316"/>
      </w:tblGrid>
      <w:tr w14:paraId="0EFC471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op w:val="single" w:color="62BC41" w:sz="24" w:space="0"/>
              <w:tl2br w:val="nil"/>
              <w:tr2bl w:val="nil"/>
            </w:tcBorders>
            <w:shd w:val="clear" w:color="auto" w:fill="auto"/>
            <w:vAlign w:val="center"/>
          </w:tcPr>
          <w:p w14:paraId="1BBBE00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D01F76A">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695C8A2">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E6BA85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66E7FD55">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632114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89418B4">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1A67E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08FF8515">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CF7554B">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20C3003">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8A149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3EF3CCEB">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159007E">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987AFDF">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09EB64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60EDD5B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49C353F">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FA25A83">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FB2A439">
      <w:pPr>
        <w:numPr>
          <w:ilvl w:val="-1"/>
          <w:numId w:val="0"/>
        </w:numPr>
        <w:ind w:left="0" w:firstLine="0"/>
        <w:jc w:val="left"/>
        <w:outlineLvl w:val="9"/>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p>
    <w:p w14:paraId="3A04B85C">
      <w:pPr>
        <w:pStyle w:val="2"/>
        <w:numPr>
          <w:ilvl w:val="-1"/>
          <w:numId w:val="0"/>
        </w:numPr>
        <w:ind w:left="0" w:firstLine="0"/>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9" w:name="_Toc6661"/>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62B541"/>
          <w:sz w:val="32"/>
          <w:lang w:val="en-US" w:eastAsia="zh-CN"/>
          <w14:shadow w14:blurRad="50800" w14:dist="38100" w14:dir="10800000" w14:sx="100000" w14:sy="100000" w14:kx="0" w14:ky="0" w14:algn="r">
            <w14:srgbClr w14:val="62B541">
              <w14:alpha w14:val="60000"/>
            </w14:srgbClr>
          </w14:shadow>
        </w:rPr>
        <w:t>项目</w:t>
      </w:r>
      <w:bookmarkEnd w:id="9"/>
    </w:p>
    <w:p w14:paraId="0D84EE19">
      <w:pPr>
        <w:keepNext w:val="0"/>
        <w:keepLines w:val="0"/>
        <w:pageBreakBefore w:val="0"/>
        <w:widowControl w:val="0"/>
        <w:kinsoku/>
        <w:wordWrap/>
        <w:overflowPunct/>
        <w:topLinePunct w:val="0"/>
        <w:autoSpaceDE/>
        <w:autoSpaceDN/>
        <w:bidi w:val="0"/>
        <w:adjustRightInd/>
        <w:snapToGrid w:val="0"/>
        <w:spacing w:line="276" w:lineRule="auto"/>
        <w:ind w:firstLine="420" w:firstLineChars="200"/>
        <w:jc w:val="both"/>
        <w:textAlignment w:val="auto"/>
        <w:rPr>
          <w:rFonts w:hint="eastAsia" w:ascii="Times New Roman" w:hAnsi="Times New Roman" w:eastAsia="微软雅黑" w:cs="Times New Roman"/>
          <w:bCs/>
          <w:strike w:val="0"/>
          <w:dstrike w:val="0"/>
          <w:sz w:val="21"/>
          <w:szCs w:val="21"/>
          <w:highlight w:val="none"/>
          <w:lang w:val="en-US" w:eastAsia="zh-CN"/>
        </w:rPr>
      </w:pPr>
      <w:r>
        <w:rPr>
          <w:rFonts w:hint="eastAsia" w:ascii="Times New Roman" w:hAnsi="Times New Roman" w:eastAsia="微软雅黑" w:cs="Times New Roman"/>
          <w:bCs/>
          <w:strike w:val="0"/>
          <w:dstrike w:val="0"/>
          <w:sz w:val="21"/>
          <w:szCs w:val="21"/>
          <w:highlight w:val="none"/>
          <w:lang w:val="en-US" w:eastAsia="zh-CN"/>
        </w:rPr>
        <w:t>本产品基于肿瘤组织先验（tumor-informed）策略检测血液中的循环肿瘤DNA（ctDNA）片段，采用分子残留病灶（MRD）监测产品监测患者血液中肿瘤来源的残留病灶情况，通过对ctDNA进行超高深度测序评估患者外周血中MRD状态（“阳性”或“阴性”）。</w:t>
      </w:r>
    </w:p>
    <w:p w14:paraId="2148064A">
      <w:pPr>
        <w:jc w:val="left"/>
        <w:rPr>
          <w:rFonts w:hint="default" w:ascii="Times New Roman" w:hAnsi="Times New Roman" w:eastAsia="微软雅黑" w:cs="Times New Roman"/>
          <w:color w:val="000000"/>
          <w:kern w:val="0"/>
          <w:sz w:val="16"/>
          <w:szCs w:val="16"/>
        </w:rPr>
      </w:pPr>
    </w:p>
    <w:p w14:paraId="3873863C">
      <w:pPr>
        <w:jc w:val="left"/>
        <w:rPr>
          <w:rFonts w:hint="default" w:ascii="Times New Roman" w:hAnsi="Times New Roman" w:eastAsia="微软雅黑" w:cs="Times New Roman"/>
          <w:color w:val="000000"/>
          <w:kern w:val="0"/>
          <w:sz w:val="16"/>
          <w:szCs w:val="16"/>
        </w:rPr>
      </w:pPr>
    </w:p>
    <w:p w14:paraId="33BEACF2">
      <w:pPr>
        <w:pStyle w:val="2"/>
        <w:numPr>
          <w:ilvl w:val="255"/>
          <w:numId w:val="0"/>
        </w:numPr>
        <w:jc w:val="left"/>
        <w:rPr>
          <w:rFonts w:hint="eastAsia"/>
          <w:color w:val="62B541"/>
          <w:sz w:val="32"/>
          <w14:shadow w14:blurRad="50800" w14:dist="38100" w14:dir="10800000" w14:sx="100000" w14:sy="100000" w14:kx="0" w14:ky="0" w14:algn="r">
            <w14:srgbClr w14:val="62B541">
              <w14:alpha w14:val="60000"/>
            </w14:srgbClr>
          </w14:shadow>
        </w:rPr>
      </w:pPr>
      <w:bookmarkStart w:id="10" w:name="_Toc6221_WPSOffice_Level1"/>
      <w:bookmarkStart w:id="11" w:name="_Toc18058"/>
      <w:bookmarkStart w:id="12" w:name="_Toc1410"/>
      <w:bookmarkStart w:id="13" w:name="_Toc2563"/>
      <w:bookmarkStart w:id="14" w:name="_Toc3871"/>
      <w:bookmarkStart w:id="15" w:name="_Toc25920"/>
      <w:bookmarkStart w:id="16" w:name="_Toc4088"/>
      <w:bookmarkStart w:id="17" w:name="_Toc23369_WPSOffice_Level1"/>
      <w:bookmarkStart w:id="18" w:name="_Toc18702"/>
      <w:bookmarkStart w:id="19" w:name="_Toc23161"/>
      <w:bookmarkStart w:id="20" w:name="_Toc24028"/>
      <w:r>
        <w:rPr>
          <w:rFonts w:hint="eastAsia"/>
          <w:color w:val="62B541"/>
          <w:sz w:val="32"/>
          <w14:shadow w14:blurRad="50800" w14:dist="38100" w14:dir="10800000" w14:sx="100000" w14:sy="100000" w14:kx="0" w14:ky="0" w14:algn="r">
            <w14:srgbClr w14:val="62B541">
              <w14:alpha w14:val="60000"/>
            </w14:srgbClr>
          </w14:shadow>
        </w:rPr>
        <w:t>检测结果</w:t>
      </w:r>
      <w:bookmarkEnd w:id="10"/>
      <w:bookmarkEnd w:id="11"/>
      <w:bookmarkEnd w:id="12"/>
      <w:bookmarkEnd w:id="13"/>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bookmarkEnd w:id="20"/>
    </w:p>
    <w:tbl>
      <w:tblPr>
        <w:tblStyle w:val="14"/>
        <w:tblpPr w:leftFromText="181" w:rightFromText="181" w:vertAnchor="text" w:horzAnchor="page" w:tblpX="747" w:tblpY="40"/>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4" w:hRule="atLeast"/>
        </w:trPr>
        <w:tc>
          <w:tcPr>
            <w:tcW w:w="4541" w:type="dxa"/>
            <w:tcBorders>
              <w:top w:val="nil"/>
              <w:bottom w:val="nil"/>
              <w:right w:val="single" w:color="FFFFFF" w:sz="18" w:space="0"/>
            </w:tcBorders>
            <w:shd w:val="clear" w:color="auto" w:fill="62BC41"/>
            <w:vAlign w:val="center"/>
          </w:tcPr>
          <w:p w14:paraId="49CC819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2B23BDA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3A9BFF71">
            <w:pPr>
              <w:pStyle w:val="20"/>
              <w:keepNext w:val="0"/>
              <w:keepLines w:val="0"/>
              <w:pageBreakBefore w:val="0"/>
              <w:widowControl w:val="0"/>
              <w:kinsoku/>
              <w:wordWrap/>
              <w:overflowPunct/>
              <w:topLinePunct w:val="0"/>
              <w:autoSpaceDE/>
              <w:autoSpaceDN/>
              <w:bidi w:val="0"/>
              <w:adjustRightInd/>
              <w:snapToGrid w:val="0"/>
              <w:ind w:left="119"/>
              <w:jc w:val="center"/>
              <w:textAlignment w:val="auto"/>
              <w:rPr>
                <w:rFonts w:hint="default" w:ascii="Times New Roman" w:hAnsi="Times New Roman" w:eastAsia="微软雅黑" w:cs="Times New Roman"/>
                <w:b/>
                <w:bCs/>
                <w:sz w:val="21"/>
                <w:szCs w:val="21"/>
                <w:lang w:val="en-US"/>
              </w:rPr>
            </w:pPr>
            <w:r>
              <w:rPr>
                <w:rFonts w:hint="eastAsia" w:ascii="Times New Roman" w:hAnsi="Times New Roman" w:eastAsia="微软雅黑" w:cs="黑体"/>
                <w:b/>
                <w:sz w:val="21"/>
                <w:szCs w:val="21"/>
                <w:lang w:eastAsia="zh-CN"/>
              </w:rPr>
              <w:t>分子残留病灶（MRD）</w:t>
            </w:r>
            <w:r>
              <w:rPr>
                <w:rFonts w:hint="eastAsia" w:ascii="Times New Roman" w:hAnsi="Times New Roman" w:eastAsia="微软雅黑" w:cs="黑体"/>
                <w:b/>
                <w:sz w:val="21"/>
                <w:szCs w:val="21"/>
                <w:lang w:val="en-US" w:eastAsia="zh-CN"/>
              </w:rPr>
              <w:t>状态</w:t>
            </w:r>
          </w:p>
        </w:tc>
        <w:tc>
          <w:tcPr>
            <w:tcW w:w="5311" w:type="dxa"/>
            <w:tcBorders>
              <w:tl2br w:val="nil"/>
              <w:tr2bl w:val="nil"/>
            </w:tcBorders>
            <w:shd w:val="clear" w:color="auto" w:fill="auto"/>
            <w:vAlign w:val="center"/>
          </w:tcPr>
          <w:p w14:paraId="2560A869">
            <w:pPr>
              <w:pStyle w:val="20"/>
              <w:keepNext w:val="0"/>
              <w:keepLines w:val="0"/>
              <w:pageBreakBefore w:val="0"/>
              <w:widowControl w:val="0"/>
              <w:kinsoku/>
              <w:wordWrap/>
              <w:overflowPunct/>
              <w:topLinePunct w:val="0"/>
              <w:autoSpaceDE/>
              <w:autoSpaceDN/>
              <w:bidi w:val="0"/>
              <w:adjustRightInd/>
              <w:snapToGrid w:val="0"/>
              <w:spacing w:line="188" w:lineRule="auto"/>
              <w:ind w:left="119" w:right="119"/>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7A2B33DA">
            <w:pPr>
              <w:pStyle w:val="20"/>
              <w:keepNext w:val="0"/>
              <w:keepLines w:val="0"/>
              <w:pageBreakBefore w:val="0"/>
              <w:widowControl w:val="0"/>
              <w:kinsoku/>
              <w:wordWrap/>
              <w:overflowPunct/>
              <w:topLinePunct w:val="0"/>
              <w:autoSpaceDE/>
              <w:autoSpaceDN/>
              <w:bidi w:val="0"/>
              <w:adjustRightInd/>
              <w:snapToGrid w:val="0"/>
              <w:ind w:left="119"/>
              <w:jc w:val="center"/>
              <w:textAlignment w:val="auto"/>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ctDNA含量（MTM/mL）</w:t>
            </w:r>
          </w:p>
        </w:tc>
        <w:tc>
          <w:tcPr>
            <w:tcW w:w="5311" w:type="dxa"/>
            <w:tcBorders>
              <w:tl2br w:val="nil"/>
              <w:tr2bl w:val="nil"/>
            </w:tcBorders>
            <w:shd w:val="clear" w:color="auto" w:fill="auto"/>
            <w:vAlign w:val="center"/>
          </w:tcPr>
          <w:p w14:paraId="689067F5">
            <w:pPr>
              <w:pStyle w:val="20"/>
              <w:keepNext w:val="0"/>
              <w:keepLines w:val="0"/>
              <w:pageBreakBefore w:val="0"/>
              <w:widowControl w:val="0"/>
              <w:kinsoku/>
              <w:wordWrap/>
              <w:overflowPunct/>
              <w:topLinePunct w:val="0"/>
              <w:autoSpaceDE/>
              <w:autoSpaceDN/>
              <w:bidi w:val="0"/>
              <w:adjustRightInd/>
              <w:snapToGrid w:val="0"/>
              <w:spacing w:before="77"/>
              <w:ind w:left="119" w:right="119"/>
              <w:jc w:val="center"/>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3C322225">
            <w:pPr>
              <w:pStyle w:val="20"/>
              <w:keepNext w:val="0"/>
              <w:keepLines w:val="0"/>
              <w:pageBreakBefore w:val="0"/>
              <w:widowControl w:val="0"/>
              <w:kinsoku/>
              <w:wordWrap/>
              <w:overflowPunct/>
              <w:topLinePunct w:val="0"/>
              <w:autoSpaceDE/>
              <w:autoSpaceDN/>
              <w:bidi w:val="0"/>
              <w:adjustRightInd/>
              <w:snapToGrid w:val="0"/>
              <w:ind w:left="119"/>
              <w:jc w:val="center"/>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0E9E5A">
            <w:pPr>
              <w:pStyle w:val="20"/>
              <w:keepNext w:val="0"/>
              <w:keepLines w:val="0"/>
              <w:pageBreakBefore w:val="0"/>
              <w:widowControl w:val="0"/>
              <w:kinsoku/>
              <w:wordWrap/>
              <w:overflowPunct/>
              <w:topLinePunct w:val="0"/>
              <w:autoSpaceDE/>
              <w:autoSpaceDN/>
              <w:bidi w:val="0"/>
              <w:adjustRightInd/>
              <w:snapToGrid w:val="0"/>
              <w:ind w:left="119" w:right="119"/>
              <w:jc w:val="center"/>
              <w:textAlignment w:val="auto"/>
              <w:rPr>
                <w:rFonts w:hint="default" w:ascii="Times New Roman" w:hAnsi="Times New Roman" w:eastAsia="微软雅黑" w:cs="Times New Roman"/>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3476397B">
      <w:pPr>
        <w:rPr>
          <w:rFonts w:hint="eastAsia" w:ascii="Times New Roman" w:hAnsi="Times New Roman" w:cs="Times New Roman"/>
          <w:sz w:val="21"/>
          <w:szCs w:val="21"/>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p>
    <w:p w14:paraId="02A96B4C">
      <w:p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：提示存在分子残留病灶（MRD）</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，复发风险可能较高。</w:t>
      </w:r>
    </w:p>
    <w:p w14:paraId="2126D6DE">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7EE9A447">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lang w:val="en-US" w:eastAsia="zh-CN"/>
        </w:rPr>
        <w:t xml:space="preserve">{% </w:t>
      </w:r>
      <w:r>
        <w:rPr>
          <w:rFonts w:hint="eastAsia" w:ascii="Times New Roman" w:hAnsi="Times New Roman" w:cs="Times New Roman"/>
          <w:sz w:val="21"/>
          <w:szCs w:val="21"/>
          <w:lang w:val="en-US" w:eastAsia="zh-CN"/>
        </w:rPr>
        <w:t>else</w:t>
      </w:r>
      <w:r>
        <w:rPr>
          <w:rFonts w:hint="eastAsia" w:ascii="Times New Roman" w:hAnsi="Times New Roman" w:eastAsia="微软雅黑" w:cs="Times New Roman"/>
          <w:sz w:val="18"/>
          <w:lang w:val="en-US" w:eastAsia="zh-CN"/>
        </w:rPr>
        <w:t xml:space="preserve"> %}</w:t>
      </w:r>
    </w:p>
    <w:p w14:paraId="383C505A">
      <w:pPr>
        <w:numPr>
          <w:ilvl w:val="0"/>
          <w:numId w:val="0"/>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阴性</w:t>
      </w:r>
      <w:r>
        <w:rPr>
          <w:rFonts w:hint="eastAsia"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val="en-US" w:eastAsia="zh-CN"/>
        </w:rPr>
        <w:t>提示患者预后较好。</w:t>
      </w:r>
      <w:r>
        <w:rPr>
          <w:rFonts w:hint="eastAsia" w:ascii="Times New Roman" w:hAnsi="Times New Roman" w:eastAsia="微软雅黑" w:cs="Times New Roman"/>
          <w:sz w:val="18"/>
          <w:highlight w:val="none"/>
          <w:lang w:eastAsia="zh-CN"/>
        </w:rPr>
        <w:t>由于外周血样本中ctDNA含量与肿瘤分期、是否接受根治性手术治疗、病灶部位等多种因素相关，阴性不一定代表患者体内完全没有肿瘤细胞。进一步说明持续动态监测的必要性，持续的阴性结果可能提示预后良好。</w:t>
      </w:r>
    </w:p>
    <w:p w14:paraId="51E754F3">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32AA6821">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highlight w:val="none"/>
          <w:lang w:val="en-US" w:eastAsia="zh-CN"/>
        </w:rPr>
        <w:t>{% endif %}</w:t>
      </w:r>
    </w:p>
    <w:p w14:paraId="335CE2DB">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D0D9413">
      <w:pPr>
        <w:rPr>
          <w:lang w:eastAsia="zh-CN"/>
        </w:rPr>
      </w:pPr>
    </w:p>
    <w:p w14:paraId="7090191B">
      <w:pPr>
        <w:rPr>
          <w:lang w:eastAsia="zh-CN"/>
        </w:rPr>
      </w:pPr>
    </w:p>
    <w:tbl>
      <w:tblPr>
        <w:tblStyle w:val="37"/>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AC15AF5">
        <w:tblPrEx>
          <w:tblCellMar>
            <w:top w:w="0" w:type="dxa"/>
            <w:left w:w="0" w:type="dxa"/>
            <w:bottom w:w="0" w:type="dxa"/>
            <w:right w:w="0" w:type="dxa"/>
          </w:tblCellMar>
        </w:tblPrEx>
        <w:trPr>
          <w:trHeight w:val="680" w:hRule="exact"/>
          <w:jc w:val="right"/>
        </w:trPr>
        <w:tc>
          <w:tcPr>
            <w:tcW w:w="1272" w:type="dxa"/>
            <w:vAlign w:val="center"/>
          </w:tcPr>
          <w:p w14:paraId="3B0BD1F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1C5F960">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r>
              <w:rPr>
                <w:sz w:val="22"/>
              </w:rPr>
              <w:drawing>
                <wp:anchor distT="0" distB="0" distL="114300" distR="114300" simplePos="0" relativeHeight="251659264" behindDoc="0" locked="0" layoutInCell="1" allowOverlap="1">
                  <wp:simplePos x="0" y="0"/>
                  <wp:positionH relativeFrom="column">
                    <wp:posOffset>-167005</wp:posOffset>
                  </wp:positionH>
                  <wp:positionV relativeFrom="paragraph">
                    <wp:posOffset>-417830</wp:posOffset>
                  </wp:positionV>
                  <wp:extent cx="1443355" cy="1443355"/>
                  <wp:effectExtent l="0" t="0" r="4445" b="4445"/>
                  <wp:wrapNone/>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7F59326B">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243FE01D">
            <w:pPr>
              <w:pStyle w:val="20"/>
              <w:spacing w:before="13"/>
              <w:ind w:right="15"/>
              <w:jc w:val="both"/>
              <w:rPr>
                <w:rFonts w:ascii="Times New Roman" w:hAnsi="Times New Roman" w:cs="Times New Roman"/>
                <w:b/>
                <w:sz w:val="24"/>
                <w:szCs w:val="24"/>
              </w:rPr>
            </w:pPr>
          </w:p>
        </w:tc>
        <w:tc>
          <w:tcPr>
            <w:tcW w:w="2475" w:type="dxa"/>
            <w:vAlign w:val="center"/>
          </w:tcPr>
          <w:p w14:paraId="439CCD1E">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DCD39C2">
        <w:tblPrEx>
          <w:tblCellMar>
            <w:top w:w="0" w:type="dxa"/>
            <w:left w:w="0" w:type="dxa"/>
            <w:bottom w:w="0" w:type="dxa"/>
            <w:right w:w="0" w:type="dxa"/>
          </w:tblCellMar>
        </w:tblPrEx>
        <w:trPr>
          <w:trHeight w:val="457" w:hRule="exact"/>
          <w:jc w:val="right"/>
        </w:trPr>
        <w:tc>
          <w:tcPr>
            <w:tcW w:w="1272" w:type="dxa"/>
            <w:vAlign w:val="center"/>
          </w:tcPr>
          <w:p w14:paraId="7440966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FF5AC6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EF26AE8">
            <w:pPr>
              <w:pStyle w:val="20"/>
              <w:spacing w:line="341" w:lineRule="exact"/>
              <w:jc w:val="both"/>
              <w:rPr>
                <w:rFonts w:ascii="Times New Roman" w:hAnsi="Times New Roman" w:cs="Times New Roman"/>
                <w:b/>
                <w:sz w:val="24"/>
                <w:szCs w:val="24"/>
              </w:rPr>
            </w:pPr>
          </w:p>
        </w:tc>
        <w:tc>
          <w:tcPr>
            <w:tcW w:w="1640" w:type="dxa"/>
            <w:vAlign w:val="center"/>
          </w:tcPr>
          <w:p w14:paraId="349D9533">
            <w:pPr>
              <w:pStyle w:val="20"/>
              <w:spacing w:line="363" w:lineRule="exact"/>
              <w:ind w:right="15"/>
              <w:jc w:val="both"/>
              <w:rPr>
                <w:rFonts w:ascii="Times New Roman" w:hAnsi="Times New Roman" w:cs="Times New Roman"/>
                <w:sz w:val="24"/>
                <w:szCs w:val="24"/>
              </w:rPr>
            </w:pPr>
          </w:p>
        </w:tc>
        <w:tc>
          <w:tcPr>
            <w:tcW w:w="2475" w:type="dxa"/>
            <w:vAlign w:val="center"/>
          </w:tcPr>
          <w:p w14:paraId="3226E3BF">
            <w:pPr>
              <w:pStyle w:val="20"/>
              <w:spacing w:line="363" w:lineRule="exact"/>
              <w:ind w:right="15"/>
              <w:jc w:val="both"/>
              <w:rPr>
                <w:rFonts w:ascii="Times New Roman" w:hAnsi="Times New Roman" w:cs="Times New Roman"/>
                <w:kern w:val="2"/>
                <w:sz w:val="24"/>
                <w:szCs w:val="24"/>
                <w:lang w:eastAsia="zh-CN"/>
              </w:rPr>
            </w:pPr>
          </w:p>
        </w:tc>
      </w:tr>
    </w:tbl>
    <w:p w14:paraId="285BB16A">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41C373B">
      <w:pPr>
        <w:rPr>
          <w:rFonts w:hint="eastAsia" w:ascii="Times New Roman" w:hAnsi="Times New Roman" w:eastAsia="微软雅黑" w:cs="Times New Roman"/>
          <w:sz w:val="24"/>
          <w:szCs w:val="24"/>
          <w:lang w:eastAsia="zh-CN"/>
        </w:rPr>
      </w:pPr>
    </w:p>
    <w:p w14:paraId="78C5C894">
      <w:pPr>
        <w:rPr>
          <w:rFonts w:hint="eastAsia" w:ascii="Times New Roman" w:hAnsi="Times New Roman" w:eastAsia="微软雅黑" w:cs="Times New Roman"/>
          <w:sz w:val="24"/>
          <w:szCs w:val="24"/>
          <w:lang w:eastAsia="zh-CN"/>
        </w:rPr>
      </w:pPr>
    </w:p>
    <w:tbl>
      <w:tblPr>
        <w:tblStyle w:val="37"/>
        <w:tblW w:w="9066" w:type="dxa"/>
        <w:jc w:val="right"/>
        <w:tblLayout w:type="fixed"/>
        <w:tblCellMar>
          <w:top w:w="0" w:type="dxa"/>
          <w:left w:w="0" w:type="dxa"/>
          <w:bottom w:w="0" w:type="dxa"/>
          <w:right w:w="0" w:type="dxa"/>
        </w:tblCellMar>
      </w:tblPr>
      <w:tblGrid>
        <w:gridCol w:w="1272"/>
        <w:gridCol w:w="2306"/>
        <w:gridCol w:w="1373"/>
        <w:gridCol w:w="1640"/>
        <w:gridCol w:w="2475"/>
      </w:tblGrid>
      <w:tr w14:paraId="4CFE1D59">
        <w:tblPrEx>
          <w:tblCellMar>
            <w:top w:w="0" w:type="dxa"/>
            <w:left w:w="0" w:type="dxa"/>
            <w:bottom w:w="0" w:type="dxa"/>
            <w:right w:w="0" w:type="dxa"/>
          </w:tblCellMar>
        </w:tblPrEx>
        <w:trPr>
          <w:trHeight w:val="680" w:hRule="exact"/>
          <w:jc w:val="right"/>
        </w:trPr>
        <w:tc>
          <w:tcPr>
            <w:tcW w:w="1272" w:type="dxa"/>
            <w:vAlign w:val="center"/>
          </w:tcPr>
          <w:p w14:paraId="310101CE">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E488FA6">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r>
              <w:rPr>
                <w:sz w:val="24"/>
              </w:rPr>
              <w:drawing>
                <wp:anchor distT="0" distB="0" distL="114300" distR="114300" simplePos="0" relativeHeight="251661312" behindDoc="0" locked="0" layoutInCell="1" allowOverlap="1">
                  <wp:simplePos x="0" y="0"/>
                  <wp:positionH relativeFrom="column">
                    <wp:posOffset>-98425</wp:posOffset>
                  </wp:positionH>
                  <wp:positionV relativeFrom="paragraph">
                    <wp:posOffset>-316865</wp:posOffset>
                  </wp:positionV>
                  <wp:extent cx="1443355" cy="1443355"/>
                  <wp:effectExtent l="0" t="0" r="4445" b="4445"/>
                  <wp:wrapNone/>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6CB89D70">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51270A8">
            <w:pPr>
              <w:pStyle w:val="20"/>
              <w:spacing w:before="13"/>
              <w:ind w:right="15"/>
              <w:jc w:val="both"/>
              <w:rPr>
                <w:rFonts w:ascii="Times New Roman" w:hAnsi="Times New Roman" w:cs="Times New Roman"/>
                <w:b/>
                <w:sz w:val="24"/>
                <w:szCs w:val="24"/>
              </w:rPr>
            </w:pPr>
          </w:p>
        </w:tc>
        <w:tc>
          <w:tcPr>
            <w:tcW w:w="2475" w:type="dxa"/>
            <w:vAlign w:val="center"/>
          </w:tcPr>
          <w:p w14:paraId="14BAFE5A">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302750CA">
        <w:tblPrEx>
          <w:tblCellMar>
            <w:top w:w="0" w:type="dxa"/>
            <w:left w:w="0" w:type="dxa"/>
            <w:bottom w:w="0" w:type="dxa"/>
            <w:right w:w="0" w:type="dxa"/>
          </w:tblCellMar>
        </w:tblPrEx>
        <w:trPr>
          <w:trHeight w:val="457" w:hRule="exact"/>
          <w:jc w:val="right"/>
        </w:trPr>
        <w:tc>
          <w:tcPr>
            <w:tcW w:w="1272" w:type="dxa"/>
            <w:vAlign w:val="center"/>
          </w:tcPr>
          <w:p w14:paraId="14DE85E8">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3AA7BC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30967BC0">
            <w:pPr>
              <w:pStyle w:val="20"/>
              <w:spacing w:line="341" w:lineRule="exact"/>
              <w:jc w:val="both"/>
              <w:rPr>
                <w:rFonts w:ascii="Times New Roman" w:hAnsi="Times New Roman" w:cs="Times New Roman"/>
                <w:b/>
                <w:sz w:val="24"/>
                <w:szCs w:val="24"/>
              </w:rPr>
            </w:pPr>
          </w:p>
        </w:tc>
        <w:tc>
          <w:tcPr>
            <w:tcW w:w="1640" w:type="dxa"/>
            <w:vAlign w:val="center"/>
          </w:tcPr>
          <w:p w14:paraId="0B6BA4A9">
            <w:pPr>
              <w:pStyle w:val="20"/>
              <w:spacing w:line="363" w:lineRule="exact"/>
              <w:ind w:right="15"/>
              <w:jc w:val="both"/>
              <w:rPr>
                <w:rFonts w:ascii="Times New Roman" w:hAnsi="Times New Roman" w:cs="Times New Roman"/>
                <w:sz w:val="24"/>
                <w:szCs w:val="24"/>
              </w:rPr>
            </w:pPr>
          </w:p>
        </w:tc>
        <w:tc>
          <w:tcPr>
            <w:tcW w:w="2475" w:type="dxa"/>
            <w:vAlign w:val="center"/>
          </w:tcPr>
          <w:p w14:paraId="552EB72D">
            <w:pPr>
              <w:pStyle w:val="20"/>
              <w:spacing w:line="363" w:lineRule="exact"/>
              <w:ind w:right="15"/>
              <w:jc w:val="both"/>
              <w:rPr>
                <w:rFonts w:ascii="Times New Roman" w:hAnsi="Times New Roman" w:cs="Times New Roman"/>
                <w:kern w:val="2"/>
                <w:sz w:val="24"/>
                <w:szCs w:val="24"/>
                <w:lang w:eastAsia="zh-CN"/>
              </w:rPr>
            </w:pPr>
          </w:p>
        </w:tc>
      </w:tr>
    </w:tbl>
    <w:p w14:paraId="096E935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9D13795">
      <w:pPr>
        <w:rPr>
          <w:rFonts w:hint="eastAsia" w:ascii="Times New Roman" w:hAnsi="Times New Roman" w:eastAsia="微软雅黑" w:cs="Times New Roman"/>
          <w:sz w:val="24"/>
          <w:szCs w:val="24"/>
          <w:lang w:eastAsia="zh-CN"/>
        </w:rPr>
      </w:pPr>
    </w:p>
    <w:p w14:paraId="48DAAA14">
      <w:pPr>
        <w:rPr>
          <w:rFonts w:ascii="Times New Roman" w:hAnsi="Times New Roman" w:eastAsia="微软雅黑" w:cs="Times New Roman"/>
          <w:sz w:val="24"/>
          <w:szCs w:val="24"/>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16891269">
      <w:pPr>
        <w:pStyle w:val="2"/>
        <w:numPr>
          <w:ilvl w:val="0"/>
          <w:numId w:val="0"/>
        </w:numPr>
        <w:jc w:val="both"/>
        <w:rPr>
          <w:rFonts w:hint="eastAsia"/>
          <w:color w:val="auto"/>
          <w:lang w:val="en-US" w:eastAsia="zh-CN"/>
        </w:rPr>
      </w:pPr>
      <w:bookmarkStart w:id="21" w:name="_Toc26145"/>
      <w:bookmarkStart w:id="22" w:name="_Toc14062"/>
      <w:bookmarkStart w:id="23" w:name="_Toc20136_WPSOffice_Level1"/>
      <w:bookmarkStart w:id="24" w:name="_Toc19184"/>
      <w:bookmarkStart w:id="25" w:name="_Toc22132"/>
      <w:bookmarkStart w:id="26" w:name="_Toc19898_WPSOffice_Level1"/>
      <w:bookmarkStart w:id="27" w:name="_Toc2781"/>
      <w:bookmarkStart w:id="28" w:name="_Toc6374"/>
      <w:bookmarkStart w:id="29" w:name="_Toc20608"/>
      <w:bookmarkStart w:id="30" w:name="_Toc12381"/>
      <w:bookmarkStart w:id="31" w:name="_Toc284"/>
      <w:r>
        <w:rPr>
          <w:rStyle w:val="55"/>
          <w:b/>
          <w:bCs/>
          <w:szCs w:val="40"/>
        </w:rPr>
        <w:t>检测结果</w:t>
      </w:r>
      <w:bookmarkEnd w:id="21"/>
      <w:bookmarkEnd w:id="22"/>
      <w:bookmarkEnd w:id="23"/>
      <w:bookmarkEnd w:id="24"/>
      <w:bookmarkEnd w:id="25"/>
      <w:bookmarkEnd w:id="26"/>
      <w:bookmarkEnd w:id="27"/>
      <w:bookmarkEnd w:id="28"/>
      <w:bookmarkEnd w:id="29"/>
      <w:bookmarkEnd w:id="30"/>
      <w:bookmarkEnd w:id="31"/>
      <w:bookmarkStart w:id="32" w:name="_Toc149837258"/>
      <w:bookmarkStart w:id="33" w:name="_Toc21516"/>
      <w:bookmarkStart w:id="34" w:name="_Toc27840"/>
    </w:p>
    <w:p w14:paraId="5CEC6A68">
      <w:pPr>
        <w:pStyle w:val="3"/>
        <w:numPr>
          <w:ilvl w:val="255"/>
          <w:numId w:val="0"/>
        </w:numPr>
        <w:jc w:val="left"/>
        <w:rPr>
          <w:rFonts w:hint="default"/>
          <w:color w:val="auto"/>
          <w:sz w:val="30"/>
          <w:lang w:val="en-US" w:eastAsia="zh-CN"/>
        </w:rPr>
      </w:pPr>
      <w:bookmarkStart w:id="35" w:name="_Toc15607"/>
      <w:r>
        <w:rPr>
          <w:rFonts w:hint="eastAsia"/>
          <w:color w:val="auto"/>
          <w:sz w:val="30"/>
          <w:lang w:val="en-US" w:eastAsia="zh-CN"/>
        </w:rPr>
        <w:t>本次检测结果及解析</w:t>
      </w:r>
      <w:bookmarkEnd w:id="35"/>
    </w:p>
    <w:bookmarkEnd w:id="32"/>
    <w:bookmarkEnd w:id="33"/>
    <w:bookmarkEnd w:id="34"/>
    <w:tbl>
      <w:tblPr>
        <w:tblStyle w:val="14"/>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190"/>
      </w:tblGrid>
      <w:tr w14:paraId="69CD6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54" w:hRule="atLeast"/>
          <w:jc w:val="center"/>
        </w:trPr>
        <w:tc>
          <w:tcPr>
            <w:tcW w:w="2680" w:type="dxa"/>
            <w:tcBorders>
              <w:top w:val="single" w:color="A4A4A4" w:sz="4" w:space="0"/>
              <w:left w:val="nil"/>
              <w:bottom w:val="single" w:color="FFFFFF" w:themeColor="background1" w:sz="18" w:space="0"/>
              <w:right w:val="nil"/>
            </w:tcBorders>
            <w:shd w:val="clear" w:color="auto" w:fill="62B541"/>
            <w:vAlign w:val="center"/>
          </w:tcPr>
          <w:p w14:paraId="51E16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分子残留病灶（MRD）状态</w:t>
            </w:r>
          </w:p>
        </w:tc>
        <w:tc>
          <w:tcPr>
            <w:tcW w:w="7190" w:type="dxa"/>
            <w:tcBorders>
              <w:top w:val="single" w:color="A4A4A4" w:sz="4" w:space="0"/>
              <w:left w:val="nil"/>
              <w:bottom w:val="single" w:color="A4A4A4" w:sz="4" w:space="0"/>
              <w:right w:val="nil"/>
            </w:tcBorders>
            <w:vAlign w:val="center"/>
          </w:tcPr>
          <w:p w14:paraId="41E83177">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7655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0" w:hRule="atLeast"/>
          <w:jc w:val="center"/>
        </w:trPr>
        <w:tc>
          <w:tcPr>
            <w:tcW w:w="2680" w:type="dxa"/>
            <w:tcBorders>
              <w:top w:val="single" w:color="FFFFFF" w:themeColor="background1" w:sz="18" w:space="0"/>
              <w:left w:val="nil"/>
              <w:right w:val="nil"/>
            </w:tcBorders>
            <w:shd w:val="clear" w:color="auto" w:fill="62B541"/>
            <w:vAlign w:val="center"/>
          </w:tcPr>
          <w:p w14:paraId="1BBD089E">
            <w:pPr>
              <w:keepNext/>
              <w:spacing w:before="26"/>
              <w:jc w:val="cente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指标解析</w:t>
            </w:r>
          </w:p>
        </w:tc>
        <w:tc>
          <w:tcPr>
            <w:tcW w:w="7190" w:type="dxa"/>
            <w:tcBorders>
              <w:top w:val="single" w:color="A4A4A4" w:sz="4" w:space="0"/>
              <w:left w:val="nil"/>
              <w:bottom w:val="single" w:color="A4A4A4" w:sz="4" w:space="0"/>
              <w:right w:val="nil"/>
            </w:tcBorders>
            <w:vAlign w:val="top"/>
          </w:tcPr>
          <w:p w14:paraId="48127B49">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CC8660C">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21F5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FFFFFF" w:themeColor="background1" w:sz="18" w:space="0"/>
              <w:left w:val="nil"/>
              <w:right w:val="nil"/>
            </w:tcBorders>
            <w:shd w:val="clear" w:color="auto" w:fill="62B541"/>
            <w:vAlign w:val="center"/>
          </w:tcPr>
          <w:p w14:paraId="6869239D">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临床意义及文献报道</w:t>
            </w:r>
          </w:p>
        </w:tc>
        <w:tc>
          <w:tcPr>
            <w:tcW w:w="7190" w:type="dxa"/>
            <w:tcBorders>
              <w:top w:val="single" w:color="A4A4A4" w:sz="4" w:space="0"/>
              <w:left w:val="nil"/>
              <w:bottom w:val="single" w:color="A4A4A4" w:sz="4" w:space="0"/>
              <w:right w:val="nil"/>
            </w:tcBorders>
            <w:vAlign w:val="center"/>
          </w:tcPr>
          <w:p w14:paraId="1354ADB6">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5533F1BA">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4264F01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BEF000">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10272D6F">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126C38EF">
      <w:pPr>
        <w:pStyle w:val="3"/>
        <w:numPr>
          <w:ilvl w:val="255"/>
          <w:numId w:val="0"/>
        </w:numPr>
        <w:jc w:val="left"/>
        <w:rPr>
          <w:rFonts w:hint="eastAsia"/>
          <w:color w:val="auto"/>
          <w:sz w:val="30"/>
          <w:lang w:val="en-US" w:eastAsia="zh-CN"/>
        </w:rPr>
      </w:pPr>
      <w:bookmarkStart w:id="36" w:name="_Toc22187"/>
      <w:r>
        <w:rPr>
          <w:rFonts w:hint="eastAsia"/>
          <w:color w:val="auto"/>
          <w:sz w:val="30"/>
          <w:lang w:val="en-US" w:eastAsia="zh-CN"/>
        </w:rPr>
        <w:t>历史检测结果汇总</w:t>
      </w:r>
      <w:bookmarkEnd w:id="36"/>
    </w:p>
    <w:tbl>
      <w:tblPr>
        <w:tblStyle w:val="15"/>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3474"/>
        <w:gridCol w:w="3474"/>
        <w:gridCol w:w="3474"/>
      </w:tblGrid>
      <w:tr w14:paraId="7C55ED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3474" w:type="dxa"/>
            <w:tcBorders>
              <w:top w:val="nil"/>
              <w:left w:val="nil"/>
              <w:bottom w:val="nil"/>
              <w:right w:val="single" w:color="FFFFFF" w:sz="18" w:space="0"/>
            </w:tcBorders>
            <w:shd w:val="clear" w:color="auto" w:fill="62BC41"/>
            <w:vAlign w:val="center"/>
          </w:tcPr>
          <w:p w14:paraId="75B56073">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{%tc for th in mrd.mrdJson.mrd_th%}</w:t>
            </w:r>
          </w:p>
        </w:tc>
        <w:tc>
          <w:tcPr>
            <w:tcW w:w="3474" w:type="dxa"/>
            <w:tcBorders>
              <w:top w:val="nil"/>
              <w:left w:val="single" w:color="FFFFFF" w:sz="18" w:space="0"/>
              <w:bottom w:val="nil"/>
              <w:right w:val="single" w:color="FFFFFF" w:sz="18" w:space="0"/>
            </w:tcBorders>
            <w:shd w:val="clear" w:color="auto" w:fill="62BC41"/>
            <w:vAlign w:val="center"/>
          </w:tcPr>
          <w:p w14:paraId="7DD96A7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set items = th.split(",") %}{% if items[0] == "组织" %}{% for t in items[:2] %}{{ t }}{% if not loop.last %}</w:t>
            </w:r>
          </w:p>
          <w:p w14:paraId="1FA84A2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else %}{% for t in items %}{{ t }}{% if not loop.last %}</w:t>
            </w:r>
          </w:p>
          <w:p w14:paraId="5E0C16CE">
            <w:pPr>
              <w:jc w:val="center"/>
              <w:rPr>
                <w:rFonts w:hint="default" w:ascii="Times New Roman" w:hAnsi="Times New Roman" w:eastAsia="微软雅黑" w:cs="Times New Roman"/>
                <w:b/>
                <w:bCs/>
                <w:sz w:val="21"/>
                <w:szCs w:val="21"/>
                <w:vertAlign w:val="baseline"/>
                <w:lang w:eastAsia="zh-CN" w:bidi="ar"/>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endif %}</w:t>
            </w:r>
          </w:p>
        </w:tc>
        <w:tc>
          <w:tcPr>
            <w:tcW w:w="3474" w:type="dxa"/>
            <w:tcBorders>
              <w:top w:val="nil"/>
              <w:left w:val="single" w:color="FFFFFF" w:sz="18" w:space="0"/>
              <w:bottom w:val="nil"/>
              <w:right w:val="nil"/>
            </w:tcBorders>
            <w:shd w:val="clear" w:color="auto" w:fill="62BC41"/>
            <w:vAlign w:val="center"/>
          </w:tcPr>
          <w:p w14:paraId="626A5421">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{%tc endfor %}</w:t>
            </w:r>
          </w:p>
        </w:tc>
      </w:tr>
      <w:tr w14:paraId="75A14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10422" w:type="dxa"/>
            <w:gridSpan w:val="3"/>
            <w:tcBorders>
              <w:top w:val="nil"/>
            </w:tcBorders>
            <w:vAlign w:val="center"/>
          </w:tcPr>
          <w:p w14:paraId="0DCA1DB2">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val="0"/>
                <w:bCs w:val="0"/>
                <w:sz w:val="21"/>
                <w:szCs w:val="21"/>
                <w:lang w:val="en-US" w:eastAsia="zh-CN"/>
              </w:rPr>
              <w:t>{%tr for tds in mrd.mrdJson.mrd_tds %}</w:t>
            </w:r>
          </w:p>
        </w:tc>
      </w:tr>
      <w:tr w14:paraId="7564D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3474" w:type="dxa"/>
            <w:vAlign w:val="center"/>
          </w:tcPr>
          <w:p w14:paraId="5CB71EB8">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bCs/>
                <w:sz w:val="21"/>
                <w:szCs w:val="21"/>
                <w:lang w:val="en-US" w:eastAsia="zh-CN"/>
              </w:rPr>
              <w:t>{%tc for td in tds%}</w:t>
            </w:r>
          </w:p>
        </w:tc>
        <w:tc>
          <w:tcPr>
            <w:tcW w:w="3474" w:type="dxa"/>
            <w:vAlign w:val="center"/>
          </w:tcPr>
          <w:p w14:paraId="78A6A8FE">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val="0"/>
                <w:bCs w:val="0"/>
                <w:sz w:val="21"/>
                <w:szCs w:val="21"/>
                <w:lang w:val="en-US" w:eastAsia="zh-CN"/>
              </w:rPr>
              <w:t>{{td}}</w:t>
            </w:r>
          </w:p>
        </w:tc>
        <w:tc>
          <w:tcPr>
            <w:tcW w:w="3474" w:type="dxa"/>
            <w:vAlign w:val="center"/>
          </w:tcPr>
          <w:p w14:paraId="4519D934">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val="0"/>
                <w:bCs w:val="0"/>
                <w:sz w:val="21"/>
                <w:szCs w:val="21"/>
                <w:lang w:val="en-US" w:eastAsia="zh-CN"/>
              </w:rPr>
              <w:t>{%tc endfor %}</w:t>
            </w:r>
          </w:p>
        </w:tc>
      </w:tr>
      <w:tr w14:paraId="32D265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10422" w:type="dxa"/>
            <w:gridSpan w:val="3"/>
            <w:vAlign w:val="center"/>
          </w:tcPr>
          <w:p w14:paraId="3CC13CA1">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sz w:val="21"/>
                <w:szCs w:val="21"/>
                <w:lang w:val="en-US" w:eastAsia="zh-CN" w:bidi="ar-SA"/>
              </w:rPr>
              <w:t>{%tr endfor %}</w:t>
            </w:r>
          </w:p>
        </w:tc>
      </w:tr>
    </w:tbl>
    <w:p w14:paraId="5F56EE7F">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02D5AB53">
      <w:pPr>
        <w:rPr>
          <w:rFonts w:hint="eastAsia" w:ascii="微软雅黑" w:hAnsi="微软雅黑" w:eastAsia="微软雅黑" w:cs="微软雅黑"/>
          <w:b/>
          <w:bCs/>
          <w:sz w:val="18"/>
          <w:szCs w:val="18"/>
          <w:lang w:eastAsia="zh-CN" w:bidi="ar"/>
        </w:rPr>
      </w:pPr>
    </w:p>
    <w:p w14:paraId="22A2287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07E7CAF">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7557E4A1">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历史检测结果汇总展示突变</w:t>
      </w:r>
      <w:r>
        <w:rPr>
          <w:rFonts w:hint="eastAsia" w:ascii="Times New Roman" w:hAnsi="Times New Roman" w:eastAsia="微软雅黑" w:cs="Times New Roman"/>
          <w:sz w:val="18"/>
          <w:highlight w:val="none"/>
          <w:lang w:val="en-US" w:eastAsia="zh-CN"/>
        </w:rPr>
        <w:t>为分子残留病灶（MRD）监测产品追踪的特异性突变</w:t>
      </w:r>
      <w:r>
        <w:rPr>
          <w:rFonts w:hint="eastAsia" w:ascii="Times New Roman" w:hAnsi="Times New Roman" w:eastAsia="微软雅黑" w:cs="Times New Roman"/>
          <w:sz w:val="18"/>
          <w:highlight w:val="none"/>
          <w:lang w:eastAsia="zh-CN"/>
        </w:rPr>
        <w:t>（仅体细胞变异）</w:t>
      </w:r>
      <w:r>
        <w:rPr>
          <w:rFonts w:hint="eastAsia"/>
          <w:highlight w:val="none"/>
          <w:lang w:eastAsia="zh-CN"/>
        </w:rPr>
        <w:t>。</w:t>
      </w:r>
    </w:p>
    <w:p w14:paraId="7D5F16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4E1113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44E6021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p w14:paraId="08ACB21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0"/>
    <w:bookmarkEnd w:id="1"/>
    <w:bookmarkEnd w:id="2"/>
    <w:bookmarkEnd w:id="3"/>
    <w:bookmarkEnd w:id="4"/>
    <w:bookmarkEnd w:id="5"/>
    <w:bookmarkEnd w:id="6"/>
    <w:bookmarkEnd w:id="7"/>
    <w:p w14:paraId="6BA9D7CD">
      <w:pPr>
        <w:numPr>
          <w:ilvl w:val="255"/>
          <w:numId w:val="0"/>
        </w:numPr>
        <w:jc w:val="both"/>
        <w:outlineLvl w:val="0"/>
        <w:rPr>
          <w:rStyle w:val="55"/>
          <w:rFonts w:ascii="微软雅黑" w:hAnsi="微软雅黑" w:cs="微软雅黑"/>
          <w:szCs w:val="32"/>
        </w:rPr>
      </w:pPr>
      <w:bookmarkStart w:id="37" w:name="_Toc17639"/>
      <w:bookmarkStart w:id="38" w:name="_Toc19463"/>
      <w:bookmarkStart w:id="39" w:name="_Toc10987"/>
      <w:r>
        <w:rPr>
          <w:rStyle w:val="55"/>
          <w:rFonts w:hint="eastAsia" w:ascii="微软雅黑" w:hAnsi="微软雅黑" w:cs="微软雅黑"/>
          <w:szCs w:val="32"/>
        </w:rPr>
        <w:t>附录</w:t>
      </w:r>
      <w:bookmarkEnd w:id="37"/>
      <w:bookmarkEnd w:id="38"/>
    </w:p>
    <w:bookmarkEnd w:id="39"/>
    <w:p w14:paraId="514088FA">
      <w:pPr>
        <w:widowControl w:val="0"/>
        <w:numPr>
          <w:ilvl w:val="255"/>
          <w:numId w:val="0"/>
        </w:numPr>
        <w:jc w:val="left"/>
        <w:outlineLvl w:val="1"/>
        <w:rPr>
          <w:lang w:eastAsia="zh-CN"/>
        </w:rPr>
      </w:pPr>
      <w:bookmarkStart w:id="40" w:name="_Toc3674"/>
      <w:bookmarkStart w:id="41" w:name="_Toc15840_WPSOffice_Level1"/>
      <w:bookmarkStart w:id="42" w:name="_Toc26613"/>
      <w:bookmarkStart w:id="43" w:name="_Toc9914"/>
      <w:bookmarkStart w:id="44" w:name="_Toc14255_WPSOffice_Level1"/>
      <w:bookmarkStart w:id="45" w:name="_Toc21064"/>
      <w:bookmarkStart w:id="46" w:name="_Toc12193"/>
      <w:bookmarkStart w:id="47" w:name="_Toc9066"/>
      <w:bookmarkStart w:id="48" w:name="_Toc24085_WPSOffice_Level1"/>
      <w:r>
        <w:rPr>
          <w:rFonts w:hint="eastAsia" w:ascii="Times New Roman" w:hAnsi="Times New Roman" w:eastAsia="微软雅黑" w:cs="黑体"/>
          <w:b/>
          <w:bCs/>
          <w:color w:val="auto"/>
          <w:sz w:val="30"/>
          <w:szCs w:val="30"/>
          <w:lang w:val="en-US" w:eastAsia="zh-CN" w:bidi="ar-SA"/>
        </w:rPr>
        <w:t>样本质控情况</w:t>
      </w:r>
      <w:bookmarkEnd w:id="40"/>
      <w:bookmarkEnd w:id="41"/>
      <w:bookmarkEnd w:id="42"/>
      <w:bookmarkEnd w:id="43"/>
      <w:bookmarkEnd w:id="44"/>
      <w:bookmarkEnd w:id="45"/>
      <w:bookmarkEnd w:id="46"/>
      <w:bookmarkEnd w:id="47"/>
      <w:bookmarkEnd w:id="48"/>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5C59F7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0F008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7CD69D8">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00A67F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FB96C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191FDCA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F1925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B8BE9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nil"/>
              <w:right w:val="nil"/>
            </w:tcBorders>
            <w:vAlign w:val="center"/>
          </w:tcPr>
          <w:p w14:paraId="10B241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8E7C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3E8D6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8CFDD3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C55C6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E053189">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p>
        </w:tc>
      </w:tr>
      <w:tr w14:paraId="3C0E2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7CC3016">
            <w:pPr>
              <w:ind w:left="119"/>
              <w:jc w:val="center"/>
              <w:rPr>
                <w:rFonts w:ascii="Times New Roman" w:hAnsi="Times New Roman" w:eastAsia="微软雅黑" w:cs="Times New Roman"/>
                <w:b/>
                <w:sz w:val="21"/>
              </w:rPr>
            </w:pPr>
          </w:p>
        </w:tc>
        <w:tc>
          <w:tcPr>
            <w:tcW w:w="2721" w:type="dxa"/>
            <w:vAlign w:val="center"/>
          </w:tcPr>
          <w:p w14:paraId="3403623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61C52A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right w:val="nil"/>
            </w:tcBorders>
            <w:vAlign w:val="center"/>
          </w:tcPr>
          <w:p w14:paraId="70AC634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6EFFCD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3438CF">
            <w:pPr>
              <w:ind w:left="119"/>
              <w:jc w:val="center"/>
              <w:rPr>
                <w:rFonts w:ascii="Times New Roman" w:hAnsi="Times New Roman" w:eastAsia="微软雅黑" w:cs="Times New Roman"/>
                <w:b/>
                <w:sz w:val="21"/>
              </w:rPr>
            </w:pPr>
          </w:p>
        </w:tc>
        <w:tc>
          <w:tcPr>
            <w:tcW w:w="2721" w:type="dxa"/>
            <w:vAlign w:val="center"/>
          </w:tcPr>
          <w:p w14:paraId="427C608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9C3E4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9095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16FE8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269643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65BA2C3">
            <w:pPr>
              <w:autoSpaceDE w:val="0"/>
              <w:ind w:left="110" w:leftChars="50"/>
              <w:jc w:val="center"/>
              <w:rPr>
                <w:rFonts w:ascii="Times New Roman" w:hAnsi="Times New Roman" w:eastAsia="微软雅黑" w:cs="Times New Roman"/>
                <w:bCs/>
                <w:sz w:val="21"/>
                <w:highlight w:val="none"/>
              </w:rPr>
            </w:pPr>
            <w:r>
              <w:rPr>
                <w:rFonts w:hint="eastAsia" w:ascii="Times New Roman" w:hAnsi="Times New Roman" w:eastAsia="微软雅黑" w:cs="微软雅黑"/>
                <w:sz w:val="21"/>
                <w:szCs w:val="21"/>
                <w:highlight w:val="none"/>
                <w:lang w:eastAsia="zh-CN" w:bidi="ar"/>
              </w:rPr>
              <w:t>平均测序深度</w:t>
            </w:r>
          </w:p>
        </w:tc>
        <w:tc>
          <w:tcPr>
            <w:tcW w:w="2381" w:type="dxa"/>
            <w:vAlign w:val="center"/>
          </w:tcPr>
          <w:p w14:paraId="49D17881">
            <w:pPr>
              <w:ind w:left="119" w:leftChars="0"/>
              <w:jc w:val="center"/>
              <w:rPr>
                <w:rFonts w:hint="default" w:ascii="Times New Roman" w:hAnsi="Times New Roman" w:eastAsia="微软雅黑" w:cs="Times New Roman"/>
                <w:bCs/>
                <w:sz w:val="21"/>
                <w:highlight w:val="none"/>
                <w:lang w:val="en-US"/>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D49B1EE">
            <w:pPr>
              <w:autoSpaceDE w:val="0"/>
              <w:ind w:left="110" w:leftChars="50"/>
              <w:jc w:val="center"/>
              <w:rPr>
                <w:rFonts w:hint="default" w:ascii="Times New Roman" w:hAnsi="Times New Roman" w:eastAsia="微软雅黑" w:cs="Times New Roman"/>
                <w:bCs/>
                <w:sz w:val="21"/>
                <w:highlight w:val="none"/>
                <w:lang w:val="en-US" w:eastAsia="zh-CN"/>
              </w:rPr>
            </w:pPr>
            <w:r>
              <w:rPr>
                <w:rFonts w:hint="default"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30000</w:t>
            </w:r>
          </w:p>
        </w:tc>
      </w:tr>
      <w:tr w14:paraId="46960F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E6968FF">
            <w:pPr>
              <w:ind w:left="119"/>
              <w:jc w:val="center"/>
              <w:rPr>
                <w:rFonts w:ascii="Times New Roman" w:hAnsi="Times New Roman" w:eastAsia="微软雅黑" w:cs="Times New Roman"/>
                <w:b/>
                <w:sz w:val="21"/>
              </w:rPr>
            </w:pPr>
          </w:p>
        </w:tc>
        <w:tc>
          <w:tcPr>
            <w:tcW w:w="2721" w:type="dxa"/>
            <w:vAlign w:val="center"/>
          </w:tcPr>
          <w:p w14:paraId="72F03BF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0E1D75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8B528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591C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CDA6D33">
            <w:pPr>
              <w:ind w:left="119"/>
              <w:jc w:val="center"/>
              <w:rPr>
                <w:rFonts w:ascii="Times New Roman" w:hAnsi="Times New Roman" w:eastAsia="微软雅黑" w:cs="Times New Roman"/>
                <w:b/>
                <w:sz w:val="21"/>
              </w:rPr>
            </w:pPr>
          </w:p>
        </w:tc>
        <w:tc>
          <w:tcPr>
            <w:tcW w:w="2721" w:type="dxa"/>
            <w:vAlign w:val="center"/>
          </w:tcPr>
          <w:p w14:paraId="0C4F9E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9A70AA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9F4E03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BEB52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DC5F9D1">
            <w:pPr>
              <w:ind w:left="119"/>
              <w:jc w:val="center"/>
              <w:rPr>
                <w:rFonts w:ascii="Times New Roman" w:hAnsi="Times New Roman" w:eastAsia="微软雅黑" w:cs="Times New Roman"/>
                <w:b/>
                <w:sz w:val="21"/>
              </w:rPr>
            </w:pPr>
          </w:p>
        </w:tc>
        <w:tc>
          <w:tcPr>
            <w:tcW w:w="2721" w:type="dxa"/>
            <w:vAlign w:val="center"/>
          </w:tcPr>
          <w:p w14:paraId="7CD4572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1BCC70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75B88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A4BE9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E3094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23F485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D0D5B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CF95A9D">
      <w:pPr>
        <w:rPr>
          <w:rFonts w:hint="eastAsia"/>
          <w:color w:val="auto"/>
          <w:lang w:eastAsia="zh-CN"/>
        </w:rPr>
      </w:pPr>
      <w:r>
        <w:rPr>
          <w:rFonts w:hint="eastAsia"/>
          <w:color w:val="auto"/>
          <w:lang w:eastAsia="zh-CN"/>
        </w:rPr>
        <w:br w:type="page"/>
      </w:r>
    </w:p>
    <w:p w14:paraId="27FA991A">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49" w:name="_Toc26147"/>
      <w:r>
        <w:rPr>
          <w:rFonts w:hint="eastAsia" w:ascii="Times New Roman" w:hAnsi="Times New Roman" w:eastAsia="微软雅黑" w:cs="黑体"/>
          <w:b/>
          <w:bCs/>
          <w:color w:val="auto"/>
          <w:sz w:val="30"/>
          <w:szCs w:val="30"/>
          <w:lang w:val="en-US" w:eastAsia="zh-CN" w:bidi="ar-SA"/>
        </w:rPr>
        <w:t>检测方法与局限性</w:t>
      </w:r>
      <w:bookmarkEnd w:id="49"/>
    </w:p>
    <w:p w14:paraId="42F38333">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本检测仅为临床诊断和治疗决策提供参考和辅助，临床诊断和治疗决策应有临床医生结合受检者的全面临床信息进行综合判断。</w:t>
      </w:r>
    </w:p>
    <w:p w14:paraId="30730AC7">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096C529">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79E3BEE7">
      <w:pPr>
        <w:rPr>
          <w:rFonts w:hint="eastAsia" w:ascii="Times New Roman" w:hAnsi="Times New Roman" w:eastAsia="微软雅黑" w:cs="Times New Roman"/>
          <w:bCs/>
          <w:sz w:val="21"/>
          <w:szCs w:val="21"/>
          <w:lang w:eastAsia="zh-CN"/>
        </w:rPr>
      </w:pPr>
    </w:p>
    <w:p w14:paraId="600880D8">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51" w:name="_GoBack"/>
      <w:bookmarkEnd w:id="51"/>
      <w:r>
        <w:rPr>
          <w:rFonts w:hint="eastAsia"/>
          <w:color w:val="auto"/>
          <w:highlight w:val="yellow"/>
          <w:lang w:eastAsia="zh-CN"/>
        </w:rPr>
        <w:br w:type="page"/>
      </w:r>
      <w:bookmarkStart w:id="50" w:name="_Toc2719"/>
      <w:r>
        <w:rPr>
          <w:rFonts w:hint="eastAsia" w:ascii="Times New Roman" w:hAnsi="Times New Roman" w:eastAsia="微软雅黑" w:cs="黑体"/>
          <w:b/>
          <w:bCs/>
          <w:color w:val="auto"/>
          <w:sz w:val="30"/>
          <w:szCs w:val="30"/>
          <w:lang w:val="en-US" w:eastAsia="zh-CN" w:bidi="ar-SA"/>
        </w:rPr>
        <w:t>参考文献</w:t>
      </w:r>
      <w:bookmarkEnd w:id="50"/>
    </w:p>
    <w:p w14:paraId="6275740C">
      <w:pPr>
        <w:pStyle w:val="13"/>
        <w:widowControl/>
        <w:rPr>
          <w:rFonts w:hint="eastAsia" w:ascii="Times New Roman" w:hAnsi="Times New Roman" w:eastAsia="Segoe UI" w:cs="Times New Roman"/>
          <w:sz w:val="15"/>
          <w:szCs w:val="15"/>
          <w:highlight w:val="none"/>
          <w:shd w:val="clear" w:color="auto" w:fill="FFFFFF"/>
          <w:lang w:eastAsia="zh-CN" w:bidi="ar"/>
        </w:rPr>
      </w:pPr>
    </w:p>
    <w:p w14:paraId="7A8C3AEA">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《实体瘤分子残留病灶检测共识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中华医学会病理学分会,国家病理质控中心</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中华病理学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53</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11</w:t>
      </w:r>
      <w:r>
        <w:rPr>
          <w:rFonts w:ascii="Times New Roman" w:hAnsi="Times New Roman" w:eastAsia="微软雅黑" w:cs="Times New Roman"/>
          <w:sz w:val="15"/>
          <w:szCs w:val="15"/>
          <w:highlight w:val="none"/>
          <w:lang w:eastAsia="zh-CN"/>
        </w:rPr>
        <w:t>期.</w:t>
      </w:r>
    </w:p>
    <w:p w14:paraId="4AB24BD0">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《非小细胞肺癌分子残留病灶专家共识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中国抗癌协会肺癌</w:t>
      </w:r>
      <w:r>
        <w:rPr>
          <w:rFonts w:hint="eastAsia" w:ascii="Times New Roman" w:hAnsi="Times New Roman" w:eastAsia="微软雅黑" w:cs="Times New Roman"/>
          <w:sz w:val="15"/>
          <w:szCs w:val="15"/>
          <w:highlight w:val="none"/>
          <w:lang w:val="en-US" w:eastAsia="zh-CN"/>
        </w:rPr>
        <w:t>专业委员会</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3</w:t>
      </w:r>
      <w:r>
        <w:rPr>
          <w:rFonts w:ascii="Times New Roman" w:hAnsi="Times New Roman" w:eastAsia="微软雅黑" w:cs="Times New Roman"/>
          <w:sz w:val="15"/>
          <w:szCs w:val="15"/>
          <w:highlight w:val="none"/>
          <w:lang w:eastAsia="zh-CN"/>
        </w:rPr>
        <w:t>期.</w:t>
      </w:r>
    </w:p>
    <w:p w14:paraId="5B556FC3">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《引领肺癌治疗新时代的标志物——微小残留病灶</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张嘉涛</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杨学宁</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吴一龙</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期.</w:t>
      </w:r>
    </w:p>
    <w:p w14:paraId="7DFCC44A">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 2017;7:1394-403.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28899864</w:t>
      </w:r>
      <w:r>
        <w:rPr>
          <w:rFonts w:hint="eastAsia" w:ascii="Times New Roman" w:hAnsi="Times New Roman" w:eastAsia="Segoe UI" w:cs="Times New Roman"/>
          <w:sz w:val="15"/>
          <w:szCs w:val="15"/>
          <w:shd w:val="clear" w:color="auto" w:fill="FFFFFF"/>
          <w:lang w:val="en-US" w:eastAsia="zh-CN" w:bidi="ar"/>
        </w:rPr>
        <w:t>]</w:t>
      </w:r>
    </w:p>
    <w:p w14:paraId="4A0DAABE">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Abbosh C, Birkbak NJ, Wilson GA, et al. Phylogenetic ctDNA analysis depicts early-stage lung cancer evolution. Nature 2017;545:446-51.</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28445469</w:t>
      </w:r>
      <w:r>
        <w:rPr>
          <w:rFonts w:hint="eastAsia" w:ascii="Times New Roman" w:hAnsi="Times New Roman" w:eastAsia="Segoe UI" w:cs="Times New Roman"/>
          <w:sz w:val="15"/>
          <w:szCs w:val="15"/>
          <w:shd w:val="clear" w:color="auto" w:fill="FFFFFF"/>
          <w:lang w:val="en-US" w:eastAsia="zh-CN" w:bidi="ar"/>
        </w:rPr>
        <w:t>]</w:t>
      </w:r>
    </w:p>
    <w:p w14:paraId="2F4FB81F">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34505064</w:t>
      </w:r>
      <w:r>
        <w:rPr>
          <w:rFonts w:hint="eastAsia" w:ascii="Times New Roman" w:hAnsi="Times New Roman" w:eastAsia="Segoe UI" w:cs="Times New Roman"/>
          <w:sz w:val="15"/>
          <w:szCs w:val="15"/>
          <w:shd w:val="clear" w:color="auto" w:fill="FFFFFF"/>
          <w:lang w:val="en-US" w:eastAsia="zh-CN" w:bidi="ar"/>
        </w:rPr>
        <w:t>]</w:t>
      </w:r>
    </w:p>
    <w:p w14:paraId="67B305E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35543554</w:t>
      </w:r>
      <w:r>
        <w:rPr>
          <w:rFonts w:hint="eastAsia" w:ascii="Times New Roman" w:hAnsi="Times New Roman" w:eastAsia="Segoe UI" w:cs="Times New Roman"/>
          <w:sz w:val="15"/>
          <w:szCs w:val="15"/>
          <w:shd w:val="clear" w:color="auto" w:fill="FFFFFF"/>
          <w:lang w:val="en-US" w:eastAsia="zh-CN" w:bidi="ar"/>
        </w:rPr>
        <w:t>]</w:t>
      </w:r>
    </w:p>
    <w:p w14:paraId="29CE1310">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12661006</w:t>
      </w:r>
      <w:r>
        <w:rPr>
          <w:rFonts w:hint="eastAsia" w:ascii="Times New Roman" w:hAnsi="Times New Roman" w:eastAsia="Segoe UI" w:cs="Times New Roman"/>
          <w:sz w:val="15"/>
          <w:szCs w:val="15"/>
          <w:shd w:val="clear" w:color="auto" w:fill="FFFFFF"/>
          <w:lang w:val="en-US" w:eastAsia="zh-CN" w:bidi="ar"/>
        </w:rPr>
        <w:t>]</w:t>
      </w:r>
    </w:p>
    <w:p w14:paraId="7006C3FF">
      <w:pPr>
        <w:pStyle w:val="13"/>
        <w:widowControl/>
        <w:rPr>
          <w:rFonts w:hint="default" w:ascii="Times New Roman" w:hAnsi="Times New Roman" w:eastAsia="Segoe UI" w:cs="Times New Roman"/>
          <w:sz w:val="15"/>
          <w:szCs w:val="15"/>
          <w:shd w:val="clear" w:color="auto" w:fill="FFFFFF"/>
          <w:lang w:val="en-US" w:eastAsia="zh-CN" w:bidi="ar"/>
        </w:rPr>
      </w:pPr>
      <w:r>
        <w:rPr>
          <w:rFonts w:hint="eastAsia" w:ascii="Times New Roman" w:hAnsi="Times New Roman" w:eastAsia="Segoe UI" w:cs="Times New Roman"/>
          <w:sz w:val="15"/>
          <w:szCs w:val="15"/>
          <w:shd w:val="clear" w:color="auto" w:fill="FFFFFF"/>
          <w:lang w:eastAsia="zh-CN" w:bidi="ar"/>
        </w:rPr>
        <w:t>Rikova K, Guo A, Zeng Q, et al. Global survey of phosphotyrosine signaling identifies oncogenic kinases in lung cancer. Cell. 2007;131:1190–1203.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18083107</w:t>
      </w:r>
      <w:r>
        <w:rPr>
          <w:rFonts w:hint="eastAsia" w:ascii="Times New Roman" w:hAnsi="Times New Roman" w:eastAsia="Segoe UI" w:cs="Times New Roman"/>
          <w:sz w:val="15"/>
          <w:szCs w:val="15"/>
          <w:shd w:val="clear" w:color="auto" w:fill="FFFFFF"/>
          <w:lang w:val="en-US" w:eastAsia="zh-CN" w:bidi="ar"/>
        </w:rPr>
        <w:t>]</w:t>
      </w:r>
    </w:p>
    <w:p w14:paraId="5819D91E">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 TL</w:t>
      </w:r>
      <w:r>
        <w:rPr>
          <w:rFonts w:hint="eastAsia" w:ascii="Times New Roman" w:hAnsi="Times New Roman" w:eastAsia="Segoe UI" w:cs="Times New Roman"/>
          <w:sz w:val="15"/>
          <w:szCs w:val="15"/>
          <w:shd w:val="clear" w:color="auto" w:fill="FFFFFF"/>
          <w:lang w:val="en-US" w:eastAsia="zh-CN" w:bidi="ar"/>
        </w:rPr>
        <w:t>, Deng X, Huang F,</w:t>
      </w:r>
      <w:r>
        <w:rPr>
          <w:rFonts w:hint="eastAsia" w:ascii="Times New Roman" w:hAnsi="Times New Roman" w:eastAsia="Segoe UI" w:cs="Times New Roman"/>
          <w:sz w:val="15"/>
          <w:szCs w:val="15"/>
          <w:shd w:val="clear" w:color="auto" w:fill="FFFFFF"/>
          <w:lang w:eastAsia="zh-CN" w:bidi="ar"/>
        </w:rPr>
        <w:t xml:space="preserve"> et al. Survey of tyrosine kinase signaling reveals ROS kinase fusions in human cholangiocarcinoma. PLoS ONE. 2011;6(1):e15640.</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21253578</w:t>
      </w:r>
      <w:r>
        <w:rPr>
          <w:rFonts w:hint="eastAsia" w:ascii="Times New Roman" w:hAnsi="Times New Roman" w:eastAsia="Segoe UI" w:cs="Times New Roman"/>
          <w:sz w:val="15"/>
          <w:szCs w:val="15"/>
          <w:shd w:val="clear" w:color="auto" w:fill="FFFFFF"/>
          <w:lang w:val="en-US" w:eastAsia="zh-CN" w:bidi="ar"/>
        </w:rPr>
        <w:t>]</w:t>
      </w:r>
    </w:p>
    <w:p w14:paraId="746C51D1">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Davies KD, Doebele RC. Molecular pathways: ROS1 fusion proteins in cancer. Clin Cancer Res 2013; 19: 4040–4045.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23719267</w:t>
      </w:r>
      <w:r>
        <w:rPr>
          <w:rFonts w:hint="eastAsia" w:ascii="Times New Roman" w:hAnsi="Times New Roman" w:eastAsia="Segoe UI" w:cs="Times New Roman"/>
          <w:sz w:val="15"/>
          <w:szCs w:val="15"/>
          <w:shd w:val="clear" w:color="auto" w:fill="FFFFFF"/>
          <w:lang w:val="en-US" w:eastAsia="zh-CN" w:bidi="ar"/>
        </w:rPr>
        <w:t>]</w:t>
      </w:r>
    </w:p>
    <w:p w14:paraId="034F1A57">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Discovery</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2017</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7:1394–403. [PMID: 28899864]</w:t>
      </w:r>
    </w:p>
    <w:p w14:paraId="3E0D818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Garcia-Murillas I, Schiavon G, Weigelt B, et al. Mutation tracking in circulating tumor DNA predicts relapse in early breast cancer. Sci Transl Med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2015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7(302):302ra133. [PMID: 26311728]</w:t>
      </w:r>
    </w:p>
    <w:p w14:paraId="39D4391B">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Tie J, Wang Y, Tomasetti C, et al. Circulating tumor DNA analysis detects minimal residual disease and predicts recurrence in patients with stage II colon cancer. Sci Transl Med. 2016;8(346):346ra92 [P</w:t>
      </w:r>
      <w:r>
        <w:rPr>
          <w:rFonts w:hint="eastAsia" w:ascii="Times New Roman" w:hAnsi="Times New Roman" w:eastAsia="Segoe UI" w:cs="Times New Roman"/>
          <w:sz w:val="15"/>
          <w:szCs w:val="15"/>
          <w:highlight w:val="none"/>
          <w:shd w:val="clear" w:color="auto" w:fill="FFFFFF"/>
          <w:lang w:eastAsia="zh-CN" w:bidi="ar"/>
        </w:rPr>
        <w:t>MID: 27384348]</w:t>
      </w:r>
    </w:p>
    <w:p w14:paraId="7FA109EA">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3AE4FEE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Sausen M., Phallen J., Adleff V., et al. Clinical implications of genomic alterations in the tumour and circulation of pancreatic cancer patients. Nat. Commun. 2015;6:7686. [PMID: 26154128]</w:t>
      </w:r>
    </w:p>
    <w:p w14:paraId="4A0D8136">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5CEBFDB6">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34625408]</w:t>
      </w:r>
    </w:p>
    <w:p w14:paraId="026C4BF5">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Coakley M., Garcia-Murillas I. Turner N.C. Molecular Residual Disease and Adjuvant Trial Design in Solid Tumors. Clin. Cancer Res. 2019;25:6026–6034. [PMID: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31088829]</w:t>
      </w:r>
    </w:p>
    <w:p w14:paraId="088609F4">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Moding EJ, Nabet BY, Alizadeh AA, et al. Detecting liquid remnants of solid tumors: circulating tumor DNA minimal residual disease. Cancer Discov 2021;11:2968–86. [PMID: 34785539]</w:t>
      </w:r>
    </w:p>
    <w:p w14:paraId="64D0FEF8">
      <w:pPr>
        <w:pStyle w:val="13"/>
        <w:widowControl/>
        <w:rPr>
          <w:rFonts w:hint="default" w:ascii="Times New Roman" w:hAnsi="Times New Roman" w:eastAsia="等线"/>
          <w:sz w:val="22"/>
          <w:lang w:eastAsia="zh-CN"/>
        </w:rPr>
        <w:sectPr>
          <w:headerReference r:id="rId6" w:type="default"/>
          <w:footerReference r:id="rId7" w:type="default"/>
          <w:pgSz w:w="11906" w:h="16838"/>
          <w:pgMar w:top="964" w:right="850" w:bottom="964" w:left="850" w:header="283" w:footer="567" w:gutter="0"/>
          <w:pgBorders>
            <w:top w:val="none" w:sz="0" w:space="0"/>
            <w:left w:val="none" w:sz="0" w:space="0"/>
            <w:bottom w:val="none" w:sz="0" w:space="0"/>
            <w:right w:val="none" w:sz="0" w:space="0"/>
          </w:pgBorders>
          <w:pgNumType w:fmt="decimal" w:start="1"/>
          <w:cols w:space="425" w:num="1"/>
          <w:docGrid w:type="lines" w:linePitch="312" w:charSpace="0"/>
        </w:sectPr>
      </w:pPr>
    </w:p>
    <w:p w14:paraId="4B692389">
      <w:pPr>
        <w:pStyle w:val="13"/>
        <w:widowControl/>
        <w:rPr>
          <w:rFonts w:hint="default" w:ascii="Times New Roman" w:hAnsi="Times New Roman" w:eastAsia="等线"/>
          <w:sz w:val="22"/>
          <w:lang w:eastAsia="zh-CN"/>
        </w:rPr>
      </w:pPr>
    </w:p>
    <w:sectPr>
      <w:footerReference r:id="rId8" w:type="default"/>
      <w:pgSz w:w="11906" w:h="16838"/>
      <w:pgMar w:top="964" w:right="850" w:bottom="964" w:left="850" w:header="283" w:footer="567"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65C6C">
    <w:pPr>
      <w:pStyle w:val="9"/>
      <w:tabs>
        <w:tab w:val="center" w:pos="4935"/>
        <w:tab w:val="clear" w:pos="4153"/>
      </w:tabs>
    </w:pPr>
    <w:r>
      <mc:AlternateContent>
        <mc:Choice Requires="wps">
          <w:drawing>
            <wp:anchor distT="0" distB="0" distL="114300" distR="114300" simplePos="0" relativeHeight="251659264" behindDoc="0" locked="0" layoutInCell="1" allowOverlap="1">
              <wp:simplePos x="0" y="0"/>
              <wp:positionH relativeFrom="column">
                <wp:posOffset>-400685</wp:posOffset>
              </wp:positionH>
              <wp:positionV relativeFrom="paragraph">
                <wp:posOffset>1275715</wp:posOffset>
              </wp:positionV>
              <wp:extent cx="5884545" cy="372745"/>
              <wp:effectExtent l="0" t="0" r="0" b="0"/>
              <wp:wrapNone/>
              <wp:docPr id="24"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55pt;margin-top:100.45pt;height:29.35pt;width:463.35pt;z-index:251659264;mso-width-relative:page;mso-height-relative:page;" filled="f" stroked="f" coordsize="21600,21600" o:gfxdata="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p6SdH2wAAAAsBAAAPAAAAAAAAAAEAIAAAACIAAABkcnMvZG93bnJldi54bWxQSwECFAAUAAAA&#10;CACHTuJAO0KVbpYCAAAkBQAADgAAAAAAAAABACAAAAAqAQAAZHJzL2Uyb0RvYy54bWxQSwUGAAAA&#10;AAYABgBZAQAAMgYAAAAA&#10;">
              <v:fill on="f" focussize="0,0"/>
              <v:stroke on="f" weight="0.5pt"/>
              <v:imagedata o:title=""/>
              <o:lock v:ext="edit" aspectratio="f"/>
              <v:textbo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05EF">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110230" cy="296545"/>
              <wp:effectExtent l="0" t="0" r="0" b="0"/>
              <wp:wrapNone/>
              <wp:docPr id="3" name="文本框 3"/>
              <wp:cNvGraphicFramePr/>
              <a:graphic xmlns:a="http://schemas.openxmlformats.org/drawingml/2006/main">
                <a:graphicData uri="http://schemas.microsoft.com/office/word/2010/wordprocessingShape">
                  <wps:wsp>
                    <wps:cNvSpPr txBox="1"/>
                    <wps:spPr>
                      <a:xfrm>
                        <a:off x="0" y="0"/>
                        <a:ext cx="3110230" cy="296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028A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3.35pt;width:244.9pt;mso-position-horizontal:center;mso-position-horizontal-relative:margin;z-index:251660288;mso-width-relative:page;mso-height-relative:page;" filled="f" stroked="f" coordsize="21600,21600" o:gfxdata="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bnsK9QAAAAEAQAADwAAAAAAAAABACAAAAAiAAAAZHJzL2Rvd25yZXYu&#10;eG1sUEsBAhQAFAAAAAgAh07iQAZli504AgAAYgQAAA4AAAAAAAAAAQAgAAAAIwEAAGRycy9lMm9E&#10;b2MueG1sUEsFBgAAAAAGAAYAWQEAAM0FAAAAAA==&#10;">
              <v:fill on="f" focussize="0,0"/>
              <v:stroke on="f" weight="0.5pt"/>
              <v:imagedata o:title=""/>
              <o:lock v:ext="edit" aspectratio="f"/>
              <v:textbox inset="0mm,0mm,0mm,0mm">
                <w:txbxContent>
                  <w:p w14:paraId="07D028A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C01A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36C4C">
    <w:pPr>
      <w:pStyle w:val="10"/>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5B0D0">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80AC8">
    <w:pPr>
      <w:pStyle w:val="10"/>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1B2"/>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CF3752"/>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1C33875"/>
    <w:rsid w:val="01C56903"/>
    <w:rsid w:val="02160678"/>
    <w:rsid w:val="022E17E8"/>
    <w:rsid w:val="02337A11"/>
    <w:rsid w:val="027B6711"/>
    <w:rsid w:val="029E39F1"/>
    <w:rsid w:val="02CA5230"/>
    <w:rsid w:val="0329174C"/>
    <w:rsid w:val="033463D6"/>
    <w:rsid w:val="03567A42"/>
    <w:rsid w:val="035A7A5D"/>
    <w:rsid w:val="035F23D0"/>
    <w:rsid w:val="03626BEB"/>
    <w:rsid w:val="038726D8"/>
    <w:rsid w:val="03AF089E"/>
    <w:rsid w:val="03C15E79"/>
    <w:rsid w:val="03E921F1"/>
    <w:rsid w:val="04791D69"/>
    <w:rsid w:val="04871837"/>
    <w:rsid w:val="04932CE9"/>
    <w:rsid w:val="04A167FA"/>
    <w:rsid w:val="04BD1641"/>
    <w:rsid w:val="04C17114"/>
    <w:rsid w:val="05815BFE"/>
    <w:rsid w:val="05887898"/>
    <w:rsid w:val="058C0892"/>
    <w:rsid w:val="05D80C81"/>
    <w:rsid w:val="05F23D13"/>
    <w:rsid w:val="065E2EE9"/>
    <w:rsid w:val="06A61E8D"/>
    <w:rsid w:val="06E36A2C"/>
    <w:rsid w:val="06EB7F4D"/>
    <w:rsid w:val="06F67704"/>
    <w:rsid w:val="074043CC"/>
    <w:rsid w:val="07AB34E7"/>
    <w:rsid w:val="07D36A00"/>
    <w:rsid w:val="07DB59EB"/>
    <w:rsid w:val="083060FE"/>
    <w:rsid w:val="08337B1F"/>
    <w:rsid w:val="0838135C"/>
    <w:rsid w:val="083F50A2"/>
    <w:rsid w:val="084B3BA4"/>
    <w:rsid w:val="087345A0"/>
    <w:rsid w:val="08831D1A"/>
    <w:rsid w:val="088D7FF0"/>
    <w:rsid w:val="08D31BFA"/>
    <w:rsid w:val="095D32C1"/>
    <w:rsid w:val="09705B33"/>
    <w:rsid w:val="099512B1"/>
    <w:rsid w:val="09FF5FCE"/>
    <w:rsid w:val="0A043ABA"/>
    <w:rsid w:val="0A1458C4"/>
    <w:rsid w:val="0A337BEA"/>
    <w:rsid w:val="0A757891"/>
    <w:rsid w:val="0ADA7F11"/>
    <w:rsid w:val="0AEC09F3"/>
    <w:rsid w:val="0B7348DB"/>
    <w:rsid w:val="0C0B736B"/>
    <w:rsid w:val="0C1768CC"/>
    <w:rsid w:val="0C3A0C95"/>
    <w:rsid w:val="0C3E5385"/>
    <w:rsid w:val="0C96240B"/>
    <w:rsid w:val="0D055CE8"/>
    <w:rsid w:val="0D0E2E15"/>
    <w:rsid w:val="0D5374B9"/>
    <w:rsid w:val="0D877621"/>
    <w:rsid w:val="0D8D61C7"/>
    <w:rsid w:val="0D9819F1"/>
    <w:rsid w:val="0DF02F5A"/>
    <w:rsid w:val="0E11445D"/>
    <w:rsid w:val="0E542351"/>
    <w:rsid w:val="0E632099"/>
    <w:rsid w:val="0E8122BC"/>
    <w:rsid w:val="0EBF2A43"/>
    <w:rsid w:val="0EC91129"/>
    <w:rsid w:val="0ED843CC"/>
    <w:rsid w:val="0F1A5CDE"/>
    <w:rsid w:val="0F1B299B"/>
    <w:rsid w:val="0FB9297A"/>
    <w:rsid w:val="0FCB1589"/>
    <w:rsid w:val="0FEF6595"/>
    <w:rsid w:val="0FF26B15"/>
    <w:rsid w:val="0FFE1C1F"/>
    <w:rsid w:val="100920B1"/>
    <w:rsid w:val="10A519AE"/>
    <w:rsid w:val="11067689"/>
    <w:rsid w:val="110D3F98"/>
    <w:rsid w:val="12744159"/>
    <w:rsid w:val="12850E64"/>
    <w:rsid w:val="12963DA1"/>
    <w:rsid w:val="12F372F0"/>
    <w:rsid w:val="132612E4"/>
    <w:rsid w:val="13897526"/>
    <w:rsid w:val="13AB527B"/>
    <w:rsid w:val="147565B0"/>
    <w:rsid w:val="14872247"/>
    <w:rsid w:val="148972D9"/>
    <w:rsid w:val="149B7751"/>
    <w:rsid w:val="14C82A00"/>
    <w:rsid w:val="14E50274"/>
    <w:rsid w:val="15002B2A"/>
    <w:rsid w:val="150E31A1"/>
    <w:rsid w:val="15196B67"/>
    <w:rsid w:val="152E3223"/>
    <w:rsid w:val="153F7D0D"/>
    <w:rsid w:val="15567E5A"/>
    <w:rsid w:val="15B669CC"/>
    <w:rsid w:val="15D73C77"/>
    <w:rsid w:val="165063E4"/>
    <w:rsid w:val="16BD5BE8"/>
    <w:rsid w:val="16E67B0D"/>
    <w:rsid w:val="16EF32B7"/>
    <w:rsid w:val="16F8465A"/>
    <w:rsid w:val="179E5A16"/>
    <w:rsid w:val="17EF172D"/>
    <w:rsid w:val="17EF6030"/>
    <w:rsid w:val="17F845D8"/>
    <w:rsid w:val="18036692"/>
    <w:rsid w:val="184A3267"/>
    <w:rsid w:val="184F5A03"/>
    <w:rsid w:val="187735EC"/>
    <w:rsid w:val="188B1EE6"/>
    <w:rsid w:val="188E10A8"/>
    <w:rsid w:val="18954C50"/>
    <w:rsid w:val="18A5002C"/>
    <w:rsid w:val="19437087"/>
    <w:rsid w:val="19443FCD"/>
    <w:rsid w:val="1969147D"/>
    <w:rsid w:val="199369D8"/>
    <w:rsid w:val="19C00606"/>
    <w:rsid w:val="1B10343F"/>
    <w:rsid w:val="1B28649B"/>
    <w:rsid w:val="1BA36B7F"/>
    <w:rsid w:val="1BAD3E87"/>
    <w:rsid w:val="1BC62B8C"/>
    <w:rsid w:val="1BE42050"/>
    <w:rsid w:val="1C7A05D0"/>
    <w:rsid w:val="1C7A6810"/>
    <w:rsid w:val="1C7E2CF4"/>
    <w:rsid w:val="1C98707F"/>
    <w:rsid w:val="1CCD19AC"/>
    <w:rsid w:val="1CFB3D7D"/>
    <w:rsid w:val="1D0B7646"/>
    <w:rsid w:val="1D103BE7"/>
    <w:rsid w:val="1D5D7143"/>
    <w:rsid w:val="1DB955BA"/>
    <w:rsid w:val="1E34118D"/>
    <w:rsid w:val="1E5B4AE9"/>
    <w:rsid w:val="1E5F5CBE"/>
    <w:rsid w:val="1E8474D2"/>
    <w:rsid w:val="1EAB0C6A"/>
    <w:rsid w:val="1EAF2912"/>
    <w:rsid w:val="1ED1783B"/>
    <w:rsid w:val="1EEB2832"/>
    <w:rsid w:val="1EF53F2C"/>
    <w:rsid w:val="1F2B7CAE"/>
    <w:rsid w:val="1F9846F7"/>
    <w:rsid w:val="1FB23A5A"/>
    <w:rsid w:val="1FC77337"/>
    <w:rsid w:val="20014799"/>
    <w:rsid w:val="20205A20"/>
    <w:rsid w:val="202D7F0F"/>
    <w:rsid w:val="207003FC"/>
    <w:rsid w:val="207F4C70"/>
    <w:rsid w:val="20855B55"/>
    <w:rsid w:val="209432E5"/>
    <w:rsid w:val="20C205EB"/>
    <w:rsid w:val="20CA3A62"/>
    <w:rsid w:val="21417D79"/>
    <w:rsid w:val="21491A1D"/>
    <w:rsid w:val="216F18A9"/>
    <w:rsid w:val="217A7CC0"/>
    <w:rsid w:val="218960DE"/>
    <w:rsid w:val="21975E7F"/>
    <w:rsid w:val="21D55A39"/>
    <w:rsid w:val="22003639"/>
    <w:rsid w:val="22180203"/>
    <w:rsid w:val="228766DF"/>
    <w:rsid w:val="22A41FB0"/>
    <w:rsid w:val="22AB05F1"/>
    <w:rsid w:val="22BB36DF"/>
    <w:rsid w:val="22D11985"/>
    <w:rsid w:val="22D327D6"/>
    <w:rsid w:val="22D4409F"/>
    <w:rsid w:val="230A675E"/>
    <w:rsid w:val="232079E6"/>
    <w:rsid w:val="2322058C"/>
    <w:rsid w:val="235C2C2A"/>
    <w:rsid w:val="239301B8"/>
    <w:rsid w:val="23A44CA6"/>
    <w:rsid w:val="23AE4FF1"/>
    <w:rsid w:val="23DC4798"/>
    <w:rsid w:val="23FF1819"/>
    <w:rsid w:val="240007AE"/>
    <w:rsid w:val="243036BC"/>
    <w:rsid w:val="243D05CE"/>
    <w:rsid w:val="244D2216"/>
    <w:rsid w:val="24A353CC"/>
    <w:rsid w:val="250E3D96"/>
    <w:rsid w:val="25233303"/>
    <w:rsid w:val="253036C5"/>
    <w:rsid w:val="254C405B"/>
    <w:rsid w:val="255C038A"/>
    <w:rsid w:val="256C4478"/>
    <w:rsid w:val="25B4454E"/>
    <w:rsid w:val="26393298"/>
    <w:rsid w:val="2675513D"/>
    <w:rsid w:val="26976104"/>
    <w:rsid w:val="26FE539F"/>
    <w:rsid w:val="271A3FF4"/>
    <w:rsid w:val="271C165B"/>
    <w:rsid w:val="2786240A"/>
    <w:rsid w:val="27870460"/>
    <w:rsid w:val="280D4603"/>
    <w:rsid w:val="28506FA4"/>
    <w:rsid w:val="288061C7"/>
    <w:rsid w:val="28855B91"/>
    <w:rsid w:val="28B63ACE"/>
    <w:rsid w:val="28B640D1"/>
    <w:rsid w:val="28B74238"/>
    <w:rsid w:val="28B83CA7"/>
    <w:rsid w:val="28D96631"/>
    <w:rsid w:val="28E502F9"/>
    <w:rsid w:val="28FF391E"/>
    <w:rsid w:val="290D27BA"/>
    <w:rsid w:val="292D0C40"/>
    <w:rsid w:val="29363F06"/>
    <w:rsid w:val="29476B15"/>
    <w:rsid w:val="296F5B95"/>
    <w:rsid w:val="29DE0525"/>
    <w:rsid w:val="29EF70C8"/>
    <w:rsid w:val="2A1A02D5"/>
    <w:rsid w:val="2A221D03"/>
    <w:rsid w:val="2A3716AB"/>
    <w:rsid w:val="2A51621C"/>
    <w:rsid w:val="2A9646DF"/>
    <w:rsid w:val="2ADE2A02"/>
    <w:rsid w:val="2B0025D7"/>
    <w:rsid w:val="2B485DBB"/>
    <w:rsid w:val="2B692B05"/>
    <w:rsid w:val="2B8C0A94"/>
    <w:rsid w:val="2BDE1876"/>
    <w:rsid w:val="2BF7758D"/>
    <w:rsid w:val="2C165FD1"/>
    <w:rsid w:val="2C180353"/>
    <w:rsid w:val="2C427C83"/>
    <w:rsid w:val="2CD31625"/>
    <w:rsid w:val="2D99461C"/>
    <w:rsid w:val="2E046235"/>
    <w:rsid w:val="2E0C0EE9"/>
    <w:rsid w:val="2E2868F4"/>
    <w:rsid w:val="2E3D6CA4"/>
    <w:rsid w:val="2E7C3545"/>
    <w:rsid w:val="2EB35A8A"/>
    <w:rsid w:val="2F1809B2"/>
    <w:rsid w:val="2F28730D"/>
    <w:rsid w:val="2F311567"/>
    <w:rsid w:val="2F5208EA"/>
    <w:rsid w:val="2F9768C8"/>
    <w:rsid w:val="2FF67B04"/>
    <w:rsid w:val="303F18CE"/>
    <w:rsid w:val="304642F6"/>
    <w:rsid w:val="304862D7"/>
    <w:rsid w:val="307F054F"/>
    <w:rsid w:val="30DA24F1"/>
    <w:rsid w:val="30E41C41"/>
    <w:rsid w:val="31033685"/>
    <w:rsid w:val="310959FE"/>
    <w:rsid w:val="3109732A"/>
    <w:rsid w:val="315E5833"/>
    <w:rsid w:val="31F97D80"/>
    <w:rsid w:val="32080EDC"/>
    <w:rsid w:val="320861AA"/>
    <w:rsid w:val="323C7625"/>
    <w:rsid w:val="326444BD"/>
    <w:rsid w:val="32AB7EAB"/>
    <w:rsid w:val="32B71D27"/>
    <w:rsid w:val="32DE07F1"/>
    <w:rsid w:val="32F01EBB"/>
    <w:rsid w:val="33323300"/>
    <w:rsid w:val="33725A73"/>
    <w:rsid w:val="338527AA"/>
    <w:rsid w:val="3395520D"/>
    <w:rsid w:val="33AE0711"/>
    <w:rsid w:val="33B80238"/>
    <w:rsid w:val="33D03FDB"/>
    <w:rsid w:val="33F059CD"/>
    <w:rsid w:val="346D24B1"/>
    <w:rsid w:val="34777EA9"/>
    <w:rsid w:val="348573AD"/>
    <w:rsid w:val="351C7717"/>
    <w:rsid w:val="354B10C4"/>
    <w:rsid w:val="357E5409"/>
    <w:rsid w:val="35945D5F"/>
    <w:rsid w:val="35B3556B"/>
    <w:rsid w:val="35F5325E"/>
    <w:rsid w:val="360630CA"/>
    <w:rsid w:val="360A76FC"/>
    <w:rsid w:val="360E0A21"/>
    <w:rsid w:val="369C274E"/>
    <w:rsid w:val="36F37161"/>
    <w:rsid w:val="37092813"/>
    <w:rsid w:val="371E73E3"/>
    <w:rsid w:val="37E81DE8"/>
    <w:rsid w:val="3848012E"/>
    <w:rsid w:val="38893921"/>
    <w:rsid w:val="38A6010A"/>
    <w:rsid w:val="38E26DA6"/>
    <w:rsid w:val="39334160"/>
    <w:rsid w:val="39525C52"/>
    <w:rsid w:val="39681C7C"/>
    <w:rsid w:val="399A5E65"/>
    <w:rsid w:val="39A64D30"/>
    <w:rsid w:val="3A202424"/>
    <w:rsid w:val="3AEF4843"/>
    <w:rsid w:val="3AF460F5"/>
    <w:rsid w:val="3B0C44A5"/>
    <w:rsid w:val="3B475B30"/>
    <w:rsid w:val="3B6E4C22"/>
    <w:rsid w:val="3B721C7C"/>
    <w:rsid w:val="3B9B0105"/>
    <w:rsid w:val="3BEA5380"/>
    <w:rsid w:val="3C3F24CA"/>
    <w:rsid w:val="3C5D7D9D"/>
    <w:rsid w:val="3CC95781"/>
    <w:rsid w:val="3CE869B6"/>
    <w:rsid w:val="3D1C54C3"/>
    <w:rsid w:val="3D355B48"/>
    <w:rsid w:val="3D6C60E9"/>
    <w:rsid w:val="3D855C98"/>
    <w:rsid w:val="3DC8028C"/>
    <w:rsid w:val="3EC949BD"/>
    <w:rsid w:val="3F141D55"/>
    <w:rsid w:val="3F1D1FAD"/>
    <w:rsid w:val="3F484A69"/>
    <w:rsid w:val="3F4A5238"/>
    <w:rsid w:val="3FCB42E0"/>
    <w:rsid w:val="3FF2193A"/>
    <w:rsid w:val="40530EFF"/>
    <w:rsid w:val="405979F4"/>
    <w:rsid w:val="40895D14"/>
    <w:rsid w:val="409E0886"/>
    <w:rsid w:val="40BA2B58"/>
    <w:rsid w:val="40CD5E20"/>
    <w:rsid w:val="40F12755"/>
    <w:rsid w:val="415700E1"/>
    <w:rsid w:val="41635E5C"/>
    <w:rsid w:val="419377D3"/>
    <w:rsid w:val="41A24435"/>
    <w:rsid w:val="41C73588"/>
    <w:rsid w:val="41EC43CC"/>
    <w:rsid w:val="41FF695D"/>
    <w:rsid w:val="422B0E54"/>
    <w:rsid w:val="42300D9C"/>
    <w:rsid w:val="423A18F3"/>
    <w:rsid w:val="42D665BD"/>
    <w:rsid w:val="42F70CC1"/>
    <w:rsid w:val="43037B90"/>
    <w:rsid w:val="43370708"/>
    <w:rsid w:val="43821027"/>
    <w:rsid w:val="438A6A89"/>
    <w:rsid w:val="4487580F"/>
    <w:rsid w:val="44C23006"/>
    <w:rsid w:val="452112A4"/>
    <w:rsid w:val="454A2BAB"/>
    <w:rsid w:val="459308E1"/>
    <w:rsid w:val="45A93012"/>
    <w:rsid w:val="45D4644E"/>
    <w:rsid w:val="45EE447B"/>
    <w:rsid w:val="46550A34"/>
    <w:rsid w:val="46B72EB2"/>
    <w:rsid w:val="46D0054F"/>
    <w:rsid w:val="46F24D76"/>
    <w:rsid w:val="477517FF"/>
    <w:rsid w:val="47A33F8A"/>
    <w:rsid w:val="480368AF"/>
    <w:rsid w:val="4811052D"/>
    <w:rsid w:val="48480CC1"/>
    <w:rsid w:val="48743A94"/>
    <w:rsid w:val="488D69A4"/>
    <w:rsid w:val="48C5225E"/>
    <w:rsid w:val="48C65C4C"/>
    <w:rsid w:val="48F33103"/>
    <w:rsid w:val="49463453"/>
    <w:rsid w:val="499E6F1D"/>
    <w:rsid w:val="49C56F37"/>
    <w:rsid w:val="4A1A1AFC"/>
    <w:rsid w:val="4A1C7F69"/>
    <w:rsid w:val="4A2048F5"/>
    <w:rsid w:val="4A4A7BE5"/>
    <w:rsid w:val="4A693618"/>
    <w:rsid w:val="4A7345CA"/>
    <w:rsid w:val="4A83553B"/>
    <w:rsid w:val="4AA36DBB"/>
    <w:rsid w:val="4AD97535"/>
    <w:rsid w:val="4B09298A"/>
    <w:rsid w:val="4B315A79"/>
    <w:rsid w:val="4BC14EAA"/>
    <w:rsid w:val="4BE42260"/>
    <w:rsid w:val="4C050246"/>
    <w:rsid w:val="4C0B1AE7"/>
    <w:rsid w:val="4C0F23A4"/>
    <w:rsid w:val="4C120763"/>
    <w:rsid w:val="4C190002"/>
    <w:rsid w:val="4C6263AC"/>
    <w:rsid w:val="4CBC4A3F"/>
    <w:rsid w:val="4D0310E9"/>
    <w:rsid w:val="4D123B20"/>
    <w:rsid w:val="4D4E0B28"/>
    <w:rsid w:val="4D6A309D"/>
    <w:rsid w:val="4D8A3097"/>
    <w:rsid w:val="4D9E31C3"/>
    <w:rsid w:val="4DB6655A"/>
    <w:rsid w:val="4DC108F4"/>
    <w:rsid w:val="4E010F87"/>
    <w:rsid w:val="4E0176F5"/>
    <w:rsid w:val="4E414BB2"/>
    <w:rsid w:val="4ED24E8A"/>
    <w:rsid w:val="4ED75229"/>
    <w:rsid w:val="4ED81994"/>
    <w:rsid w:val="4F2C4F1E"/>
    <w:rsid w:val="4F5624CB"/>
    <w:rsid w:val="4F8A3F4D"/>
    <w:rsid w:val="4FB467F9"/>
    <w:rsid w:val="4FCB398E"/>
    <w:rsid w:val="4FD02F65"/>
    <w:rsid w:val="50833817"/>
    <w:rsid w:val="510D07DF"/>
    <w:rsid w:val="51452F56"/>
    <w:rsid w:val="516C72A2"/>
    <w:rsid w:val="51967B24"/>
    <w:rsid w:val="519B28E7"/>
    <w:rsid w:val="52594F0F"/>
    <w:rsid w:val="52832C8D"/>
    <w:rsid w:val="52DB3A4A"/>
    <w:rsid w:val="52E57CC3"/>
    <w:rsid w:val="5312550A"/>
    <w:rsid w:val="53667193"/>
    <w:rsid w:val="53BA6F17"/>
    <w:rsid w:val="53D1543B"/>
    <w:rsid w:val="53DE69BF"/>
    <w:rsid w:val="541A0F48"/>
    <w:rsid w:val="541C0D17"/>
    <w:rsid w:val="541E45C6"/>
    <w:rsid w:val="54237750"/>
    <w:rsid w:val="542A6641"/>
    <w:rsid w:val="543E18F6"/>
    <w:rsid w:val="544B130D"/>
    <w:rsid w:val="54554E14"/>
    <w:rsid w:val="547738E5"/>
    <w:rsid w:val="549625C7"/>
    <w:rsid w:val="54CF254E"/>
    <w:rsid w:val="54D44608"/>
    <w:rsid w:val="54D723E8"/>
    <w:rsid w:val="550721D5"/>
    <w:rsid w:val="55195EBF"/>
    <w:rsid w:val="55A47060"/>
    <w:rsid w:val="55AC636A"/>
    <w:rsid w:val="55C15CC7"/>
    <w:rsid w:val="55D83373"/>
    <w:rsid w:val="55F3376F"/>
    <w:rsid w:val="56021356"/>
    <w:rsid w:val="56111690"/>
    <w:rsid w:val="563648E8"/>
    <w:rsid w:val="56872CC7"/>
    <w:rsid w:val="56A650A5"/>
    <w:rsid w:val="56B967C0"/>
    <w:rsid w:val="56BE67A9"/>
    <w:rsid w:val="56EE7782"/>
    <w:rsid w:val="57181976"/>
    <w:rsid w:val="57345015"/>
    <w:rsid w:val="5748483A"/>
    <w:rsid w:val="576B0D91"/>
    <w:rsid w:val="57830686"/>
    <w:rsid w:val="57A473D1"/>
    <w:rsid w:val="57C96345"/>
    <w:rsid w:val="57D92384"/>
    <w:rsid w:val="58020827"/>
    <w:rsid w:val="581808D2"/>
    <w:rsid w:val="58941028"/>
    <w:rsid w:val="58A10A12"/>
    <w:rsid w:val="58A44110"/>
    <w:rsid w:val="58DE21CC"/>
    <w:rsid w:val="58E6455C"/>
    <w:rsid w:val="5927169E"/>
    <w:rsid w:val="59404CA7"/>
    <w:rsid w:val="5A1E7F3D"/>
    <w:rsid w:val="5A3626D6"/>
    <w:rsid w:val="5A575533"/>
    <w:rsid w:val="5AA74F94"/>
    <w:rsid w:val="5B201627"/>
    <w:rsid w:val="5B2616E5"/>
    <w:rsid w:val="5B262FA8"/>
    <w:rsid w:val="5B3A4C3E"/>
    <w:rsid w:val="5B884B96"/>
    <w:rsid w:val="5B995496"/>
    <w:rsid w:val="5C702399"/>
    <w:rsid w:val="5CD96CB4"/>
    <w:rsid w:val="5D090FC9"/>
    <w:rsid w:val="5D184CAE"/>
    <w:rsid w:val="5D817846"/>
    <w:rsid w:val="5DC10D1E"/>
    <w:rsid w:val="5E0314BA"/>
    <w:rsid w:val="5EB2544D"/>
    <w:rsid w:val="5EB81CFC"/>
    <w:rsid w:val="5EB83F62"/>
    <w:rsid w:val="5F425685"/>
    <w:rsid w:val="5FA2526B"/>
    <w:rsid w:val="5FAA3C47"/>
    <w:rsid w:val="5FB850F5"/>
    <w:rsid w:val="5FB92779"/>
    <w:rsid w:val="5FEA2932"/>
    <w:rsid w:val="5FEF4361"/>
    <w:rsid w:val="5FF61953"/>
    <w:rsid w:val="600E54F4"/>
    <w:rsid w:val="607B75C7"/>
    <w:rsid w:val="60805044"/>
    <w:rsid w:val="60A827A3"/>
    <w:rsid w:val="60D51A59"/>
    <w:rsid w:val="60D80D7B"/>
    <w:rsid w:val="60DB671F"/>
    <w:rsid w:val="60E82224"/>
    <w:rsid w:val="60F575C1"/>
    <w:rsid w:val="610010C4"/>
    <w:rsid w:val="61112140"/>
    <w:rsid w:val="61147D5F"/>
    <w:rsid w:val="61892FAA"/>
    <w:rsid w:val="61B17DFE"/>
    <w:rsid w:val="62070A08"/>
    <w:rsid w:val="621A2D61"/>
    <w:rsid w:val="62634C1E"/>
    <w:rsid w:val="62847EA7"/>
    <w:rsid w:val="62DB637F"/>
    <w:rsid w:val="62FA10BA"/>
    <w:rsid w:val="62FD5017"/>
    <w:rsid w:val="63296CF6"/>
    <w:rsid w:val="634624B2"/>
    <w:rsid w:val="63532130"/>
    <w:rsid w:val="63783957"/>
    <w:rsid w:val="638A25E5"/>
    <w:rsid w:val="63D615FE"/>
    <w:rsid w:val="63E92F01"/>
    <w:rsid w:val="640B7333"/>
    <w:rsid w:val="64366A6B"/>
    <w:rsid w:val="64367532"/>
    <w:rsid w:val="64582635"/>
    <w:rsid w:val="645D6AC4"/>
    <w:rsid w:val="6469117D"/>
    <w:rsid w:val="64871562"/>
    <w:rsid w:val="648D5C88"/>
    <w:rsid w:val="64BA1521"/>
    <w:rsid w:val="64EA7FB1"/>
    <w:rsid w:val="64EC6C5A"/>
    <w:rsid w:val="653D7AF3"/>
    <w:rsid w:val="658D3BDA"/>
    <w:rsid w:val="65B119A5"/>
    <w:rsid w:val="65ED18FC"/>
    <w:rsid w:val="65F916BF"/>
    <w:rsid w:val="6622535F"/>
    <w:rsid w:val="66565CBE"/>
    <w:rsid w:val="670E76D1"/>
    <w:rsid w:val="67326007"/>
    <w:rsid w:val="67574E33"/>
    <w:rsid w:val="67D77C44"/>
    <w:rsid w:val="67E0499E"/>
    <w:rsid w:val="68645048"/>
    <w:rsid w:val="68C27158"/>
    <w:rsid w:val="690459DC"/>
    <w:rsid w:val="6909385C"/>
    <w:rsid w:val="690B7AFD"/>
    <w:rsid w:val="69334FB5"/>
    <w:rsid w:val="69543567"/>
    <w:rsid w:val="6A6D318E"/>
    <w:rsid w:val="6A90444F"/>
    <w:rsid w:val="6A930078"/>
    <w:rsid w:val="6AA60D41"/>
    <w:rsid w:val="6AAB72C5"/>
    <w:rsid w:val="6AC5614D"/>
    <w:rsid w:val="6AFC4C50"/>
    <w:rsid w:val="6AFF6DD9"/>
    <w:rsid w:val="6B2031BA"/>
    <w:rsid w:val="6B274553"/>
    <w:rsid w:val="6B6721F6"/>
    <w:rsid w:val="6B713444"/>
    <w:rsid w:val="6B777044"/>
    <w:rsid w:val="6B7A60D6"/>
    <w:rsid w:val="6B9F6D44"/>
    <w:rsid w:val="6BF26F47"/>
    <w:rsid w:val="6C203A9A"/>
    <w:rsid w:val="6C223454"/>
    <w:rsid w:val="6C385BB0"/>
    <w:rsid w:val="6CA6506C"/>
    <w:rsid w:val="6CB200F1"/>
    <w:rsid w:val="6CB75CCD"/>
    <w:rsid w:val="6CE50B55"/>
    <w:rsid w:val="6D2D26D4"/>
    <w:rsid w:val="6D35017D"/>
    <w:rsid w:val="6D425E8D"/>
    <w:rsid w:val="6D550E72"/>
    <w:rsid w:val="6D6F7597"/>
    <w:rsid w:val="6D8E38BF"/>
    <w:rsid w:val="6DE74955"/>
    <w:rsid w:val="6E296D1B"/>
    <w:rsid w:val="6E411486"/>
    <w:rsid w:val="6E9303C1"/>
    <w:rsid w:val="6E994233"/>
    <w:rsid w:val="6ECF03D4"/>
    <w:rsid w:val="6EE60768"/>
    <w:rsid w:val="6EEA4B30"/>
    <w:rsid w:val="6EEB1850"/>
    <w:rsid w:val="6EF5262D"/>
    <w:rsid w:val="6F0509B8"/>
    <w:rsid w:val="6F313CA3"/>
    <w:rsid w:val="6F3E2352"/>
    <w:rsid w:val="6FC02C16"/>
    <w:rsid w:val="6FE859EE"/>
    <w:rsid w:val="6FF6475E"/>
    <w:rsid w:val="70184EA3"/>
    <w:rsid w:val="70687850"/>
    <w:rsid w:val="70692505"/>
    <w:rsid w:val="70CB53E1"/>
    <w:rsid w:val="70E45041"/>
    <w:rsid w:val="712D4D1B"/>
    <w:rsid w:val="714E12CF"/>
    <w:rsid w:val="7209016D"/>
    <w:rsid w:val="7259341C"/>
    <w:rsid w:val="728B00C1"/>
    <w:rsid w:val="729B20AA"/>
    <w:rsid w:val="734521A8"/>
    <w:rsid w:val="73707E67"/>
    <w:rsid w:val="73776F50"/>
    <w:rsid w:val="737D6BB3"/>
    <w:rsid w:val="739C34AF"/>
    <w:rsid w:val="73C979D4"/>
    <w:rsid w:val="73CD0149"/>
    <w:rsid w:val="741F0C23"/>
    <w:rsid w:val="743439CA"/>
    <w:rsid w:val="748F3308"/>
    <w:rsid w:val="749B3DA3"/>
    <w:rsid w:val="74AB5178"/>
    <w:rsid w:val="74BC7F66"/>
    <w:rsid w:val="74DD127A"/>
    <w:rsid w:val="7509001F"/>
    <w:rsid w:val="750A3CD1"/>
    <w:rsid w:val="75354D44"/>
    <w:rsid w:val="753D1C2F"/>
    <w:rsid w:val="75686B98"/>
    <w:rsid w:val="764B35A7"/>
    <w:rsid w:val="76654669"/>
    <w:rsid w:val="7677072C"/>
    <w:rsid w:val="768076F4"/>
    <w:rsid w:val="769444A1"/>
    <w:rsid w:val="76A00464"/>
    <w:rsid w:val="76A021B3"/>
    <w:rsid w:val="76A60B51"/>
    <w:rsid w:val="76B664D7"/>
    <w:rsid w:val="76E33575"/>
    <w:rsid w:val="76EB2B73"/>
    <w:rsid w:val="770B0914"/>
    <w:rsid w:val="775D41D3"/>
    <w:rsid w:val="77A33591"/>
    <w:rsid w:val="77D16924"/>
    <w:rsid w:val="782C2784"/>
    <w:rsid w:val="78326601"/>
    <w:rsid w:val="783C5EB8"/>
    <w:rsid w:val="78A5756F"/>
    <w:rsid w:val="7902023B"/>
    <w:rsid w:val="797F7147"/>
    <w:rsid w:val="79BE2A91"/>
    <w:rsid w:val="7A590988"/>
    <w:rsid w:val="7A7E7572"/>
    <w:rsid w:val="7A992CC0"/>
    <w:rsid w:val="7B0918A9"/>
    <w:rsid w:val="7B3A50B0"/>
    <w:rsid w:val="7B7B235C"/>
    <w:rsid w:val="7B8B2C1D"/>
    <w:rsid w:val="7BCA3B47"/>
    <w:rsid w:val="7BD020E4"/>
    <w:rsid w:val="7C01614C"/>
    <w:rsid w:val="7C5D0338"/>
    <w:rsid w:val="7C644B37"/>
    <w:rsid w:val="7C8D1210"/>
    <w:rsid w:val="7C9C658A"/>
    <w:rsid w:val="7D2F0819"/>
    <w:rsid w:val="7D2F33BE"/>
    <w:rsid w:val="7D793C28"/>
    <w:rsid w:val="7D8C0F6F"/>
    <w:rsid w:val="7DE40569"/>
    <w:rsid w:val="7E517338"/>
    <w:rsid w:val="7E9771C1"/>
    <w:rsid w:val="7EB604BE"/>
    <w:rsid w:val="7F653236"/>
    <w:rsid w:val="7F6A5445"/>
    <w:rsid w:val="7F833F4C"/>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2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lkgvc"/>
    <w:basedOn w:val="27"/>
    <w:autoRedefine/>
    <w:qFormat/>
    <w:uiPriority w:val="0"/>
    <w:pPr>
      <w:ind w:firstLine="0" w:firstLineChars="0"/>
      <w:jc w:val="right"/>
    </w:pPr>
    <w:rPr>
      <w:b w:val="0"/>
      <w:u w:val="single"/>
    </w:rPr>
  </w:style>
  <w:style w:type="paragraph" w:customStyle="1" w:styleId="27">
    <w:name w:val="P1"/>
    <w:basedOn w:val="1"/>
    <w:autoRedefine/>
    <w:qFormat/>
    <w:uiPriority w:val="0"/>
    <w:pPr>
      <w:ind w:firstLine="180" w:firstLineChars="100"/>
    </w:pPr>
    <w:rPr>
      <w:rFonts w:cs="微软雅黑"/>
      <w:b/>
      <w:color w:val="000000"/>
      <w:sz w:val="18"/>
      <w:szCs w:val="18"/>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5">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7">
    <w:name w:val="Table Normal"/>
    <w:autoRedefine/>
    <w:qFormat/>
    <w:uiPriority w:val="0"/>
    <w:tblPr>
      <w:tblCellMar>
        <w:top w:w="0" w:type="dxa"/>
        <w:left w:w="0" w:type="dxa"/>
        <w:bottom w:w="0" w:type="dxa"/>
        <w:right w:w="0" w:type="dxa"/>
      </w:tblCellMar>
    </w:tblPr>
  </w:style>
  <w:style w:type="character" w:customStyle="1" w:styleId="38">
    <w:name w:val="批注框文本 Char"/>
    <w:basedOn w:val="16"/>
    <w:link w:val="8"/>
    <w:autoRedefine/>
    <w:qFormat/>
    <w:uiPriority w:val="0"/>
    <w:rPr>
      <w:rFonts w:ascii="宋体" w:hAnsi="宋体" w:cs="宋体"/>
      <w:sz w:val="18"/>
      <w:szCs w:val="18"/>
      <w:lang w:eastAsia="en-US"/>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basic"/>
    <w:basedOn w:val="1"/>
    <w:autoRedefine/>
    <w:qFormat/>
    <w:uiPriority w:val="0"/>
    <w:rPr>
      <w:rFonts w:ascii="微软雅黑" w:hAnsi="微软雅黑" w:eastAsia="微软雅黑" w:cs="Times New Roman"/>
      <w:b/>
      <w:color w:val="000000"/>
      <w:sz w:val="18"/>
      <w:szCs w:val="18"/>
    </w:rPr>
  </w:style>
  <w:style w:type="character" w:customStyle="1" w:styleId="42">
    <w:name w:val="qc5 Char"/>
    <w:basedOn w:val="16"/>
    <w:link w:val="43"/>
    <w:autoRedefine/>
    <w:qFormat/>
    <w:uiPriority w:val="0"/>
    <w:rPr>
      <w:rFonts w:ascii="微软雅黑" w:hAnsi="微软雅黑" w:cs="Times New Roman"/>
      <w:bCs/>
      <w:color w:val="000000"/>
      <w:sz w:val="18"/>
      <w:szCs w:val="18"/>
    </w:rPr>
  </w:style>
  <w:style w:type="paragraph" w:customStyle="1" w:styleId="43">
    <w:name w:val="qc5"/>
    <w:basedOn w:val="1"/>
    <w:link w:val="42"/>
    <w:autoRedefine/>
    <w:qFormat/>
    <w:uiPriority w:val="0"/>
    <w:pPr>
      <w:ind w:left="1050" w:leftChars="500"/>
    </w:pPr>
    <w:rPr>
      <w:rFonts w:ascii="微软雅黑" w:hAnsi="微软雅黑" w:cs="Times New Roman"/>
      <w:bCs/>
      <w:color w:val="000000"/>
      <w:sz w:val="18"/>
      <w:szCs w:val="18"/>
    </w:rPr>
  </w:style>
  <w:style w:type="table" w:customStyle="1" w:styleId="44">
    <w:name w:val="网格型15"/>
    <w:basedOn w:val="14"/>
    <w:qFormat/>
    <w:uiPriority w:val="99"/>
    <w:pPr>
      <w:widowControl w:val="0"/>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73a8eb6c-f7a4-4b27-8f86-ffa7c051b96f"/>
    <w:autoRedefine/>
    <w:semiHidden/>
    <w:unhideWhenUsed/>
    <w:qFormat/>
    <w:uiPriority w:val="99"/>
    <w:tblPr>
      <w:tblCellMar>
        <w:top w:w="0" w:type="dxa"/>
        <w:left w:w="108" w:type="dxa"/>
        <w:bottom w:w="0" w:type="dxa"/>
        <w:right w:w="108" w:type="dxa"/>
      </w:tblCellMar>
    </w:tblPr>
  </w:style>
  <w:style w:type="paragraph" w:customStyle="1" w:styleId="46">
    <w:name w:val="hello1098"/>
    <w:basedOn w:val="1"/>
    <w:autoRedefine/>
    <w:qFormat/>
    <w:uiPriority w:val="0"/>
    <w:pPr>
      <w:spacing w:line="276" w:lineRule="auto"/>
      <w:jc w:val="center"/>
    </w:pPr>
    <w:rPr>
      <w:rFonts w:cs="Times New Roman"/>
      <w:kern w:val="0"/>
      <w:sz w:val="18"/>
      <w:szCs w:val="18"/>
    </w:rPr>
  </w:style>
  <w:style w:type="paragraph" w:customStyle="1" w:styleId="47">
    <w:name w:val="5_red"/>
    <w:basedOn w:val="46"/>
    <w:autoRedefine/>
    <w:qFormat/>
    <w:uiPriority w:val="0"/>
    <w:rPr>
      <w:color w:val="FF0000"/>
      <w:sz w:val="20"/>
    </w:rPr>
  </w:style>
  <w:style w:type="paragraph" w:customStyle="1" w:styleId="48">
    <w:name w:val="5_black"/>
    <w:basedOn w:val="47"/>
    <w:autoRedefine/>
    <w:qFormat/>
    <w:uiPriority w:val="0"/>
    <w:rPr>
      <w:color w:val="auto"/>
    </w:rPr>
  </w:style>
  <w:style w:type="paragraph" w:customStyle="1" w:styleId="49">
    <w:name w:val="样式10"/>
    <w:basedOn w:val="50"/>
    <w:autoRedefine/>
    <w:qFormat/>
    <w:uiPriority w:val="0"/>
    <w:pPr>
      <w:ind w:firstLine="333"/>
    </w:pPr>
    <w:rPr>
      <w:szCs w:val="18"/>
    </w:rPr>
  </w:style>
  <w:style w:type="paragraph" w:customStyle="1" w:styleId="50">
    <w:name w:val="样式3"/>
    <w:basedOn w:val="51"/>
    <w:autoRedefine/>
    <w:qFormat/>
    <w:uiPriority w:val="0"/>
    <w:rPr>
      <w:rFonts w:ascii="微软雅黑" w:hAnsi="微软雅黑" w:eastAsia="微软雅黑"/>
      <w:sz w:val="18"/>
    </w:rPr>
  </w:style>
  <w:style w:type="paragraph" w:customStyle="1" w:styleId="51">
    <w:name w:val="样式2"/>
    <w:basedOn w:val="1"/>
    <w:autoRedefine/>
    <w:qFormat/>
    <w:uiPriority w:val="0"/>
    <w:pPr>
      <w:ind w:left="158" w:leftChars="75" w:firstLine="388" w:firstLineChars="185"/>
    </w:pPr>
    <w:rPr>
      <w:rFonts w:ascii="Calibri" w:hAnsiTheme="minorHAnsi" w:eastAsiaTheme="minorEastAsia"/>
      <w:kern w:val="0"/>
    </w:rPr>
  </w:style>
  <w:style w:type="table" w:customStyle="1" w:styleId="52">
    <w:name w:val="3300a14f-dd40-4409-84a9-5d9488cb46c4"/>
    <w:semiHidden/>
    <w:unhideWhenUsed/>
    <w:qFormat/>
    <w:uiPriority w:val="99"/>
    <w:tblPr>
      <w:tblCellMar>
        <w:top w:w="0" w:type="dxa"/>
        <w:left w:w="108" w:type="dxa"/>
        <w:bottom w:w="0" w:type="dxa"/>
        <w:right w:w="108" w:type="dxa"/>
      </w:tblCellMar>
    </w:tblPr>
  </w:style>
  <w:style w:type="table" w:customStyle="1" w:styleId="53">
    <w:name w:val="网格型9"/>
    <w:basedOn w:val="14"/>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4">
    <w:name w:val="rpt"/>
    <w:basedOn w:val="1"/>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5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3135</Words>
  <Characters>4541</Characters>
  <Lines>399</Lines>
  <Paragraphs>112</Paragraphs>
  <TotalTime>0</TotalTime>
  <ScaleCrop>false</ScaleCrop>
  <LinksUpToDate>false</LinksUpToDate>
  <CharactersWithSpaces>4755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2026-05-28T10:05:52Z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571A23818E774FF9BECB798EE15A8D8C</vt:lpwstr>
  </property>
  <property fmtid="{D5CDD505-2E9C-101B-9397-08002B2CF9AE}" pid="4" name="KSOTemplateDocerSaveRecord">
    <vt:lpwstr>eyJoZGlkIjoiY2Y2NjU5MGIzZGFmM2M5NTIxMmI2NjdmNGQ0NDdjMDUiLCJ1c2VySWQiOiI2MjE3NDUxNTQifQ==</vt:lpwstr>
  </property>
</Properties>
</file>